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宋体" w:hAnsi="宋体"/>
          <w:b/>
          <w:sz w:val="52"/>
        </w:rPr>
      </w:pPr>
    </w:p>
    <w:p>
      <w:pPr>
        <w:pStyle w:val="2"/>
      </w:pPr>
      <w:r>
        <w:rPr>
          <w:rFonts w:hint="eastAsia"/>
        </w:rPr>
        <w:t>-</w:t>
      </w:r>
    </w:p>
    <w:p>
      <w:pPr>
        <w:spacing w:line="600" w:lineRule="auto"/>
        <w:jc w:val="center"/>
        <w:rPr>
          <w:rFonts w:ascii="宋体" w:hAnsi="宋体"/>
          <w:b/>
          <w:sz w:val="52"/>
        </w:rPr>
      </w:pPr>
    </w:p>
    <w:p>
      <w:pPr>
        <w:spacing w:line="480" w:lineRule="auto"/>
        <w:jc w:val="center"/>
        <w:rPr>
          <w:rFonts w:ascii="宋体" w:hAnsi="宋体"/>
          <w:b/>
          <w:sz w:val="52"/>
        </w:rPr>
      </w:pPr>
    </w:p>
    <w:p>
      <w:pPr>
        <w:spacing w:line="480" w:lineRule="auto"/>
        <w:jc w:val="center"/>
        <w:rPr>
          <w:rFonts w:ascii="宋体" w:hAnsi="宋体"/>
          <w:b/>
          <w:spacing w:val="30"/>
          <w:sz w:val="72"/>
          <w:szCs w:val="72"/>
        </w:rPr>
      </w:pPr>
      <w:r>
        <w:rPr>
          <w:rFonts w:hint="eastAsia" w:ascii="宋体" w:hAnsi="宋体"/>
          <w:b/>
          <w:spacing w:val="30"/>
          <w:sz w:val="72"/>
          <w:szCs w:val="72"/>
        </w:rPr>
        <w:t>建设项目环境影响报告表</w:t>
      </w:r>
    </w:p>
    <w:p>
      <w:pPr>
        <w:spacing w:line="480" w:lineRule="auto"/>
        <w:rPr>
          <w:rFonts w:ascii="宋体" w:hAnsi="宋体"/>
          <w:sz w:val="36"/>
          <w:u w:val="single"/>
        </w:rPr>
      </w:pPr>
    </w:p>
    <w:p>
      <w:pPr>
        <w:spacing w:line="480" w:lineRule="auto"/>
        <w:rPr>
          <w:rFonts w:ascii="宋体" w:hAnsi="宋体"/>
          <w:sz w:val="36"/>
          <w:u w:val="single"/>
        </w:rPr>
      </w:pPr>
    </w:p>
    <w:p>
      <w:pPr>
        <w:spacing w:line="480" w:lineRule="auto"/>
        <w:rPr>
          <w:rFonts w:ascii="宋体" w:hAnsi="宋体"/>
          <w:sz w:val="36"/>
          <w:u w:val="single"/>
        </w:rPr>
      </w:pPr>
    </w:p>
    <w:p>
      <w:pPr>
        <w:spacing w:line="480" w:lineRule="auto"/>
        <w:rPr>
          <w:rFonts w:ascii="宋体" w:hAnsi="宋体"/>
          <w:sz w:val="36"/>
          <w:u w:val="single"/>
        </w:rPr>
      </w:pPr>
    </w:p>
    <w:p/>
    <w:p>
      <w:pPr>
        <w:spacing w:line="480" w:lineRule="auto"/>
        <w:jc w:val="center"/>
        <w:rPr>
          <w:rFonts w:ascii="宋体" w:hAnsi="宋体"/>
          <w:b/>
          <w:sz w:val="72"/>
        </w:rPr>
      </w:pPr>
    </w:p>
    <w:p>
      <w:pPr>
        <w:tabs>
          <w:tab w:val="left" w:pos="1524"/>
        </w:tabs>
        <w:spacing w:line="480" w:lineRule="auto"/>
        <w:ind w:left="2900" w:leftChars="99" w:hanging="2692" w:hangingChars="745"/>
        <w:rPr>
          <w:sz w:val="36"/>
          <w:szCs w:val="36"/>
          <w:u w:val="single"/>
        </w:rPr>
      </w:pPr>
      <w:r>
        <w:rPr>
          <w:rFonts w:hint="eastAsia" w:ascii="宋体" w:hAnsi="宋体"/>
          <w:b/>
          <w:sz w:val="36"/>
          <w:szCs w:val="36"/>
        </w:rPr>
        <w:t xml:space="preserve">项 目 名 称:   </w:t>
      </w:r>
      <w:r>
        <w:rPr>
          <w:rFonts w:hint="eastAsia" w:ascii="宋体" w:hAnsi="宋体"/>
          <w:sz w:val="36"/>
          <w:szCs w:val="36"/>
          <w:u w:val="single"/>
        </w:rPr>
        <w:t>新乡市天华科技有限公司扩建年产</w:t>
      </w:r>
      <w:r>
        <w:rPr>
          <w:sz w:val="36"/>
          <w:szCs w:val="36"/>
          <w:u w:val="single"/>
        </w:rPr>
        <w:t>300</w:t>
      </w:r>
    </w:p>
    <w:p>
      <w:pPr>
        <w:tabs>
          <w:tab w:val="left" w:pos="1524"/>
        </w:tabs>
        <w:spacing w:line="480" w:lineRule="auto"/>
        <w:ind w:left="2898" w:leftChars="1380"/>
        <w:rPr>
          <w:rFonts w:ascii="宋体" w:hAnsi="宋体"/>
          <w:sz w:val="36"/>
          <w:szCs w:val="36"/>
          <w:u w:val="single"/>
        </w:rPr>
      </w:pPr>
      <w:r>
        <w:rPr>
          <w:rFonts w:hint="eastAsia" w:ascii="宋体" w:hAnsi="宋体"/>
          <w:sz w:val="36"/>
          <w:szCs w:val="36"/>
          <w:u w:val="single"/>
        </w:rPr>
        <w:t xml:space="preserve">台振动输送设备项目               </w:t>
      </w:r>
    </w:p>
    <w:p>
      <w:pPr>
        <w:spacing w:line="480" w:lineRule="auto"/>
        <w:ind w:firstLine="177" w:firstLineChars="49"/>
        <w:jc w:val="left"/>
        <w:rPr>
          <w:rFonts w:ascii="宋体" w:hAnsi="宋体"/>
          <w:sz w:val="32"/>
          <w:u w:val="single"/>
        </w:rPr>
      </w:pPr>
      <w:r>
        <w:rPr>
          <w:rFonts w:hint="eastAsia" w:ascii="宋体" w:hAnsi="宋体"/>
          <w:b/>
          <w:sz w:val="36"/>
          <w:szCs w:val="36"/>
        </w:rPr>
        <w:t>建设单位</w:t>
      </w:r>
      <w:r>
        <w:rPr>
          <w:rFonts w:hint="eastAsia" w:ascii="宋体" w:hAnsi="宋体"/>
          <w:sz w:val="36"/>
          <w:szCs w:val="36"/>
        </w:rPr>
        <w:t>(盖章)</w:t>
      </w:r>
      <w:r>
        <w:rPr>
          <w:rFonts w:hint="eastAsia" w:ascii="宋体" w:hAnsi="宋体"/>
          <w:b/>
          <w:sz w:val="36"/>
          <w:szCs w:val="36"/>
        </w:rPr>
        <w:t>:</w:t>
      </w:r>
      <w:r>
        <w:rPr>
          <w:rFonts w:hint="eastAsia" w:ascii="宋体" w:hAnsi="宋体"/>
          <w:sz w:val="36"/>
          <w:szCs w:val="36"/>
          <w:u w:val="single"/>
        </w:rPr>
        <w:t xml:space="preserve"> 新乡市天华科技有限公司  </w:t>
      </w:r>
      <w:r>
        <w:rPr>
          <w:rFonts w:hint="eastAsia" w:ascii="宋体" w:hAnsi="宋体"/>
          <w:sz w:val="32"/>
          <w:u w:val="single"/>
        </w:rPr>
        <w:t xml:space="preserve">         </w:t>
      </w:r>
    </w:p>
    <w:p>
      <w:pPr>
        <w:spacing w:line="480" w:lineRule="auto"/>
        <w:rPr>
          <w:rFonts w:ascii="宋体" w:hAnsi="宋体"/>
          <w:sz w:val="32"/>
          <w:u w:val="single"/>
        </w:rPr>
      </w:pPr>
    </w:p>
    <w:p>
      <w:pPr>
        <w:spacing w:line="480" w:lineRule="auto"/>
        <w:rPr>
          <w:rFonts w:ascii="宋体" w:hAnsi="宋体"/>
          <w:sz w:val="32"/>
          <w:u w:val="single"/>
        </w:rPr>
      </w:pPr>
    </w:p>
    <w:p>
      <w:pPr>
        <w:pStyle w:val="2"/>
      </w:pPr>
    </w:p>
    <w:p/>
    <w:p>
      <w:pPr>
        <w:spacing w:line="480" w:lineRule="auto"/>
        <w:rPr>
          <w:rFonts w:ascii="宋体" w:hAnsi="宋体"/>
          <w:sz w:val="32"/>
          <w:u w:val="single"/>
        </w:rPr>
      </w:pPr>
    </w:p>
    <w:p>
      <w:pPr>
        <w:spacing w:line="480" w:lineRule="auto"/>
        <w:jc w:val="center"/>
        <w:rPr>
          <w:rFonts w:ascii="宋体" w:hAnsi="宋体"/>
          <w:b/>
          <w:sz w:val="32"/>
        </w:rPr>
      </w:pPr>
      <w:r>
        <w:rPr>
          <w:rFonts w:hint="eastAsia" w:ascii="宋体" w:hAnsi="宋体"/>
          <w:b/>
          <w:sz w:val="32"/>
        </w:rPr>
        <w:t>编制日期</w:t>
      </w:r>
      <w:r>
        <w:rPr>
          <w:rFonts w:ascii="宋体" w:hAnsi="宋体"/>
          <w:b/>
          <w:sz w:val="32"/>
        </w:rPr>
        <w:t>:2020</w:t>
      </w:r>
      <w:r>
        <w:rPr>
          <w:rFonts w:hint="eastAsia" w:ascii="宋体" w:hAnsi="宋体"/>
          <w:b/>
          <w:sz w:val="32"/>
        </w:rPr>
        <w:t>年11月</w:t>
      </w:r>
    </w:p>
    <w:p>
      <w:pPr>
        <w:snapToGrid w:val="0"/>
        <w:spacing w:line="480" w:lineRule="auto"/>
        <w:jc w:val="center"/>
        <w:outlineLvl w:val="0"/>
        <w:rPr>
          <w:rFonts w:ascii="宋体" w:hAnsi="宋体"/>
          <w:sz w:val="32"/>
        </w:rPr>
      </w:pPr>
      <w:r>
        <w:rPr>
          <w:rFonts w:hint="eastAsia" w:ascii="宋体" w:hAnsi="宋体"/>
          <w:b/>
          <w:sz w:val="32"/>
        </w:rPr>
        <w:t>国家生态环境部制</w:t>
      </w:r>
      <w:r>
        <w:rPr>
          <w:rFonts w:ascii="宋体" w:hAnsi="宋体"/>
          <w:b/>
          <w:sz w:val="32"/>
        </w:rPr>
        <w:br w:type="page"/>
      </w:r>
    </w:p>
    <w:p>
      <w:pPr>
        <w:adjustRightInd w:val="0"/>
        <w:snapToGrid w:val="0"/>
        <w:spacing w:line="720" w:lineRule="exact"/>
        <w:jc w:val="center"/>
        <w:outlineLvl w:val="0"/>
        <w:rPr>
          <w:sz w:val="32"/>
        </w:rPr>
      </w:pPr>
      <w:r>
        <w:rPr>
          <w:sz w:val="32"/>
        </w:rPr>
        <w:t>《建设项目环境影响报告表》编制说明</w:t>
      </w:r>
    </w:p>
    <w:p>
      <w:pPr>
        <w:adjustRightInd w:val="0"/>
        <w:snapToGrid w:val="0"/>
        <w:spacing w:line="720" w:lineRule="exact"/>
        <w:ind w:firstLine="536" w:firstLineChars="200"/>
        <w:rPr>
          <w:spacing w:val="-6"/>
          <w:sz w:val="28"/>
        </w:rPr>
      </w:pPr>
      <w:r>
        <w:rPr>
          <w:spacing w:val="-6"/>
          <w:sz w:val="28"/>
        </w:rPr>
        <w:t>《建设项目环境影响报告表》由具有从事环境影响评价工作</w:t>
      </w:r>
      <w:r>
        <w:rPr>
          <w:rFonts w:hint="eastAsia"/>
          <w:spacing w:val="-6"/>
          <w:sz w:val="28"/>
        </w:rPr>
        <w:t>能力</w:t>
      </w:r>
      <w:r>
        <w:rPr>
          <w:spacing w:val="-6"/>
          <w:sz w:val="28"/>
        </w:rPr>
        <w:t>的单位编制。</w:t>
      </w:r>
    </w:p>
    <w:p>
      <w:pPr>
        <w:adjustRightInd w:val="0"/>
        <w:snapToGrid w:val="0"/>
        <w:spacing w:line="720" w:lineRule="exact"/>
        <w:ind w:firstLine="525"/>
        <w:rPr>
          <w:spacing w:val="-6"/>
          <w:sz w:val="28"/>
        </w:rPr>
      </w:pPr>
      <w:r>
        <w:rPr>
          <w:spacing w:val="-6"/>
          <w:sz w:val="28"/>
        </w:rPr>
        <w:t>1．项目名称——指项目立项批复时的名称，应不超过30个字（两个英文字段作一个汉字）。</w:t>
      </w:r>
    </w:p>
    <w:p>
      <w:pPr>
        <w:adjustRightInd w:val="0"/>
        <w:snapToGrid w:val="0"/>
        <w:spacing w:line="720" w:lineRule="exact"/>
        <w:ind w:firstLine="525"/>
        <w:rPr>
          <w:spacing w:val="-6"/>
          <w:sz w:val="28"/>
        </w:rPr>
      </w:pPr>
      <w:r>
        <w:rPr>
          <w:spacing w:val="-6"/>
          <w:sz w:val="28"/>
        </w:rPr>
        <w:t>2．建设地点——指项目所在地详细地址，公路、铁路应填写起止地点。</w:t>
      </w:r>
    </w:p>
    <w:p>
      <w:pPr>
        <w:adjustRightInd w:val="0"/>
        <w:snapToGrid w:val="0"/>
        <w:spacing w:line="720" w:lineRule="exact"/>
        <w:ind w:firstLine="525"/>
        <w:rPr>
          <w:spacing w:val="-6"/>
          <w:sz w:val="28"/>
        </w:rPr>
      </w:pPr>
      <w:r>
        <w:rPr>
          <w:spacing w:val="-6"/>
          <w:sz w:val="28"/>
        </w:rPr>
        <w:t>3．行业类别——按国标填写。</w:t>
      </w:r>
    </w:p>
    <w:p>
      <w:pPr>
        <w:adjustRightInd w:val="0"/>
        <w:snapToGrid w:val="0"/>
        <w:spacing w:line="720" w:lineRule="exact"/>
        <w:ind w:firstLine="525"/>
        <w:rPr>
          <w:spacing w:val="-6"/>
          <w:sz w:val="28"/>
        </w:rPr>
      </w:pPr>
      <w:r>
        <w:rPr>
          <w:spacing w:val="-6"/>
          <w:sz w:val="28"/>
        </w:rPr>
        <w:t>4．总投资——指项目投资总额。</w:t>
      </w:r>
    </w:p>
    <w:p>
      <w:pPr>
        <w:adjustRightInd w:val="0"/>
        <w:snapToGrid w:val="0"/>
        <w:spacing w:line="720" w:lineRule="exact"/>
        <w:ind w:firstLine="525"/>
        <w:rPr>
          <w:spacing w:val="-6"/>
          <w:sz w:val="28"/>
        </w:rPr>
      </w:pPr>
      <w:r>
        <w:rPr>
          <w:spacing w:val="-6"/>
          <w:sz w:val="28"/>
        </w:rPr>
        <w:t>5．主要环境保护目标——指项目区周围一定范围内集中居民住宅区、学校、医院、保护文物、风景名胜区、水源地和生态敏感点等，应尽可能给出保护目标、性质、规模和距厂界距离等。</w:t>
      </w:r>
    </w:p>
    <w:p>
      <w:pPr>
        <w:adjustRightInd w:val="0"/>
        <w:snapToGrid w:val="0"/>
        <w:spacing w:line="720" w:lineRule="exact"/>
        <w:ind w:firstLine="525"/>
        <w:rPr>
          <w:spacing w:val="-6"/>
          <w:sz w:val="28"/>
        </w:rPr>
      </w:pPr>
      <w:r>
        <w:rPr>
          <w:spacing w:val="-6"/>
          <w:sz w:val="28"/>
        </w:rPr>
        <w:t>6．结论与建议——给出本项目清洁生产、达标排放和总量控制的分析结论，确定污染防治措施的有效性，说明本项目对环境造成的影响，给出建设项目环境可行性的明确结论。同时提出减少环境影响的其它建议。</w:t>
      </w:r>
    </w:p>
    <w:p>
      <w:pPr>
        <w:adjustRightInd w:val="0"/>
        <w:snapToGrid w:val="0"/>
        <w:spacing w:line="720" w:lineRule="exact"/>
        <w:ind w:firstLine="525"/>
        <w:rPr>
          <w:spacing w:val="-6"/>
          <w:sz w:val="28"/>
        </w:rPr>
      </w:pPr>
      <w:r>
        <w:rPr>
          <w:spacing w:val="-6"/>
          <w:sz w:val="28"/>
        </w:rPr>
        <w:t>7．预审意见——由行业主管部门填写答复意见，无主管部门项目，可不填。</w:t>
      </w:r>
    </w:p>
    <w:p>
      <w:pPr>
        <w:adjustRightInd w:val="0"/>
        <w:snapToGrid w:val="0"/>
        <w:spacing w:line="720" w:lineRule="exact"/>
        <w:ind w:firstLine="525"/>
        <w:rPr>
          <w:spacing w:val="-6"/>
          <w:sz w:val="28"/>
        </w:rPr>
      </w:pPr>
      <w:r>
        <w:rPr>
          <w:spacing w:val="-6"/>
          <w:sz w:val="28"/>
        </w:rPr>
        <w:t>8．审批意见——由负责审批该项目的环境保护行政主管部门批复。</w:t>
      </w:r>
    </w:p>
    <w:p>
      <w:pPr>
        <w:pStyle w:val="2"/>
        <w:rPr>
          <w:rFonts w:ascii="宋体" w:hAnsi="宋体"/>
          <w:sz w:val="32"/>
          <w:szCs w:val="32"/>
        </w:rPr>
      </w:pPr>
      <w:r>
        <w:br w:type="page"/>
      </w:r>
      <w:r>
        <w:rPr>
          <w:rFonts w:hint="eastAsia" w:ascii="宋体" w:hAnsi="宋体"/>
          <w:b w:val="0"/>
          <w:sz w:val="32"/>
          <w:szCs w:val="32"/>
        </w:rPr>
        <w:t>目  录</w:t>
      </w:r>
    </w:p>
    <w:p>
      <w:pPr>
        <w:spacing w:line="580" w:lineRule="exact"/>
        <w:jc w:val="left"/>
        <w:rPr>
          <w:sz w:val="24"/>
        </w:rPr>
      </w:pPr>
      <w:r>
        <w:rPr>
          <w:rFonts w:hint="eastAsia"/>
          <w:sz w:val="24"/>
        </w:rPr>
        <w:t>建设项目基本情况</w:t>
      </w:r>
      <w:r>
        <w:rPr>
          <w:sz w:val="24"/>
        </w:rPr>
        <w:t>………………………………………………………………………1</w:t>
      </w:r>
    </w:p>
    <w:p>
      <w:pPr>
        <w:spacing w:line="580" w:lineRule="exact"/>
        <w:jc w:val="left"/>
        <w:rPr>
          <w:sz w:val="24"/>
        </w:rPr>
      </w:pPr>
      <w:r>
        <w:rPr>
          <w:rFonts w:hint="eastAsia"/>
          <w:sz w:val="24"/>
        </w:rPr>
        <w:t>建设项目所在地自然环境现状调查与评价</w:t>
      </w:r>
      <w:r>
        <w:rPr>
          <w:sz w:val="24"/>
        </w:rPr>
        <w:t>……………………………………………</w:t>
      </w:r>
      <w:r>
        <w:rPr>
          <w:rFonts w:hint="eastAsia"/>
          <w:sz w:val="24"/>
        </w:rPr>
        <w:t>13</w:t>
      </w:r>
    </w:p>
    <w:p>
      <w:pPr>
        <w:spacing w:line="580" w:lineRule="exact"/>
        <w:jc w:val="left"/>
        <w:rPr>
          <w:sz w:val="24"/>
        </w:rPr>
      </w:pPr>
      <w:r>
        <w:rPr>
          <w:rFonts w:hint="eastAsia"/>
          <w:sz w:val="24"/>
        </w:rPr>
        <w:t>建设项目所在地环境质量现状调查及评价</w:t>
      </w:r>
      <w:r>
        <w:rPr>
          <w:sz w:val="24"/>
        </w:rPr>
        <w:t>……………………………………………</w:t>
      </w:r>
      <w:r>
        <w:rPr>
          <w:rFonts w:hint="eastAsia"/>
          <w:sz w:val="24"/>
        </w:rPr>
        <w:t>19</w:t>
      </w:r>
    </w:p>
    <w:p>
      <w:pPr>
        <w:spacing w:line="580" w:lineRule="exact"/>
        <w:jc w:val="left"/>
        <w:rPr>
          <w:sz w:val="24"/>
        </w:rPr>
      </w:pPr>
      <w:r>
        <w:rPr>
          <w:rFonts w:hint="eastAsia"/>
          <w:sz w:val="24"/>
        </w:rPr>
        <w:t>评价适用标准</w:t>
      </w:r>
      <w:r>
        <w:rPr>
          <w:sz w:val="24"/>
        </w:rPr>
        <w:t>……………………………………………………………………………</w:t>
      </w:r>
      <w:r>
        <w:rPr>
          <w:rFonts w:hint="eastAsia"/>
          <w:sz w:val="24"/>
        </w:rPr>
        <w:t>22</w:t>
      </w:r>
    </w:p>
    <w:p>
      <w:pPr>
        <w:spacing w:line="580" w:lineRule="exact"/>
        <w:jc w:val="left"/>
        <w:rPr>
          <w:sz w:val="24"/>
        </w:rPr>
      </w:pPr>
      <w:r>
        <w:rPr>
          <w:rFonts w:hint="eastAsia"/>
          <w:sz w:val="24"/>
        </w:rPr>
        <w:t>建设项目工程分析</w:t>
      </w:r>
      <w:r>
        <w:rPr>
          <w:sz w:val="24"/>
        </w:rPr>
        <w:t>………………………………………………………………………</w:t>
      </w:r>
      <w:r>
        <w:rPr>
          <w:rFonts w:hint="eastAsia"/>
          <w:sz w:val="24"/>
        </w:rPr>
        <w:t>26</w:t>
      </w:r>
    </w:p>
    <w:p>
      <w:pPr>
        <w:spacing w:line="580" w:lineRule="exact"/>
        <w:jc w:val="left"/>
        <w:rPr>
          <w:sz w:val="24"/>
        </w:rPr>
      </w:pPr>
      <w:r>
        <w:rPr>
          <w:rFonts w:hint="eastAsia"/>
          <w:sz w:val="24"/>
        </w:rPr>
        <w:t>建设项目主要污染物产生及预计排放情况</w:t>
      </w:r>
      <w:r>
        <w:rPr>
          <w:sz w:val="24"/>
        </w:rPr>
        <w:t>……………………………………………</w:t>
      </w:r>
      <w:r>
        <w:rPr>
          <w:rFonts w:hint="eastAsia"/>
          <w:sz w:val="24"/>
        </w:rPr>
        <w:t>31</w:t>
      </w:r>
    </w:p>
    <w:p>
      <w:pPr>
        <w:spacing w:line="580" w:lineRule="exact"/>
        <w:jc w:val="left"/>
        <w:rPr>
          <w:sz w:val="24"/>
        </w:rPr>
      </w:pPr>
      <w:r>
        <w:rPr>
          <w:rFonts w:hint="eastAsia"/>
          <w:sz w:val="24"/>
        </w:rPr>
        <w:t>环境影响分析</w:t>
      </w:r>
      <w:r>
        <w:rPr>
          <w:sz w:val="24"/>
        </w:rPr>
        <w:t>……………………………………………………………………………</w:t>
      </w:r>
      <w:r>
        <w:rPr>
          <w:rFonts w:hint="eastAsia"/>
          <w:sz w:val="24"/>
        </w:rPr>
        <w:t>32</w:t>
      </w:r>
    </w:p>
    <w:p>
      <w:pPr>
        <w:spacing w:line="580" w:lineRule="exact"/>
        <w:jc w:val="left"/>
        <w:rPr>
          <w:sz w:val="24"/>
        </w:rPr>
      </w:pPr>
      <w:r>
        <w:rPr>
          <w:rFonts w:hint="eastAsia"/>
          <w:sz w:val="24"/>
        </w:rPr>
        <w:t>建设项目拟采取的防治措施及预期治理效果</w:t>
      </w:r>
      <w:r>
        <w:rPr>
          <w:sz w:val="24"/>
        </w:rPr>
        <w:t>…………………………………………</w:t>
      </w:r>
      <w:r>
        <w:rPr>
          <w:rFonts w:hint="eastAsia"/>
          <w:sz w:val="24"/>
        </w:rPr>
        <w:t>50</w:t>
      </w:r>
    </w:p>
    <w:p>
      <w:pPr>
        <w:spacing w:line="580" w:lineRule="exact"/>
        <w:jc w:val="left"/>
        <w:rPr>
          <w:sz w:val="24"/>
        </w:rPr>
      </w:pPr>
      <w:r>
        <w:rPr>
          <w:rFonts w:hint="eastAsia"/>
          <w:sz w:val="24"/>
        </w:rPr>
        <w:t>结论与建议</w:t>
      </w:r>
      <w:r>
        <w:rPr>
          <w:sz w:val="24"/>
        </w:rPr>
        <w:t>………………………………………………………………………………</w:t>
      </w:r>
      <w:r>
        <w:rPr>
          <w:rFonts w:hint="eastAsia"/>
          <w:sz w:val="24"/>
        </w:rPr>
        <w:t>51</w:t>
      </w:r>
    </w:p>
    <w:p>
      <w:pPr>
        <w:spacing w:line="580" w:lineRule="exact"/>
        <w:rPr>
          <w:b/>
          <w:sz w:val="24"/>
        </w:rPr>
      </w:pPr>
      <w:r>
        <w:rPr>
          <w:rFonts w:hint="eastAsia"/>
          <w:b/>
          <w:sz w:val="24"/>
        </w:rPr>
        <w:t>附图：</w:t>
      </w:r>
    </w:p>
    <w:p>
      <w:pPr>
        <w:adjustRightInd w:val="0"/>
        <w:snapToGrid w:val="0"/>
        <w:spacing w:line="360" w:lineRule="auto"/>
        <w:ind w:firstLine="482"/>
        <w:rPr>
          <w:sz w:val="24"/>
        </w:rPr>
      </w:pPr>
      <w:r>
        <w:rPr>
          <w:rFonts w:hint="eastAsia" w:hAnsi="宋体"/>
          <w:sz w:val="24"/>
        </w:rPr>
        <w:t>附图一</w:t>
      </w:r>
      <w:r>
        <w:rPr>
          <w:sz w:val="24"/>
        </w:rPr>
        <w:t xml:space="preserve"> </w:t>
      </w:r>
      <w:r>
        <w:rPr>
          <w:rFonts w:hint="eastAsia"/>
          <w:sz w:val="24"/>
        </w:rPr>
        <w:t xml:space="preserve"> </w:t>
      </w:r>
      <w:r>
        <w:rPr>
          <w:rFonts w:hint="eastAsia" w:hAnsi="宋体"/>
          <w:sz w:val="24"/>
        </w:rPr>
        <w:t>项目地理位置图；</w:t>
      </w:r>
    </w:p>
    <w:p>
      <w:pPr>
        <w:adjustRightInd w:val="0"/>
        <w:snapToGrid w:val="0"/>
        <w:spacing w:line="360" w:lineRule="auto"/>
        <w:ind w:firstLine="482"/>
        <w:rPr>
          <w:rFonts w:hAnsi="宋体"/>
          <w:sz w:val="24"/>
        </w:rPr>
      </w:pPr>
      <w:r>
        <w:rPr>
          <w:rFonts w:hint="eastAsia" w:hAnsi="宋体"/>
          <w:sz w:val="24"/>
        </w:rPr>
        <w:t>附图二  项目周边环境关系图（一）；</w:t>
      </w:r>
    </w:p>
    <w:p>
      <w:pPr>
        <w:adjustRightInd w:val="0"/>
        <w:snapToGrid w:val="0"/>
        <w:spacing w:line="360" w:lineRule="auto"/>
        <w:ind w:firstLine="482"/>
        <w:rPr>
          <w:rFonts w:hAnsi="宋体"/>
          <w:sz w:val="24"/>
        </w:rPr>
      </w:pPr>
      <w:r>
        <w:rPr>
          <w:rFonts w:hint="eastAsia" w:hAnsi="宋体"/>
          <w:sz w:val="24"/>
        </w:rPr>
        <w:t>附图二  项目周边环境关系图（二）；</w:t>
      </w:r>
    </w:p>
    <w:p>
      <w:pPr>
        <w:adjustRightInd w:val="0"/>
        <w:snapToGrid w:val="0"/>
        <w:spacing w:line="360" w:lineRule="auto"/>
        <w:ind w:firstLine="482"/>
        <w:rPr>
          <w:rFonts w:hAnsi="宋体"/>
          <w:sz w:val="24"/>
        </w:rPr>
      </w:pPr>
      <w:r>
        <w:rPr>
          <w:rFonts w:hint="eastAsia" w:hAnsi="宋体"/>
          <w:sz w:val="24"/>
        </w:rPr>
        <w:t xml:space="preserve">附图三  新乡县城乡总体规划图； </w:t>
      </w:r>
    </w:p>
    <w:p>
      <w:pPr>
        <w:adjustRightInd w:val="0"/>
        <w:snapToGrid w:val="0"/>
        <w:spacing w:line="360" w:lineRule="auto"/>
        <w:ind w:firstLine="482"/>
        <w:rPr>
          <w:rFonts w:hAnsi="宋体"/>
          <w:sz w:val="24"/>
        </w:rPr>
      </w:pPr>
      <w:r>
        <w:rPr>
          <w:rFonts w:hint="eastAsia" w:hAnsi="宋体"/>
          <w:sz w:val="24"/>
        </w:rPr>
        <w:t>附图四  全厂平面布置图；</w:t>
      </w:r>
    </w:p>
    <w:p>
      <w:pPr>
        <w:adjustRightInd w:val="0"/>
        <w:snapToGrid w:val="0"/>
        <w:spacing w:line="360" w:lineRule="auto"/>
        <w:ind w:firstLine="482"/>
        <w:rPr>
          <w:rFonts w:hAnsi="宋体"/>
          <w:sz w:val="24"/>
        </w:rPr>
      </w:pPr>
      <w:r>
        <w:rPr>
          <w:rFonts w:hint="eastAsia" w:hAnsi="宋体"/>
          <w:sz w:val="24"/>
        </w:rPr>
        <w:t>附图五  项目卫生防护距离包络图；</w:t>
      </w:r>
    </w:p>
    <w:p>
      <w:pPr>
        <w:adjustRightInd w:val="0"/>
        <w:snapToGrid w:val="0"/>
        <w:spacing w:line="360" w:lineRule="auto"/>
        <w:ind w:firstLine="482"/>
        <w:rPr>
          <w:rFonts w:hAnsi="宋体"/>
          <w:sz w:val="24"/>
        </w:rPr>
      </w:pPr>
      <w:r>
        <w:rPr>
          <w:rFonts w:hint="eastAsia" w:hAnsi="宋体"/>
          <w:sz w:val="24"/>
        </w:rPr>
        <w:t>附图六  现场照片。</w:t>
      </w:r>
    </w:p>
    <w:p>
      <w:pPr>
        <w:spacing w:line="580" w:lineRule="exact"/>
        <w:rPr>
          <w:b/>
          <w:sz w:val="24"/>
        </w:rPr>
      </w:pPr>
      <w:r>
        <w:rPr>
          <w:rFonts w:hint="eastAsia"/>
          <w:b/>
          <w:sz w:val="24"/>
        </w:rPr>
        <w:t>附件：</w:t>
      </w:r>
    </w:p>
    <w:p>
      <w:pPr>
        <w:adjustRightInd w:val="0"/>
        <w:snapToGrid w:val="0"/>
        <w:spacing w:line="360" w:lineRule="auto"/>
        <w:ind w:firstLine="480" w:firstLineChars="200"/>
        <w:rPr>
          <w:sz w:val="24"/>
        </w:rPr>
      </w:pPr>
      <w:r>
        <w:rPr>
          <w:rFonts w:hint="eastAsia"/>
          <w:sz w:val="24"/>
        </w:rPr>
        <w:t>附件</w:t>
      </w:r>
      <w:r>
        <w:rPr>
          <w:sz w:val="24"/>
        </w:rPr>
        <w:t xml:space="preserve">1  </w:t>
      </w:r>
      <w:r>
        <w:rPr>
          <w:rFonts w:hint="eastAsia"/>
          <w:sz w:val="24"/>
        </w:rPr>
        <w:t>项目委托书；</w:t>
      </w:r>
    </w:p>
    <w:p>
      <w:pPr>
        <w:adjustRightInd w:val="0"/>
        <w:snapToGrid w:val="0"/>
        <w:spacing w:line="360" w:lineRule="auto"/>
        <w:ind w:firstLine="480" w:firstLineChars="200"/>
        <w:rPr>
          <w:sz w:val="24"/>
        </w:rPr>
      </w:pPr>
      <w:r>
        <w:rPr>
          <w:rFonts w:hint="eastAsia"/>
          <w:sz w:val="24"/>
        </w:rPr>
        <w:t>附件</w:t>
      </w:r>
      <w:r>
        <w:rPr>
          <w:sz w:val="24"/>
        </w:rPr>
        <w:t xml:space="preserve">2  </w:t>
      </w:r>
      <w:r>
        <w:rPr>
          <w:rFonts w:hint="eastAsia"/>
          <w:sz w:val="24"/>
        </w:rPr>
        <w:t>项目备案证明；</w:t>
      </w:r>
    </w:p>
    <w:p>
      <w:pPr>
        <w:adjustRightInd w:val="0"/>
        <w:snapToGrid w:val="0"/>
        <w:spacing w:line="360" w:lineRule="auto"/>
        <w:ind w:firstLine="480" w:firstLineChars="200"/>
        <w:rPr>
          <w:sz w:val="24"/>
        </w:rPr>
      </w:pPr>
      <w:r>
        <w:rPr>
          <w:rFonts w:hint="eastAsia"/>
          <w:sz w:val="24"/>
        </w:rPr>
        <w:t>附件</w:t>
      </w:r>
      <w:r>
        <w:rPr>
          <w:sz w:val="24"/>
        </w:rPr>
        <w:t xml:space="preserve">3  </w:t>
      </w:r>
      <w:r>
        <w:rPr>
          <w:rFonts w:hint="eastAsia"/>
          <w:sz w:val="24"/>
        </w:rPr>
        <w:t>规划证明；</w:t>
      </w:r>
    </w:p>
    <w:p>
      <w:pPr>
        <w:adjustRightInd w:val="0"/>
        <w:snapToGrid w:val="0"/>
        <w:spacing w:line="360" w:lineRule="auto"/>
        <w:ind w:firstLine="480" w:firstLineChars="200"/>
        <w:rPr>
          <w:sz w:val="24"/>
        </w:rPr>
      </w:pPr>
      <w:r>
        <w:rPr>
          <w:rFonts w:hint="eastAsia"/>
          <w:sz w:val="24"/>
        </w:rPr>
        <w:t>附件</w:t>
      </w:r>
      <w:r>
        <w:rPr>
          <w:sz w:val="24"/>
        </w:rPr>
        <w:t xml:space="preserve">4  </w:t>
      </w:r>
      <w:r>
        <w:rPr>
          <w:rFonts w:hint="eastAsia"/>
          <w:sz w:val="24"/>
        </w:rPr>
        <w:t>现有项目环评批复；</w:t>
      </w:r>
    </w:p>
    <w:p>
      <w:pPr>
        <w:adjustRightInd w:val="0"/>
        <w:snapToGrid w:val="0"/>
        <w:spacing w:line="360" w:lineRule="auto"/>
        <w:ind w:firstLine="480" w:firstLineChars="200"/>
        <w:rPr>
          <w:color w:val="000000"/>
          <w:sz w:val="24"/>
        </w:rPr>
      </w:pPr>
      <w:r>
        <w:rPr>
          <w:rFonts w:hint="eastAsia"/>
          <w:color w:val="000000"/>
          <w:sz w:val="24"/>
        </w:rPr>
        <w:t>附件</w:t>
      </w:r>
      <w:r>
        <w:rPr>
          <w:color w:val="000000"/>
          <w:sz w:val="24"/>
        </w:rPr>
        <w:t xml:space="preserve">5  </w:t>
      </w:r>
      <w:r>
        <w:rPr>
          <w:rFonts w:hint="eastAsia"/>
          <w:color w:val="000000"/>
          <w:sz w:val="24"/>
        </w:rPr>
        <w:t>现有项目验收结论；</w:t>
      </w:r>
    </w:p>
    <w:p>
      <w:pPr>
        <w:adjustRightInd w:val="0"/>
        <w:snapToGrid w:val="0"/>
        <w:spacing w:line="360" w:lineRule="auto"/>
        <w:ind w:firstLine="480" w:firstLineChars="200"/>
        <w:rPr>
          <w:sz w:val="24"/>
        </w:rPr>
      </w:pPr>
      <w:r>
        <w:rPr>
          <w:rFonts w:hint="eastAsia"/>
          <w:sz w:val="24"/>
        </w:rPr>
        <w:t>附件</w:t>
      </w:r>
      <w:r>
        <w:rPr>
          <w:sz w:val="24"/>
        </w:rPr>
        <w:t xml:space="preserve">6  </w:t>
      </w:r>
      <w:r>
        <w:rPr>
          <w:rFonts w:hint="eastAsia"/>
          <w:sz w:val="24"/>
        </w:rPr>
        <w:t>营业执照；</w:t>
      </w:r>
    </w:p>
    <w:p>
      <w:pPr>
        <w:adjustRightInd w:val="0"/>
        <w:snapToGrid w:val="0"/>
        <w:spacing w:line="360" w:lineRule="auto"/>
        <w:ind w:firstLine="480" w:firstLineChars="200"/>
        <w:rPr>
          <w:sz w:val="24"/>
        </w:rPr>
      </w:pPr>
      <w:r>
        <w:rPr>
          <w:rFonts w:hint="eastAsia"/>
          <w:sz w:val="24"/>
        </w:rPr>
        <w:t>附件7  法人身份证；</w:t>
      </w:r>
    </w:p>
    <w:p>
      <w:pPr>
        <w:adjustRightInd w:val="0"/>
        <w:snapToGrid w:val="0"/>
        <w:spacing w:line="360" w:lineRule="auto"/>
        <w:ind w:firstLine="480" w:firstLineChars="200"/>
        <w:rPr>
          <w:sz w:val="24"/>
        </w:rPr>
      </w:pPr>
      <w:r>
        <w:rPr>
          <w:rFonts w:hint="eastAsia"/>
          <w:sz w:val="24"/>
        </w:rPr>
        <w:t>附件8  危废物处置协议；</w:t>
      </w:r>
    </w:p>
    <w:p>
      <w:pPr>
        <w:adjustRightInd w:val="0"/>
        <w:snapToGrid w:val="0"/>
        <w:spacing w:line="360" w:lineRule="auto"/>
        <w:ind w:firstLine="480" w:firstLineChars="200"/>
        <w:rPr>
          <w:sz w:val="24"/>
        </w:rPr>
      </w:pPr>
      <w:r>
        <w:rPr>
          <w:rFonts w:hint="eastAsia"/>
          <w:sz w:val="24"/>
        </w:rPr>
        <w:t>附件9  挥发性有机物改造工程现场核查专家组意见。</w:t>
      </w:r>
    </w:p>
    <w:p>
      <w:pPr>
        <w:adjustRightInd w:val="0"/>
        <w:snapToGrid w:val="0"/>
        <w:spacing w:line="360" w:lineRule="auto"/>
        <w:ind w:firstLine="480" w:firstLineChars="200"/>
        <w:rPr>
          <w:sz w:val="24"/>
        </w:rPr>
        <w:sectPr>
          <w:pgSz w:w="11906" w:h="16838"/>
          <w:pgMar w:top="1134" w:right="1134" w:bottom="1134" w:left="1418" w:header="851" w:footer="1134" w:gutter="0"/>
          <w:pgNumType w:start="1"/>
          <w:cols w:space="720" w:num="1"/>
          <w:docGrid w:type="lines" w:linePitch="312" w:charSpace="0"/>
        </w:sectPr>
      </w:pPr>
    </w:p>
    <w:p>
      <w:pPr>
        <w:snapToGrid w:val="0"/>
        <w:rPr>
          <w:rFonts w:ascii="宋体" w:hAnsi="宋体"/>
          <w:b/>
          <w:sz w:val="32"/>
        </w:rPr>
      </w:pPr>
      <w:r>
        <w:rPr>
          <w:rFonts w:ascii="宋体" w:hAnsi="宋体"/>
          <w:b/>
          <w:sz w:val="32"/>
        </w:rPr>
        <w:t>建设项目基本情况</w:t>
      </w:r>
    </w:p>
    <w:tbl>
      <w:tblPr>
        <w:tblStyle w:val="27"/>
        <w:tblW w:w="10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674"/>
        <w:gridCol w:w="775"/>
        <w:gridCol w:w="1491"/>
        <w:gridCol w:w="1054"/>
        <w:gridCol w:w="2313"/>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4" w:type="dxa"/>
            <w:vAlign w:val="center"/>
          </w:tcPr>
          <w:p>
            <w:pPr>
              <w:snapToGrid w:val="0"/>
              <w:jc w:val="center"/>
              <w:rPr>
                <w:sz w:val="24"/>
              </w:rPr>
            </w:pPr>
            <w:r>
              <w:rPr>
                <w:rFonts w:hAnsi="宋体"/>
                <w:sz w:val="24"/>
              </w:rPr>
              <w:t>项目名称</w:t>
            </w:r>
          </w:p>
        </w:tc>
        <w:tc>
          <w:tcPr>
            <w:tcW w:w="8792" w:type="dxa"/>
            <w:gridSpan w:val="6"/>
            <w:vAlign w:val="center"/>
          </w:tcPr>
          <w:p>
            <w:pPr>
              <w:snapToGrid w:val="0"/>
              <w:jc w:val="center"/>
              <w:rPr>
                <w:sz w:val="24"/>
              </w:rPr>
            </w:pPr>
            <w:r>
              <w:rPr>
                <w:rFonts w:hint="eastAsia" w:hAnsi="宋体"/>
                <w:sz w:val="24"/>
              </w:rPr>
              <w:t>新乡市天华科技有限公司扩建年产300台振动输送设备项目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4" w:type="dxa"/>
            <w:vAlign w:val="center"/>
          </w:tcPr>
          <w:p>
            <w:pPr>
              <w:snapToGrid w:val="0"/>
              <w:jc w:val="center"/>
              <w:rPr>
                <w:sz w:val="24"/>
              </w:rPr>
            </w:pPr>
            <w:r>
              <w:rPr>
                <w:rFonts w:hAnsi="宋体"/>
                <w:sz w:val="24"/>
              </w:rPr>
              <w:t>建设单位</w:t>
            </w:r>
          </w:p>
        </w:tc>
        <w:tc>
          <w:tcPr>
            <w:tcW w:w="8792" w:type="dxa"/>
            <w:gridSpan w:val="6"/>
            <w:vAlign w:val="center"/>
          </w:tcPr>
          <w:p>
            <w:pPr>
              <w:snapToGrid w:val="0"/>
              <w:jc w:val="center"/>
              <w:rPr>
                <w:sz w:val="24"/>
              </w:rPr>
            </w:pPr>
            <w:r>
              <w:rPr>
                <w:rFonts w:hint="eastAsia" w:hAnsi="宋体"/>
                <w:sz w:val="24"/>
              </w:rPr>
              <w:t>新乡市天华科技有限公司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4" w:type="dxa"/>
            <w:vAlign w:val="center"/>
          </w:tcPr>
          <w:p>
            <w:pPr>
              <w:snapToGrid w:val="0"/>
              <w:jc w:val="center"/>
              <w:rPr>
                <w:sz w:val="24"/>
              </w:rPr>
            </w:pPr>
            <w:r>
              <w:rPr>
                <w:rFonts w:hAnsi="宋体"/>
                <w:sz w:val="24"/>
              </w:rPr>
              <w:t>法人代表</w:t>
            </w:r>
          </w:p>
        </w:tc>
        <w:tc>
          <w:tcPr>
            <w:tcW w:w="3587" w:type="dxa"/>
            <w:gridSpan w:val="3"/>
            <w:vAlign w:val="center"/>
          </w:tcPr>
          <w:p>
            <w:pPr>
              <w:snapToGrid w:val="0"/>
              <w:jc w:val="center"/>
              <w:rPr>
                <w:rFonts w:hAnsi="宋体"/>
                <w:sz w:val="24"/>
              </w:rPr>
            </w:pPr>
            <w:r>
              <w:rPr>
                <w:rFonts w:hint="eastAsia" w:hAnsi="宋体"/>
                <w:sz w:val="24"/>
              </w:rPr>
              <w:t>荆素彪</w:t>
            </w:r>
          </w:p>
          <w:p>
            <w:pPr>
              <w:snapToGrid w:val="0"/>
              <w:jc w:val="center"/>
              <w:rPr>
                <w:sz w:val="24"/>
              </w:rPr>
            </w:pPr>
            <w:r>
              <w:rPr>
                <w:rFonts w:hint="eastAsia" w:hAnsi="宋体"/>
                <w:sz w:val="24"/>
              </w:rPr>
              <w:t>（410721196806223515）</w:t>
            </w:r>
          </w:p>
        </w:tc>
        <w:tc>
          <w:tcPr>
            <w:tcW w:w="1186" w:type="dxa"/>
            <w:vAlign w:val="center"/>
          </w:tcPr>
          <w:p>
            <w:pPr>
              <w:snapToGrid w:val="0"/>
              <w:jc w:val="center"/>
              <w:rPr>
                <w:sz w:val="24"/>
              </w:rPr>
            </w:pPr>
            <w:r>
              <w:rPr>
                <w:rFonts w:hAnsi="宋体"/>
                <w:sz w:val="24"/>
              </w:rPr>
              <w:t>联系人</w:t>
            </w:r>
          </w:p>
        </w:tc>
        <w:tc>
          <w:tcPr>
            <w:tcW w:w="4019" w:type="dxa"/>
            <w:gridSpan w:val="2"/>
            <w:vAlign w:val="center"/>
          </w:tcPr>
          <w:p>
            <w:pPr>
              <w:snapToGrid w:val="0"/>
              <w:jc w:val="center"/>
              <w:rPr>
                <w:rFonts w:hAnsi="宋体"/>
                <w:sz w:val="24"/>
              </w:rPr>
            </w:pPr>
            <w:r>
              <w:rPr>
                <w:rFonts w:hint="eastAsia" w:hAnsi="宋体"/>
                <w:sz w:val="24"/>
              </w:rPr>
              <w:t>荆素彪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4" w:type="dxa"/>
            <w:vAlign w:val="center"/>
          </w:tcPr>
          <w:p>
            <w:pPr>
              <w:snapToGrid w:val="0"/>
              <w:jc w:val="center"/>
              <w:rPr>
                <w:sz w:val="24"/>
              </w:rPr>
            </w:pPr>
            <w:r>
              <w:rPr>
                <w:rFonts w:hAnsi="宋体"/>
                <w:sz w:val="24"/>
              </w:rPr>
              <w:t>通讯地址</w:t>
            </w:r>
          </w:p>
        </w:tc>
        <w:tc>
          <w:tcPr>
            <w:tcW w:w="8792" w:type="dxa"/>
            <w:gridSpan w:val="6"/>
            <w:vAlign w:val="center"/>
          </w:tcPr>
          <w:p>
            <w:pPr>
              <w:snapToGrid w:val="0"/>
              <w:jc w:val="center"/>
              <w:rPr>
                <w:sz w:val="24"/>
              </w:rPr>
            </w:pPr>
            <w:r>
              <w:rPr>
                <w:rFonts w:hint="eastAsia" w:hAnsi="宋体"/>
                <w:sz w:val="24"/>
              </w:rPr>
              <w:t>新乡市新乡县朗公庙镇曲水村北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4" w:type="dxa"/>
            <w:vAlign w:val="center"/>
          </w:tcPr>
          <w:p>
            <w:pPr>
              <w:snapToGrid w:val="0"/>
              <w:jc w:val="center"/>
              <w:rPr>
                <w:sz w:val="24"/>
              </w:rPr>
            </w:pPr>
            <w:r>
              <w:rPr>
                <w:rFonts w:hAnsi="宋体"/>
                <w:sz w:val="24"/>
              </w:rPr>
              <w:t>联系电话</w:t>
            </w:r>
          </w:p>
        </w:tc>
        <w:tc>
          <w:tcPr>
            <w:tcW w:w="2340" w:type="dxa"/>
            <w:gridSpan w:val="2"/>
            <w:vAlign w:val="center"/>
          </w:tcPr>
          <w:p>
            <w:pPr>
              <w:snapToGrid w:val="0"/>
              <w:jc w:val="center"/>
              <w:rPr>
                <w:color w:val="000000"/>
                <w:sz w:val="24"/>
              </w:rPr>
            </w:pPr>
            <w:r>
              <w:rPr>
                <w:rFonts w:hint="eastAsia"/>
                <w:color w:val="000000"/>
                <w:sz w:val="24"/>
              </w:rPr>
              <w:t>13837330798</w:t>
            </w:r>
          </w:p>
        </w:tc>
        <w:tc>
          <w:tcPr>
            <w:tcW w:w="1247" w:type="dxa"/>
            <w:vAlign w:val="center"/>
          </w:tcPr>
          <w:p>
            <w:pPr>
              <w:snapToGrid w:val="0"/>
              <w:jc w:val="center"/>
              <w:rPr>
                <w:sz w:val="24"/>
              </w:rPr>
            </w:pPr>
            <w:r>
              <w:rPr>
                <w:rFonts w:hAnsi="宋体"/>
                <w:sz w:val="24"/>
              </w:rPr>
              <w:t>传真</w:t>
            </w:r>
          </w:p>
        </w:tc>
        <w:tc>
          <w:tcPr>
            <w:tcW w:w="1186" w:type="dxa"/>
            <w:vAlign w:val="center"/>
          </w:tcPr>
          <w:p>
            <w:pPr>
              <w:snapToGrid w:val="0"/>
              <w:jc w:val="center"/>
              <w:rPr>
                <w:sz w:val="24"/>
              </w:rPr>
            </w:pPr>
            <w:r>
              <w:rPr>
                <w:sz w:val="24"/>
              </w:rPr>
              <w:t>/</w:t>
            </w:r>
          </w:p>
        </w:tc>
        <w:tc>
          <w:tcPr>
            <w:tcW w:w="2055" w:type="dxa"/>
            <w:vAlign w:val="center"/>
          </w:tcPr>
          <w:p>
            <w:pPr>
              <w:snapToGrid w:val="0"/>
              <w:jc w:val="center"/>
              <w:rPr>
                <w:sz w:val="24"/>
              </w:rPr>
            </w:pPr>
            <w:r>
              <w:rPr>
                <w:rFonts w:hAnsi="宋体"/>
                <w:sz w:val="24"/>
              </w:rPr>
              <w:t>邮政编码</w:t>
            </w:r>
          </w:p>
        </w:tc>
        <w:tc>
          <w:tcPr>
            <w:tcW w:w="1964" w:type="dxa"/>
            <w:vAlign w:val="center"/>
          </w:tcPr>
          <w:p>
            <w:pPr>
              <w:snapToGrid w:val="0"/>
              <w:jc w:val="center"/>
              <w:rPr>
                <w:sz w:val="24"/>
              </w:rPr>
            </w:pPr>
            <w:r>
              <w:rPr>
                <w:kern w:val="0"/>
                <w:sz w:val="24"/>
              </w:rPr>
              <w:t>453</w:t>
            </w:r>
            <w:r>
              <w:rPr>
                <w:rFonts w:hint="eastAsia"/>
                <w:kern w:val="0"/>
                <w:sz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4" w:type="dxa"/>
            <w:vAlign w:val="center"/>
          </w:tcPr>
          <w:p>
            <w:pPr>
              <w:snapToGrid w:val="0"/>
              <w:jc w:val="center"/>
              <w:rPr>
                <w:sz w:val="24"/>
              </w:rPr>
            </w:pPr>
            <w:r>
              <w:rPr>
                <w:rFonts w:hAnsi="宋体"/>
                <w:sz w:val="24"/>
              </w:rPr>
              <w:t>建设地点</w:t>
            </w:r>
          </w:p>
        </w:tc>
        <w:tc>
          <w:tcPr>
            <w:tcW w:w="8792" w:type="dxa"/>
            <w:gridSpan w:val="6"/>
            <w:vAlign w:val="center"/>
          </w:tcPr>
          <w:p>
            <w:pPr>
              <w:snapToGrid w:val="0"/>
              <w:jc w:val="center"/>
              <w:rPr>
                <w:sz w:val="24"/>
              </w:rPr>
            </w:pPr>
            <w:r>
              <w:rPr>
                <w:rFonts w:hint="eastAsia" w:hAnsi="宋体"/>
                <w:sz w:val="24"/>
              </w:rPr>
              <w:t>新乡市新乡县朗公庙镇曲水村北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4" w:type="dxa"/>
            <w:vAlign w:val="center"/>
          </w:tcPr>
          <w:p>
            <w:pPr>
              <w:snapToGrid w:val="0"/>
              <w:jc w:val="center"/>
              <w:rPr>
                <w:sz w:val="24"/>
              </w:rPr>
            </w:pPr>
            <w:r>
              <w:rPr>
                <w:rFonts w:hAnsi="宋体"/>
                <w:sz w:val="24"/>
              </w:rPr>
              <w:t>立项审批部门</w:t>
            </w:r>
          </w:p>
        </w:tc>
        <w:tc>
          <w:tcPr>
            <w:tcW w:w="3587" w:type="dxa"/>
            <w:gridSpan w:val="3"/>
            <w:vAlign w:val="center"/>
          </w:tcPr>
          <w:p>
            <w:pPr>
              <w:snapToGrid w:val="0"/>
              <w:jc w:val="center"/>
              <w:rPr>
                <w:sz w:val="24"/>
              </w:rPr>
            </w:pPr>
            <w:r>
              <w:rPr>
                <w:rFonts w:hint="eastAsia" w:hAnsi="宋体"/>
                <w:sz w:val="24"/>
              </w:rPr>
              <w:t>新乡县发展和改革委员会</w:t>
            </w:r>
          </w:p>
        </w:tc>
        <w:tc>
          <w:tcPr>
            <w:tcW w:w="1186" w:type="dxa"/>
            <w:vAlign w:val="center"/>
          </w:tcPr>
          <w:p>
            <w:pPr>
              <w:snapToGrid w:val="0"/>
              <w:jc w:val="center"/>
              <w:rPr>
                <w:sz w:val="24"/>
              </w:rPr>
            </w:pPr>
            <w:r>
              <w:rPr>
                <w:rFonts w:hAnsi="宋体"/>
                <w:sz w:val="24"/>
              </w:rPr>
              <w:t>批准文号</w:t>
            </w:r>
          </w:p>
        </w:tc>
        <w:tc>
          <w:tcPr>
            <w:tcW w:w="4019" w:type="dxa"/>
            <w:gridSpan w:val="2"/>
            <w:vAlign w:val="center"/>
          </w:tcPr>
          <w:p>
            <w:pPr>
              <w:snapToGrid w:val="0"/>
              <w:ind w:firstLine="240" w:firstLineChars="100"/>
              <w:jc w:val="center"/>
              <w:rPr>
                <w:sz w:val="24"/>
              </w:rPr>
            </w:pPr>
            <w:r>
              <w:rPr>
                <w:kern w:val="0"/>
                <w:sz w:val="24"/>
              </w:rPr>
              <w:t>2020-410721-34-03-075905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4" w:type="dxa"/>
            <w:vAlign w:val="center"/>
          </w:tcPr>
          <w:p>
            <w:pPr>
              <w:snapToGrid w:val="0"/>
              <w:jc w:val="center"/>
              <w:rPr>
                <w:sz w:val="24"/>
              </w:rPr>
            </w:pPr>
            <w:r>
              <w:rPr>
                <w:rFonts w:hAnsi="宋体"/>
                <w:sz w:val="24"/>
              </w:rPr>
              <w:t>建设性质</w:t>
            </w:r>
          </w:p>
        </w:tc>
        <w:tc>
          <w:tcPr>
            <w:tcW w:w="3587" w:type="dxa"/>
            <w:gridSpan w:val="3"/>
            <w:vAlign w:val="center"/>
          </w:tcPr>
          <w:p>
            <w:pPr>
              <w:snapToGrid w:val="0"/>
              <w:ind w:firstLine="22"/>
              <w:jc w:val="center"/>
              <w:rPr>
                <w:sz w:val="24"/>
              </w:rPr>
            </w:pPr>
            <w:r>
              <w:rPr>
                <w:rFonts w:hint="eastAsia" w:hAnsi="宋体"/>
                <w:sz w:val="24"/>
              </w:rPr>
              <w:t>新建  改扩建√  技改</w:t>
            </w:r>
          </w:p>
        </w:tc>
        <w:tc>
          <w:tcPr>
            <w:tcW w:w="1186" w:type="dxa"/>
            <w:vAlign w:val="center"/>
          </w:tcPr>
          <w:p>
            <w:pPr>
              <w:snapToGrid w:val="0"/>
              <w:jc w:val="center"/>
              <w:rPr>
                <w:sz w:val="24"/>
              </w:rPr>
            </w:pPr>
            <w:r>
              <w:rPr>
                <w:rFonts w:hAnsi="宋体"/>
                <w:sz w:val="24"/>
              </w:rPr>
              <w:t>行业类别</w:t>
            </w:r>
          </w:p>
          <w:p>
            <w:pPr>
              <w:snapToGrid w:val="0"/>
              <w:jc w:val="center"/>
              <w:rPr>
                <w:sz w:val="24"/>
              </w:rPr>
            </w:pPr>
            <w:r>
              <w:rPr>
                <w:rFonts w:hAnsi="宋体"/>
                <w:sz w:val="24"/>
              </w:rPr>
              <w:t>及代码</w:t>
            </w:r>
          </w:p>
        </w:tc>
        <w:tc>
          <w:tcPr>
            <w:tcW w:w="4019" w:type="dxa"/>
            <w:gridSpan w:val="2"/>
            <w:vAlign w:val="center"/>
          </w:tcPr>
          <w:p>
            <w:pPr>
              <w:pStyle w:val="61"/>
              <w:snapToGrid w:val="0"/>
              <w:spacing w:before="79" w:line="269" w:lineRule="exact"/>
              <w:ind w:right="1"/>
              <w:jc w:val="center"/>
              <w:rPr>
                <w:rFonts w:ascii="Times New Roman" w:hAnsi="Times New Roman"/>
                <w:color w:val="000000"/>
                <w:sz w:val="24"/>
                <w:lang w:eastAsia="zh-CN"/>
              </w:rPr>
            </w:pPr>
            <w:r>
              <w:rPr>
                <w:rFonts w:hint="eastAsia" w:ascii="Times New Roman" w:hAnsi="Times New Roman"/>
                <w:color w:val="000000"/>
                <w:sz w:val="24"/>
                <w:szCs w:val="24"/>
                <w:lang w:eastAsia="zh-CN"/>
              </w:rPr>
              <w:t>C3599 其他专用设备制造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4" w:type="dxa"/>
            <w:vAlign w:val="center"/>
          </w:tcPr>
          <w:p>
            <w:pPr>
              <w:snapToGrid w:val="0"/>
              <w:jc w:val="center"/>
              <w:rPr>
                <w:sz w:val="24"/>
              </w:rPr>
            </w:pPr>
            <w:r>
              <w:rPr>
                <w:rFonts w:hAnsi="宋体"/>
                <w:sz w:val="24"/>
              </w:rPr>
              <w:t>占地面积</w:t>
            </w:r>
          </w:p>
          <w:p>
            <w:pPr>
              <w:snapToGrid w:val="0"/>
              <w:jc w:val="center"/>
              <w:rPr>
                <w:sz w:val="24"/>
              </w:rPr>
            </w:pPr>
            <w:r>
              <w:rPr>
                <w:sz w:val="24"/>
              </w:rPr>
              <w:t>(</w:t>
            </w:r>
            <w:r>
              <w:rPr>
                <w:rFonts w:hAnsi="宋体"/>
                <w:sz w:val="24"/>
              </w:rPr>
              <w:t>平方米</w:t>
            </w:r>
            <w:r>
              <w:rPr>
                <w:sz w:val="24"/>
              </w:rPr>
              <w:t>)</w:t>
            </w:r>
          </w:p>
        </w:tc>
        <w:tc>
          <w:tcPr>
            <w:tcW w:w="3587" w:type="dxa"/>
            <w:gridSpan w:val="3"/>
            <w:vAlign w:val="center"/>
          </w:tcPr>
          <w:p>
            <w:pPr>
              <w:snapToGrid w:val="0"/>
              <w:jc w:val="center"/>
              <w:rPr>
                <w:sz w:val="24"/>
              </w:rPr>
            </w:pPr>
            <w:r>
              <w:rPr>
                <w:rFonts w:hint="eastAsia"/>
                <w:sz w:val="24"/>
              </w:rPr>
              <w:t>5800</w:t>
            </w:r>
          </w:p>
        </w:tc>
        <w:tc>
          <w:tcPr>
            <w:tcW w:w="1186" w:type="dxa"/>
            <w:vAlign w:val="center"/>
          </w:tcPr>
          <w:p>
            <w:pPr>
              <w:snapToGrid w:val="0"/>
              <w:jc w:val="center"/>
              <w:rPr>
                <w:sz w:val="24"/>
              </w:rPr>
            </w:pPr>
            <w:r>
              <w:rPr>
                <w:rFonts w:hAnsi="宋体"/>
                <w:sz w:val="24"/>
              </w:rPr>
              <w:t>绿化面积</w:t>
            </w:r>
          </w:p>
          <w:p>
            <w:pPr>
              <w:snapToGrid w:val="0"/>
              <w:jc w:val="center"/>
              <w:rPr>
                <w:sz w:val="24"/>
              </w:rPr>
            </w:pPr>
            <w:r>
              <w:rPr>
                <w:sz w:val="24"/>
              </w:rPr>
              <w:t>(</w:t>
            </w:r>
            <w:r>
              <w:rPr>
                <w:rFonts w:hAnsi="宋体"/>
                <w:sz w:val="24"/>
              </w:rPr>
              <w:t>平方米</w:t>
            </w:r>
            <w:r>
              <w:rPr>
                <w:sz w:val="24"/>
              </w:rPr>
              <w:t>)</w:t>
            </w:r>
          </w:p>
        </w:tc>
        <w:tc>
          <w:tcPr>
            <w:tcW w:w="4019" w:type="dxa"/>
            <w:gridSpan w:val="2"/>
            <w:vAlign w:val="center"/>
          </w:tcPr>
          <w:p>
            <w:pPr>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4" w:type="dxa"/>
            <w:vAlign w:val="center"/>
          </w:tcPr>
          <w:p>
            <w:pPr>
              <w:snapToGrid w:val="0"/>
              <w:jc w:val="center"/>
              <w:rPr>
                <w:sz w:val="24"/>
              </w:rPr>
            </w:pPr>
            <w:r>
              <w:rPr>
                <w:rFonts w:hAnsi="宋体"/>
                <w:sz w:val="24"/>
              </w:rPr>
              <w:t>总投资</w:t>
            </w:r>
          </w:p>
          <w:p>
            <w:pPr>
              <w:snapToGrid w:val="0"/>
              <w:jc w:val="center"/>
              <w:rPr>
                <w:sz w:val="24"/>
              </w:rPr>
            </w:pPr>
            <w:r>
              <w:rPr>
                <w:sz w:val="24"/>
              </w:rPr>
              <w:t>(</w:t>
            </w:r>
            <w:r>
              <w:rPr>
                <w:rFonts w:hAnsi="宋体"/>
                <w:sz w:val="24"/>
              </w:rPr>
              <w:t>万元</w:t>
            </w:r>
            <w:r>
              <w:rPr>
                <w:sz w:val="24"/>
              </w:rPr>
              <w:t>)</w:t>
            </w:r>
          </w:p>
        </w:tc>
        <w:tc>
          <w:tcPr>
            <w:tcW w:w="1455" w:type="dxa"/>
            <w:vAlign w:val="center"/>
          </w:tcPr>
          <w:p>
            <w:pPr>
              <w:snapToGrid w:val="0"/>
              <w:jc w:val="center"/>
              <w:rPr>
                <w:sz w:val="24"/>
              </w:rPr>
            </w:pPr>
            <w:r>
              <w:rPr>
                <w:rFonts w:hint="eastAsia"/>
                <w:sz w:val="24"/>
              </w:rPr>
              <w:t>80</w:t>
            </w:r>
          </w:p>
        </w:tc>
        <w:tc>
          <w:tcPr>
            <w:tcW w:w="2132" w:type="dxa"/>
            <w:gridSpan w:val="2"/>
            <w:vAlign w:val="center"/>
          </w:tcPr>
          <w:p>
            <w:pPr>
              <w:snapToGrid w:val="0"/>
              <w:jc w:val="center"/>
              <w:rPr>
                <w:sz w:val="24"/>
              </w:rPr>
            </w:pPr>
            <w:r>
              <w:rPr>
                <w:rFonts w:hAnsi="宋体"/>
                <w:sz w:val="24"/>
              </w:rPr>
              <w:t>其中：环保投资</w:t>
            </w:r>
            <w:r>
              <w:rPr>
                <w:sz w:val="24"/>
              </w:rPr>
              <w:t>(</w:t>
            </w:r>
            <w:r>
              <w:rPr>
                <w:rFonts w:hAnsi="宋体"/>
                <w:sz w:val="24"/>
              </w:rPr>
              <w:t>万元</w:t>
            </w:r>
            <w:r>
              <w:rPr>
                <w:sz w:val="24"/>
              </w:rPr>
              <w:t>)</w:t>
            </w:r>
          </w:p>
        </w:tc>
        <w:tc>
          <w:tcPr>
            <w:tcW w:w="1186" w:type="dxa"/>
            <w:vAlign w:val="center"/>
          </w:tcPr>
          <w:p>
            <w:pPr>
              <w:snapToGrid w:val="0"/>
              <w:jc w:val="center"/>
              <w:rPr>
                <w:color w:val="000000"/>
                <w:sz w:val="24"/>
              </w:rPr>
            </w:pPr>
            <w:r>
              <w:rPr>
                <w:rFonts w:hint="eastAsia"/>
                <w:color w:val="000000"/>
                <w:sz w:val="24"/>
              </w:rPr>
              <w:t>12</w:t>
            </w:r>
          </w:p>
        </w:tc>
        <w:tc>
          <w:tcPr>
            <w:tcW w:w="2055" w:type="dxa"/>
            <w:vAlign w:val="center"/>
          </w:tcPr>
          <w:p>
            <w:pPr>
              <w:snapToGrid w:val="0"/>
              <w:jc w:val="center"/>
              <w:rPr>
                <w:color w:val="000000"/>
                <w:sz w:val="24"/>
              </w:rPr>
            </w:pPr>
            <w:r>
              <w:rPr>
                <w:rFonts w:hAnsi="宋体"/>
                <w:color w:val="000000"/>
                <w:sz w:val="24"/>
              </w:rPr>
              <w:t>环保投资占</w:t>
            </w:r>
          </w:p>
          <w:p>
            <w:pPr>
              <w:snapToGrid w:val="0"/>
              <w:jc w:val="center"/>
              <w:rPr>
                <w:color w:val="000000"/>
                <w:sz w:val="24"/>
              </w:rPr>
            </w:pPr>
            <w:r>
              <w:rPr>
                <w:rFonts w:hAnsi="宋体"/>
                <w:color w:val="000000"/>
                <w:sz w:val="24"/>
              </w:rPr>
              <w:t>总投资比例（</w:t>
            </w:r>
            <w:r>
              <w:rPr>
                <w:color w:val="000000"/>
                <w:sz w:val="24"/>
              </w:rPr>
              <w:t>%</w:t>
            </w:r>
            <w:r>
              <w:rPr>
                <w:rFonts w:hAnsi="宋体"/>
                <w:color w:val="000000"/>
                <w:sz w:val="24"/>
              </w:rPr>
              <w:t>）</w:t>
            </w:r>
          </w:p>
        </w:tc>
        <w:tc>
          <w:tcPr>
            <w:tcW w:w="1964" w:type="dxa"/>
            <w:vAlign w:val="center"/>
          </w:tcPr>
          <w:p>
            <w:pPr>
              <w:snapToGrid w:val="0"/>
              <w:jc w:val="center"/>
              <w:rPr>
                <w:color w:val="000000"/>
                <w:sz w:val="24"/>
              </w:rPr>
            </w:pPr>
            <w:r>
              <w:rPr>
                <w:rFonts w:hint="eastAsia"/>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4" w:type="dxa"/>
            <w:vAlign w:val="center"/>
          </w:tcPr>
          <w:p>
            <w:pPr>
              <w:snapToGrid w:val="0"/>
              <w:jc w:val="center"/>
              <w:rPr>
                <w:sz w:val="24"/>
              </w:rPr>
            </w:pPr>
            <w:r>
              <w:rPr>
                <w:rFonts w:hAnsi="宋体"/>
                <w:sz w:val="24"/>
              </w:rPr>
              <w:t>评价经费</w:t>
            </w:r>
          </w:p>
          <w:p>
            <w:pPr>
              <w:snapToGrid w:val="0"/>
              <w:jc w:val="center"/>
              <w:rPr>
                <w:sz w:val="24"/>
              </w:rPr>
            </w:pPr>
            <w:r>
              <w:rPr>
                <w:sz w:val="24"/>
              </w:rPr>
              <w:t>(</w:t>
            </w:r>
            <w:r>
              <w:rPr>
                <w:rFonts w:hAnsi="宋体"/>
                <w:sz w:val="24"/>
              </w:rPr>
              <w:t>万元</w:t>
            </w:r>
            <w:r>
              <w:rPr>
                <w:sz w:val="24"/>
              </w:rPr>
              <w:t>)</w:t>
            </w:r>
          </w:p>
        </w:tc>
        <w:tc>
          <w:tcPr>
            <w:tcW w:w="1455" w:type="dxa"/>
            <w:vAlign w:val="center"/>
          </w:tcPr>
          <w:p>
            <w:pPr>
              <w:snapToGrid w:val="0"/>
              <w:jc w:val="center"/>
              <w:rPr>
                <w:sz w:val="24"/>
              </w:rPr>
            </w:pPr>
            <w:r>
              <w:rPr>
                <w:sz w:val="24"/>
              </w:rPr>
              <w:t>/</w:t>
            </w:r>
          </w:p>
        </w:tc>
        <w:tc>
          <w:tcPr>
            <w:tcW w:w="2132" w:type="dxa"/>
            <w:gridSpan w:val="2"/>
            <w:vAlign w:val="center"/>
          </w:tcPr>
          <w:p>
            <w:pPr>
              <w:snapToGrid w:val="0"/>
              <w:jc w:val="center"/>
              <w:rPr>
                <w:sz w:val="24"/>
              </w:rPr>
            </w:pPr>
            <w:r>
              <w:rPr>
                <w:rFonts w:hAnsi="宋体"/>
                <w:sz w:val="24"/>
              </w:rPr>
              <w:t>预期投产日期</w:t>
            </w:r>
          </w:p>
        </w:tc>
        <w:tc>
          <w:tcPr>
            <w:tcW w:w="5205" w:type="dxa"/>
            <w:gridSpan w:val="3"/>
            <w:vAlign w:val="center"/>
          </w:tcPr>
          <w:p>
            <w:pPr>
              <w:snapToGrid w:val="0"/>
              <w:jc w:val="center"/>
              <w:rPr>
                <w:sz w:val="24"/>
              </w:rPr>
            </w:pPr>
            <w:r>
              <w:rPr>
                <w:rFonts w:hint="eastAsia"/>
                <w:sz w:val="24"/>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0046" w:type="dxa"/>
            <w:gridSpan w:val="7"/>
            <w:vAlign w:val="center"/>
          </w:tcPr>
          <w:p>
            <w:pPr>
              <w:adjustRightInd w:val="0"/>
              <w:snapToGrid w:val="0"/>
              <w:spacing w:line="500" w:lineRule="exact"/>
              <w:rPr>
                <w:sz w:val="24"/>
              </w:rPr>
            </w:pPr>
            <w:r>
              <w:rPr>
                <w:sz w:val="24"/>
              </w:rPr>
              <w:t>工程内容及规模：</w:t>
            </w:r>
          </w:p>
          <w:p>
            <w:pPr>
              <w:adjustRightInd w:val="0"/>
              <w:snapToGrid w:val="0"/>
              <w:spacing w:line="500" w:lineRule="exact"/>
              <w:ind w:firstLine="480" w:firstLineChars="200"/>
              <w:rPr>
                <w:sz w:val="24"/>
              </w:rPr>
            </w:pPr>
            <w:r>
              <w:rPr>
                <w:sz w:val="24"/>
              </w:rPr>
              <w:t>1</w:t>
            </w:r>
            <w:r>
              <w:rPr>
                <w:rFonts w:hint="eastAsia"/>
                <w:sz w:val="24"/>
              </w:rPr>
              <w:t>.</w:t>
            </w:r>
            <w:r>
              <w:rPr>
                <w:sz w:val="24"/>
              </w:rPr>
              <w:t>项目由来</w:t>
            </w:r>
          </w:p>
          <w:p>
            <w:pPr>
              <w:autoSpaceDE w:val="0"/>
              <w:autoSpaceDN w:val="0"/>
              <w:adjustRightInd w:val="0"/>
              <w:snapToGrid w:val="0"/>
              <w:spacing w:line="500" w:lineRule="exact"/>
              <w:ind w:firstLine="480" w:firstLineChars="200"/>
              <w:rPr>
                <w:sz w:val="24"/>
              </w:rPr>
            </w:pPr>
            <w:r>
              <w:rPr>
                <w:rFonts w:hint="eastAsia"/>
                <w:sz w:val="24"/>
              </w:rPr>
              <w:t>新乡市天华科技有限公司位于新乡市新乡县朗公庙镇曲水村北，现已建成年产100套振动筛给料机项目，该公司于2005年3月对现有工程开展了环境影响评价工作，委托新乡市环境保护科学设计研究院编制完成了《新乡市天华科技有限公司年产100套振动筛给料机项目环境影响报告表》，新乡市环境保护局于2005年3月28日以新环【2005】12号文进行了批复；新乡县环境保护监测站于2008年4月以新环验监字【2008】第12号文进行了竣工验收监测报告表的编制工作，企业完成验收工作。由于当前市场供不应求，为了满足市场需求，新乡市天华科技有限公司进行扩建。</w:t>
            </w:r>
          </w:p>
          <w:p>
            <w:pPr>
              <w:autoSpaceDE w:val="0"/>
              <w:autoSpaceDN w:val="0"/>
              <w:adjustRightInd w:val="0"/>
              <w:snapToGrid w:val="0"/>
              <w:spacing w:line="500" w:lineRule="exact"/>
              <w:ind w:firstLine="480" w:firstLineChars="200"/>
              <w:rPr>
                <w:sz w:val="24"/>
              </w:rPr>
            </w:pPr>
            <w:r>
              <w:rPr>
                <w:rFonts w:hint="eastAsia"/>
                <w:sz w:val="24"/>
              </w:rPr>
              <w:t>为此，</w:t>
            </w:r>
            <w:r>
              <w:rPr>
                <w:sz w:val="24"/>
              </w:rPr>
              <w:t>新乡市天华科技有限公司</w:t>
            </w:r>
            <w:r>
              <w:rPr>
                <w:rFonts w:hint="eastAsia"/>
                <w:sz w:val="24"/>
              </w:rPr>
              <w:t>在现在厂房内，拟建新乡市天华科技有限公司扩建年产300台振动输送设备项目。企业</w:t>
            </w:r>
            <w:r>
              <w:rPr>
                <w:sz w:val="24"/>
              </w:rPr>
              <w:t>拟投资</w:t>
            </w:r>
            <w:r>
              <w:rPr>
                <w:rFonts w:hint="eastAsia"/>
                <w:sz w:val="24"/>
              </w:rPr>
              <w:t>80</w:t>
            </w:r>
            <w:r>
              <w:rPr>
                <w:sz w:val="24"/>
              </w:rPr>
              <w:t>万元</w:t>
            </w:r>
            <w:r>
              <w:rPr>
                <w:rFonts w:hint="eastAsia"/>
                <w:sz w:val="24"/>
              </w:rPr>
              <w:t>，新建生产工艺为：原材料—机械加工—焊接—组装—成品等；</w:t>
            </w:r>
            <w:r>
              <w:rPr>
                <w:sz w:val="24"/>
              </w:rPr>
              <w:t>主要设备为：</w:t>
            </w:r>
            <w:r>
              <w:rPr>
                <w:rFonts w:hint="eastAsia"/>
                <w:sz w:val="24"/>
              </w:rPr>
              <w:t>电焊机、剪切机、折弯机、数控钻床、钻床、锯床、卷板机、普通车床、钢筋剪断机、等离子切割机和行车等；</w:t>
            </w:r>
            <w:r>
              <w:rPr>
                <w:rFonts w:hint="eastAsia"/>
                <w:sz w:val="24"/>
                <w:u w:val="single"/>
              </w:rPr>
              <w:t>本项目产品不需喷漆</w:t>
            </w:r>
            <w:r>
              <w:rPr>
                <w:rFonts w:hint="eastAsia"/>
                <w:sz w:val="24"/>
              </w:rPr>
              <w:t>。</w:t>
            </w:r>
          </w:p>
          <w:p>
            <w:pPr>
              <w:adjustRightInd w:val="0"/>
              <w:snapToGrid w:val="0"/>
              <w:spacing w:line="500" w:lineRule="exact"/>
              <w:ind w:firstLine="480" w:firstLineChars="200"/>
              <w:rPr>
                <w:sz w:val="24"/>
              </w:rPr>
            </w:pPr>
            <w:r>
              <w:rPr>
                <w:sz w:val="24"/>
              </w:rPr>
              <w:t>按照《中华人民共和国环境保护法》、《中华人民共和国环境影响评价法》、《建设项目环境保护管理条例》（国务院第682号令</w:t>
            </w:r>
            <w:r>
              <w:rPr>
                <w:rFonts w:hint="eastAsia"/>
                <w:sz w:val="24"/>
              </w:rPr>
              <w:t>，</w:t>
            </w:r>
            <w:r>
              <w:rPr>
                <w:sz w:val="24"/>
              </w:rPr>
              <w:t>2017年10月1日起施行）以及《河南省建设项目环境保护条例》等国家、地方有关环境保护法律、法规的规定及要求，“</w:t>
            </w:r>
            <w:r>
              <w:rPr>
                <w:rFonts w:hint="eastAsia"/>
                <w:sz w:val="24"/>
              </w:rPr>
              <w:t>新乡市天华科技有限公司扩建年产300台振动输送设备项目</w:t>
            </w:r>
            <w:r>
              <w:rPr>
                <w:sz w:val="24"/>
              </w:rPr>
              <w:t>”需要进行环境影响评价。根据《建设项目环境影响评价分类管理名录》（2017年本）和生态环境部令第1号《关于修改〈建设项目环境影响评价分类管理名录〉部分内容的决定》（2018年）规定，本项目属于</w:t>
            </w:r>
            <w:r>
              <w:rPr>
                <w:rFonts w:hint="eastAsia"/>
                <w:sz w:val="24"/>
              </w:rPr>
              <w:t>“二十四、专用设备制造业”中“70、专用设备制造及维修”，按照规定，“有电镀或喷漆工艺且年用油性漆量（含稀释剂）10吨及以上的”应编制报告书，本项目主要生产工艺为机械加工、焊接组装，不涉及电镀及喷漆工艺，属于“其他（仅组装的除外）”，应编制环境影响报告表。</w:t>
            </w:r>
          </w:p>
          <w:p>
            <w:pPr>
              <w:adjustRightInd w:val="0"/>
              <w:snapToGrid w:val="0"/>
              <w:spacing w:line="500" w:lineRule="exact"/>
              <w:ind w:firstLine="480" w:firstLineChars="200"/>
              <w:rPr>
                <w:sz w:val="24"/>
              </w:rPr>
            </w:pPr>
            <w:r>
              <w:rPr>
                <w:sz w:val="24"/>
              </w:rPr>
              <w:t>受</w:t>
            </w:r>
            <w:r>
              <w:rPr>
                <w:rFonts w:hint="eastAsia"/>
                <w:sz w:val="24"/>
              </w:rPr>
              <w:t>建设单位</w:t>
            </w:r>
            <w:r>
              <w:rPr>
                <w:sz w:val="24"/>
              </w:rPr>
              <w:t>委托，</w:t>
            </w:r>
            <w:r>
              <w:rPr>
                <w:rFonts w:hint="eastAsia"/>
                <w:sz w:val="24"/>
              </w:rPr>
              <w:t>我公司</w:t>
            </w:r>
            <w:r>
              <w:rPr>
                <w:sz w:val="24"/>
              </w:rPr>
              <w:t>承担了“</w:t>
            </w:r>
            <w:r>
              <w:rPr>
                <w:rFonts w:hint="eastAsia"/>
                <w:sz w:val="24"/>
              </w:rPr>
              <w:t>新乡市天华科技有限公司扩建年产300台振动输送设备项目</w:t>
            </w:r>
            <w:r>
              <w:rPr>
                <w:sz w:val="24"/>
              </w:rPr>
              <w:t>”的环境影响评价的编制工作，委托书见附件1。接受委托后，我公司评价人员在对项目建设现场勘察及收集有关资料进行分析的基础上，依据国家有关法规和环境影响评价技术导则，编制完成了本项目的环境影响评价报告表，报请环保主管部门审查、审批，为项目决策、设计、建设和环境管理提供科学依据。</w:t>
            </w:r>
          </w:p>
          <w:p>
            <w:pPr>
              <w:adjustRightInd w:val="0"/>
              <w:snapToGrid w:val="0"/>
              <w:spacing w:line="500" w:lineRule="exact"/>
              <w:ind w:firstLine="480" w:firstLineChars="200"/>
              <w:rPr>
                <w:sz w:val="24"/>
              </w:rPr>
            </w:pPr>
            <w:r>
              <w:rPr>
                <w:rFonts w:hint="eastAsia"/>
                <w:sz w:val="24"/>
              </w:rPr>
              <w:t>根据《关于做好环评审批正面清单落实工作的函》（环评函[2020]19号）和河南省生态环境厅关于深化环评“放管服”改革及实施环评审批正面清单的通知（豫环办〔2020〕22号），本项目属于“二十四、专用设备制造业”中的“70、专用设备制造及维修”，属于告知承诺类项目。</w:t>
            </w:r>
          </w:p>
          <w:p>
            <w:pPr>
              <w:adjustRightInd w:val="0"/>
              <w:snapToGrid w:val="0"/>
              <w:spacing w:line="500" w:lineRule="exact"/>
              <w:ind w:firstLine="480" w:firstLineChars="200"/>
              <w:rPr>
                <w:sz w:val="24"/>
              </w:rPr>
            </w:pPr>
            <w:r>
              <w:rPr>
                <w:rFonts w:hint="eastAsia"/>
                <w:sz w:val="24"/>
              </w:rPr>
              <w:t>2.</w:t>
            </w:r>
            <w:r>
              <w:rPr>
                <w:sz w:val="24"/>
              </w:rPr>
              <w:t>项目主要技术经济指标</w:t>
            </w:r>
          </w:p>
          <w:p>
            <w:pPr>
              <w:adjustRightInd w:val="0"/>
              <w:snapToGrid w:val="0"/>
              <w:spacing w:line="500" w:lineRule="exact"/>
              <w:ind w:firstLine="480" w:firstLineChars="200"/>
              <w:rPr>
                <w:sz w:val="24"/>
              </w:rPr>
            </w:pPr>
            <w:r>
              <w:rPr>
                <w:sz w:val="24"/>
              </w:rPr>
              <w:t>本项目主要技术经济指标一览表见表1。</w:t>
            </w:r>
          </w:p>
          <w:p>
            <w:pPr>
              <w:autoSpaceDE w:val="0"/>
              <w:autoSpaceDN w:val="0"/>
              <w:adjustRightInd w:val="0"/>
              <w:snapToGrid w:val="0"/>
              <w:spacing w:line="400" w:lineRule="exact"/>
              <w:ind w:left="420"/>
              <w:rPr>
                <w:b/>
                <w:sz w:val="24"/>
              </w:rPr>
            </w:pPr>
            <w:r>
              <w:rPr>
                <w:b/>
                <w:sz w:val="24"/>
              </w:rPr>
              <w:t xml:space="preserve">表1                           </w:t>
            </w:r>
            <w:r>
              <w:rPr>
                <w:rFonts w:hint="eastAsia"/>
                <w:b/>
                <w:sz w:val="24"/>
              </w:rPr>
              <w:t>本项目主要技术经济指标一览表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1005"/>
              <w:gridCol w:w="2288"/>
              <w:gridCol w:w="1379"/>
              <w:gridCol w:w="1207"/>
              <w:gridCol w:w="438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exact"/>
                <w:tblHeader/>
                <w:jc w:val="center"/>
              </w:trPr>
              <w:tc>
                <w:tcPr>
                  <w:tcW w:w="490" w:type="pct"/>
                  <w:vAlign w:val="center"/>
                </w:tcPr>
                <w:p>
                  <w:pPr>
                    <w:jc w:val="center"/>
                    <w:rPr>
                      <w:b/>
                      <w:sz w:val="24"/>
                    </w:rPr>
                  </w:pPr>
                  <w:r>
                    <w:rPr>
                      <w:rFonts w:hint="eastAsia"/>
                      <w:b/>
                      <w:sz w:val="24"/>
                    </w:rPr>
                    <w:t>序号</w:t>
                  </w:r>
                </w:p>
              </w:tc>
              <w:tc>
                <w:tcPr>
                  <w:tcW w:w="1115" w:type="pct"/>
                  <w:vAlign w:val="center"/>
                </w:tcPr>
                <w:p>
                  <w:pPr>
                    <w:jc w:val="center"/>
                    <w:rPr>
                      <w:b/>
                      <w:sz w:val="24"/>
                    </w:rPr>
                  </w:pPr>
                  <w:r>
                    <w:rPr>
                      <w:rFonts w:hint="eastAsia"/>
                      <w:b/>
                      <w:sz w:val="24"/>
                    </w:rPr>
                    <w:t>名称</w:t>
                  </w:r>
                </w:p>
              </w:tc>
              <w:tc>
                <w:tcPr>
                  <w:tcW w:w="672" w:type="pct"/>
                  <w:vAlign w:val="center"/>
                </w:tcPr>
                <w:p>
                  <w:pPr>
                    <w:jc w:val="center"/>
                    <w:rPr>
                      <w:b/>
                      <w:sz w:val="24"/>
                    </w:rPr>
                  </w:pPr>
                  <w:r>
                    <w:rPr>
                      <w:rFonts w:hint="eastAsia"/>
                      <w:b/>
                      <w:sz w:val="24"/>
                    </w:rPr>
                    <w:t>单位</w:t>
                  </w:r>
                </w:p>
              </w:tc>
              <w:tc>
                <w:tcPr>
                  <w:tcW w:w="588" w:type="pct"/>
                  <w:vAlign w:val="center"/>
                </w:tcPr>
                <w:p>
                  <w:pPr>
                    <w:jc w:val="center"/>
                    <w:rPr>
                      <w:b/>
                      <w:sz w:val="24"/>
                    </w:rPr>
                  </w:pPr>
                  <w:r>
                    <w:rPr>
                      <w:rFonts w:hint="eastAsia"/>
                      <w:b/>
                      <w:sz w:val="24"/>
                    </w:rPr>
                    <w:t>数量</w:t>
                  </w:r>
                </w:p>
              </w:tc>
              <w:tc>
                <w:tcPr>
                  <w:tcW w:w="2135" w:type="pct"/>
                  <w:vAlign w:val="center"/>
                </w:tcPr>
                <w:p>
                  <w:pPr>
                    <w:jc w:val="center"/>
                    <w:rPr>
                      <w:b/>
                      <w:sz w:val="24"/>
                    </w:rPr>
                  </w:pPr>
                  <w:r>
                    <w:rPr>
                      <w:rFonts w:hint="eastAsia"/>
                      <w:b/>
                      <w:sz w:val="24"/>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90" w:type="pct"/>
                  <w:vMerge w:val="restart"/>
                  <w:vAlign w:val="center"/>
                </w:tcPr>
                <w:p>
                  <w:pPr>
                    <w:jc w:val="center"/>
                    <w:rPr>
                      <w:sz w:val="24"/>
                    </w:rPr>
                  </w:pPr>
                  <w:r>
                    <w:rPr>
                      <w:sz w:val="24"/>
                    </w:rPr>
                    <w:t>1</w:t>
                  </w:r>
                </w:p>
              </w:tc>
              <w:tc>
                <w:tcPr>
                  <w:tcW w:w="1115" w:type="pct"/>
                  <w:vAlign w:val="center"/>
                </w:tcPr>
                <w:p>
                  <w:pPr>
                    <w:jc w:val="center"/>
                    <w:rPr>
                      <w:sz w:val="24"/>
                    </w:rPr>
                  </w:pPr>
                  <w:r>
                    <w:rPr>
                      <w:rFonts w:hint="eastAsia"/>
                      <w:sz w:val="24"/>
                    </w:rPr>
                    <w:t>总投资</w:t>
                  </w:r>
                </w:p>
              </w:tc>
              <w:tc>
                <w:tcPr>
                  <w:tcW w:w="672" w:type="pct"/>
                  <w:vAlign w:val="center"/>
                </w:tcPr>
                <w:p>
                  <w:pPr>
                    <w:jc w:val="center"/>
                    <w:rPr>
                      <w:sz w:val="24"/>
                    </w:rPr>
                  </w:pPr>
                  <w:r>
                    <w:rPr>
                      <w:rFonts w:hint="eastAsia"/>
                      <w:sz w:val="24"/>
                    </w:rPr>
                    <w:t>万元</w:t>
                  </w:r>
                </w:p>
              </w:tc>
              <w:tc>
                <w:tcPr>
                  <w:tcW w:w="588" w:type="pct"/>
                  <w:vAlign w:val="center"/>
                </w:tcPr>
                <w:p>
                  <w:pPr>
                    <w:jc w:val="center"/>
                    <w:rPr>
                      <w:sz w:val="24"/>
                    </w:rPr>
                  </w:pPr>
                  <w:r>
                    <w:rPr>
                      <w:rFonts w:hint="eastAsia"/>
                      <w:sz w:val="24"/>
                    </w:rPr>
                    <w:t>80</w:t>
                  </w:r>
                </w:p>
              </w:tc>
              <w:tc>
                <w:tcPr>
                  <w:tcW w:w="2135" w:type="pct"/>
                  <w:vAlign w:val="center"/>
                </w:tcPr>
                <w:p>
                  <w:pPr>
                    <w:jc w:val="center"/>
                    <w:rPr>
                      <w:sz w:val="24"/>
                    </w:rPr>
                  </w:pPr>
                  <w:r>
                    <w:rPr>
                      <w:rFonts w:hint="eastAsia"/>
                      <w:sz w:val="24"/>
                    </w:rPr>
                    <w:t>企业自筹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90" w:type="pct"/>
                  <w:vMerge w:val="continue"/>
                  <w:vAlign w:val="center"/>
                </w:tcPr>
                <w:p>
                  <w:pPr>
                    <w:widowControl/>
                    <w:jc w:val="left"/>
                    <w:rPr>
                      <w:sz w:val="24"/>
                    </w:rPr>
                  </w:pPr>
                </w:p>
              </w:tc>
              <w:tc>
                <w:tcPr>
                  <w:tcW w:w="1115" w:type="pct"/>
                  <w:vAlign w:val="center"/>
                </w:tcPr>
                <w:p>
                  <w:pPr>
                    <w:jc w:val="center"/>
                    <w:rPr>
                      <w:sz w:val="24"/>
                    </w:rPr>
                  </w:pPr>
                  <w:r>
                    <w:rPr>
                      <w:rFonts w:hint="eastAsia"/>
                      <w:sz w:val="24"/>
                    </w:rPr>
                    <w:t>其中：环保投资</w:t>
                  </w:r>
                </w:p>
              </w:tc>
              <w:tc>
                <w:tcPr>
                  <w:tcW w:w="672" w:type="pct"/>
                  <w:vAlign w:val="center"/>
                </w:tcPr>
                <w:p>
                  <w:pPr>
                    <w:jc w:val="center"/>
                    <w:rPr>
                      <w:sz w:val="24"/>
                    </w:rPr>
                  </w:pPr>
                  <w:r>
                    <w:rPr>
                      <w:rFonts w:hint="eastAsia"/>
                      <w:sz w:val="24"/>
                    </w:rPr>
                    <w:t>万元</w:t>
                  </w:r>
                </w:p>
              </w:tc>
              <w:tc>
                <w:tcPr>
                  <w:tcW w:w="588" w:type="pct"/>
                  <w:vAlign w:val="center"/>
                </w:tcPr>
                <w:p>
                  <w:pPr>
                    <w:jc w:val="center"/>
                    <w:rPr>
                      <w:color w:val="000000"/>
                      <w:sz w:val="24"/>
                    </w:rPr>
                  </w:pPr>
                  <w:r>
                    <w:rPr>
                      <w:rFonts w:hint="eastAsia"/>
                      <w:color w:val="000000"/>
                      <w:sz w:val="24"/>
                    </w:rPr>
                    <w:t>12</w:t>
                  </w:r>
                </w:p>
              </w:tc>
              <w:tc>
                <w:tcPr>
                  <w:tcW w:w="2135" w:type="pct"/>
                  <w:vAlign w:val="center"/>
                </w:tcPr>
                <w:p>
                  <w:pPr>
                    <w:jc w:val="center"/>
                    <w:rPr>
                      <w:color w:val="000000"/>
                      <w:sz w:val="24"/>
                    </w:rPr>
                  </w:pPr>
                  <w:r>
                    <w:rPr>
                      <w:rFonts w:hint="eastAsia"/>
                      <w:color w:val="000000"/>
                      <w:sz w:val="24"/>
                    </w:rPr>
                    <w:t>占总投资15</w:t>
                  </w:r>
                  <w:r>
                    <w:rPr>
                      <w:color w:val="000000"/>
                      <w:sz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90" w:type="pct"/>
                  <w:vAlign w:val="center"/>
                </w:tcPr>
                <w:p>
                  <w:pPr>
                    <w:jc w:val="center"/>
                    <w:rPr>
                      <w:sz w:val="24"/>
                    </w:rPr>
                  </w:pPr>
                  <w:r>
                    <w:rPr>
                      <w:sz w:val="24"/>
                    </w:rPr>
                    <w:t>2</w:t>
                  </w:r>
                </w:p>
              </w:tc>
              <w:tc>
                <w:tcPr>
                  <w:tcW w:w="1115" w:type="pct"/>
                  <w:vAlign w:val="center"/>
                </w:tcPr>
                <w:p>
                  <w:pPr>
                    <w:jc w:val="center"/>
                    <w:rPr>
                      <w:sz w:val="24"/>
                    </w:rPr>
                  </w:pPr>
                  <w:r>
                    <w:rPr>
                      <w:rFonts w:hint="eastAsia"/>
                      <w:sz w:val="24"/>
                    </w:rPr>
                    <w:t>生产规模</w:t>
                  </w:r>
                </w:p>
              </w:tc>
              <w:tc>
                <w:tcPr>
                  <w:tcW w:w="672" w:type="pct"/>
                  <w:vAlign w:val="center"/>
                </w:tcPr>
                <w:p>
                  <w:pPr>
                    <w:jc w:val="center"/>
                    <w:rPr>
                      <w:sz w:val="24"/>
                    </w:rPr>
                  </w:pPr>
                  <w:r>
                    <w:rPr>
                      <w:rFonts w:hint="eastAsia"/>
                      <w:sz w:val="24"/>
                    </w:rPr>
                    <w:t>台</w:t>
                  </w:r>
                  <w:r>
                    <w:rPr>
                      <w:sz w:val="24"/>
                    </w:rPr>
                    <w:t>/a</w:t>
                  </w:r>
                </w:p>
              </w:tc>
              <w:tc>
                <w:tcPr>
                  <w:tcW w:w="588" w:type="pct"/>
                  <w:vAlign w:val="center"/>
                </w:tcPr>
                <w:p>
                  <w:pPr>
                    <w:jc w:val="center"/>
                    <w:rPr>
                      <w:sz w:val="24"/>
                    </w:rPr>
                  </w:pPr>
                  <w:r>
                    <w:rPr>
                      <w:rFonts w:hint="eastAsia"/>
                      <w:sz w:val="24"/>
                    </w:rPr>
                    <w:t>300</w:t>
                  </w:r>
                </w:p>
              </w:tc>
              <w:tc>
                <w:tcPr>
                  <w:tcW w:w="2135" w:type="pct"/>
                  <w:vAlign w:val="center"/>
                </w:tcPr>
                <w:p>
                  <w:pPr>
                    <w:jc w:val="center"/>
                    <w:rPr>
                      <w:sz w:val="24"/>
                    </w:rPr>
                  </w:pPr>
                  <w:r>
                    <w:rPr>
                      <w:rFonts w:hint="eastAsia"/>
                      <w:sz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90" w:type="pct"/>
                  <w:vAlign w:val="center"/>
                </w:tcPr>
                <w:p>
                  <w:pPr>
                    <w:jc w:val="center"/>
                    <w:rPr>
                      <w:sz w:val="24"/>
                    </w:rPr>
                  </w:pPr>
                  <w:r>
                    <w:rPr>
                      <w:sz w:val="24"/>
                    </w:rPr>
                    <w:t>3</w:t>
                  </w:r>
                </w:p>
              </w:tc>
              <w:tc>
                <w:tcPr>
                  <w:tcW w:w="1115" w:type="pct"/>
                  <w:vAlign w:val="center"/>
                </w:tcPr>
                <w:p>
                  <w:pPr>
                    <w:jc w:val="center"/>
                    <w:rPr>
                      <w:sz w:val="24"/>
                    </w:rPr>
                  </w:pPr>
                  <w:r>
                    <w:rPr>
                      <w:sz w:val="24"/>
                    </w:rPr>
                    <w:t>占地面积</w:t>
                  </w:r>
                </w:p>
              </w:tc>
              <w:tc>
                <w:tcPr>
                  <w:tcW w:w="672" w:type="pct"/>
                  <w:vAlign w:val="center"/>
                </w:tcPr>
                <w:p>
                  <w:pPr>
                    <w:jc w:val="center"/>
                    <w:rPr>
                      <w:sz w:val="24"/>
                    </w:rPr>
                  </w:pPr>
                  <w:r>
                    <w:rPr>
                      <w:sz w:val="24"/>
                    </w:rPr>
                    <w:t>m</w:t>
                  </w:r>
                  <w:r>
                    <w:rPr>
                      <w:sz w:val="24"/>
                      <w:vertAlign w:val="superscript"/>
                    </w:rPr>
                    <w:t>2</w:t>
                  </w:r>
                </w:p>
              </w:tc>
              <w:tc>
                <w:tcPr>
                  <w:tcW w:w="588" w:type="pct"/>
                  <w:vAlign w:val="center"/>
                </w:tcPr>
                <w:p>
                  <w:pPr>
                    <w:jc w:val="center"/>
                    <w:rPr>
                      <w:sz w:val="24"/>
                    </w:rPr>
                  </w:pPr>
                  <w:r>
                    <w:rPr>
                      <w:rFonts w:hint="eastAsia"/>
                      <w:sz w:val="24"/>
                    </w:rPr>
                    <w:t>5800</w:t>
                  </w:r>
                </w:p>
              </w:tc>
              <w:tc>
                <w:tcPr>
                  <w:tcW w:w="2135" w:type="pct"/>
                  <w:vAlign w:val="center"/>
                </w:tcPr>
                <w:p>
                  <w:pPr>
                    <w:jc w:val="center"/>
                    <w:rPr>
                      <w:sz w:val="24"/>
                    </w:rPr>
                  </w:pPr>
                  <w:r>
                    <w:rPr>
                      <w:rFonts w:hint="eastAsia"/>
                      <w:sz w:val="24"/>
                    </w:rPr>
                    <w:t>利用现在厂房，不新占地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90" w:type="pct"/>
                  <w:vAlign w:val="center"/>
                </w:tcPr>
                <w:p>
                  <w:pPr>
                    <w:jc w:val="center"/>
                    <w:rPr>
                      <w:sz w:val="24"/>
                    </w:rPr>
                  </w:pPr>
                  <w:r>
                    <w:rPr>
                      <w:sz w:val="24"/>
                    </w:rPr>
                    <w:t>4</w:t>
                  </w:r>
                </w:p>
              </w:tc>
              <w:tc>
                <w:tcPr>
                  <w:tcW w:w="1115" w:type="pct"/>
                  <w:vAlign w:val="center"/>
                </w:tcPr>
                <w:p>
                  <w:pPr>
                    <w:jc w:val="center"/>
                    <w:rPr>
                      <w:sz w:val="24"/>
                    </w:rPr>
                  </w:pPr>
                  <w:r>
                    <w:rPr>
                      <w:rFonts w:hint="eastAsia"/>
                      <w:sz w:val="24"/>
                    </w:rPr>
                    <w:t>劳动定员</w:t>
                  </w:r>
                </w:p>
              </w:tc>
              <w:tc>
                <w:tcPr>
                  <w:tcW w:w="672" w:type="pct"/>
                  <w:vAlign w:val="center"/>
                </w:tcPr>
                <w:p>
                  <w:pPr>
                    <w:jc w:val="center"/>
                    <w:rPr>
                      <w:sz w:val="24"/>
                    </w:rPr>
                  </w:pPr>
                  <w:r>
                    <w:rPr>
                      <w:rFonts w:hint="eastAsia"/>
                      <w:sz w:val="24"/>
                    </w:rPr>
                    <w:t>人</w:t>
                  </w:r>
                </w:p>
              </w:tc>
              <w:tc>
                <w:tcPr>
                  <w:tcW w:w="588" w:type="pct"/>
                  <w:vAlign w:val="center"/>
                </w:tcPr>
                <w:p>
                  <w:pPr>
                    <w:jc w:val="center"/>
                    <w:rPr>
                      <w:sz w:val="24"/>
                    </w:rPr>
                  </w:pPr>
                  <w:r>
                    <w:rPr>
                      <w:rFonts w:hint="eastAsia"/>
                      <w:sz w:val="24"/>
                    </w:rPr>
                    <w:t>10</w:t>
                  </w:r>
                </w:p>
              </w:tc>
              <w:tc>
                <w:tcPr>
                  <w:tcW w:w="2135" w:type="pct"/>
                  <w:vAlign w:val="center"/>
                </w:tcPr>
                <w:p>
                  <w:pPr>
                    <w:jc w:val="center"/>
                    <w:rPr>
                      <w:sz w:val="24"/>
                    </w:rPr>
                  </w:pPr>
                  <w:r>
                    <w:rPr>
                      <w:rFonts w:hint="eastAsia"/>
                      <w:sz w:val="24"/>
                    </w:rPr>
                    <w:t>周边村民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90" w:type="pct"/>
                  <w:vAlign w:val="center"/>
                </w:tcPr>
                <w:p>
                  <w:pPr>
                    <w:jc w:val="center"/>
                    <w:rPr>
                      <w:sz w:val="24"/>
                    </w:rPr>
                  </w:pPr>
                  <w:r>
                    <w:rPr>
                      <w:sz w:val="24"/>
                    </w:rPr>
                    <w:t>5</w:t>
                  </w:r>
                </w:p>
              </w:tc>
              <w:tc>
                <w:tcPr>
                  <w:tcW w:w="1115" w:type="pct"/>
                  <w:vAlign w:val="center"/>
                </w:tcPr>
                <w:p>
                  <w:pPr>
                    <w:jc w:val="center"/>
                    <w:rPr>
                      <w:sz w:val="24"/>
                    </w:rPr>
                  </w:pPr>
                  <w:r>
                    <w:rPr>
                      <w:rFonts w:hint="eastAsia"/>
                      <w:sz w:val="24"/>
                    </w:rPr>
                    <w:t>年工作日</w:t>
                  </w:r>
                </w:p>
              </w:tc>
              <w:tc>
                <w:tcPr>
                  <w:tcW w:w="672" w:type="pct"/>
                  <w:vAlign w:val="center"/>
                </w:tcPr>
                <w:p>
                  <w:pPr>
                    <w:jc w:val="center"/>
                    <w:rPr>
                      <w:sz w:val="24"/>
                    </w:rPr>
                  </w:pPr>
                  <w:r>
                    <w:rPr>
                      <w:rFonts w:hint="eastAsia"/>
                      <w:sz w:val="24"/>
                    </w:rPr>
                    <w:t>天</w:t>
                  </w:r>
                </w:p>
              </w:tc>
              <w:tc>
                <w:tcPr>
                  <w:tcW w:w="588" w:type="pct"/>
                  <w:vAlign w:val="center"/>
                </w:tcPr>
                <w:p>
                  <w:pPr>
                    <w:jc w:val="center"/>
                    <w:rPr>
                      <w:sz w:val="24"/>
                    </w:rPr>
                  </w:pPr>
                  <w:r>
                    <w:rPr>
                      <w:rFonts w:hint="eastAsia"/>
                      <w:sz w:val="24"/>
                    </w:rPr>
                    <w:t>300</w:t>
                  </w:r>
                </w:p>
              </w:tc>
              <w:tc>
                <w:tcPr>
                  <w:tcW w:w="2135" w:type="pct"/>
                  <w:vAlign w:val="center"/>
                </w:tcPr>
                <w:p>
                  <w:pPr>
                    <w:jc w:val="center"/>
                    <w:rPr>
                      <w:sz w:val="24"/>
                    </w:rPr>
                  </w:pPr>
                  <w:r>
                    <w:rPr>
                      <w:rFonts w:hint="eastAsia"/>
                      <w:sz w:val="24"/>
                    </w:rPr>
                    <w:t>每天1班，每班</w:t>
                  </w:r>
                  <w:r>
                    <w:rPr>
                      <w:sz w:val="24"/>
                    </w:rPr>
                    <w:t>8h</w:t>
                  </w:r>
                </w:p>
              </w:tc>
            </w:tr>
          </w:tbl>
          <w:p>
            <w:pPr>
              <w:adjustRightInd w:val="0"/>
              <w:snapToGrid w:val="0"/>
              <w:spacing w:line="500" w:lineRule="exact"/>
              <w:ind w:firstLine="480" w:firstLineChars="200"/>
              <w:rPr>
                <w:sz w:val="24"/>
              </w:rPr>
            </w:pPr>
            <w:r>
              <w:rPr>
                <w:rFonts w:hint="eastAsia"/>
                <w:sz w:val="24"/>
              </w:rPr>
              <w:t>3.</w:t>
            </w:r>
            <w:r>
              <w:rPr>
                <w:sz w:val="24"/>
              </w:rPr>
              <w:t>项目产业政策相符性分析</w:t>
            </w:r>
          </w:p>
          <w:p>
            <w:pPr>
              <w:adjustRightInd w:val="0"/>
              <w:snapToGrid w:val="0"/>
              <w:spacing w:line="500" w:lineRule="exact"/>
              <w:ind w:firstLine="480" w:firstLineChars="200"/>
              <w:rPr>
                <w:sz w:val="24"/>
              </w:rPr>
            </w:pPr>
            <w:r>
              <w:rPr>
                <w:sz w:val="24"/>
              </w:rPr>
              <w:t>本项目产品为</w:t>
            </w:r>
            <w:r>
              <w:rPr>
                <w:rFonts w:hint="eastAsia"/>
                <w:sz w:val="24"/>
              </w:rPr>
              <w:t>振动筛</w:t>
            </w:r>
            <w:r>
              <w:rPr>
                <w:sz w:val="24"/>
              </w:rPr>
              <w:t>，属于“</w:t>
            </w:r>
            <w:r>
              <w:rPr>
                <w:rFonts w:hint="eastAsia"/>
                <w:sz w:val="24"/>
              </w:rPr>
              <w:t>专用设备制造业</w:t>
            </w:r>
            <w:r>
              <w:rPr>
                <w:sz w:val="24"/>
              </w:rPr>
              <w:t>”，经查《产业结构调整指导目录（2019年本）（修正）》（国家发改委2019年第29号令），该项目设备、产品及规模均不在限制类和淘汰类的范畴，属允许类。且项目已在</w:t>
            </w:r>
            <w:r>
              <w:rPr>
                <w:rFonts w:hint="eastAsia"/>
                <w:sz w:val="24"/>
              </w:rPr>
              <w:t>新乡县发展和改革委员会备案，项目代码为</w:t>
            </w:r>
            <w:r>
              <w:rPr>
                <w:sz w:val="24"/>
              </w:rPr>
              <w:t>2020-410721-34-03-075905</w:t>
            </w:r>
            <w:r>
              <w:rPr>
                <w:rFonts w:hint="eastAsia"/>
                <w:sz w:val="24"/>
              </w:rPr>
              <w:t xml:space="preserve"> (见附件2）</w:t>
            </w:r>
            <w:r>
              <w:rPr>
                <w:sz w:val="24"/>
              </w:rPr>
              <w:t>，因此该项目符合国家有关产业政策。项目建设情况与备案相符情况详见下表</w:t>
            </w:r>
            <w:r>
              <w:rPr>
                <w:rFonts w:hint="eastAsia"/>
                <w:sz w:val="24"/>
              </w:rPr>
              <w:t>2</w:t>
            </w:r>
            <w:r>
              <w:rPr>
                <w:sz w:val="24"/>
              </w:rPr>
              <w:t>。</w:t>
            </w:r>
          </w:p>
          <w:p>
            <w:pPr>
              <w:autoSpaceDE w:val="0"/>
              <w:autoSpaceDN w:val="0"/>
              <w:adjustRightInd w:val="0"/>
              <w:snapToGrid w:val="0"/>
              <w:spacing w:line="400" w:lineRule="exact"/>
              <w:ind w:left="420"/>
              <w:rPr>
                <w:b/>
                <w:sz w:val="24"/>
              </w:rPr>
            </w:pPr>
            <w:r>
              <w:rPr>
                <w:b/>
                <w:sz w:val="24"/>
              </w:rPr>
              <w:t>表</w:t>
            </w:r>
            <w:r>
              <w:rPr>
                <w:rFonts w:hint="eastAsia"/>
                <w:b/>
                <w:sz w:val="24"/>
              </w:rPr>
              <w:t>2</w:t>
            </w:r>
            <w:r>
              <w:rPr>
                <w:b/>
                <w:sz w:val="24"/>
              </w:rPr>
              <w:t xml:space="preserve">                           项目建设情况与备案相符性一览表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1200"/>
              <w:gridCol w:w="4098"/>
              <w:gridCol w:w="3975"/>
              <w:gridCol w:w="98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tblHeader/>
                <w:jc w:val="center"/>
              </w:trPr>
              <w:tc>
                <w:tcPr>
                  <w:tcW w:w="585" w:type="pct"/>
                  <w:tcBorders>
                    <w:top w:val="single" w:color="auto" w:sz="12" w:space="0"/>
                    <w:left w:val="nil"/>
                    <w:bottom w:val="single" w:color="auto" w:sz="6" w:space="0"/>
                    <w:right w:val="single" w:color="auto" w:sz="6" w:space="0"/>
                  </w:tcBorders>
                  <w:vAlign w:val="center"/>
                </w:tcPr>
                <w:p>
                  <w:pPr>
                    <w:spacing w:line="360" w:lineRule="exact"/>
                    <w:jc w:val="center"/>
                    <w:rPr>
                      <w:b/>
                      <w:sz w:val="24"/>
                    </w:rPr>
                  </w:pPr>
                  <w:r>
                    <w:rPr>
                      <w:rFonts w:hint="eastAsia"/>
                      <w:b/>
                      <w:sz w:val="24"/>
                    </w:rPr>
                    <w:t>内容</w:t>
                  </w:r>
                </w:p>
              </w:tc>
              <w:tc>
                <w:tcPr>
                  <w:tcW w:w="1997" w:type="pct"/>
                  <w:tcBorders>
                    <w:top w:val="single" w:color="auto" w:sz="12" w:space="0"/>
                    <w:left w:val="single" w:color="auto" w:sz="6" w:space="0"/>
                    <w:bottom w:val="single" w:color="auto" w:sz="6" w:space="0"/>
                    <w:right w:val="single" w:color="auto" w:sz="6" w:space="0"/>
                  </w:tcBorders>
                  <w:vAlign w:val="center"/>
                </w:tcPr>
                <w:p>
                  <w:pPr>
                    <w:spacing w:line="360" w:lineRule="exact"/>
                    <w:jc w:val="center"/>
                    <w:rPr>
                      <w:b/>
                      <w:sz w:val="24"/>
                    </w:rPr>
                  </w:pPr>
                  <w:r>
                    <w:rPr>
                      <w:rFonts w:hint="eastAsia"/>
                      <w:b/>
                      <w:sz w:val="24"/>
                    </w:rPr>
                    <w:t>备案情况</w:t>
                  </w:r>
                </w:p>
              </w:tc>
              <w:tc>
                <w:tcPr>
                  <w:tcW w:w="1937" w:type="pct"/>
                  <w:tcBorders>
                    <w:top w:val="single" w:color="auto" w:sz="12" w:space="0"/>
                    <w:left w:val="single" w:color="auto" w:sz="6" w:space="0"/>
                    <w:bottom w:val="single" w:color="auto" w:sz="6" w:space="0"/>
                    <w:right w:val="single" w:color="auto" w:sz="6" w:space="0"/>
                  </w:tcBorders>
                  <w:vAlign w:val="center"/>
                </w:tcPr>
                <w:p>
                  <w:pPr>
                    <w:spacing w:line="360" w:lineRule="exact"/>
                    <w:jc w:val="center"/>
                    <w:rPr>
                      <w:b/>
                      <w:sz w:val="24"/>
                    </w:rPr>
                  </w:pPr>
                  <w:r>
                    <w:rPr>
                      <w:rFonts w:hint="eastAsia"/>
                      <w:b/>
                      <w:sz w:val="24"/>
                    </w:rPr>
                    <w:t>项目拟建设内容</w:t>
                  </w:r>
                </w:p>
              </w:tc>
              <w:tc>
                <w:tcPr>
                  <w:tcW w:w="481" w:type="pct"/>
                  <w:tcBorders>
                    <w:top w:val="single" w:color="auto" w:sz="12" w:space="0"/>
                    <w:left w:val="single" w:color="auto" w:sz="6" w:space="0"/>
                    <w:bottom w:val="single" w:color="auto" w:sz="6" w:space="0"/>
                    <w:right w:val="nil"/>
                  </w:tcBorders>
                  <w:vAlign w:val="center"/>
                </w:tcPr>
                <w:p>
                  <w:pPr>
                    <w:spacing w:line="360" w:lineRule="exact"/>
                    <w:jc w:val="center"/>
                    <w:rPr>
                      <w:b/>
                      <w:sz w:val="24"/>
                    </w:rPr>
                  </w:pPr>
                  <w:r>
                    <w:rPr>
                      <w:rFonts w:hint="eastAsia"/>
                      <w:b/>
                      <w:sz w:val="24"/>
                    </w:rPr>
                    <w:t>相符性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454" w:hRule="atLeast"/>
                <w:jc w:val="center"/>
              </w:trPr>
              <w:tc>
                <w:tcPr>
                  <w:tcW w:w="585" w:type="pct"/>
                  <w:tcBorders>
                    <w:top w:val="single" w:color="auto" w:sz="6" w:space="0"/>
                    <w:left w:val="nil"/>
                    <w:bottom w:val="single" w:color="auto" w:sz="6" w:space="0"/>
                    <w:right w:val="single" w:color="auto" w:sz="6" w:space="0"/>
                  </w:tcBorders>
                  <w:vAlign w:val="center"/>
                </w:tcPr>
                <w:p>
                  <w:pPr>
                    <w:spacing w:line="360" w:lineRule="exact"/>
                    <w:jc w:val="center"/>
                    <w:rPr>
                      <w:sz w:val="24"/>
                    </w:rPr>
                  </w:pPr>
                  <w:r>
                    <w:rPr>
                      <w:rFonts w:hint="eastAsia"/>
                      <w:sz w:val="24"/>
                    </w:rPr>
                    <w:t>项目名称</w:t>
                  </w:r>
                </w:p>
              </w:tc>
              <w:tc>
                <w:tcPr>
                  <w:tcW w:w="199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rPr>
                  </w:pPr>
                  <w:r>
                    <w:rPr>
                      <w:rFonts w:hint="eastAsia"/>
                      <w:sz w:val="24"/>
                    </w:rPr>
                    <w:t xml:space="preserve">新乡市天华科技有限公司扩建年产300台振动输送设备项目   </w:t>
                  </w:r>
                </w:p>
              </w:tc>
              <w:tc>
                <w:tcPr>
                  <w:tcW w:w="193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rPr>
                  </w:pPr>
                  <w:r>
                    <w:rPr>
                      <w:rFonts w:hint="eastAsia"/>
                      <w:sz w:val="24"/>
                    </w:rPr>
                    <w:t xml:space="preserve">新乡市天华科技有限公司扩建年产300台振动输送设备项目   </w:t>
                  </w:r>
                </w:p>
              </w:tc>
              <w:tc>
                <w:tcPr>
                  <w:tcW w:w="481" w:type="pct"/>
                  <w:tcBorders>
                    <w:top w:val="single" w:color="auto" w:sz="6" w:space="0"/>
                    <w:left w:val="single" w:color="auto" w:sz="6" w:space="0"/>
                    <w:bottom w:val="single" w:color="auto" w:sz="6" w:space="0"/>
                    <w:right w:val="nil"/>
                  </w:tcBorders>
                  <w:vAlign w:val="center"/>
                </w:tcPr>
                <w:p>
                  <w:pPr>
                    <w:spacing w:line="360" w:lineRule="exact"/>
                    <w:jc w:val="center"/>
                    <w:rPr>
                      <w:sz w:val="24"/>
                    </w:rPr>
                  </w:pPr>
                  <w:r>
                    <w:rPr>
                      <w:rFonts w:hint="eastAsia"/>
                      <w:sz w:val="24"/>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85" w:type="pct"/>
                  <w:tcBorders>
                    <w:top w:val="single" w:color="auto" w:sz="6" w:space="0"/>
                    <w:left w:val="nil"/>
                    <w:bottom w:val="single" w:color="auto" w:sz="6" w:space="0"/>
                    <w:right w:val="single" w:color="auto" w:sz="6" w:space="0"/>
                  </w:tcBorders>
                  <w:vAlign w:val="center"/>
                </w:tcPr>
                <w:p>
                  <w:pPr>
                    <w:spacing w:line="360" w:lineRule="exact"/>
                    <w:jc w:val="center"/>
                    <w:rPr>
                      <w:sz w:val="24"/>
                    </w:rPr>
                  </w:pPr>
                  <w:r>
                    <w:rPr>
                      <w:rFonts w:hint="eastAsia"/>
                      <w:sz w:val="24"/>
                    </w:rPr>
                    <w:t>建设单位</w:t>
                  </w:r>
                </w:p>
              </w:tc>
              <w:tc>
                <w:tcPr>
                  <w:tcW w:w="199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rPr>
                  </w:pPr>
                  <w:r>
                    <w:rPr>
                      <w:rFonts w:hint="eastAsia"/>
                      <w:sz w:val="24"/>
                    </w:rPr>
                    <w:t>新乡市天华科技有限公司</w:t>
                  </w:r>
                </w:p>
              </w:tc>
              <w:tc>
                <w:tcPr>
                  <w:tcW w:w="193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rPr>
                  </w:pPr>
                  <w:r>
                    <w:rPr>
                      <w:rFonts w:hint="eastAsia"/>
                      <w:sz w:val="24"/>
                    </w:rPr>
                    <w:t>新乡市天华科技有限公司</w:t>
                  </w:r>
                </w:p>
              </w:tc>
              <w:tc>
                <w:tcPr>
                  <w:tcW w:w="481" w:type="pct"/>
                  <w:tcBorders>
                    <w:top w:val="single" w:color="auto" w:sz="6" w:space="0"/>
                    <w:left w:val="single" w:color="auto" w:sz="6" w:space="0"/>
                    <w:bottom w:val="single" w:color="auto" w:sz="6" w:space="0"/>
                    <w:right w:val="nil"/>
                  </w:tcBorders>
                  <w:vAlign w:val="center"/>
                </w:tcPr>
                <w:p>
                  <w:pPr>
                    <w:spacing w:line="360" w:lineRule="exact"/>
                    <w:jc w:val="center"/>
                    <w:rPr>
                      <w:sz w:val="24"/>
                    </w:rPr>
                  </w:pPr>
                  <w:r>
                    <w:rPr>
                      <w:rFonts w:hint="eastAsia"/>
                      <w:sz w:val="24"/>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85" w:type="pct"/>
                  <w:tcBorders>
                    <w:top w:val="single" w:color="auto" w:sz="6" w:space="0"/>
                    <w:left w:val="nil"/>
                    <w:bottom w:val="single" w:color="auto" w:sz="6" w:space="0"/>
                    <w:right w:val="single" w:color="auto" w:sz="6" w:space="0"/>
                  </w:tcBorders>
                  <w:vAlign w:val="center"/>
                </w:tcPr>
                <w:p>
                  <w:pPr>
                    <w:spacing w:line="360" w:lineRule="exact"/>
                    <w:jc w:val="center"/>
                    <w:rPr>
                      <w:sz w:val="24"/>
                    </w:rPr>
                  </w:pPr>
                  <w:r>
                    <w:rPr>
                      <w:rFonts w:hint="eastAsia"/>
                      <w:sz w:val="24"/>
                    </w:rPr>
                    <w:t>建设地点</w:t>
                  </w:r>
                </w:p>
              </w:tc>
              <w:tc>
                <w:tcPr>
                  <w:tcW w:w="199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rPr>
                  </w:pPr>
                  <w:r>
                    <w:rPr>
                      <w:rFonts w:hint="eastAsia"/>
                      <w:sz w:val="24"/>
                    </w:rPr>
                    <w:t>新乡市新乡县朗公庙镇曲水村北</w:t>
                  </w:r>
                </w:p>
              </w:tc>
              <w:tc>
                <w:tcPr>
                  <w:tcW w:w="193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rPr>
                  </w:pPr>
                  <w:r>
                    <w:rPr>
                      <w:rFonts w:hint="eastAsia"/>
                      <w:sz w:val="24"/>
                    </w:rPr>
                    <w:t>新乡市新乡县朗公庙镇曲水村北</w:t>
                  </w:r>
                </w:p>
              </w:tc>
              <w:tc>
                <w:tcPr>
                  <w:tcW w:w="481" w:type="pct"/>
                  <w:tcBorders>
                    <w:top w:val="single" w:color="auto" w:sz="6" w:space="0"/>
                    <w:left w:val="single" w:color="auto" w:sz="6" w:space="0"/>
                    <w:bottom w:val="single" w:color="auto" w:sz="6" w:space="0"/>
                    <w:right w:val="nil"/>
                  </w:tcBorders>
                  <w:vAlign w:val="center"/>
                </w:tcPr>
                <w:p>
                  <w:pPr>
                    <w:spacing w:line="360" w:lineRule="exact"/>
                    <w:jc w:val="center"/>
                    <w:rPr>
                      <w:sz w:val="24"/>
                    </w:rPr>
                  </w:pPr>
                  <w:r>
                    <w:rPr>
                      <w:rFonts w:hint="eastAsia"/>
                      <w:sz w:val="24"/>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85" w:type="pct"/>
                  <w:tcBorders>
                    <w:top w:val="single" w:color="auto" w:sz="6" w:space="0"/>
                    <w:left w:val="nil"/>
                    <w:bottom w:val="single" w:color="auto" w:sz="6" w:space="0"/>
                    <w:right w:val="single" w:color="auto" w:sz="6" w:space="0"/>
                  </w:tcBorders>
                  <w:vAlign w:val="center"/>
                </w:tcPr>
                <w:p>
                  <w:pPr>
                    <w:spacing w:line="360" w:lineRule="exact"/>
                    <w:jc w:val="center"/>
                    <w:rPr>
                      <w:sz w:val="24"/>
                    </w:rPr>
                  </w:pPr>
                  <w:r>
                    <w:rPr>
                      <w:rFonts w:hint="eastAsia"/>
                      <w:sz w:val="24"/>
                    </w:rPr>
                    <w:t>建设性质</w:t>
                  </w:r>
                </w:p>
              </w:tc>
              <w:tc>
                <w:tcPr>
                  <w:tcW w:w="199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rPr>
                  </w:pPr>
                  <w:r>
                    <w:rPr>
                      <w:rFonts w:hint="eastAsia"/>
                      <w:sz w:val="24"/>
                    </w:rPr>
                    <w:t>扩建</w:t>
                  </w:r>
                </w:p>
              </w:tc>
              <w:tc>
                <w:tcPr>
                  <w:tcW w:w="193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rPr>
                  </w:pPr>
                  <w:r>
                    <w:rPr>
                      <w:rFonts w:hint="eastAsia"/>
                      <w:sz w:val="24"/>
                    </w:rPr>
                    <w:t>扩建</w:t>
                  </w:r>
                </w:p>
              </w:tc>
              <w:tc>
                <w:tcPr>
                  <w:tcW w:w="481" w:type="pct"/>
                  <w:tcBorders>
                    <w:top w:val="single" w:color="auto" w:sz="6" w:space="0"/>
                    <w:left w:val="single" w:color="auto" w:sz="6" w:space="0"/>
                    <w:bottom w:val="single" w:color="auto" w:sz="6" w:space="0"/>
                    <w:right w:val="nil"/>
                  </w:tcBorders>
                  <w:vAlign w:val="center"/>
                </w:tcPr>
                <w:p>
                  <w:pPr>
                    <w:spacing w:line="360" w:lineRule="exact"/>
                    <w:jc w:val="center"/>
                    <w:rPr>
                      <w:sz w:val="24"/>
                    </w:rPr>
                  </w:pPr>
                  <w:r>
                    <w:rPr>
                      <w:rFonts w:hint="eastAsia"/>
                      <w:sz w:val="24"/>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85" w:type="pct"/>
                  <w:tcBorders>
                    <w:top w:val="single" w:color="auto" w:sz="6" w:space="0"/>
                    <w:left w:val="nil"/>
                    <w:bottom w:val="single" w:color="auto" w:sz="6" w:space="0"/>
                    <w:right w:val="single" w:color="auto" w:sz="6" w:space="0"/>
                  </w:tcBorders>
                  <w:vAlign w:val="center"/>
                </w:tcPr>
                <w:p>
                  <w:pPr>
                    <w:spacing w:line="360" w:lineRule="exact"/>
                    <w:jc w:val="center"/>
                    <w:rPr>
                      <w:sz w:val="24"/>
                    </w:rPr>
                  </w:pPr>
                  <w:r>
                    <w:rPr>
                      <w:rFonts w:hint="eastAsia"/>
                      <w:sz w:val="24"/>
                    </w:rPr>
                    <w:t>建设规模</w:t>
                  </w:r>
                </w:p>
              </w:tc>
              <w:tc>
                <w:tcPr>
                  <w:tcW w:w="199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rPr>
                  </w:pPr>
                  <w:r>
                    <w:rPr>
                      <w:rFonts w:hint="eastAsia"/>
                      <w:sz w:val="24"/>
                    </w:rPr>
                    <w:t>300台振动筛</w:t>
                  </w:r>
                </w:p>
              </w:tc>
              <w:tc>
                <w:tcPr>
                  <w:tcW w:w="193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sz w:val="24"/>
                    </w:rPr>
                  </w:pPr>
                  <w:r>
                    <w:rPr>
                      <w:rFonts w:hint="eastAsia"/>
                      <w:sz w:val="24"/>
                    </w:rPr>
                    <w:t>300台振动筛</w:t>
                  </w:r>
                </w:p>
              </w:tc>
              <w:tc>
                <w:tcPr>
                  <w:tcW w:w="481" w:type="pct"/>
                  <w:tcBorders>
                    <w:top w:val="single" w:color="auto" w:sz="6" w:space="0"/>
                    <w:left w:val="single" w:color="auto" w:sz="6" w:space="0"/>
                    <w:bottom w:val="single" w:color="auto" w:sz="6" w:space="0"/>
                    <w:right w:val="nil"/>
                  </w:tcBorders>
                  <w:vAlign w:val="center"/>
                </w:tcPr>
                <w:p>
                  <w:pPr>
                    <w:spacing w:line="360" w:lineRule="exact"/>
                    <w:jc w:val="center"/>
                    <w:rPr>
                      <w:sz w:val="24"/>
                    </w:rPr>
                  </w:pPr>
                  <w:r>
                    <w:rPr>
                      <w:rFonts w:hint="eastAsia"/>
                      <w:sz w:val="24"/>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85" w:type="pct"/>
                  <w:tcBorders>
                    <w:top w:val="single" w:color="auto" w:sz="6" w:space="0"/>
                    <w:left w:val="nil"/>
                    <w:bottom w:val="single" w:color="auto" w:sz="6" w:space="0"/>
                    <w:right w:val="single" w:color="auto" w:sz="6" w:space="0"/>
                  </w:tcBorders>
                  <w:vAlign w:val="center"/>
                </w:tcPr>
                <w:p>
                  <w:pPr>
                    <w:spacing w:line="360" w:lineRule="exact"/>
                    <w:jc w:val="center"/>
                    <w:rPr>
                      <w:sz w:val="24"/>
                    </w:rPr>
                  </w:pPr>
                  <w:r>
                    <w:rPr>
                      <w:rFonts w:hint="eastAsia"/>
                      <w:sz w:val="24"/>
                    </w:rPr>
                    <w:t>生产工艺</w:t>
                  </w:r>
                </w:p>
              </w:tc>
              <w:tc>
                <w:tcPr>
                  <w:tcW w:w="199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 w:val="24"/>
                    </w:rPr>
                  </w:pPr>
                  <w:r>
                    <w:rPr>
                      <w:rFonts w:hint="eastAsia"/>
                      <w:sz w:val="24"/>
                    </w:rPr>
                    <w:t>原材料—机械加工—焊接—组装—成品等</w:t>
                  </w:r>
                </w:p>
              </w:tc>
              <w:tc>
                <w:tcPr>
                  <w:tcW w:w="193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 w:val="24"/>
                    </w:rPr>
                  </w:pPr>
                  <w:r>
                    <w:rPr>
                      <w:rFonts w:hint="eastAsia"/>
                      <w:sz w:val="24"/>
                    </w:rPr>
                    <w:t>原材料—机械加工—焊接—组装—成品等</w:t>
                  </w:r>
                </w:p>
              </w:tc>
              <w:tc>
                <w:tcPr>
                  <w:tcW w:w="481" w:type="pct"/>
                  <w:tcBorders>
                    <w:top w:val="single" w:color="auto" w:sz="6" w:space="0"/>
                    <w:left w:val="single" w:color="auto" w:sz="6" w:space="0"/>
                    <w:bottom w:val="single" w:color="auto" w:sz="6" w:space="0"/>
                    <w:right w:val="nil"/>
                  </w:tcBorders>
                  <w:vAlign w:val="center"/>
                </w:tcPr>
                <w:p>
                  <w:pPr>
                    <w:spacing w:line="360" w:lineRule="exact"/>
                    <w:jc w:val="center"/>
                    <w:rPr>
                      <w:sz w:val="24"/>
                    </w:rPr>
                  </w:pPr>
                  <w:r>
                    <w:rPr>
                      <w:rFonts w:hint="eastAsia"/>
                      <w:sz w:val="24"/>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85" w:type="pct"/>
                  <w:tcBorders>
                    <w:top w:val="single" w:color="auto" w:sz="6" w:space="0"/>
                    <w:left w:val="nil"/>
                    <w:bottom w:val="single" w:color="auto" w:sz="6" w:space="0"/>
                    <w:right w:val="single" w:color="auto" w:sz="6" w:space="0"/>
                  </w:tcBorders>
                  <w:vAlign w:val="center"/>
                </w:tcPr>
                <w:p>
                  <w:pPr>
                    <w:spacing w:line="360" w:lineRule="exact"/>
                    <w:jc w:val="center"/>
                    <w:rPr>
                      <w:sz w:val="24"/>
                    </w:rPr>
                  </w:pPr>
                  <w:r>
                    <w:rPr>
                      <w:rFonts w:hint="eastAsia"/>
                      <w:sz w:val="24"/>
                    </w:rPr>
                    <w:t>主要设备</w:t>
                  </w:r>
                </w:p>
              </w:tc>
              <w:tc>
                <w:tcPr>
                  <w:tcW w:w="199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sz w:val="24"/>
                    </w:rPr>
                  </w:pPr>
                  <w:r>
                    <w:rPr>
                      <w:rFonts w:hint="eastAsia"/>
                      <w:sz w:val="24"/>
                    </w:rPr>
                    <w:t>电焊机、剪切机、折弯机、数控钻床、钻床、锯床、卷板机、普通车床、钢筋剪断机、等离子切割机和行车</w:t>
                  </w:r>
                </w:p>
              </w:tc>
              <w:tc>
                <w:tcPr>
                  <w:tcW w:w="193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sz w:val="24"/>
                    </w:rPr>
                  </w:pPr>
                  <w:r>
                    <w:rPr>
                      <w:rFonts w:hint="eastAsia"/>
                      <w:sz w:val="24"/>
                    </w:rPr>
                    <w:t>电焊机、剪切机、折弯机、数控钻床、钻床、锯床、卷板机、普通车床、钢筋剪断机、等离子切割机和行车</w:t>
                  </w:r>
                </w:p>
              </w:tc>
              <w:tc>
                <w:tcPr>
                  <w:tcW w:w="481" w:type="pct"/>
                  <w:tcBorders>
                    <w:top w:val="single" w:color="auto" w:sz="6" w:space="0"/>
                    <w:left w:val="single" w:color="auto" w:sz="6" w:space="0"/>
                    <w:bottom w:val="single" w:color="auto" w:sz="6" w:space="0"/>
                    <w:right w:val="nil"/>
                  </w:tcBorders>
                  <w:vAlign w:val="center"/>
                </w:tcPr>
                <w:p>
                  <w:pPr>
                    <w:spacing w:line="360" w:lineRule="exact"/>
                    <w:jc w:val="center"/>
                    <w:rPr>
                      <w:sz w:val="24"/>
                    </w:rPr>
                  </w:pPr>
                  <w:r>
                    <w:rPr>
                      <w:rFonts w:hint="eastAsia"/>
                      <w:sz w:val="24"/>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85" w:type="pct"/>
                  <w:tcBorders>
                    <w:top w:val="single" w:color="auto" w:sz="6" w:space="0"/>
                    <w:left w:val="nil"/>
                    <w:bottom w:val="single" w:color="auto" w:sz="12" w:space="0"/>
                    <w:right w:val="single" w:color="auto" w:sz="6" w:space="0"/>
                  </w:tcBorders>
                  <w:vAlign w:val="center"/>
                </w:tcPr>
                <w:p>
                  <w:pPr>
                    <w:spacing w:line="360" w:lineRule="exact"/>
                    <w:jc w:val="center"/>
                    <w:rPr>
                      <w:sz w:val="24"/>
                    </w:rPr>
                  </w:pPr>
                  <w:r>
                    <w:rPr>
                      <w:rFonts w:hint="eastAsia"/>
                      <w:sz w:val="24"/>
                    </w:rPr>
                    <w:t>总投资</w:t>
                  </w:r>
                </w:p>
              </w:tc>
              <w:tc>
                <w:tcPr>
                  <w:tcW w:w="1997" w:type="pct"/>
                  <w:tcBorders>
                    <w:top w:val="single" w:color="auto" w:sz="6" w:space="0"/>
                    <w:left w:val="single" w:color="auto" w:sz="6" w:space="0"/>
                    <w:bottom w:val="single" w:color="auto" w:sz="12" w:space="0"/>
                    <w:right w:val="single" w:color="auto" w:sz="6" w:space="0"/>
                  </w:tcBorders>
                  <w:vAlign w:val="center"/>
                </w:tcPr>
                <w:p>
                  <w:pPr>
                    <w:spacing w:line="360" w:lineRule="exact"/>
                    <w:jc w:val="center"/>
                    <w:rPr>
                      <w:sz w:val="24"/>
                    </w:rPr>
                  </w:pPr>
                  <w:r>
                    <w:rPr>
                      <w:rFonts w:hint="eastAsia"/>
                      <w:sz w:val="24"/>
                    </w:rPr>
                    <w:t>80万元</w:t>
                  </w:r>
                </w:p>
              </w:tc>
              <w:tc>
                <w:tcPr>
                  <w:tcW w:w="1937" w:type="pct"/>
                  <w:tcBorders>
                    <w:top w:val="single" w:color="auto" w:sz="6" w:space="0"/>
                    <w:left w:val="single" w:color="auto" w:sz="6" w:space="0"/>
                    <w:bottom w:val="single" w:color="auto" w:sz="12" w:space="0"/>
                    <w:right w:val="single" w:color="auto" w:sz="6" w:space="0"/>
                  </w:tcBorders>
                  <w:vAlign w:val="center"/>
                </w:tcPr>
                <w:p>
                  <w:pPr>
                    <w:spacing w:line="360" w:lineRule="exact"/>
                    <w:jc w:val="center"/>
                    <w:rPr>
                      <w:sz w:val="24"/>
                    </w:rPr>
                  </w:pPr>
                  <w:r>
                    <w:rPr>
                      <w:rFonts w:hint="eastAsia"/>
                      <w:sz w:val="24"/>
                    </w:rPr>
                    <w:t>80万元</w:t>
                  </w:r>
                </w:p>
              </w:tc>
              <w:tc>
                <w:tcPr>
                  <w:tcW w:w="481" w:type="pct"/>
                  <w:tcBorders>
                    <w:top w:val="single" w:color="auto" w:sz="6" w:space="0"/>
                    <w:left w:val="single" w:color="auto" w:sz="6" w:space="0"/>
                    <w:bottom w:val="single" w:color="auto" w:sz="12" w:space="0"/>
                    <w:right w:val="nil"/>
                  </w:tcBorders>
                  <w:vAlign w:val="center"/>
                </w:tcPr>
                <w:p>
                  <w:pPr>
                    <w:spacing w:line="360" w:lineRule="exact"/>
                    <w:jc w:val="center"/>
                    <w:rPr>
                      <w:sz w:val="24"/>
                    </w:rPr>
                  </w:pPr>
                  <w:r>
                    <w:rPr>
                      <w:rFonts w:hint="eastAsia"/>
                      <w:sz w:val="24"/>
                    </w:rPr>
                    <w:t>相符</w:t>
                  </w:r>
                </w:p>
              </w:tc>
            </w:tr>
          </w:tbl>
          <w:p>
            <w:pPr>
              <w:adjustRightInd w:val="0"/>
              <w:snapToGrid w:val="0"/>
              <w:spacing w:line="500" w:lineRule="exact"/>
              <w:ind w:firstLine="480" w:firstLineChars="200"/>
              <w:rPr>
                <w:sz w:val="24"/>
              </w:rPr>
            </w:pPr>
            <w:r>
              <w:rPr>
                <w:sz w:val="24"/>
              </w:rPr>
              <w:t>由上表可知，本项目项目名称、建设单位、建设地点、建设性质、建设规模、生产工艺、主要设备、总投资等均与备案一致，符合《产业结构调整指导目录（2019年本）》，故本项目拟建内容与备案基本相符。</w:t>
            </w:r>
          </w:p>
          <w:p>
            <w:pPr>
              <w:adjustRightInd w:val="0"/>
              <w:snapToGrid w:val="0"/>
              <w:spacing w:line="500" w:lineRule="exact"/>
              <w:ind w:firstLine="480" w:firstLineChars="200"/>
              <w:rPr>
                <w:sz w:val="24"/>
              </w:rPr>
            </w:pPr>
            <w:r>
              <w:rPr>
                <w:rFonts w:hint="eastAsia"/>
                <w:sz w:val="24"/>
              </w:rPr>
              <w:t>4.</w:t>
            </w:r>
            <w:r>
              <w:rPr>
                <w:sz w:val="24"/>
              </w:rPr>
              <w:t>项目地理位置及周边环境概况</w:t>
            </w:r>
          </w:p>
          <w:p>
            <w:pPr>
              <w:adjustRightInd w:val="0"/>
              <w:snapToGrid w:val="0"/>
              <w:spacing w:line="500" w:lineRule="exact"/>
              <w:ind w:firstLine="480" w:firstLineChars="200"/>
              <w:rPr>
                <w:sz w:val="24"/>
              </w:rPr>
            </w:pPr>
            <w:r>
              <w:rPr>
                <w:rFonts w:hint="eastAsia"/>
                <w:sz w:val="24"/>
              </w:rPr>
              <w:t>本</w:t>
            </w:r>
            <w:r>
              <w:rPr>
                <w:sz w:val="24"/>
              </w:rPr>
              <w:t>项目选址位于</w:t>
            </w:r>
            <w:r>
              <w:rPr>
                <w:rFonts w:hint="eastAsia"/>
                <w:sz w:val="24"/>
              </w:rPr>
              <w:t>新乡市新乡县朗公庙镇曲水村北</w:t>
            </w:r>
            <w:r>
              <w:rPr>
                <w:sz w:val="24"/>
              </w:rPr>
              <w:t>，</w:t>
            </w:r>
            <w:r>
              <w:rPr>
                <w:rFonts w:hint="eastAsia"/>
                <w:sz w:val="24"/>
              </w:rPr>
              <w:t>在现有厂区内进行扩建，</w:t>
            </w:r>
            <w:r>
              <w:rPr>
                <w:sz w:val="24"/>
              </w:rPr>
              <w:t>项目所在位置周边环境：</w:t>
            </w:r>
            <w:r>
              <w:rPr>
                <w:rFonts w:hint="eastAsia"/>
                <w:sz w:val="24"/>
              </w:rPr>
              <w:t>东侧为恒宇路，隔路为巨强封头，南侧为农田，西侧为新乡市宏阳防水材料有限公司，北侧为新乡市恒宇机械振动有限责任公司。距离本项目较近的敏感点有：西南侧280m的杨街村、东南侧310m的曲水村，距离项目最近的地表水体为南侧约700m的三干渠。</w:t>
            </w:r>
            <w:r>
              <w:rPr>
                <w:sz w:val="24"/>
              </w:rPr>
              <w:t>本项目具体地理位置图详见附图一，周边环境关系示意图见附图</w:t>
            </w:r>
            <w:r>
              <w:rPr>
                <w:rFonts w:hint="eastAsia"/>
                <w:sz w:val="24"/>
              </w:rPr>
              <w:t>二、三</w:t>
            </w:r>
            <w:r>
              <w:rPr>
                <w:sz w:val="24"/>
              </w:rPr>
              <w:t>。</w:t>
            </w:r>
          </w:p>
          <w:p>
            <w:pPr>
              <w:autoSpaceDE w:val="0"/>
              <w:autoSpaceDN w:val="0"/>
              <w:adjustRightInd w:val="0"/>
              <w:snapToGrid w:val="0"/>
              <w:spacing w:line="500" w:lineRule="exact"/>
              <w:ind w:firstLine="480" w:firstLineChars="200"/>
              <w:rPr>
                <w:sz w:val="24"/>
              </w:rPr>
            </w:pPr>
            <w:r>
              <w:rPr>
                <w:rFonts w:hint="eastAsia"/>
                <w:sz w:val="24"/>
              </w:rPr>
              <w:t>5.</w:t>
            </w:r>
            <w:r>
              <w:rPr>
                <w:sz w:val="24"/>
              </w:rPr>
              <w:t>项目规划相符性分析</w:t>
            </w:r>
          </w:p>
          <w:p>
            <w:pPr>
              <w:adjustRightInd w:val="0"/>
              <w:snapToGrid w:val="0"/>
              <w:spacing w:line="500" w:lineRule="exact"/>
              <w:ind w:firstLine="480" w:firstLineChars="200"/>
              <w:rPr>
                <w:sz w:val="24"/>
              </w:rPr>
            </w:pPr>
            <w:r>
              <w:rPr>
                <w:sz w:val="24"/>
              </w:rPr>
              <w:t>根据</w:t>
            </w:r>
            <w:r>
              <w:rPr>
                <w:rFonts w:hint="eastAsia"/>
                <w:sz w:val="24"/>
              </w:rPr>
              <w:t>新乡县朗公庙镇人民政府</w:t>
            </w:r>
            <w:r>
              <w:rPr>
                <w:sz w:val="24"/>
              </w:rPr>
              <w:t>出具的证明（见附件3），“新乡市天华科技有限公司</w:t>
            </w:r>
            <w:r>
              <w:rPr>
                <w:rFonts w:hint="eastAsia"/>
                <w:sz w:val="24"/>
              </w:rPr>
              <w:t>扩建</w:t>
            </w:r>
            <w:r>
              <w:rPr>
                <w:sz w:val="24"/>
              </w:rPr>
              <w:t>年产</w:t>
            </w:r>
            <w:r>
              <w:rPr>
                <w:rFonts w:hint="eastAsia"/>
                <w:sz w:val="24"/>
              </w:rPr>
              <w:t>300台</w:t>
            </w:r>
            <w:r>
              <w:rPr>
                <w:sz w:val="24"/>
              </w:rPr>
              <w:t>振动</w:t>
            </w:r>
            <w:r>
              <w:rPr>
                <w:rFonts w:hint="eastAsia"/>
                <w:sz w:val="24"/>
              </w:rPr>
              <w:t>输送设备</w:t>
            </w:r>
            <w:r>
              <w:rPr>
                <w:sz w:val="24"/>
              </w:rPr>
              <w:t>项目”位于</w:t>
            </w:r>
            <w:r>
              <w:rPr>
                <w:rFonts w:hint="eastAsia"/>
                <w:sz w:val="24"/>
              </w:rPr>
              <w:t>新乡县朗公庙镇曲水村北</w:t>
            </w:r>
            <w:r>
              <w:rPr>
                <w:sz w:val="24"/>
              </w:rPr>
              <w:t>，</w:t>
            </w:r>
            <w:r>
              <w:rPr>
                <w:rFonts w:hint="eastAsia"/>
                <w:sz w:val="24"/>
              </w:rPr>
              <w:t>利用现有厂房，不新占用地，厂址符合朗公庙镇总体发展规划、土地利用规划和产业发展规划。</w:t>
            </w:r>
          </w:p>
          <w:p>
            <w:pPr>
              <w:pStyle w:val="2"/>
              <w:adjustRightInd w:val="0"/>
              <w:snapToGrid w:val="0"/>
              <w:spacing w:line="500" w:lineRule="exact"/>
              <w:ind w:firstLine="480" w:firstLineChars="200"/>
              <w:jc w:val="left"/>
              <w:rPr>
                <w:b w:val="0"/>
                <w:bCs w:val="0"/>
              </w:rPr>
            </w:pPr>
            <w:r>
              <w:rPr>
                <w:b w:val="0"/>
                <w:bCs w:val="0"/>
              </w:rPr>
              <w:t>综上，本项目选址符合</w:t>
            </w:r>
            <w:r>
              <w:rPr>
                <w:rFonts w:hint="eastAsia"/>
                <w:b w:val="0"/>
                <w:bCs w:val="0"/>
              </w:rPr>
              <w:t>新乡县朗公庙镇</w:t>
            </w:r>
            <w:r>
              <w:rPr>
                <w:b w:val="0"/>
                <w:bCs w:val="0"/>
              </w:rPr>
              <w:t>规划，项目选址可行。</w:t>
            </w:r>
          </w:p>
          <w:p>
            <w:pPr>
              <w:adjustRightInd w:val="0"/>
              <w:snapToGrid w:val="0"/>
              <w:spacing w:line="500" w:lineRule="exact"/>
              <w:ind w:firstLine="480" w:firstLineChars="200"/>
              <w:rPr>
                <w:sz w:val="24"/>
              </w:rPr>
            </w:pPr>
            <w:r>
              <w:rPr>
                <w:rFonts w:hint="eastAsia"/>
                <w:sz w:val="24"/>
              </w:rPr>
              <w:t>6.项目</w:t>
            </w:r>
            <w:r>
              <w:rPr>
                <w:sz w:val="24"/>
              </w:rPr>
              <w:t>平面布置合理性分析</w:t>
            </w:r>
          </w:p>
          <w:p>
            <w:pPr>
              <w:adjustRightInd w:val="0"/>
              <w:snapToGrid w:val="0"/>
              <w:spacing w:line="500" w:lineRule="exact"/>
              <w:ind w:firstLine="480" w:firstLineChars="200"/>
              <w:rPr>
                <w:sz w:val="24"/>
              </w:rPr>
            </w:pPr>
            <w:r>
              <w:rPr>
                <w:rFonts w:hint="eastAsia"/>
                <w:sz w:val="24"/>
              </w:rPr>
              <w:t>本项目位于新乡市新乡县朗公庙镇曲水村北，项目生产车间三间，1号车间位于厂区中间，2号车间位于厂区西侧，3号车间紧邻2号车间且位于厂区南侧，办公楼位于厂区东北角，一般固废暂存间和危废暂存间位于厂区1号车间北侧，大门位于东侧，旱厕位于厂区东南角，门岗1座，停车位若干。整个项目设施布局紧凑，功能分区明确，布局合理。因此，项目生产车间总平面布置图详见附图三。</w:t>
            </w:r>
          </w:p>
          <w:p>
            <w:pPr>
              <w:adjustRightInd w:val="0"/>
              <w:snapToGrid w:val="0"/>
              <w:spacing w:line="500" w:lineRule="exact"/>
              <w:ind w:firstLine="480" w:firstLineChars="200"/>
              <w:rPr>
                <w:sz w:val="24"/>
              </w:rPr>
            </w:pPr>
            <w:r>
              <w:rPr>
                <w:rFonts w:hint="eastAsia"/>
                <w:sz w:val="24"/>
              </w:rPr>
              <w:t>7.</w:t>
            </w:r>
            <w:r>
              <w:rPr>
                <w:sz w:val="24"/>
              </w:rPr>
              <w:t>项目组成及建设内容</w:t>
            </w:r>
          </w:p>
          <w:p>
            <w:pPr>
              <w:adjustRightInd w:val="0"/>
              <w:snapToGrid w:val="0"/>
              <w:spacing w:line="500" w:lineRule="exact"/>
              <w:ind w:firstLine="480" w:firstLineChars="200"/>
              <w:rPr>
                <w:sz w:val="24"/>
              </w:rPr>
            </w:pPr>
            <w:r>
              <w:rPr>
                <w:rFonts w:hint="eastAsia"/>
                <w:sz w:val="24"/>
              </w:rPr>
              <w:t>本项目为新乡市天华科技有限公司扩建年产300台振动输送设备项目，建设内容主要包括主体工程、公用工程和环保工程，主要建设内容详见表3。</w:t>
            </w:r>
          </w:p>
          <w:p>
            <w:pPr>
              <w:autoSpaceDE w:val="0"/>
              <w:autoSpaceDN w:val="0"/>
              <w:adjustRightInd w:val="0"/>
              <w:snapToGrid w:val="0"/>
              <w:spacing w:line="400" w:lineRule="exact"/>
              <w:ind w:left="420"/>
              <w:rPr>
                <w:b/>
                <w:sz w:val="24"/>
              </w:rPr>
            </w:pPr>
            <w:r>
              <w:rPr>
                <w:b/>
                <w:sz w:val="24"/>
              </w:rPr>
              <w:t>表</w:t>
            </w:r>
            <w:r>
              <w:rPr>
                <w:rFonts w:hint="eastAsia"/>
                <w:b/>
                <w:sz w:val="24"/>
              </w:rPr>
              <w:t>3</w:t>
            </w:r>
            <w:r>
              <w:rPr>
                <w:b/>
                <w:sz w:val="24"/>
              </w:rPr>
              <w:t xml:space="preserve">                        项目建设规模及内容一览表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autofit"/>
              <w:tblCellMar>
                <w:top w:w="0" w:type="dxa"/>
                <w:left w:w="0" w:type="dxa"/>
                <w:bottom w:w="0" w:type="dxa"/>
                <w:right w:w="0" w:type="dxa"/>
              </w:tblCellMar>
            </w:tblPr>
            <w:tblGrid>
              <w:gridCol w:w="1387"/>
              <w:gridCol w:w="1997"/>
              <w:gridCol w:w="6876"/>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exact"/>
                <w:tblHeader/>
                <w:jc w:val="center"/>
              </w:trPr>
              <w:tc>
                <w:tcPr>
                  <w:tcW w:w="676" w:type="pct"/>
                  <w:tcBorders>
                    <w:top w:val="single" w:color="auto" w:sz="12" w:space="0"/>
                    <w:left w:val="nil"/>
                    <w:bottom w:val="single" w:color="auto" w:sz="4" w:space="0"/>
                    <w:right w:val="single" w:color="auto" w:sz="6" w:space="0"/>
                  </w:tcBorders>
                  <w:vAlign w:val="center"/>
                </w:tcPr>
                <w:p>
                  <w:pPr>
                    <w:autoSpaceDE w:val="0"/>
                    <w:autoSpaceDN w:val="0"/>
                    <w:adjustRightInd w:val="0"/>
                    <w:jc w:val="center"/>
                    <w:rPr>
                      <w:b/>
                      <w:sz w:val="24"/>
                    </w:rPr>
                  </w:pPr>
                  <w:r>
                    <w:rPr>
                      <w:b/>
                      <w:sz w:val="24"/>
                    </w:rPr>
                    <w:t>项目组成</w:t>
                  </w:r>
                </w:p>
              </w:tc>
              <w:tc>
                <w:tcPr>
                  <w:tcW w:w="973" w:type="pct"/>
                  <w:tcBorders>
                    <w:top w:val="single" w:color="auto" w:sz="12" w:space="0"/>
                    <w:left w:val="single" w:color="auto" w:sz="6" w:space="0"/>
                    <w:bottom w:val="single" w:color="auto" w:sz="4" w:space="0"/>
                    <w:right w:val="single" w:color="auto" w:sz="6" w:space="0"/>
                  </w:tcBorders>
                  <w:vAlign w:val="center"/>
                </w:tcPr>
                <w:p>
                  <w:pPr>
                    <w:autoSpaceDE w:val="0"/>
                    <w:autoSpaceDN w:val="0"/>
                    <w:adjustRightInd w:val="0"/>
                    <w:jc w:val="center"/>
                    <w:rPr>
                      <w:b/>
                      <w:sz w:val="24"/>
                    </w:rPr>
                  </w:pPr>
                  <w:r>
                    <w:rPr>
                      <w:b/>
                      <w:sz w:val="24"/>
                    </w:rPr>
                    <w:t>主项名称</w:t>
                  </w:r>
                </w:p>
              </w:tc>
              <w:tc>
                <w:tcPr>
                  <w:tcW w:w="3351" w:type="pct"/>
                  <w:tcBorders>
                    <w:top w:val="single" w:color="auto" w:sz="12" w:space="0"/>
                    <w:left w:val="single" w:color="auto" w:sz="6" w:space="0"/>
                    <w:bottom w:val="single" w:color="auto" w:sz="4" w:space="0"/>
                    <w:right w:val="nil"/>
                  </w:tcBorders>
                  <w:vAlign w:val="center"/>
                </w:tcPr>
                <w:p>
                  <w:pPr>
                    <w:autoSpaceDE w:val="0"/>
                    <w:autoSpaceDN w:val="0"/>
                    <w:adjustRightInd w:val="0"/>
                    <w:jc w:val="center"/>
                    <w:rPr>
                      <w:b/>
                      <w:sz w:val="24"/>
                    </w:rPr>
                  </w:pPr>
                  <w:r>
                    <w:rPr>
                      <w:b/>
                      <w:sz w:val="24"/>
                    </w:rPr>
                    <w:t>建设内容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exact"/>
                <w:jc w:val="center"/>
              </w:trPr>
              <w:tc>
                <w:tcPr>
                  <w:tcW w:w="676" w:type="pct"/>
                  <w:tcBorders>
                    <w:top w:val="single" w:color="auto" w:sz="4" w:space="0"/>
                    <w:left w:val="nil"/>
                    <w:bottom w:val="single" w:color="auto" w:sz="4" w:space="0"/>
                    <w:right w:val="single" w:color="auto" w:sz="6" w:space="0"/>
                  </w:tcBorders>
                  <w:vAlign w:val="center"/>
                </w:tcPr>
                <w:p>
                  <w:pPr>
                    <w:autoSpaceDE w:val="0"/>
                    <w:autoSpaceDN w:val="0"/>
                    <w:adjustRightInd w:val="0"/>
                    <w:jc w:val="center"/>
                    <w:rPr>
                      <w:sz w:val="24"/>
                    </w:rPr>
                  </w:pPr>
                  <w:r>
                    <w:rPr>
                      <w:sz w:val="24"/>
                    </w:rPr>
                    <w:t>主体工程</w:t>
                  </w:r>
                </w:p>
              </w:tc>
              <w:tc>
                <w:tcPr>
                  <w:tcW w:w="973"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sz w:val="24"/>
                    </w:rPr>
                  </w:pPr>
                  <w:r>
                    <w:rPr>
                      <w:sz w:val="24"/>
                    </w:rPr>
                    <w:t>生产车间</w:t>
                  </w:r>
                </w:p>
              </w:tc>
              <w:tc>
                <w:tcPr>
                  <w:tcW w:w="3351" w:type="pct"/>
                  <w:tcBorders>
                    <w:top w:val="single" w:color="auto" w:sz="4" w:space="0"/>
                    <w:left w:val="single" w:color="auto" w:sz="6" w:space="0"/>
                    <w:bottom w:val="single" w:color="auto" w:sz="4" w:space="0"/>
                    <w:right w:val="nil"/>
                  </w:tcBorders>
                  <w:vAlign w:val="center"/>
                </w:tcPr>
                <w:p>
                  <w:pPr>
                    <w:autoSpaceDE w:val="0"/>
                    <w:autoSpaceDN w:val="0"/>
                    <w:adjustRightInd w:val="0"/>
                    <w:ind w:firstLine="120" w:firstLineChars="50"/>
                    <w:jc w:val="center"/>
                    <w:rPr>
                      <w:sz w:val="24"/>
                    </w:rPr>
                  </w:pPr>
                  <w:r>
                    <w:rPr>
                      <w:rFonts w:hint="eastAsia"/>
                      <w:sz w:val="24"/>
                    </w:rPr>
                    <w:t>1间位于3号车间，占地面积700m</w:t>
                  </w:r>
                  <w:r>
                    <w:rPr>
                      <w:rFonts w:hint="eastAsia"/>
                      <w:sz w:val="24"/>
                      <w:vertAlign w:val="super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exact"/>
                <w:jc w:val="center"/>
              </w:trPr>
              <w:tc>
                <w:tcPr>
                  <w:tcW w:w="676" w:type="pct"/>
                  <w:vMerge w:val="restart"/>
                  <w:tcBorders>
                    <w:top w:val="single" w:color="auto" w:sz="4" w:space="0"/>
                    <w:left w:val="nil"/>
                    <w:bottom w:val="single" w:color="auto" w:sz="4" w:space="0"/>
                    <w:right w:val="single" w:color="auto" w:sz="6" w:space="0"/>
                  </w:tcBorders>
                  <w:vAlign w:val="center"/>
                </w:tcPr>
                <w:p>
                  <w:pPr>
                    <w:autoSpaceDE w:val="0"/>
                    <w:autoSpaceDN w:val="0"/>
                    <w:adjustRightInd w:val="0"/>
                    <w:jc w:val="center"/>
                    <w:rPr>
                      <w:sz w:val="24"/>
                    </w:rPr>
                  </w:pPr>
                  <w:r>
                    <w:rPr>
                      <w:sz w:val="24"/>
                    </w:rPr>
                    <w:t>公用工程</w:t>
                  </w:r>
                </w:p>
              </w:tc>
              <w:tc>
                <w:tcPr>
                  <w:tcW w:w="973"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sz w:val="24"/>
                    </w:rPr>
                  </w:pPr>
                  <w:r>
                    <w:rPr>
                      <w:sz w:val="24"/>
                    </w:rPr>
                    <w:t>给水工程</w:t>
                  </w:r>
                </w:p>
              </w:tc>
              <w:tc>
                <w:tcPr>
                  <w:tcW w:w="3351" w:type="pct"/>
                  <w:tcBorders>
                    <w:top w:val="single" w:color="auto" w:sz="4" w:space="0"/>
                    <w:left w:val="single" w:color="auto" w:sz="6" w:space="0"/>
                    <w:bottom w:val="single" w:color="auto" w:sz="4" w:space="0"/>
                    <w:right w:val="nil"/>
                  </w:tcBorders>
                  <w:vAlign w:val="center"/>
                </w:tcPr>
                <w:p>
                  <w:pPr>
                    <w:spacing w:line="360" w:lineRule="exact"/>
                    <w:jc w:val="center"/>
                    <w:rPr>
                      <w:sz w:val="24"/>
                    </w:rPr>
                  </w:pPr>
                  <w:r>
                    <w:rPr>
                      <w:rFonts w:hint="eastAsia"/>
                      <w:sz w:val="24"/>
                    </w:rPr>
                    <w:t>依托现有工程，厂区自备井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exact"/>
                <w:jc w:val="center"/>
              </w:trPr>
              <w:tc>
                <w:tcPr>
                  <w:tcW w:w="676" w:type="pct"/>
                  <w:vMerge w:val="continue"/>
                  <w:tcBorders>
                    <w:top w:val="single" w:color="auto" w:sz="4" w:space="0"/>
                    <w:left w:val="nil"/>
                    <w:bottom w:val="single" w:color="auto" w:sz="4" w:space="0"/>
                    <w:right w:val="single" w:color="auto" w:sz="6" w:space="0"/>
                  </w:tcBorders>
                  <w:vAlign w:val="center"/>
                </w:tcPr>
                <w:p>
                  <w:pPr>
                    <w:widowControl/>
                    <w:jc w:val="left"/>
                    <w:rPr>
                      <w:sz w:val="24"/>
                    </w:rPr>
                  </w:pPr>
                </w:p>
              </w:tc>
              <w:tc>
                <w:tcPr>
                  <w:tcW w:w="973"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sz w:val="24"/>
                    </w:rPr>
                  </w:pPr>
                  <w:r>
                    <w:rPr>
                      <w:sz w:val="24"/>
                    </w:rPr>
                    <w:t>排水工程</w:t>
                  </w:r>
                </w:p>
              </w:tc>
              <w:tc>
                <w:tcPr>
                  <w:tcW w:w="3351" w:type="pct"/>
                  <w:tcBorders>
                    <w:top w:val="single" w:color="auto" w:sz="4" w:space="0"/>
                    <w:left w:val="single" w:color="auto" w:sz="6" w:space="0"/>
                    <w:bottom w:val="single" w:color="auto" w:sz="4" w:space="0"/>
                    <w:right w:val="nil"/>
                  </w:tcBorders>
                  <w:vAlign w:val="center"/>
                </w:tcPr>
                <w:p>
                  <w:pPr>
                    <w:autoSpaceDE w:val="0"/>
                    <w:autoSpaceDN w:val="0"/>
                    <w:adjustRightInd w:val="0"/>
                    <w:ind w:left="240" w:hanging="240" w:hangingChars="100"/>
                    <w:jc w:val="center"/>
                    <w:rPr>
                      <w:sz w:val="24"/>
                    </w:rPr>
                  </w:pPr>
                  <w:r>
                    <w:rPr>
                      <w:rFonts w:hint="eastAsia"/>
                      <w:sz w:val="24"/>
                    </w:rPr>
                    <w:t>依托厂区现有套化粪池处理后，定期清运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exact"/>
                <w:jc w:val="center"/>
              </w:trPr>
              <w:tc>
                <w:tcPr>
                  <w:tcW w:w="676" w:type="pct"/>
                  <w:vMerge w:val="continue"/>
                  <w:tcBorders>
                    <w:top w:val="single" w:color="auto" w:sz="4" w:space="0"/>
                    <w:left w:val="nil"/>
                    <w:bottom w:val="single" w:color="auto" w:sz="4" w:space="0"/>
                    <w:right w:val="single" w:color="auto" w:sz="6" w:space="0"/>
                  </w:tcBorders>
                  <w:vAlign w:val="center"/>
                </w:tcPr>
                <w:p>
                  <w:pPr>
                    <w:widowControl/>
                    <w:jc w:val="left"/>
                    <w:rPr>
                      <w:sz w:val="24"/>
                    </w:rPr>
                  </w:pPr>
                </w:p>
              </w:tc>
              <w:tc>
                <w:tcPr>
                  <w:tcW w:w="973"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sz w:val="24"/>
                    </w:rPr>
                  </w:pPr>
                  <w:r>
                    <w:rPr>
                      <w:sz w:val="24"/>
                    </w:rPr>
                    <w:t>供电工程</w:t>
                  </w:r>
                </w:p>
              </w:tc>
              <w:tc>
                <w:tcPr>
                  <w:tcW w:w="3351" w:type="pct"/>
                  <w:tcBorders>
                    <w:top w:val="single" w:color="auto" w:sz="4" w:space="0"/>
                    <w:left w:val="single" w:color="auto" w:sz="6" w:space="0"/>
                    <w:bottom w:val="single" w:color="auto" w:sz="4" w:space="0"/>
                    <w:right w:val="nil"/>
                  </w:tcBorders>
                  <w:vAlign w:val="center"/>
                </w:tcPr>
                <w:p>
                  <w:pPr>
                    <w:autoSpaceDE w:val="0"/>
                    <w:autoSpaceDN w:val="0"/>
                    <w:adjustRightInd w:val="0"/>
                    <w:ind w:firstLine="240" w:firstLineChars="100"/>
                    <w:jc w:val="center"/>
                    <w:rPr>
                      <w:sz w:val="24"/>
                    </w:rPr>
                  </w:pPr>
                  <w:r>
                    <w:rPr>
                      <w:rFonts w:hint="eastAsia"/>
                      <w:sz w:val="24"/>
                    </w:rPr>
                    <w:t>依托现有供电系统，由当地电网供给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exact"/>
                <w:jc w:val="center"/>
              </w:trPr>
              <w:tc>
                <w:tcPr>
                  <w:tcW w:w="676" w:type="pct"/>
                  <w:vMerge w:val="restart"/>
                  <w:tcBorders>
                    <w:top w:val="single" w:color="auto" w:sz="4" w:space="0"/>
                    <w:left w:val="nil"/>
                    <w:bottom w:val="single" w:color="auto" w:sz="12" w:space="0"/>
                    <w:right w:val="single" w:color="auto" w:sz="6" w:space="0"/>
                  </w:tcBorders>
                  <w:vAlign w:val="center"/>
                </w:tcPr>
                <w:p>
                  <w:pPr>
                    <w:autoSpaceDE w:val="0"/>
                    <w:autoSpaceDN w:val="0"/>
                    <w:adjustRightInd w:val="0"/>
                    <w:jc w:val="center"/>
                    <w:rPr>
                      <w:sz w:val="24"/>
                    </w:rPr>
                  </w:pPr>
                  <w:r>
                    <w:rPr>
                      <w:sz w:val="24"/>
                    </w:rPr>
                    <w:t>环保工程</w:t>
                  </w:r>
                </w:p>
              </w:tc>
              <w:tc>
                <w:tcPr>
                  <w:tcW w:w="973"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sz w:val="24"/>
                    </w:rPr>
                  </w:pPr>
                  <w:r>
                    <w:rPr>
                      <w:sz w:val="24"/>
                    </w:rPr>
                    <w:t>废水治理</w:t>
                  </w:r>
                </w:p>
              </w:tc>
              <w:tc>
                <w:tcPr>
                  <w:tcW w:w="3351" w:type="pct"/>
                  <w:tcBorders>
                    <w:top w:val="single" w:color="auto" w:sz="4" w:space="0"/>
                    <w:left w:val="single" w:color="auto" w:sz="6" w:space="0"/>
                    <w:bottom w:val="single" w:color="auto" w:sz="4" w:space="0"/>
                    <w:right w:val="nil"/>
                  </w:tcBorders>
                  <w:vAlign w:val="center"/>
                </w:tcPr>
                <w:p>
                  <w:pPr>
                    <w:autoSpaceDE w:val="0"/>
                    <w:autoSpaceDN w:val="0"/>
                    <w:adjustRightInd w:val="0"/>
                    <w:jc w:val="center"/>
                    <w:rPr>
                      <w:sz w:val="24"/>
                    </w:rPr>
                  </w:pPr>
                  <w:r>
                    <w:rPr>
                      <w:sz w:val="24"/>
                    </w:rPr>
                    <w:t>生活污水</w:t>
                  </w:r>
                  <w:r>
                    <w:rPr>
                      <w:rFonts w:hint="eastAsia"/>
                      <w:sz w:val="24"/>
                    </w:rPr>
                    <w:t>依托厂区现有化粪池处理后，定期清运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atLeast"/>
                <w:jc w:val="center"/>
              </w:trPr>
              <w:tc>
                <w:tcPr>
                  <w:tcW w:w="676" w:type="pct"/>
                  <w:vMerge w:val="continue"/>
                  <w:tcBorders>
                    <w:top w:val="single" w:color="auto" w:sz="4" w:space="0"/>
                    <w:left w:val="nil"/>
                    <w:bottom w:val="single" w:color="auto" w:sz="12" w:space="0"/>
                    <w:right w:val="single" w:color="auto" w:sz="6" w:space="0"/>
                  </w:tcBorders>
                  <w:vAlign w:val="center"/>
                </w:tcPr>
                <w:p>
                  <w:pPr>
                    <w:autoSpaceDE w:val="0"/>
                    <w:autoSpaceDN w:val="0"/>
                    <w:adjustRightInd w:val="0"/>
                    <w:jc w:val="center"/>
                    <w:rPr>
                      <w:sz w:val="24"/>
                    </w:rPr>
                  </w:pPr>
                </w:p>
              </w:tc>
              <w:tc>
                <w:tcPr>
                  <w:tcW w:w="973"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sz w:val="24"/>
                    </w:rPr>
                  </w:pPr>
                  <w:r>
                    <w:rPr>
                      <w:rFonts w:hint="eastAsia"/>
                      <w:sz w:val="24"/>
                    </w:rPr>
                    <w:t>废气治理</w:t>
                  </w:r>
                </w:p>
              </w:tc>
              <w:tc>
                <w:tcPr>
                  <w:tcW w:w="3351" w:type="pct"/>
                  <w:tcBorders>
                    <w:top w:val="single" w:color="auto" w:sz="4" w:space="0"/>
                    <w:left w:val="single" w:color="auto" w:sz="6" w:space="0"/>
                    <w:bottom w:val="single" w:color="auto" w:sz="4" w:space="0"/>
                    <w:right w:val="nil"/>
                  </w:tcBorders>
                  <w:vAlign w:val="center"/>
                </w:tcPr>
                <w:p>
                  <w:pPr>
                    <w:autoSpaceDE w:val="0"/>
                    <w:autoSpaceDN w:val="0"/>
                    <w:adjustRightInd w:val="0"/>
                    <w:jc w:val="left"/>
                    <w:rPr>
                      <w:sz w:val="24"/>
                    </w:rPr>
                  </w:pPr>
                  <w:r>
                    <w:rPr>
                      <w:rFonts w:hint="eastAsia"/>
                      <w:sz w:val="24"/>
                    </w:rPr>
                    <w:t>设置固定的切割和焊接区域，切割粉尘和焊接烟尘由集气罩收集后经1套袋式除尘器处理，处理达标后由1根15m高排气筒排放；无法固定焊接区域的焊接烟尘设置移动式焊接烟尘净化器处理后车间排放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exact"/>
                <w:jc w:val="center"/>
              </w:trPr>
              <w:tc>
                <w:tcPr>
                  <w:tcW w:w="676" w:type="pct"/>
                  <w:vMerge w:val="continue"/>
                  <w:tcBorders>
                    <w:top w:val="single" w:color="auto" w:sz="4" w:space="0"/>
                    <w:left w:val="nil"/>
                    <w:bottom w:val="single" w:color="auto" w:sz="12" w:space="0"/>
                    <w:right w:val="single" w:color="auto" w:sz="6" w:space="0"/>
                  </w:tcBorders>
                  <w:vAlign w:val="center"/>
                </w:tcPr>
                <w:p>
                  <w:pPr>
                    <w:widowControl/>
                    <w:jc w:val="left"/>
                    <w:rPr>
                      <w:sz w:val="24"/>
                    </w:rPr>
                  </w:pPr>
                </w:p>
              </w:tc>
              <w:tc>
                <w:tcPr>
                  <w:tcW w:w="973" w:type="pct"/>
                  <w:vMerge w:val="restar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sz w:val="24"/>
                    </w:rPr>
                  </w:pPr>
                  <w:r>
                    <w:rPr>
                      <w:sz w:val="24"/>
                    </w:rPr>
                    <w:t>固废治理</w:t>
                  </w:r>
                </w:p>
              </w:tc>
              <w:tc>
                <w:tcPr>
                  <w:tcW w:w="3351" w:type="pct"/>
                  <w:tcBorders>
                    <w:top w:val="single" w:color="auto" w:sz="4" w:space="0"/>
                    <w:left w:val="single" w:color="auto" w:sz="6" w:space="0"/>
                    <w:bottom w:val="single" w:color="auto" w:sz="4" w:space="0"/>
                    <w:right w:val="nil"/>
                  </w:tcBorders>
                  <w:vAlign w:val="center"/>
                </w:tcPr>
                <w:p>
                  <w:pPr>
                    <w:spacing w:line="360" w:lineRule="exact"/>
                    <w:jc w:val="center"/>
                    <w:rPr>
                      <w:sz w:val="24"/>
                    </w:rPr>
                  </w:pPr>
                  <w:r>
                    <w:rPr>
                      <w:rFonts w:hint="eastAsia"/>
                      <w:sz w:val="24"/>
                    </w:rPr>
                    <w:t>依托现有工程</w:t>
                  </w:r>
                  <w:r>
                    <w:rPr>
                      <w:sz w:val="24"/>
                    </w:rPr>
                    <w:t>一般固废暂存间</w:t>
                  </w:r>
                  <w:r>
                    <w:rPr>
                      <w:rFonts w:hint="eastAsia"/>
                      <w:sz w:val="24"/>
                    </w:rPr>
                    <w:t>（10m</w:t>
                  </w:r>
                  <w:r>
                    <w:rPr>
                      <w:rFonts w:hint="eastAsia"/>
                      <w:sz w:val="24"/>
                      <w:vertAlign w:val="superscript"/>
                    </w:rPr>
                    <w:t>2</w:t>
                  </w:r>
                  <w:r>
                    <w:rPr>
                      <w:rFonts w:hint="eastAsia"/>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exact"/>
                <w:jc w:val="center"/>
              </w:trPr>
              <w:tc>
                <w:tcPr>
                  <w:tcW w:w="676" w:type="pct"/>
                  <w:vMerge w:val="continue"/>
                  <w:tcBorders>
                    <w:top w:val="single" w:color="auto" w:sz="4" w:space="0"/>
                    <w:left w:val="nil"/>
                    <w:bottom w:val="single" w:color="auto" w:sz="12" w:space="0"/>
                    <w:right w:val="single" w:color="auto" w:sz="6" w:space="0"/>
                  </w:tcBorders>
                  <w:vAlign w:val="center"/>
                </w:tcPr>
                <w:p>
                  <w:pPr>
                    <w:widowControl/>
                    <w:jc w:val="left"/>
                    <w:rPr>
                      <w:sz w:val="24"/>
                    </w:rPr>
                  </w:pPr>
                </w:p>
              </w:tc>
              <w:tc>
                <w:tcPr>
                  <w:tcW w:w="973" w:type="pct"/>
                  <w:vMerge w:val="continue"/>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sz w:val="24"/>
                    </w:rPr>
                  </w:pPr>
                </w:p>
              </w:tc>
              <w:tc>
                <w:tcPr>
                  <w:tcW w:w="3351" w:type="pct"/>
                  <w:tcBorders>
                    <w:top w:val="single" w:color="auto" w:sz="4" w:space="0"/>
                    <w:left w:val="single" w:color="auto" w:sz="6" w:space="0"/>
                    <w:bottom w:val="single" w:color="auto" w:sz="4" w:space="0"/>
                    <w:right w:val="nil"/>
                  </w:tcBorders>
                  <w:vAlign w:val="center"/>
                </w:tcPr>
                <w:p>
                  <w:pPr>
                    <w:spacing w:line="360" w:lineRule="exact"/>
                    <w:jc w:val="center"/>
                    <w:rPr>
                      <w:sz w:val="24"/>
                    </w:rPr>
                  </w:pPr>
                  <w:r>
                    <w:rPr>
                      <w:rFonts w:hint="eastAsia"/>
                      <w:sz w:val="24"/>
                    </w:rPr>
                    <w:t>依托现有工程危废暂存间（5m</w:t>
                  </w:r>
                  <w:r>
                    <w:rPr>
                      <w:rFonts w:hint="eastAsia"/>
                      <w:sz w:val="24"/>
                      <w:vertAlign w:val="superscript"/>
                    </w:rPr>
                    <w:t>2</w:t>
                  </w:r>
                  <w:r>
                    <w:rPr>
                      <w:rFonts w:hint="eastAsia"/>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exact"/>
                <w:jc w:val="center"/>
              </w:trPr>
              <w:tc>
                <w:tcPr>
                  <w:tcW w:w="676" w:type="pct"/>
                  <w:vMerge w:val="continue"/>
                  <w:tcBorders>
                    <w:top w:val="single" w:color="auto" w:sz="4" w:space="0"/>
                    <w:left w:val="nil"/>
                    <w:bottom w:val="single" w:color="auto" w:sz="12" w:space="0"/>
                    <w:right w:val="single" w:color="auto" w:sz="6" w:space="0"/>
                  </w:tcBorders>
                  <w:vAlign w:val="center"/>
                </w:tcPr>
                <w:p>
                  <w:pPr>
                    <w:widowControl/>
                    <w:jc w:val="left"/>
                    <w:rPr>
                      <w:sz w:val="24"/>
                    </w:rPr>
                  </w:pPr>
                </w:p>
              </w:tc>
              <w:tc>
                <w:tcPr>
                  <w:tcW w:w="973" w:type="pct"/>
                  <w:vMerge w:val="continue"/>
                  <w:tcBorders>
                    <w:top w:val="single" w:color="auto" w:sz="4" w:space="0"/>
                    <w:left w:val="single" w:color="auto" w:sz="6" w:space="0"/>
                    <w:bottom w:val="single" w:color="auto" w:sz="4" w:space="0"/>
                    <w:right w:val="single" w:color="auto" w:sz="6" w:space="0"/>
                  </w:tcBorders>
                  <w:vAlign w:val="center"/>
                </w:tcPr>
                <w:p>
                  <w:pPr>
                    <w:widowControl/>
                    <w:jc w:val="left"/>
                    <w:rPr>
                      <w:sz w:val="24"/>
                    </w:rPr>
                  </w:pPr>
                </w:p>
              </w:tc>
              <w:tc>
                <w:tcPr>
                  <w:tcW w:w="3351" w:type="pct"/>
                  <w:tcBorders>
                    <w:top w:val="single" w:color="auto" w:sz="4" w:space="0"/>
                    <w:left w:val="single" w:color="auto" w:sz="6" w:space="0"/>
                    <w:bottom w:val="single" w:color="auto" w:sz="4" w:space="0"/>
                    <w:right w:val="nil"/>
                  </w:tcBorders>
                  <w:vAlign w:val="center"/>
                </w:tcPr>
                <w:p>
                  <w:pPr>
                    <w:spacing w:line="360" w:lineRule="exact"/>
                    <w:jc w:val="center"/>
                    <w:rPr>
                      <w:sz w:val="24"/>
                    </w:rPr>
                  </w:pPr>
                  <w:r>
                    <w:rPr>
                      <w:sz w:val="24"/>
                    </w:rPr>
                    <w:t>生活垃圾收集后交由环卫部门统一清运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exact"/>
                <w:jc w:val="center"/>
              </w:trPr>
              <w:tc>
                <w:tcPr>
                  <w:tcW w:w="676" w:type="pct"/>
                  <w:vMerge w:val="continue"/>
                  <w:tcBorders>
                    <w:top w:val="single" w:color="auto" w:sz="4" w:space="0"/>
                    <w:left w:val="nil"/>
                    <w:bottom w:val="single" w:color="auto" w:sz="12" w:space="0"/>
                    <w:right w:val="single" w:color="auto" w:sz="6" w:space="0"/>
                  </w:tcBorders>
                  <w:vAlign w:val="center"/>
                </w:tcPr>
                <w:p>
                  <w:pPr>
                    <w:widowControl/>
                    <w:jc w:val="left"/>
                    <w:rPr>
                      <w:sz w:val="24"/>
                    </w:rPr>
                  </w:pPr>
                </w:p>
              </w:tc>
              <w:tc>
                <w:tcPr>
                  <w:tcW w:w="973" w:type="pct"/>
                  <w:tcBorders>
                    <w:top w:val="single" w:color="auto" w:sz="4" w:space="0"/>
                    <w:left w:val="single" w:color="auto" w:sz="6" w:space="0"/>
                    <w:bottom w:val="single" w:color="auto" w:sz="12" w:space="0"/>
                    <w:right w:val="single" w:color="auto" w:sz="6" w:space="0"/>
                  </w:tcBorders>
                  <w:vAlign w:val="center"/>
                </w:tcPr>
                <w:p>
                  <w:pPr>
                    <w:autoSpaceDE w:val="0"/>
                    <w:autoSpaceDN w:val="0"/>
                    <w:adjustRightInd w:val="0"/>
                    <w:jc w:val="center"/>
                    <w:rPr>
                      <w:sz w:val="24"/>
                    </w:rPr>
                  </w:pPr>
                  <w:r>
                    <w:rPr>
                      <w:sz w:val="24"/>
                    </w:rPr>
                    <w:t>噪声治理</w:t>
                  </w:r>
                </w:p>
              </w:tc>
              <w:tc>
                <w:tcPr>
                  <w:tcW w:w="3351" w:type="pct"/>
                  <w:tcBorders>
                    <w:top w:val="single" w:color="auto" w:sz="4" w:space="0"/>
                    <w:left w:val="single" w:color="auto" w:sz="6" w:space="0"/>
                    <w:bottom w:val="single" w:color="auto" w:sz="12" w:space="0"/>
                    <w:right w:val="nil"/>
                  </w:tcBorders>
                  <w:vAlign w:val="center"/>
                </w:tcPr>
                <w:p>
                  <w:pPr>
                    <w:autoSpaceDE w:val="0"/>
                    <w:autoSpaceDN w:val="0"/>
                    <w:adjustRightInd w:val="0"/>
                    <w:jc w:val="center"/>
                    <w:rPr>
                      <w:sz w:val="24"/>
                    </w:rPr>
                  </w:pPr>
                  <w:r>
                    <w:rPr>
                      <w:sz w:val="24"/>
                    </w:rPr>
                    <w:t>基础减振、隔声设施</w:t>
                  </w:r>
                </w:p>
              </w:tc>
            </w:tr>
          </w:tbl>
          <w:p>
            <w:pPr>
              <w:tabs>
                <w:tab w:val="left" w:pos="5247"/>
              </w:tabs>
              <w:adjustRightInd w:val="0"/>
              <w:snapToGrid w:val="0"/>
              <w:spacing w:line="500" w:lineRule="exact"/>
              <w:ind w:firstLine="480" w:firstLineChars="200"/>
              <w:rPr>
                <w:sz w:val="24"/>
              </w:rPr>
            </w:pPr>
            <w:r>
              <w:rPr>
                <w:sz w:val="24"/>
              </w:rPr>
              <w:t>8</w:t>
            </w:r>
            <w:r>
              <w:rPr>
                <w:rFonts w:hint="eastAsia"/>
                <w:sz w:val="24"/>
              </w:rPr>
              <w:t>.项目</w:t>
            </w:r>
            <w:r>
              <w:rPr>
                <w:sz w:val="24"/>
              </w:rPr>
              <w:t>产品方案</w:t>
            </w:r>
          </w:p>
          <w:p>
            <w:pPr>
              <w:tabs>
                <w:tab w:val="left" w:pos="5247"/>
              </w:tabs>
              <w:adjustRightInd w:val="0"/>
              <w:snapToGrid w:val="0"/>
              <w:spacing w:line="500" w:lineRule="exact"/>
              <w:ind w:firstLine="480" w:firstLineChars="200"/>
              <w:rPr>
                <w:sz w:val="24"/>
              </w:rPr>
            </w:pPr>
            <w:r>
              <w:rPr>
                <w:rFonts w:hint="eastAsia"/>
                <w:sz w:val="24"/>
              </w:rPr>
              <w:t>项目主要产品及年产量见表4。</w:t>
            </w:r>
          </w:p>
          <w:p>
            <w:pPr>
              <w:autoSpaceDE w:val="0"/>
              <w:autoSpaceDN w:val="0"/>
              <w:adjustRightInd w:val="0"/>
              <w:snapToGrid w:val="0"/>
              <w:spacing w:line="400" w:lineRule="exact"/>
              <w:ind w:left="420"/>
              <w:rPr>
                <w:sz w:val="24"/>
              </w:rPr>
            </w:pPr>
          </w:p>
          <w:p>
            <w:pPr>
              <w:autoSpaceDE w:val="0"/>
              <w:autoSpaceDN w:val="0"/>
              <w:adjustRightInd w:val="0"/>
              <w:snapToGrid w:val="0"/>
              <w:spacing w:line="400" w:lineRule="exact"/>
              <w:ind w:left="420"/>
              <w:rPr>
                <w:b/>
                <w:sz w:val="24"/>
              </w:rPr>
            </w:pPr>
            <w:r>
              <w:rPr>
                <w:b/>
                <w:sz w:val="24"/>
              </w:rPr>
              <w:t>表</w:t>
            </w:r>
            <w:r>
              <w:rPr>
                <w:rFonts w:hint="eastAsia"/>
                <w:b/>
                <w:sz w:val="24"/>
              </w:rPr>
              <w:t>4</w:t>
            </w:r>
            <w:r>
              <w:rPr>
                <w:b/>
                <w:sz w:val="24"/>
              </w:rPr>
              <w:t xml:space="preserve">                               </w:t>
            </w:r>
            <w:r>
              <w:rPr>
                <w:rFonts w:hint="eastAsia"/>
                <w:b/>
                <w:sz w:val="24"/>
              </w:rPr>
              <w:t>项目产品方案一览表</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860"/>
              <w:gridCol w:w="3437"/>
              <w:gridCol w:w="26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pct"/>
                  <w:tcBorders>
                    <w:top w:val="single" w:color="auto" w:sz="12" w:space="0"/>
                    <w:left w:val="nil"/>
                    <w:bottom w:val="single" w:color="auto" w:sz="4" w:space="0"/>
                    <w:right w:val="single" w:color="auto" w:sz="4" w:space="0"/>
                  </w:tcBorders>
                  <w:vAlign w:val="center"/>
                </w:tcPr>
                <w:p>
                  <w:pPr>
                    <w:spacing w:line="360" w:lineRule="exact"/>
                    <w:jc w:val="center"/>
                    <w:rPr>
                      <w:b/>
                      <w:sz w:val="24"/>
                    </w:rPr>
                  </w:pPr>
                  <w:r>
                    <w:rPr>
                      <w:b/>
                      <w:sz w:val="24"/>
                    </w:rPr>
                    <w:t>序号</w:t>
                  </w:r>
                </w:p>
              </w:tc>
              <w:tc>
                <w:tcPr>
                  <w:tcW w:w="1394" w:type="pct"/>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rPr>
                  </w:pPr>
                  <w:r>
                    <w:rPr>
                      <w:b/>
                      <w:sz w:val="24"/>
                    </w:rPr>
                    <w:t>产品名称</w:t>
                  </w:r>
                </w:p>
              </w:tc>
              <w:tc>
                <w:tcPr>
                  <w:tcW w:w="1675" w:type="pct"/>
                  <w:tcBorders>
                    <w:top w:val="single" w:color="auto" w:sz="12" w:space="0"/>
                    <w:left w:val="single" w:color="auto" w:sz="4" w:space="0"/>
                    <w:bottom w:val="single" w:color="auto" w:sz="4" w:space="0"/>
                    <w:right w:val="single" w:color="auto" w:sz="4" w:space="0"/>
                  </w:tcBorders>
                  <w:vAlign w:val="center"/>
                </w:tcPr>
                <w:p>
                  <w:pPr>
                    <w:spacing w:line="360" w:lineRule="exact"/>
                    <w:jc w:val="center"/>
                    <w:rPr>
                      <w:b/>
                      <w:sz w:val="24"/>
                    </w:rPr>
                  </w:pPr>
                  <w:r>
                    <w:rPr>
                      <w:b/>
                      <w:sz w:val="24"/>
                    </w:rPr>
                    <w:t>设计年产量（</w:t>
                  </w:r>
                  <w:r>
                    <w:rPr>
                      <w:rFonts w:hint="eastAsia"/>
                      <w:b/>
                      <w:sz w:val="24"/>
                    </w:rPr>
                    <w:t>台</w:t>
                  </w:r>
                  <w:r>
                    <w:rPr>
                      <w:b/>
                      <w:sz w:val="24"/>
                    </w:rPr>
                    <w:t>/</w:t>
                  </w:r>
                  <w:r>
                    <w:rPr>
                      <w:rFonts w:hint="eastAsia"/>
                      <w:b/>
                      <w:sz w:val="24"/>
                    </w:rPr>
                    <w:t>年</w:t>
                  </w:r>
                  <w:r>
                    <w:rPr>
                      <w:b/>
                      <w:sz w:val="24"/>
                    </w:rPr>
                    <w:t>）</w:t>
                  </w:r>
                </w:p>
              </w:tc>
              <w:tc>
                <w:tcPr>
                  <w:tcW w:w="1271" w:type="pct"/>
                  <w:tcBorders>
                    <w:top w:val="single" w:color="auto" w:sz="12" w:space="0"/>
                    <w:left w:val="single" w:color="auto" w:sz="4" w:space="0"/>
                    <w:bottom w:val="single" w:color="auto" w:sz="4" w:space="0"/>
                    <w:right w:val="nil"/>
                  </w:tcBorders>
                  <w:vAlign w:val="center"/>
                </w:tcPr>
                <w:p>
                  <w:pPr>
                    <w:spacing w:line="360" w:lineRule="exact"/>
                    <w:jc w:val="center"/>
                    <w:rPr>
                      <w:b/>
                      <w:sz w:val="24"/>
                    </w:rPr>
                  </w:pPr>
                  <w:r>
                    <w:rPr>
                      <w:b/>
                      <w:sz w:val="24"/>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pct"/>
                  <w:tcBorders>
                    <w:top w:val="single" w:color="auto" w:sz="4" w:space="0"/>
                    <w:left w:val="nil"/>
                    <w:bottom w:val="single" w:color="auto" w:sz="4" w:space="0"/>
                    <w:right w:val="single" w:color="auto" w:sz="4" w:space="0"/>
                  </w:tcBorders>
                  <w:vAlign w:val="center"/>
                </w:tcPr>
                <w:p>
                  <w:pPr>
                    <w:spacing w:line="360" w:lineRule="exact"/>
                    <w:jc w:val="center"/>
                    <w:rPr>
                      <w:sz w:val="24"/>
                    </w:rPr>
                  </w:pPr>
                  <w:r>
                    <w:rPr>
                      <w:sz w:val="24"/>
                    </w:rPr>
                    <w:t>1</w:t>
                  </w:r>
                </w:p>
              </w:tc>
              <w:tc>
                <w:tcPr>
                  <w:tcW w:w="139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rFonts w:hint="eastAsia"/>
                      <w:sz w:val="24"/>
                    </w:rPr>
                    <w:t>振动筛</w:t>
                  </w:r>
                </w:p>
              </w:tc>
              <w:tc>
                <w:tcPr>
                  <w:tcW w:w="167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rFonts w:hint="eastAsia"/>
                      <w:sz w:val="24"/>
                    </w:rPr>
                    <w:t>300</w:t>
                  </w:r>
                </w:p>
              </w:tc>
              <w:tc>
                <w:tcPr>
                  <w:tcW w:w="1271" w:type="pct"/>
                  <w:tcBorders>
                    <w:top w:val="single" w:color="auto" w:sz="4" w:space="0"/>
                    <w:left w:val="single" w:color="auto" w:sz="4" w:space="0"/>
                    <w:bottom w:val="single" w:color="auto" w:sz="4" w:space="0"/>
                    <w:right w:val="nil"/>
                  </w:tcBorders>
                  <w:vAlign w:val="center"/>
                </w:tcPr>
                <w:p>
                  <w:pPr>
                    <w:spacing w:line="360" w:lineRule="exact"/>
                    <w:jc w:val="center"/>
                    <w:rPr>
                      <w:sz w:val="24"/>
                    </w:rPr>
                  </w:pPr>
                  <w:r>
                    <w:rPr>
                      <w:rFonts w:hint="eastAsia"/>
                      <w:sz w:val="24"/>
                    </w:rPr>
                    <w:t>40m</w:t>
                  </w:r>
                  <w:r>
                    <w:rPr>
                      <w:rFonts w:hint="eastAsia"/>
                      <w:sz w:val="24"/>
                      <w:vertAlign w:val="superscript"/>
                    </w:rPr>
                    <w:t>2</w:t>
                  </w:r>
                  <w:r>
                    <w:rPr>
                      <w:rFonts w:hint="eastAsia"/>
                      <w:sz w:val="24"/>
                    </w:rPr>
                    <w:t>以上</w:t>
                  </w:r>
                </w:p>
              </w:tc>
            </w:tr>
          </w:tbl>
          <w:p>
            <w:pPr>
              <w:tabs>
                <w:tab w:val="left" w:pos="5247"/>
              </w:tabs>
              <w:adjustRightInd w:val="0"/>
              <w:snapToGrid w:val="0"/>
              <w:spacing w:line="500" w:lineRule="exact"/>
              <w:ind w:firstLine="480" w:firstLineChars="200"/>
              <w:rPr>
                <w:sz w:val="24"/>
              </w:rPr>
            </w:pPr>
            <w:r>
              <w:rPr>
                <w:rFonts w:hint="eastAsia"/>
                <w:sz w:val="24"/>
              </w:rPr>
              <w:t>9.项目</w:t>
            </w:r>
            <w:r>
              <w:rPr>
                <w:sz w:val="24"/>
              </w:rPr>
              <w:t>主要原辅材料</w:t>
            </w:r>
            <w:r>
              <w:rPr>
                <w:rFonts w:hint="eastAsia"/>
                <w:sz w:val="24"/>
              </w:rPr>
              <w:t>用量</w:t>
            </w:r>
          </w:p>
          <w:p>
            <w:pPr>
              <w:adjustRightInd w:val="0"/>
              <w:snapToGrid w:val="0"/>
              <w:spacing w:line="500" w:lineRule="exact"/>
              <w:ind w:firstLine="480" w:firstLineChars="200"/>
              <w:rPr>
                <w:sz w:val="24"/>
              </w:rPr>
            </w:pPr>
            <w:r>
              <w:rPr>
                <w:rFonts w:hint="eastAsia"/>
                <w:sz w:val="24"/>
              </w:rPr>
              <w:t>本项目</w:t>
            </w:r>
            <w:r>
              <w:rPr>
                <w:sz w:val="24"/>
              </w:rPr>
              <w:t>主要原辅材料与</w:t>
            </w:r>
            <w:r>
              <w:rPr>
                <w:rFonts w:hint="eastAsia"/>
                <w:sz w:val="24"/>
              </w:rPr>
              <w:t>能</w:t>
            </w:r>
            <w:r>
              <w:rPr>
                <w:sz w:val="24"/>
              </w:rPr>
              <w:t>源消耗见表</w:t>
            </w:r>
            <w:r>
              <w:rPr>
                <w:rFonts w:hint="eastAsia"/>
                <w:sz w:val="24"/>
              </w:rPr>
              <w:t>5。</w:t>
            </w:r>
          </w:p>
          <w:p>
            <w:pPr>
              <w:autoSpaceDE w:val="0"/>
              <w:autoSpaceDN w:val="0"/>
              <w:adjustRightInd w:val="0"/>
              <w:snapToGrid w:val="0"/>
              <w:spacing w:line="400" w:lineRule="exact"/>
              <w:ind w:left="420"/>
              <w:rPr>
                <w:b/>
                <w:sz w:val="24"/>
              </w:rPr>
            </w:pPr>
            <w:r>
              <w:rPr>
                <w:b/>
                <w:sz w:val="24"/>
              </w:rPr>
              <w:t>表</w:t>
            </w:r>
            <w:r>
              <w:rPr>
                <w:rFonts w:hint="eastAsia"/>
                <w:b/>
                <w:sz w:val="24"/>
              </w:rPr>
              <w:t xml:space="preserve">5 </w:t>
            </w:r>
            <w:r>
              <w:rPr>
                <w:b/>
                <w:sz w:val="24"/>
              </w:rPr>
              <w:t xml:space="preserve">     </w:t>
            </w:r>
            <w:r>
              <w:rPr>
                <w:rFonts w:hint="eastAsia"/>
                <w:b/>
                <w:sz w:val="24"/>
              </w:rPr>
              <w:t xml:space="preserve">              </w:t>
            </w:r>
            <w:r>
              <w:rPr>
                <w:b/>
                <w:sz w:val="24"/>
              </w:rPr>
              <w:t>项目主要原辅材料及能源消耗量</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594"/>
              <w:gridCol w:w="2171"/>
              <w:gridCol w:w="46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tcBorders>
                    <w:top w:val="single" w:color="auto" w:sz="12" w:space="0"/>
                    <w:left w:val="nil"/>
                    <w:bottom w:val="single" w:color="auto" w:sz="4" w:space="0"/>
                    <w:right w:val="single" w:color="auto" w:sz="4" w:space="0"/>
                  </w:tcBorders>
                  <w:vAlign w:val="center"/>
                </w:tcPr>
                <w:p>
                  <w:pPr>
                    <w:adjustRightInd w:val="0"/>
                    <w:snapToGrid w:val="0"/>
                    <w:spacing w:line="360" w:lineRule="exact"/>
                    <w:jc w:val="center"/>
                    <w:rPr>
                      <w:b/>
                      <w:sz w:val="24"/>
                    </w:rPr>
                  </w:pPr>
                  <w:r>
                    <w:rPr>
                      <w:b/>
                      <w:sz w:val="24"/>
                    </w:rPr>
                    <w:t>序号</w:t>
                  </w:r>
                </w:p>
              </w:tc>
              <w:tc>
                <w:tcPr>
                  <w:tcW w:w="1264" w:type="pct"/>
                  <w:tcBorders>
                    <w:top w:val="single" w:color="auto" w:sz="12" w:space="0"/>
                    <w:left w:val="single" w:color="auto" w:sz="4" w:space="0"/>
                    <w:bottom w:val="single" w:color="auto" w:sz="4" w:space="0"/>
                    <w:right w:val="single" w:color="auto" w:sz="4" w:space="0"/>
                  </w:tcBorders>
                  <w:vAlign w:val="center"/>
                </w:tcPr>
                <w:p>
                  <w:pPr>
                    <w:adjustRightInd w:val="0"/>
                    <w:snapToGrid w:val="0"/>
                    <w:spacing w:line="360" w:lineRule="exact"/>
                    <w:jc w:val="center"/>
                    <w:rPr>
                      <w:b/>
                      <w:sz w:val="24"/>
                    </w:rPr>
                  </w:pPr>
                  <w:r>
                    <w:rPr>
                      <w:b/>
                      <w:sz w:val="24"/>
                    </w:rPr>
                    <w:t>名称</w:t>
                  </w:r>
                </w:p>
              </w:tc>
              <w:tc>
                <w:tcPr>
                  <w:tcW w:w="1058" w:type="pct"/>
                  <w:tcBorders>
                    <w:top w:val="single" w:color="auto" w:sz="12" w:space="0"/>
                    <w:left w:val="single" w:color="auto" w:sz="4" w:space="0"/>
                    <w:bottom w:val="single" w:color="auto" w:sz="4" w:space="0"/>
                    <w:right w:val="single" w:color="auto" w:sz="4" w:space="0"/>
                  </w:tcBorders>
                  <w:vAlign w:val="center"/>
                </w:tcPr>
                <w:p>
                  <w:pPr>
                    <w:adjustRightInd w:val="0"/>
                    <w:snapToGrid w:val="0"/>
                    <w:spacing w:line="360" w:lineRule="exact"/>
                    <w:jc w:val="center"/>
                    <w:rPr>
                      <w:b/>
                      <w:sz w:val="24"/>
                    </w:rPr>
                  </w:pPr>
                  <w:r>
                    <w:rPr>
                      <w:b/>
                      <w:sz w:val="24"/>
                    </w:rPr>
                    <w:t>年用量</w:t>
                  </w:r>
                </w:p>
              </w:tc>
              <w:tc>
                <w:tcPr>
                  <w:tcW w:w="2266" w:type="pct"/>
                  <w:tcBorders>
                    <w:top w:val="single" w:color="auto" w:sz="12" w:space="0"/>
                    <w:left w:val="single" w:color="auto" w:sz="4" w:space="0"/>
                    <w:bottom w:val="single" w:color="auto" w:sz="4" w:space="0"/>
                    <w:right w:val="nil"/>
                  </w:tcBorders>
                  <w:vAlign w:val="center"/>
                </w:tcPr>
                <w:p>
                  <w:pPr>
                    <w:adjustRightInd w:val="0"/>
                    <w:snapToGrid w:val="0"/>
                    <w:spacing w:line="360" w:lineRule="exact"/>
                    <w:jc w:val="center"/>
                    <w:rPr>
                      <w:b/>
                      <w:sz w:val="24"/>
                    </w:rPr>
                  </w:pPr>
                  <w:r>
                    <w:rPr>
                      <w:b/>
                      <w:sz w:val="24"/>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rPr>
                  </w:pPr>
                  <w:r>
                    <w:rPr>
                      <w:sz w:val="24"/>
                    </w:rPr>
                    <w:t>1</w:t>
                  </w:r>
                </w:p>
              </w:tc>
              <w:tc>
                <w:tcPr>
                  <w:tcW w:w="12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不锈钢型材</w:t>
                  </w:r>
                </w:p>
              </w:tc>
              <w:tc>
                <w:tcPr>
                  <w:tcW w:w="10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30t</w:t>
                  </w:r>
                </w:p>
              </w:tc>
              <w:tc>
                <w:tcPr>
                  <w:tcW w:w="2266" w:type="pct"/>
                  <w:tcBorders>
                    <w:top w:val="single" w:color="auto" w:sz="4" w:space="0"/>
                    <w:left w:val="single" w:color="auto" w:sz="4" w:space="0"/>
                    <w:bottom w:val="single" w:color="auto" w:sz="4" w:space="0"/>
                    <w:right w:val="nil"/>
                  </w:tcBorders>
                  <w:vAlign w:val="center"/>
                </w:tcPr>
                <w:p>
                  <w:pPr>
                    <w:adjustRightInd w:val="0"/>
                    <w:snapToGrid w:val="0"/>
                    <w:spacing w:line="360" w:lineRule="exact"/>
                    <w:jc w:val="center"/>
                    <w:rPr>
                      <w:sz w:val="24"/>
                    </w:rPr>
                  </w:pPr>
                  <w:r>
                    <w:rPr>
                      <w:sz w:val="24"/>
                    </w:rPr>
                    <w:t xml:space="preserve">外购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2</w:t>
                  </w:r>
                </w:p>
              </w:tc>
              <w:tc>
                <w:tcPr>
                  <w:tcW w:w="12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普板</w:t>
                  </w:r>
                </w:p>
              </w:tc>
              <w:tc>
                <w:tcPr>
                  <w:tcW w:w="10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30t</w:t>
                  </w:r>
                </w:p>
              </w:tc>
              <w:tc>
                <w:tcPr>
                  <w:tcW w:w="2266" w:type="pct"/>
                  <w:tcBorders>
                    <w:top w:val="single" w:color="auto" w:sz="4" w:space="0"/>
                    <w:left w:val="single" w:color="auto" w:sz="4" w:space="0"/>
                    <w:right w:val="nil"/>
                  </w:tcBorders>
                  <w:vAlign w:val="center"/>
                </w:tcPr>
                <w:p>
                  <w:pPr>
                    <w:adjustRightInd w:val="0"/>
                    <w:snapToGrid w:val="0"/>
                    <w:spacing w:line="360" w:lineRule="exact"/>
                    <w:jc w:val="center"/>
                    <w:rPr>
                      <w:sz w:val="24"/>
                    </w:rPr>
                  </w:pPr>
                  <w:r>
                    <w:rPr>
                      <w:sz w:val="24"/>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3</w:t>
                  </w:r>
                </w:p>
              </w:tc>
              <w:tc>
                <w:tcPr>
                  <w:tcW w:w="12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普型材</w:t>
                  </w:r>
                </w:p>
              </w:tc>
              <w:tc>
                <w:tcPr>
                  <w:tcW w:w="10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40t</w:t>
                  </w:r>
                </w:p>
              </w:tc>
              <w:tc>
                <w:tcPr>
                  <w:tcW w:w="2266" w:type="pct"/>
                  <w:tcBorders>
                    <w:top w:val="single" w:color="auto" w:sz="4" w:space="0"/>
                    <w:left w:val="single" w:color="auto" w:sz="4" w:space="0"/>
                    <w:right w:val="nil"/>
                  </w:tcBorders>
                  <w:vAlign w:val="center"/>
                </w:tcPr>
                <w:p>
                  <w:pPr>
                    <w:adjustRightInd w:val="0"/>
                    <w:snapToGrid w:val="0"/>
                    <w:spacing w:line="360" w:lineRule="exact"/>
                    <w:jc w:val="center"/>
                    <w:rPr>
                      <w:sz w:val="24"/>
                    </w:rPr>
                  </w:pPr>
                  <w:r>
                    <w:rPr>
                      <w:sz w:val="24"/>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4</w:t>
                  </w:r>
                </w:p>
              </w:tc>
              <w:tc>
                <w:tcPr>
                  <w:tcW w:w="12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振动筛</w:t>
                  </w:r>
                  <w:r>
                    <w:rPr>
                      <w:sz w:val="24"/>
                    </w:rPr>
                    <w:t>组装外购件</w:t>
                  </w:r>
                </w:p>
              </w:tc>
              <w:tc>
                <w:tcPr>
                  <w:tcW w:w="10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300套</w:t>
                  </w:r>
                </w:p>
              </w:tc>
              <w:tc>
                <w:tcPr>
                  <w:tcW w:w="2266" w:type="pct"/>
                  <w:tcBorders>
                    <w:top w:val="single" w:color="auto" w:sz="4" w:space="0"/>
                    <w:left w:val="single" w:color="auto" w:sz="4" w:space="0"/>
                    <w:right w:val="nil"/>
                  </w:tcBorders>
                  <w:vAlign w:val="center"/>
                </w:tcPr>
                <w:p>
                  <w:pPr>
                    <w:adjustRightInd w:val="0"/>
                    <w:snapToGrid w:val="0"/>
                    <w:spacing w:line="360" w:lineRule="exact"/>
                    <w:jc w:val="center"/>
                    <w:rPr>
                      <w:sz w:val="24"/>
                    </w:rPr>
                  </w:pPr>
                  <w:r>
                    <w:rPr>
                      <w:sz w:val="24"/>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5</w:t>
                  </w:r>
                </w:p>
              </w:tc>
              <w:tc>
                <w:tcPr>
                  <w:tcW w:w="12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焊条</w:t>
                  </w:r>
                </w:p>
              </w:tc>
              <w:tc>
                <w:tcPr>
                  <w:tcW w:w="10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2t</w:t>
                  </w:r>
                </w:p>
              </w:tc>
              <w:tc>
                <w:tcPr>
                  <w:tcW w:w="2266" w:type="pct"/>
                  <w:tcBorders>
                    <w:top w:val="single" w:color="auto" w:sz="4" w:space="0"/>
                    <w:left w:val="single" w:color="auto" w:sz="4" w:space="0"/>
                    <w:right w:val="nil"/>
                  </w:tcBorders>
                  <w:vAlign w:val="center"/>
                </w:tcPr>
                <w:p>
                  <w:pPr>
                    <w:adjustRightInd w:val="0"/>
                    <w:snapToGrid w:val="0"/>
                    <w:spacing w:line="360" w:lineRule="exact"/>
                    <w:jc w:val="center"/>
                    <w:rPr>
                      <w:sz w:val="24"/>
                    </w:rPr>
                  </w:pPr>
                  <w:r>
                    <w:rPr>
                      <w:rFonts w:hint="eastAsia"/>
                      <w:sz w:val="24"/>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6</w:t>
                  </w:r>
                </w:p>
              </w:tc>
              <w:tc>
                <w:tcPr>
                  <w:tcW w:w="12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润滑油</w:t>
                  </w:r>
                </w:p>
              </w:tc>
              <w:tc>
                <w:tcPr>
                  <w:tcW w:w="10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2t</w:t>
                  </w:r>
                </w:p>
              </w:tc>
              <w:tc>
                <w:tcPr>
                  <w:tcW w:w="2266" w:type="pct"/>
                  <w:tcBorders>
                    <w:top w:val="single" w:color="auto" w:sz="4" w:space="0"/>
                    <w:left w:val="single" w:color="auto" w:sz="4" w:space="0"/>
                    <w:right w:val="nil"/>
                  </w:tcBorders>
                  <w:vAlign w:val="center"/>
                </w:tcPr>
                <w:p>
                  <w:pPr>
                    <w:adjustRightInd w:val="0"/>
                    <w:snapToGrid w:val="0"/>
                    <w:spacing w:line="360" w:lineRule="exact"/>
                    <w:jc w:val="center"/>
                    <w:rPr>
                      <w:sz w:val="24"/>
                    </w:rPr>
                  </w:pPr>
                  <w:r>
                    <w:rPr>
                      <w:sz w:val="24"/>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7</w:t>
                  </w:r>
                </w:p>
              </w:tc>
              <w:tc>
                <w:tcPr>
                  <w:tcW w:w="12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切削液</w:t>
                  </w:r>
                </w:p>
              </w:tc>
              <w:tc>
                <w:tcPr>
                  <w:tcW w:w="10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1t</w:t>
                  </w:r>
                </w:p>
              </w:tc>
              <w:tc>
                <w:tcPr>
                  <w:tcW w:w="2266" w:type="pct"/>
                  <w:tcBorders>
                    <w:top w:val="single" w:color="auto" w:sz="4" w:space="0"/>
                    <w:left w:val="single" w:color="auto" w:sz="4" w:space="0"/>
                    <w:right w:val="nil"/>
                  </w:tcBorders>
                  <w:vAlign w:val="center"/>
                </w:tcPr>
                <w:p>
                  <w:pPr>
                    <w:adjustRightInd w:val="0"/>
                    <w:snapToGrid w:val="0"/>
                    <w:spacing w:line="360" w:lineRule="exact"/>
                    <w:jc w:val="center"/>
                    <w:rPr>
                      <w:sz w:val="24"/>
                    </w:rPr>
                  </w:pPr>
                  <w:r>
                    <w:rPr>
                      <w:rFonts w:hint="eastAsia"/>
                      <w:sz w:val="24"/>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8</w:t>
                  </w:r>
                </w:p>
              </w:tc>
              <w:tc>
                <w:tcPr>
                  <w:tcW w:w="12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水</w:t>
                  </w:r>
                </w:p>
              </w:tc>
              <w:tc>
                <w:tcPr>
                  <w:tcW w:w="10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90t</w:t>
                  </w:r>
                </w:p>
              </w:tc>
              <w:tc>
                <w:tcPr>
                  <w:tcW w:w="2266" w:type="pct"/>
                  <w:tcBorders>
                    <w:top w:val="single" w:color="auto" w:sz="4" w:space="0"/>
                    <w:left w:val="single" w:color="auto" w:sz="4" w:space="0"/>
                    <w:bottom w:val="single" w:color="auto" w:sz="4" w:space="0"/>
                    <w:right w:val="nil"/>
                  </w:tcBorders>
                  <w:vAlign w:val="center"/>
                </w:tcPr>
                <w:p>
                  <w:pPr>
                    <w:adjustRightInd w:val="0"/>
                    <w:snapToGrid w:val="0"/>
                    <w:spacing w:line="240" w:lineRule="atLeast"/>
                    <w:jc w:val="center"/>
                    <w:rPr>
                      <w:sz w:val="24"/>
                    </w:rPr>
                  </w:pPr>
                  <w:r>
                    <w:rPr>
                      <w:rFonts w:hint="eastAsia"/>
                      <w:sz w:val="24"/>
                    </w:rPr>
                    <w:t>员工生活用水由厂区自备井供给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9</w:t>
                  </w:r>
                </w:p>
              </w:tc>
              <w:tc>
                <w:tcPr>
                  <w:tcW w:w="12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电</w:t>
                  </w:r>
                </w:p>
              </w:tc>
              <w:tc>
                <w:tcPr>
                  <w:tcW w:w="10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20000KW•h</w:t>
                  </w:r>
                </w:p>
              </w:tc>
              <w:tc>
                <w:tcPr>
                  <w:tcW w:w="2266" w:type="pct"/>
                  <w:tcBorders>
                    <w:top w:val="single" w:color="auto" w:sz="4" w:space="0"/>
                    <w:left w:val="single" w:color="auto" w:sz="4" w:space="0"/>
                    <w:bottom w:val="single" w:color="auto" w:sz="4" w:space="0"/>
                    <w:right w:val="nil"/>
                  </w:tcBorders>
                  <w:vAlign w:val="center"/>
                </w:tcPr>
                <w:p>
                  <w:pPr>
                    <w:adjustRightInd w:val="0"/>
                    <w:snapToGrid w:val="0"/>
                    <w:spacing w:line="240" w:lineRule="atLeast"/>
                    <w:jc w:val="center"/>
                    <w:rPr>
                      <w:sz w:val="24"/>
                    </w:rPr>
                  </w:pPr>
                  <w:r>
                    <w:rPr>
                      <w:rFonts w:hint="eastAsia"/>
                      <w:sz w:val="24"/>
                    </w:rPr>
                    <w:t>当地电网</w:t>
                  </w:r>
                </w:p>
              </w:tc>
            </w:tr>
          </w:tbl>
          <w:p>
            <w:pPr>
              <w:adjustRightInd w:val="0"/>
              <w:snapToGrid w:val="0"/>
              <w:spacing w:line="500" w:lineRule="exact"/>
              <w:ind w:firstLine="480" w:firstLineChars="200"/>
              <w:rPr>
                <w:sz w:val="24"/>
              </w:rPr>
            </w:pPr>
            <w:r>
              <w:rPr>
                <w:rFonts w:hint="eastAsia"/>
                <w:sz w:val="24"/>
              </w:rPr>
              <w:t>10.项目</w:t>
            </w:r>
            <w:r>
              <w:rPr>
                <w:sz w:val="24"/>
              </w:rPr>
              <w:t>主要</w:t>
            </w:r>
            <w:r>
              <w:rPr>
                <w:rFonts w:hint="eastAsia"/>
                <w:sz w:val="24"/>
              </w:rPr>
              <w:t>生产</w:t>
            </w:r>
            <w:r>
              <w:rPr>
                <w:sz w:val="24"/>
              </w:rPr>
              <w:t>设备</w:t>
            </w:r>
          </w:p>
          <w:p>
            <w:pPr>
              <w:adjustRightInd w:val="0"/>
              <w:snapToGrid w:val="0"/>
              <w:spacing w:line="500" w:lineRule="exact"/>
              <w:ind w:firstLine="480" w:firstLineChars="200"/>
              <w:rPr>
                <w:sz w:val="24"/>
              </w:rPr>
            </w:pPr>
            <w:r>
              <w:rPr>
                <w:sz w:val="24"/>
              </w:rPr>
              <w:t>项目主要生产设备见表</w:t>
            </w:r>
            <w:r>
              <w:rPr>
                <w:rFonts w:hint="eastAsia"/>
                <w:sz w:val="24"/>
              </w:rPr>
              <w:t>6</w:t>
            </w:r>
            <w:r>
              <w:rPr>
                <w:sz w:val="24"/>
              </w:rPr>
              <w:t>。</w:t>
            </w:r>
          </w:p>
          <w:p>
            <w:pPr>
              <w:autoSpaceDE w:val="0"/>
              <w:autoSpaceDN w:val="0"/>
              <w:adjustRightInd w:val="0"/>
              <w:snapToGrid w:val="0"/>
              <w:spacing w:line="400" w:lineRule="exact"/>
              <w:ind w:left="420"/>
              <w:rPr>
                <w:b/>
                <w:sz w:val="24"/>
              </w:rPr>
            </w:pPr>
            <w:r>
              <w:rPr>
                <w:b/>
                <w:sz w:val="24"/>
              </w:rPr>
              <w:t>表</w:t>
            </w:r>
            <w:r>
              <w:rPr>
                <w:rFonts w:hint="eastAsia"/>
                <w:b/>
                <w:sz w:val="24"/>
              </w:rPr>
              <w:t>6</w:t>
            </w:r>
            <w:r>
              <w:rPr>
                <w:b/>
                <w:sz w:val="24"/>
              </w:rPr>
              <w:t xml:space="preserve">                           项目主要生产设备</w:t>
            </w:r>
          </w:p>
          <w:tbl>
            <w:tblPr>
              <w:tblStyle w:val="27"/>
              <w:tblW w:w="5000" w:type="pct"/>
              <w:jc w:val="center"/>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68"/>
              <w:gridCol w:w="2787"/>
              <w:gridCol w:w="2789"/>
              <w:gridCol w:w="1859"/>
              <w:gridCol w:w="1857"/>
            </w:tblGrid>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72" w:type="pct"/>
                  <w:vAlign w:val="center"/>
                </w:tcPr>
                <w:p>
                  <w:pPr>
                    <w:autoSpaceDE w:val="0"/>
                    <w:autoSpaceDN w:val="0"/>
                    <w:adjustRightInd w:val="0"/>
                    <w:jc w:val="center"/>
                    <w:rPr>
                      <w:b/>
                      <w:sz w:val="24"/>
                    </w:rPr>
                  </w:pPr>
                  <w:r>
                    <w:rPr>
                      <w:b/>
                      <w:sz w:val="24"/>
                    </w:rPr>
                    <w:t>序号</w:t>
                  </w:r>
                </w:p>
              </w:tc>
              <w:tc>
                <w:tcPr>
                  <w:tcW w:w="1358" w:type="pct"/>
                  <w:vAlign w:val="center"/>
                </w:tcPr>
                <w:p>
                  <w:pPr>
                    <w:autoSpaceDE w:val="0"/>
                    <w:autoSpaceDN w:val="0"/>
                    <w:adjustRightInd w:val="0"/>
                    <w:jc w:val="center"/>
                    <w:rPr>
                      <w:b/>
                      <w:sz w:val="24"/>
                    </w:rPr>
                  </w:pPr>
                  <w:r>
                    <w:rPr>
                      <w:b/>
                      <w:sz w:val="24"/>
                    </w:rPr>
                    <w:t>设备名称</w:t>
                  </w:r>
                </w:p>
              </w:tc>
              <w:tc>
                <w:tcPr>
                  <w:tcW w:w="1359" w:type="pct"/>
                  <w:vAlign w:val="center"/>
                </w:tcPr>
                <w:p>
                  <w:pPr>
                    <w:autoSpaceDE w:val="0"/>
                    <w:autoSpaceDN w:val="0"/>
                    <w:adjustRightInd w:val="0"/>
                    <w:jc w:val="center"/>
                    <w:rPr>
                      <w:b/>
                      <w:sz w:val="24"/>
                    </w:rPr>
                  </w:pPr>
                  <w:r>
                    <w:rPr>
                      <w:b/>
                      <w:sz w:val="24"/>
                    </w:rPr>
                    <w:t>型号</w:t>
                  </w:r>
                </w:p>
              </w:tc>
              <w:tc>
                <w:tcPr>
                  <w:tcW w:w="906" w:type="pct"/>
                  <w:vAlign w:val="center"/>
                </w:tcPr>
                <w:p>
                  <w:pPr>
                    <w:autoSpaceDE w:val="0"/>
                    <w:autoSpaceDN w:val="0"/>
                    <w:adjustRightInd w:val="0"/>
                    <w:jc w:val="center"/>
                    <w:rPr>
                      <w:b/>
                      <w:sz w:val="24"/>
                    </w:rPr>
                  </w:pPr>
                  <w:r>
                    <w:rPr>
                      <w:b/>
                      <w:sz w:val="24"/>
                    </w:rPr>
                    <w:t>设备数量（台）</w:t>
                  </w:r>
                </w:p>
              </w:tc>
              <w:tc>
                <w:tcPr>
                  <w:tcW w:w="905" w:type="pct"/>
                  <w:vAlign w:val="center"/>
                </w:tcPr>
                <w:p>
                  <w:pPr>
                    <w:autoSpaceDE w:val="0"/>
                    <w:autoSpaceDN w:val="0"/>
                    <w:adjustRightInd w:val="0"/>
                    <w:jc w:val="center"/>
                    <w:rPr>
                      <w:b/>
                      <w:sz w:val="24"/>
                    </w:rPr>
                  </w:pPr>
                  <w:r>
                    <w:rPr>
                      <w:b/>
                      <w:sz w:val="24"/>
                    </w:rPr>
                    <w:t>备注</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72" w:type="pct"/>
                  <w:vAlign w:val="center"/>
                </w:tcPr>
                <w:p>
                  <w:pPr>
                    <w:autoSpaceDE w:val="0"/>
                    <w:autoSpaceDN w:val="0"/>
                    <w:adjustRightInd w:val="0"/>
                    <w:jc w:val="center"/>
                    <w:rPr>
                      <w:sz w:val="24"/>
                    </w:rPr>
                  </w:pPr>
                  <w:r>
                    <w:rPr>
                      <w:rFonts w:hint="eastAsia"/>
                      <w:sz w:val="24"/>
                    </w:rPr>
                    <w:t>1</w:t>
                  </w:r>
                </w:p>
              </w:tc>
              <w:tc>
                <w:tcPr>
                  <w:tcW w:w="1358" w:type="pct"/>
                  <w:vAlign w:val="center"/>
                </w:tcPr>
                <w:p>
                  <w:pPr>
                    <w:autoSpaceDE w:val="0"/>
                    <w:autoSpaceDN w:val="0"/>
                    <w:adjustRightInd w:val="0"/>
                    <w:jc w:val="center"/>
                    <w:rPr>
                      <w:sz w:val="24"/>
                    </w:rPr>
                  </w:pPr>
                  <w:r>
                    <w:rPr>
                      <w:rFonts w:hint="eastAsia"/>
                      <w:sz w:val="24"/>
                    </w:rPr>
                    <w:t>剪板机</w:t>
                  </w:r>
                </w:p>
              </w:tc>
              <w:tc>
                <w:tcPr>
                  <w:tcW w:w="1359" w:type="pct"/>
                  <w:vAlign w:val="center"/>
                </w:tcPr>
                <w:p>
                  <w:pPr>
                    <w:autoSpaceDE w:val="0"/>
                    <w:autoSpaceDN w:val="0"/>
                    <w:adjustRightInd w:val="0"/>
                    <w:jc w:val="center"/>
                    <w:rPr>
                      <w:sz w:val="24"/>
                    </w:rPr>
                  </w:pPr>
                  <w:r>
                    <w:rPr>
                      <w:rFonts w:hint="eastAsia"/>
                      <w:sz w:val="24"/>
                    </w:rPr>
                    <w:t>QC12K—16/2500</w:t>
                  </w:r>
                </w:p>
              </w:tc>
              <w:tc>
                <w:tcPr>
                  <w:tcW w:w="906" w:type="pct"/>
                  <w:vAlign w:val="center"/>
                </w:tcPr>
                <w:p>
                  <w:pPr>
                    <w:autoSpaceDE w:val="0"/>
                    <w:autoSpaceDN w:val="0"/>
                    <w:adjustRightInd w:val="0"/>
                    <w:jc w:val="center"/>
                    <w:rPr>
                      <w:sz w:val="24"/>
                    </w:rPr>
                  </w:pPr>
                  <w:r>
                    <w:rPr>
                      <w:rFonts w:hint="eastAsia"/>
                      <w:sz w:val="24"/>
                    </w:rPr>
                    <w:t>1</w:t>
                  </w:r>
                </w:p>
              </w:tc>
              <w:tc>
                <w:tcPr>
                  <w:tcW w:w="905" w:type="pct"/>
                  <w:vAlign w:val="center"/>
                </w:tcPr>
                <w:p>
                  <w:pPr>
                    <w:autoSpaceDE w:val="0"/>
                    <w:autoSpaceDN w:val="0"/>
                    <w:adjustRightInd w:val="0"/>
                    <w:jc w:val="center"/>
                    <w:rPr>
                      <w:sz w:val="24"/>
                    </w:rPr>
                  </w:pPr>
                  <w:r>
                    <w:rPr>
                      <w:rFonts w:hint="eastAsia"/>
                      <w:sz w:val="24"/>
                    </w:rPr>
                    <w:t>/</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72" w:type="pct"/>
                  <w:vAlign w:val="center"/>
                </w:tcPr>
                <w:p>
                  <w:pPr>
                    <w:autoSpaceDE w:val="0"/>
                    <w:autoSpaceDN w:val="0"/>
                    <w:adjustRightInd w:val="0"/>
                    <w:jc w:val="center"/>
                    <w:rPr>
                      <w:sz w:val="24"/>
                    </w:rPr>
                  </w:pPr>
                  <w:r>
                    <w:rPr>
                      <w:rFonts w:hint="eastAsia"/>
                      <w:sz w:val="24"/>
                    </w:rPr>
                    <w:t>2</w:t>
                  </w:r>
                </w:p>
              </w:tc>
              <w:tc>
                <w:tcPr>
                  <w:tcW w:w="1358" w:type="pct"/>
                  <w:vAlign w:val="center"/>
                </w:tcPr>
                <w:p>
                  <w:pPr>
                    <w:adjustRightInd w:val="0"/>
                    <w:jc w:val="center"/>
                    <w:rPr>
                      <w:sz w:val="24"/>
                    </w:rPr>
                  </w:pPr>
                  <w:r>
                    <w:rPr>
                      <w:rFonts w:hint="eastAsia"/>
                      <w:sz w:val="24"/>
                    </w:rPr>
                    <w:t>折弯机</w:t>
                  </w:r>
                </w:p>
              </w:tc>
              <w:tc>
                <w:tcPr>
                  <w:tcW w:w="1359" w:type="pct"/>
                  <w:vAlign w:val="center"/>
                </w:tcPr>
                <w:p>
                  <w:pPr>
                    <w:adjustRightInd w:val="0"/>
                    <w:jc w:val="center"/>
                    <w:rPr>
                      <w:sz w:val="24"/>
                    </w:rPr>
                  </w:pPr>
                  <w:r>
                    <w:rPr>
                      <w:rFonts w:hint="eastAsia"/>
                      <w:sz w:val="24"/>
                    </w:rPr>
                    <w:t>WC67Y—30/2000</w:t>
                  </w:r>
                </w:p>
              </w:tc>
              <w:tc>
                <w:tcPr>
                  <w:tcW w:w="906" w:type="pct"/>
                  <w:vAlign w:val="center"/>
                </w:tcPr>
                <w:p>
                  <w:pPr>
                    <w:adjustRightInd w:val="0"/>
                    <w:jc w:val="center"/>
                    <w:rPr>
                      <w:sz w:val="24"/>
                    </w:rPr>
                  </w:pPr>
                  <w:r>
                    <w:rPr>
                      <w:rFonts w:hint="eastAsia"/>
                      <w:sz w:val="24"/>
                    </w:rPr>
                    <w:t>1</w:t>
                  </w:r>
                </w:p>
              </w:tc>
              <w:tc>
                <w:tcPr>
                  <w:tcW w:w="905" w:type="pct"/>
                  <w:vAlign w:val="center"/>
                </w:tcPr>
                <w:p>
                  <w:pPr>
                    <w:adjustRightInd w:val="0"/>
                    <w:jc w:val="center"/>
                    <w:rPr>
                      <w:sz w:val="24"/>
                    </w:rPr>
                  </w:pPr>
                  <w:r>
                    <w:rPr>
                      <w:rFonts w:hint="eastAsia"/>
                      <w:sz w:val="24"/>
                    </w:rPr>
                    <w:t>/</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72" w:type="pct"/>
                  <w:vAlign w:val="center"/>
                </w:tcPr>
                <w:p>
                  <w:pPr>
                    <w:autoSpaceDE w:val="0"/>
                    <w:autoSpaceDN w:val="0"/>
                    <w:adjustRightInd w:val="0"/>
                    <w:jc w:val="center"/>
                    <w:rPr>
                      <w:sz w:val="24"/>
                    </w:rPr>
                  </w:pPr>
                  <w:r>
                    <w:rPr>
                      <w:rFonts w:hint="eastAsia"/>
                      <w:sz w:val="24"/>
                    </w:rPr>
                    <w:t>3</w:t>
                  </w:r>
                </w:p>
              </w:tc>
              <w:tc>
                <w:tcPr>
                  <w:tcW w:w="1358" w:type="pct"/>
                  <w:vAlign w:val="center"/>
                </w:tcPr>
                <w:p>
                  <w:pPr>
                    <w:adjustRightInd w:val="0"/>
                    <w:jc w:val="center"/>
                    <w:rPr>
                      <w:sz w:val="24"/>
                    </w:rPr>
                  </w:pPr>
                  <w:r>
                    <w:rPr>
                      <w:rFonts w:hint="eastAsia"/>
                      <w:sz w:val="24"/>
                    </w:rPr>
                    <w:t>数控钻床</w:t>
                  </w:r>
                </w:p>
              </w:tc>
              <w:tc>
                <w:tcPr>
                  <w:tcW w:w="1359" w:type="pct"/>
                  <w:vAlign w:val="center"/>
                </w:tcPr>
                <w:p>
                  <w:pPr>
                    <w:adjustRightInd w:val="0"/>
                    <w:jc w:val="center"/>
                    <w:rPr>
                      <w:sz w:val="24"/>
                    </w:rPr>
                  </w:pPr>
                  <w:r>
                    <w:rPr>
                      <w:rFonts w:hint="eastAsia"/>
                      <w:sz w:val="24"/>
                    </w:rPr>
                    <w:t>ZK5140C</w:t>
                  </w:r>
                </w:p>
              </w:tc>
              <w:tc>
                <w:tcPr>
                  <w:tcW w:w="906" w:type="pct"/>
                  <w:vAlign w:val="center"/>
                </w:tcPr>
                <w:p>
                  <w:pPr>
                    <w:adjustRightInd w:val="0"/>
                    <w:jc w:val="center"/>
                    <w:rPr>
                      <w:sz w:val="24"/>
                    </w:rPr>
                  </w:pPr>
                  <w:r>
                    <w:rPr>
                      <w:rFonts w:hint="eastAsia"/>
                      <w:sz w:val="24"/>
                    </w:rPr>
                    <w:t>1</w:t>
                  </w:r>
                </w:p>
              </w:tc>
              <w:tc>
                <w:tcPr>
                  <w:tcW w:w="905" w:type="pct"/>
                  <w:vAlign w:val="center"/>
                </w:tcPr>
                <w:p>
                  <w:pPr>
                    <w:adjustRightInd w:val="0"/>
                    <w:jc w:val="center"/>
                    <w:rPr>
                      <w:sz w:val="24"/>
                    </w:rPr>
                  </w:pPr>
                  <w:r>
                    <w:rPr>
                      <w:rFonts w:hint="eastAsia"/>
                      <w:sz w:val="24"/>
                    </w:rPr>
                    <w:t>/</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72" w:type="pct"/>
                  <w:vAlign w:val="center"/>
                </w:tcPr>
                <w:p>
                  <w:pPr>
                    <w:autoSpaceDE w:val="0"/>
                    <w:autoSpaceDN w:val="0"/>
                    <w:adjustRightInd w:val="0"/>
                    <w:jc w:val="center"/>
                    <w:rPr>
                      <w:sz w:val="24"/>
                    </w:rPr>
                  </w:pPr>
                  <w:r>
                    <w:rPr>
                      <w:rFonts w:hint="eastAsia"/>
                      <w:sz w:val="24"/>
                    </w:rPr>
                    <w:t>4</w:t>
                  </w:r>
                </w:p>
              </w:tc>
              <w:tc>
                <w:tcPr>
                  <w:tcW w:w="1358" w:type="pct"/>
                  <w:vMerge w:val="restart"/>
                  <w:vAlign w:val="center"/>
                </w:tcPr>
                <w:p>
                  <w:pPr>
                    <w:adjustRightInd w:val="0"/>
                    <w:jc w:val="center"/>
                    <w:rPr>
                      <w:sz w:val="24"/>
                    </w:rPr>
                  </w:pPr>
                  <w:r>
                    <w:rPr>
                      <w:rFonts w:hint="eastAsia"/>
                      <w:sz w:val="24"/>
                    </w:rPr>
                    <w:t>钻床</w:t>
                  </w:r>
                </w:p>
              </w:tc>
              <w:tc>
                <w:tcPr>
                  <w:tcW w:w="1359" w:type="pct"/>
                  <w:vAlign w:val="center"/>
                </w:tcPr>
                <w:p>
                  <w:pPr>
                    <w:adjustRightInd w:val="0"/>
                    <w:jc w:val="center"/>
                    <w:rPr>
                      <w:sz w:val="24"/>
                    </w:rPr>
                  </w:pPr>
                  <w:r>
                    <w:rPr>
                      <w:rFonts w:hint="eastAsia"/>
                      <w:sz w:val="24"/>
                    </w:rPr>
                    <w:t>Z3132M</w:t>
                  </w:r>
                </w:p>
              </w:tc>
              <w:tc>
                <w:tcPr>
                  <w:tcW w:w="906" w:type="pct"/>
                  <w:vAlign w:val="center"/>
                </w:tcPr>
                <w:p>
                  <w:pPr>
                    <w:adjustRightInd w:val="0"/>
                    <w:jc w:val="center"/>
                    <w:rPr>
                      <w:sz w:val="24"/>
                    </w:rPr>
                  </w:pPr>
                  <w:r>
                    <w:rPr>
                      <w:rFonts w:hint="eastAsia"/>
                      <w:sz w:val="24"/>
                    </w:rPr>
                    <w:t>1</w:t>
                  </w:r>
                </w:p>
              </w:tc>
              <w:tc>
                <w:tcPr>
                  <w:tcW w:w="905" w:type="pct"/>
                  <w:vAlign w:val="center"/>
                </w:tcPr>
                <w:p>
                  <w:pPr>
                    <w:autoSpaceDE w:val="0"/>
                    <w:autoSpaceDN w:val="0"/>
                    <w:adjustRightInd w:val="0"/>
                    <w:jc w:val="center"/>
                    <w:rPr>
                      <w:sz w:val="24"/>
                    </w:rPr>
                  </w:pPr>
                  <w:r>
                    <w:rPr>
                      <w:rFonts w:hint="eastAsia"/>
                      <w:sz w:val="24"/>
                    </w:rPr>
                    <w:t>/</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72" w:type="pct"/>
                  <w:vAlign w:val="center"/>
                </w:tcPr>
                <w:p>
                  <w:pPr>
                    <w:autoSpaceDE w:val="0"/>
                    <w:autoSpaceDN w:val="0"/>
                    <w:adjustRightInd w:val="0"/>
                    <w:jc w:val="center"/>
                    <w:rPr>
                      <w:sz w:val="24"/>
                    </w:rPr>
                  </w:pPr>
                  <w:r>
                    <w:rPr>
                      <w:rFonts w:hint="eastAsia"/>
                      <w:sz w:val="24"/>
                    </w:rPr>
                    <w:t>5</w:t>
                  </w:r>
                </w:p>
              </w:tc>
              <w:tc>
                <w:tcPr>
                  <w:tcW w:w="1358" w:type="pct"/>
                  <w:vMerge w:val="continue"/>
                  <w:vAlign w:val="center"/>
                </w:tcPr>
                <w:p>
                  <w:pPr>
                    <w:adjustRightInd w:val="0"/>
                    <w:jc w:val="center"/>
                    <w:rPr>
                      <w:sz w:val="24"/>
                    </w:rPr>
                  </w:pPr>
                </w:p>
              </w:tc>
              <w:tc>
                <w:tcPr>
                  <w:tcW w:w="1359" w:type="pct"/>
                  <w:vAlign w:val="center"/>
                </w:tcPr>
                <w:p>
                  <w:pPr>
                    <w:adjustRightInd w:val="0"/>
                    <w:jc w:val="center"/>
                    <w:rPr>
                      <w:sz w:val="24"/>
                    </w:rPr>
                  </w:pPr>
                  <w:r>
                    <w:rPr>
                      <w:rFonts w:hint="eastAsia"/>
                      <w:sz w:val="24"/>
                    </w:rPr>
                    <w:t>Z3132H</w:t>
                  </w:r>
                </w:p>
              </w:tc>
              <w:tc>
                <w:tcPr>
                  <w:tcW w:w="906" w:type="pct"/>
                  <w:vAlign w:val="center"/>
                </w:tcPr>
                <w:p>
                  <w:pPr>
                    <w:adjustRightInd w:val="0"/>
                    <w:jc w:val="center"/>
                    <w:rPr>
                      <w:sz w:val="24"/>
                    </w:rPr>
                  </w:pPr>
                  <w:r>
                    <w:rPr>
                      <w:rFonts w:hint="eastAsia"/>
                      <w:sz w:val="24"/>
                    </w:rPr>
                    <w:t>2</w:t>
                  </w:r>
                </w:p>
              </w:tc>
              <w:tc>
                <w:tcPr>
                  <w:tcW w:w="905" w:type="pct"/>
                  <w:vAlign w:val="center"/>
                </w:tcPr>
                <w:p>
                  <w:pPr>
                    <w:adjustRightInd w:val="0"/>
                    <w:jc w:val="center"/>
                    <w:rPr>
                      <w:sz w:val="24"/>
                    </w:rPr>
                  </w:pPr>
                  <w:r>
                    <w:rPr>
                      <w:rFonts w:hint="eastAsia"/>
                      <w:sz w:val="24"/>
                    </w:rPr>
                    <w:t>/</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72" w:type="pct"/>
                  <w:vAlign w:val="center"/>
                </w:tcPr>
                <w:p>
                  <w:pPr>
                    <w:autoSpaceDE w:val="0"/>
                    <w:autoSpaceDN w:val="0"/>
                    <w:adjustRightInd w:val="0"/>
                    <w:jc w:val="center"/>
                    <w:rPr>
                      <w:sz w:val="24"/>
                    </w:rPr>
                  </w:pPr>
                  <w:r>
                    <w:rPr>
                      <w:rFonts w:hint="eastAsia"/>
                      <w:sz w:val="24"/>
                    </w:rPr>
                    <w:t>6</w:t>
                  </w:r>
                </w:p>
              </w:tc>
              <w:tc>
                <w:tcPr>
                  <w:tcW w:w="1358" w:type="pct"/>
                  <w:vMerge w:val="restart"/>
                  <w:vAlign w:val="center"/>
                </w:tcPr>
                <w:p>
                  <w:pPr>
                    <w:adjustRightInd w:val="0"/>
                    <w:jc w:val="center"/>
                    <w:rPr>
                      <w:sz w:val="24"/>
                    </w:rPr>
                  </w:pPr>
                  <w:r>
                    <w:rPr>
                      <w:rFonts w:hint="eastAsia"/>
                      <w:sz w:val="24"/>
                    </w:rPr>
                    <w:t>锯床</w:t>
                  </w:r>
                </w:p>
              </w:tc>
              <w:tc>
                <w:tcPr>
                  <w:tcW w:w="1359" w:type="pct"/>
                  <w:vAlign w:val="center"/>
                </w:tcPr>
                <w:p>
                  <w:pPr>
                    <w:adjustRightInd w:val="0"/>
                    <w:jc w:val="center"/>
                    <w:rPr>
                      <w:sz w:val="24"/>
                    </w:rPr>
                  </w:pPr>
                  <w:r>
                    <w:rPr>
                      <w:rFonts w:hint="eastAsia"/>
                      <w:sz w:val="24"/>
                    </w:rPr>
                    <w:t>GD4232</w:t>
                  </w:r>
                </w:p>
              </w:tc>
              <w:tc>
                <w:tcPr>
                  <w:tcW w:w="906" w:type="pct"/>
                  <w:vAlign w:val="center"/>
                </w:tcPr>
                <w:p>
                  <w:pPr>
                    <w:adjustRightInd w:val="0"/>
                    <w:jc w:val="center"/>
                    <w:rPr>
                      <w:sz w:val="24"/>
                    </w:rPr>
                  </w:pPr>
                  <w:r>
                    <w:rPr>
                      <w:rFonts w:hint="eastAsia"/>
                      <w:sz w:val="24"/>
                    </w:rPr>
                    <w:t>1</w:t>
                  </w:r>
                </w:p>
              </w:tc>
              <w:tc>
                <w:tcPr>
                  <w:tcW w:w="905" w:type="pct"/>
                  <w:vAlign w:val="center"/>
                </w:tcPr>
                <w:p>
                  <w:pPr>
                    <w:autoSpaceDE w:val="0"/>
                    <w:autoSpaceDN w:val="0"/>
                    <w:adjustRightInd w:val="0"/>
                    <w:jc w:val="center"/>
                    <w:rPr>
                      <w:sz w:val="24"/>
                    </w:rPr>
                  </w:pPr>
                  <w:r>
                    <w:rPr>
                      <w:rFonts w:hint="eastAsia"/>
                      <w:sz w:val="24"/>
                    </w:rPr>
                    <w:t>/</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72" w:type="pct"/>
                  <w:vAlign w:val="center"/>
                </w:tcPr>
                <w:p>
                  <w:pPr>
                    <w:autoSpaceDE w:val="0"/>
                    <w:autoSpaceDN w:val="0"/>
                    <w:adjustRightInd w:val="0"/>
                    <w:jc w:val="center"/>
                    <w:rPr>
                      <w:sz w:val="24"/>
                    </w:rPr>
                  </w:pPr>
                  <w:r>
                    <w:rPr>
                      <w:rFonts w:hint="eastAsia"/>
                      <w:sz w:val="24"/>
                    </w:rPr>
                    <w:t>7</w:t>
                  </w:r>
                </w:p>
              </w:tc>
              <w:tc>
                <w:tcPr>
                  <w:tcW w:w="1358" w:type="pct"/>
                  <w:vMerge w:val="continue"/>
                  <w:vAlign w:val="center"/>
                </w:tcPr>
                <w:p>
                  <w:pPr>
                    <w:adjustRightInd w:val="0"/>
                    <w:jc w:val="center"/>
                    <w:rPr>
                      <w:sz w:val="24"/>
                    </w:rPr>
                  </w:pPr>
                </w:p>
              </w:tc>
              <w:tc>
                <w:tcPr>
                  <w:tcW w:w="1359" w:type="pct"/>
                  <w:vAlign w:val="center"/>
                </w:tcPr>
                <w:p>
                  <w:pPr>
                    <w:adjustRightInd w:val="0"/>
                    <w:jc w:val="center"/>
                    <w:rPr>
                      <w:sz w:val="24"/>
                    </w:rPr>
                  </w:pPr>
                  <w:r>
                    <w:rPr>
                      <w:rFonts w:hint="eastAsia"/>
                      <w:sz w:val="24"/>
                    </w:rPr>
                    <w:t>GD4028</w:t>
                  </w:r>
                </w:p>
              </w:tc>
              <w:tc>
                <w:tcPr>
                  <w:tcW w:w="906" w:type="pct"/>
                  <w:vAlign w:val="center"/>
                </w:tcPr>
                <w:p>
                  <w:pPr>
                    <w:adjustRightInd w:val="0"/>
                    <w:jc w:val="center"/>
                    <w:rPr>
                      <w:sz w:val="24"/>
                    </w:rPr>
                  </w:pPr>
                  <w:r>
                    <w:rPr>
                      <w:rFonts w:hint="eastAsia"/>
                      <w:sz w:val="24"/>
                    </w:rPr>
                    <w:t>2</w:t>
                  </w:r>
                </w:p>
              </w:tc>
              <w:tc>
                <w:tcPr>
                  <w:tcW w:w="905" w:type="pct"/>
                  <w:vAlign w:val="center"/>
                </w:tcPr>
                <w:p>
                  <w:pPr>
                    <w:adjustRightInd w:val="0"/>
                    <w:jc w:val="center"/>
                    <w:rPr>
                      <w:sz w:val="24"/>
                    </w:rPr>
                  </w:pPr>
                  <w:r>
                    <w:rPr>
                      <w:rFonts w:hint="eastAsia"/>
                      <w:sz w:val="24"/>
                    </w:rPr>
                    <w:t>/</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72" w:type="pct"/>
                  <w:vAlign w:val="center"/>
                </w:tcPr>
                <w:p>
                  <w:pPr>
                    <w:autoSpaceDE w:val="0"/>
                    <w:autoSpaceDN w:val="0"/>
                    <w:adjustRightInd w:val="0"/>
                    <w:jc w:val="center"/>
                    <w:rPr>
                      <w:sz w:val="24"/>
                    </w:rPr>
                  </w:pPr>
                  <w:r>
                    <w:rPr>
                      <w:rFonts w:hint="eastAsia"/>
                      <w:sz w:val="24"/>
                    </w:rPr>
                    <w:t>8</w:t>
                  </w:r>
                </w:p>
              </w:tc>
              <w:tc>
                <w:tcPr>
                  <w:tcW w:w="1358" w:type="pct"/>
                  <w:vAlign w:val="center"/>
                </w:tcPr>
                <w:p>
                  <w:pPr>
                    <w:adjustRightInd w:val="0"/>
                    <w:jc w:val="center"/>
                    <w:rPr>
                      <w:sz w:val="24"/>
                    </w:rPr>
                  </w:pPr>
                  <w:r>
                    <w:rPr>
                      <w:rFonts w:hint="eastAsia"/>
                      <w:sz w:val="24"/>
                    </w:rPr>
                    <w:t>卷板机</w:t>
                  </w:r>
                </w:p>
              </w:tc>
              <w:tc>
                <w:tcPr>
                  <w:tcW w:w="1359" w:type="pct"/>
                  <w:vAlign w:val="center"/>
                </w:tcPr>
                <w:p>
                  <w:pPr>
                    <w:adjustRightInd w:val="0"/>
                    <w:jc w:val="center"/>
                    <w:rPr>
                      <w:sz w:val="24"/>
                    </w:rPr>
                  </w:pPr>
                  <w:r>
                    <w:rPr>
                      <w:rFonts w:hint="eastAsia"/>
                      <w:sz w:val="24"/>
                    </w:rPr>
                    <w:t>W11—20X2000</w:t>
                  </w:r>
                </w:p>
              </w:tc>
              <w:tc>
                <w:tcPr>
                  <w:tcW w:w="906" w:type="pct"/>
                  <w:vAlign w:val="center"/>
                </w:tcPr>
                <w:p>
                  <w:pPr>
                    <w:adjustRightInd w:val="0"/>
                    <w:jc w:val="center"/>
                    <w:rPr>
                      <w:sz w:val="24"/>
                    </w:rPr>
                  </w:pPr>
                  <w:r>
                    <w:rPr>
                      <w:rFonts w:hint="eastAsia"/>
                      <w:sz w:val="24"/>
                    </w:rPr>
                    <w:t>1</w:t>
                  </w:r>
                </w:p>
              </w:tc>
              <w:tc>
                <w:tcPr>
                  <w:tcW w:w="905" w:type="pct"/>
                  <w:vAlign w:val="center"/>
                </w:tcPr>
                <w:p>
                  <w:pPr>
                    <w:autoSpaceDE w:val="0"/>
                    <w:autoSpaceDN w:val="0"/>
                    <w:adjustRightInd w:val="0"/>
                    <w:jc w:val="center"/>
                    <w:rPr>
                      <w:sz w:val="24"/>
                    </w:rPr>
                  </w:pPr>
                  <w:r>
                    <w:rPr>
                      <w:rFonts w:hint="eastAsia"/>
                      <w:sz w:val="24"/>
                    </w:rPr>
                    <w:t>/</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72" w:type="pct"/>
                  <w:vAlign w:val="center"/>
                </w:tcPr>
                <w:p>
                  <w:pPr>
                    <w:autoSpaceDE w:val="0"/>
                    <w:autoSpaceDN w:val="0"/>
                    <w:adjustRightInd w:val="0"/>
                    <w:jc w:val="center"/>
                    <w:rPr>
                      <w:sz w:val="24"/>
                    </w:rPr>
                  </w:pPr>
                  <w:r>
                    <w:rPr>
                      <w:rFonts w:hint="eastAsia"/>
                      <w:sz w:val="24"/>
                    </w:rPr>
                    <w:t>9</w:t>
                  </w:r>
                </w:p>
              </w:tc>
              <w:tc>
                <w:tcPr>
                  <w:tcW w:w="1358" w:type="pct"/>
                  <w:vAlign w:val="center"/>
                </w:tcPr>
                <w:p>
                  <w:pPr>
                    <w:adjustRightInd w:val="0"/>
                    <w:jc w:val="center"/>
                    <w:rPr>
                      <w:sz w:val="24"/>
                    </w:rPr>
                  </w:pPr>
                  <w:r>
                    <w:rPr>
                      <w:rFonts w:hint="eastAsia"/>
                      <w:sz w:val="24"/>
                    </w:rPr>
                    <w:t>普通车床</w:t>
                  </w:r>
                </w:p>
              </w:tc>
              <w:tc>
                <w:tcPr>
                  <w:tcW w:w="1359" w:type="pct"/>
                  <w:vAlign w:val="center"/>
                </w:tcPr>
                <w:p>
                  <w:pPr>
                    <w:adjustRightInd w:val="0"/>
                    <w:jc w:val="center"/>
                    <w:rPr>
                      <w:sz w:val="24"/>
                    </w:rPr>
                  </w:pPr>
                  <w:r>
                    <w:rPr>
                      <w:rFonts w:hint="eastAsia"/>
                      <w:sz w:val="24"/>
                    </w:rPr>
                    <w:t>C630A—1A</w:t>
                  </w:r>
                </w:p>
              </w:tc>
              <w:tc>
                <w:tcPr>
                  <w:tcW w:w="906" w:type="pct"/>
                  <w:vAlign w:val="center"/>
                </w:tcPr>
                <w:p>
                  <w:pPr>
                    <w:adjustRightInd w:val="0"/>
                    <w:jc w:val="center"/>
                    <w:rPr>
                      <w:sz w:val="24"/>
                    </w:rPr>
                  </w:pPr>
                  <w:r>
                    <w:rPr>
                      <w:rFonts w:hint="eastAsia"/>
                      <w:sz w:val="24"/>
                    </w:rPr>
                    <w:t>4</w:t>
                  </w:r>
                </w:p>
              </w:tc>
              <w:tc>
                <w:tcPr>
                  <w:tcW w:w="905" w:type="pct"/>
                  <w:vAlign w:val="center"/>
                </w:tcPr>
                <w:p>
                  <w:pPr>
                    <w:adjustRightInd w:val="0"/>
                    <w:jc w:val="center"/>
                    <w:rPr>
                      <w:sz w:val="24"/>
                    </w:rPr>
                  </w:pPr>
                  <w:r>
                    <w:rPr>
                      <w:rFonts w:hint="eastAsia"/>
                      <w:sz w:val="24"/>
                    </w:rPr>
                    <w:t>/</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72" w:type="pct"/>
                  <w:vAlign w:val="center"/>
                </w:tcPr>
                <w:p>
                  <w:pPr>
                    <w:autoSpaceDE w:val="0"/>
                    <w:autoSpaceDN w:val="0"/>
                    <w:adjustRightInd w:val="0"/>
                    <w:jc w:val="center"/>
                    <w:rPr>
                      <w:sz w:val="24"/>
                    </w:rPr>
                  </w:pPr>
                  <w:r>
                    <w:rPr>
                      <w:rFonts w:hint="eastAsia"/>
                      <w:sz w:val="24"/>
                    </w:rPr>
                    <w:t>10</w:t>
                  </w:r>
                </w:p>
              </w:tc>
              <w:tc>
                <w:tcPr>
                  <w:tcW w:w="1358" w:type="pct"/>
                  <w:vAlign w:val="center"/>
                </w:tcPr>
                <w:p>
                  <w:pPr>
                    <w:adjustRightInd w:val="0"/>
                    <w:jc w:val="center"/>
                    <w:rPr>
                      <w:sz w:val="24"/>
                    </w:rPr>
                  </w:pPr>
                  <w:r>
                    <w:rPr>
                      <w:rFonts w:hint="eastAsia"/>
                      <w:sz w:val="24"/>
                    </w:rPr>
                    <w:t>钢筋剪断机</w:t>
                  </w:r>
                </w:p>
              </w:tc>
              <w:tc>
                <w:tcPr>
                  <w:tcW w:w="1359" w:type="pct"/>
                  <w:vAlign w:val="center"/>
                </w:tcPr>
                <w:p>
                  <w:pPr>
                    <w:adjustRightInd w:val="0"/>
                    <w:jc w:val="center"/>
                    <w:rPr>
                      <w:sz w:val="24"/>
                    </w:rPr>
                  </w:pPr>
                  <w:r>
                    <w:rPr>
                      <w:rFonts w:hint="eastAsia"/>
                      <w:sz w:val="24"/>
                    </w:rPr>
                    <w:t>CQ—45</w:t>
                  </w:r>
                </w:p>
              </w:tc>
              <w:tc>
                <w:tcPr>
                  <w:tcW w:w="906" w:type="pct"/>
                  <w:vAlign w:val="center"/>
                </w:tcPr>
                <w:p>
                  <w:pPr>
                    <w:adjustRightInd w:val="0"/>
                    <w:jc w:val="center"/>
                    <w:rPr>
                      <w:sz w:val="24"/>
                    </w:rPr>
                  </w:pPr>
                  <w:r>
                    <w:rPr>
                      <w:rFonts w:hint="eastAsia"/>
                      <w:sz w:val="24"/>
                    </w:rPr>
                    <w:t>2</w:t>
                  </w:r>
                </w:p>
              </w:tc>
              <w:tc>
                <w:tcPr>
                  <w:tcW w:w="905" w:type="pct"/>
                  <w:vAlign w:val="center"/>
                </w:tcPr>
                <w:p>
                  <w:pPr>
                    <w:autoSpaceDE w:val="0"/>
                    <w:autoSpaceDN w:val="0"/>
                    <w:adjustRightInd w:val="0"/>
                    <w:jc w:val="center"/>
                    <w:rPr>
                      <w:sz w:val="24"/>
                    </w:rPr>
                  </w:pPr>
                  <w:r>
                    <w:rPr>
                      <w:rFonts w:hint="eastAsia"/>
                      <w:sz w:val="24"/>
                    </w:rPr>
                    <w:t>/</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72" w:type="pct"/>
                  <w:vAlign w:val="center"/>
                </w:tcPr>
                <w:p>
                  <w:pPr>
                    <w:autoSpaceDE w:val="0"/>
                    <w:autoSpaceDN w:val="0"/>
                    <w:adjustRightInd w:val="0"/>
                    <w:jc w:val="center"/>
                    <w:rPr>
                      <w:sz w:val="24"/>
                    </w:rPr>
                  </w:pPr>
                  <w:r>
                    <w:rPr>
                      <w:rFonts w:hint="eastAsia"/>
                      <w:sz w:val="24"/>
                    </w:rPr>
                    <w:t>11</w:t>
                  </w:r>
                </w:p>
              </w:tc>
              <w:tc>
                <w:tcPr>
                  <w:tcW w:w="1358" w:type="pct"/>
                  <w:vAlign w:val="center"/>
                </w:tcPr>
                <w:p>
                  <w:pPr>
                    <w:adjustRightInd w:val="0"/>
                    <w:jc w:val="center"/>
                    <w:rPr>
                      <w:sz w:val="24"/>
                    </w:rPr>
                  </w:pPr>
                  <w:r>
                    <w:rPr>
                      <w:rFonts w:hint="eastAsia"/>
                      <w:sz w:val="24"/>
                    </w:rPr>
                    <w:t>等离子切割机</w:t>
                  </w:r>
                </w:p>
              </w:tc>
              <w:tc>
                <w:tcPr>
                  <w:tcW w:w="1359" w:type="pct"/>
                  <w:vAlign w:val="center"/>
                </w:tcPr>
                <w:p>
                  <w:pPr>
                    <w:adjustRightInd w:val="0"/>
                    <w:jc w:val="center"/>
                    <w:rPr>
                      <w:sz w:val="24"/>
                    </w:rPr>
                  </w:pPr>
                  <w:r>
                    <w:rPr>
                      <w:rFonts w:hint="eastAsia"/>
                      <w:sz w:val="24"/>
                    </w:rPr>
                    <w:t>RKD—A—H2</w:t>
                  </w:r>
                </w:p>
              </w:tc>
              <w:tc>
                <w:tcPr>
                  <w:tcW w:w="906" w:type="pct"/>
                  <w:vAlign w:val="center"/>
                </w:tcPr>
                <w:p>
                  <w:pPr>
                    <w:adjustRightInd w:val="0"/>
                    <w:jc w:val="center"/>
                    <w:rPr>
                      <w:sz w:val="24"/>
                    </w:rPr>
                  </w:pPr>
                  <w:r>
                    <w:rPr>
                      <w:rFonts w:hint="eastAsia"/>
                      <w:sz w:val="24"/>
                    </w:rPr>
                    <w:t>1</w:t>
                  </w:r>
                </w:p>
              </w:tc>
              <w:tc>
                <w:tcPr>
                  <w:tcW w:w="905" w:type="pct"/>
                  <w:vAlign w:val="center"/>
                </w:tcPr>
                <w:p>
                  <w:pPr>
                    <w:adjustRightInd w:val="0"/>
                    <w:jc w:val="center"/>
                    <w:rPr>
                      <w:sz w:val="24"/>
                    </w:rPr>
                  </w:pPr>
                  <w:r>
                    <w:rPr>
                      <w:rFonts w:hint="eastAsia"/>
                      <w:sz w:val="24"/>
                    </w:rPr>
                    <w:t>/</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72" w:type="pct"/>
                  <w:vAlign w:val="center"/>
                </w:tcPr>
                <w:p>
                  <w:pPr>
                    <w:autoSpaceDE w:val="0"/>
                    <w:autoSpaceDN w:val="0"/>
                    <w:adjustRightInd w:val="0"/>
                    <w:jc w:val="center"/>
                    <w:rPr>
                      <w:sz w:val="24"/>
                    </w:rPr>
                  </w:pPr>
                  <w:r>
                    <w:rPr>
                      <w:rFonts w:hint="eastAsia"/>
                      <w:sz w:val="24"/>
                    </w:rPr>
                    <w:t>12</w:t>
                  </w:r>
                </w:p>
              </w:tc>
              <w:tc>
                <w:tcPr>
                  <w:tcW w:w="1358" w:type="pct"/>
                  <w:vAlign w:val="center"/>
                </w:tcPr>
                <w:p>
                  <w:pPr>
                    <w:adjustRightInd w:val="0"/>
                    <w:jc w:val="center"/>
                    <w:rPr>
                      <w:sz w:val="24"/>
                    </w:rPr>
                  </w:pPr>
                  <w:r>
                    <w:rPr>
                      <w:rFonts w:hint="eastAsia"/>
                      <w:sz w:val="24"/>
                    </w:rPr>
                    <w:t>手持式切割机</w:t>
                  </w:r>
                </w:p>
              </w:tc>
              <w:tc>
                <w:tcPr>
                  <w:tcW w:w="1359" w:type="pct"/>
                  <w:vAlign w:val="center"/>
                </w:tcPr>
                <w:p>
                  <w:pPr>
                    <w:adjustRightInd w:val="0"/>
                    <w:jc w:val="center"/>
                    <w:rPr>
                      <w:sz w:val="24"/>
                    </w:rPr>
                  </w:pPr>
                  <w:r>
                    <w:rPr>
                      <w:rFonts w:hint="eastAsia"/>
                      <w:sz w:val="24"/>
                    </w:rPr>
                    <w:t>85—016654</w:t>
                  </w:r>
                </w:p>
              </w:tc>
              <w:tc>
                <w:tcPr>
                  <w:tcW w:w="906" w:type="pct"/>
                  <w:vAlign w:val="center"/>
                </w:tcPr>
                <w:p>
                  <w:pPr>
                    <w:adjustRightInd w:val="0"/>
                    <w:jc w:val="center"/>
                    <w:rPr>
                      <w:sz w:val="24"/>
                    </w:rPr>
                  </w:pPr>
                  <w:r>
                    <w:rPr>
                      <w:rFonts w:hint="eastAsia"/>
                      <w:sz w:val="24"/>
                    </w:rPr>
                    <w:t>1</w:t>
                  </w:r>
                </w:p>
              </w:tc>
              <w:tc>
                <w:tcPr>
                  <w:tcW w:w="905" w:type="pct"/>
                  <w:vAlign w:val="center"/>
                </w:tcPr>
                <w:p>
                  <w:pPr>
                    <w:adjustRightInd w:val="0"/>
                    <w:jc w:val="center"/>
                    <w:rPr>
                      <w:sz w:val="24"/>
                    </w:rPr>
                  </w:pPr>
                  <w:r>
                    <w:rPr>
                      <w:rFonts w:hint="eastAsia"/>
                      <w:sz w:val="24"/>
                    </w:rPr>
                    <w:t>/</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72" w:type="pct"/>
                  <w:vAlign w:val="center"/>
                </w:tcPr>
                <w:p>
                  <w:pPr>
                    <w:autoSpaceDE w:val="0"/>
                    <w:autoSpaceDN w:val="0"/>
                    <w:adjustRightInd w:val="0"/>
                    <w:jc w:val="center"/>
                    <w:rPr>
                      <w:sz w:val="24"/>
                    </w:rPr>
                  </w:pPr>
                  <w:r>
                    <w:rPr>
                      <w:rFonts w:hint="eastAsia"/>
                      <w:sz w:val="24"/>
                    </w:rPr>
                    <w:t>13</w:t>
                  </w:r>
                </w:p>
              </w:tc>
              <w:tc>
                <w:tcPr>
                  <w:tcW w:w="1358" w:type="pct"/>
                  <w:vMerge w:val="restart"/>
                  <w:vAlign w:val="center"/>
                </w:tcPr>
                <w:p>
                  <w:pPr>
                    <w:adjustRightInd w:val="0"/>
                    <w:jc w:val="center"/>
                    <w:rPr>
                      <w:sz w:val="24"/>
                    </w:rPr>
                  </w:pPr>
                  <w:r>
                    <w:rPr>
                      <w:rFonts w:hint="eastAsia"/>
                      <w:sz w:val="24"/>
                    </w:rPr>
                    <w:t>电焊机</w:t>
                  </w:r>
                </w:p>
              </w:tc>
              <w:tc>
                <w:tcPr>
                  <w:tcW w:w="1359" w:type="pct"/>
                  <w:vAlign w:val="center"/>
                </w:tcPr>
                <w:p>
                  <w:pPr>
                    <w:adjustRightInd w:val="0"/>
                    <w:jc w:val="center"/>
                    <w:rPr>
                      <w:sz w:val="24"/>
                    </w:rPr>
                  </w:pPr>
                  <w:r>
                    <w:rPr>
                      <w:rFonts w:hint="eastAsia"/>
                      <w:sz w:val="24"/>
                    </w:rPr>
                    <w:t>ZX7—400</w:t>
                  </w:r>
                </w:p>
              </w:tc>
              <w:tc>
                <w:tcPr>
                  <w:tcW w:w="906" w:type="pct"/>
                  <w:vAlign w:val="center"/>
                </w:tcPr>
                <w:p>
                  <w:pPr>
                    <w:adjustRightInd w:val="0"/>
                    <w:jc w:val="center"/>
                    <w:rPr>
                      <w:sz w:val="24"/>
                    </w:rPr>
                  </w:pPr>
                  <w:r>
                    <w:rPr>
                      <w:rFonts w:hint="eastAsia"/>
                      <w:sz w:val="24"/>
                    </w:rPr>
                    <w:t>3</w:t>
                  </w:r>
                </w:p>
              </w:tc>
              <w:tc>
                <w:tcPr>
                  <w:tcW w:w="905" w:type="pct"/>
                  <w:vAlign w:val="center"/>
                </w:tcPr>
                <w:p>
                  <w:pPr>
                    <w:autoSpaceDE w:val="0"/>
                    <w:autoSpaceDN w:val="0"/>
                    <w:adjustRightInd w:val="0"/>
                    <w:jc w:val="center"/>
                    <w:rPr>
                      <w:sz w:val="24"/>
                    </w:rPr>
                  </w:pPr>
                  <w:r>
                    <w:rPr>
                      <w:rFonts w:hint="eastAsia"/>
                      <w:sz w:val="24"/>
                    </w:rPr>
                    <w:t>/</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72" w:type="pct"/>
                  <w:vAlign w:val="center"/>
                </w:tcPr>
                <w:p>
                  <w:pPr>
                    <w:autoSpaceDE w:val="0"/>
                    <w:autoSpaceDN w:val="0"/>
                    <w:adjustRightInd w:val="0"/>
                    <w:jc w:val="center"/>
                    <w:rPr>
                      <w:sz w:val="24"/>
                    </w:rPr>
                  </w:pPr>
                  <w:r>
                    <w:rPr>
                      <w:rFonts w:hint="eastAsia"/>
                      <w:sz w:val="24"/>
                    </w:rPr>
                    <w:t>14</w:t>
                  </w:r>
                </w:p>
              </w:tc>
              <w:tc>
                <w:tcPr>
                  <w:tcW w:w="1358" w:type="pct"/>
                  <w:vMerge w:val="continue"/>
                  <w:vAlign w:val="center"/>
                </w:tcPr>
                <w:p>
                  <w:pPr>
                    <w:adjustRightInd w:val="0"/>
                    <w:jc w:val="center"/>
                    <w:rPr>
                      <w:sz w:val="24"/>
                    </w:rPr>
                  </w:pPr>
                </w:p>
              </w:tc>
              <w:tc>
                <w:tcPr>
                  <w:tcW w:w="1359" w:type="pct"/>
                  <w:vAlign w:val="center"/>
                </w:tcPr>
                <w:p>
                  <w:pPr>
                    <w:adjustRightInd w:val="0"/>
                    <w:jc w:val="center"/>
                    <w:rPr>
                      <w:sz w:val="24"/>
                    </w:rPr>
                  </w:pPr>
                  <w:r>
                    <w:rPr>
                      <w:rFonts w:hint="eastAsia"/>
                      <w:sz w:val="24"/>
                    </w:rPr>
                    <w:t>NB—500LGBT</w:t>
                  </w:r>
                </w:p>
              </w:tc>
              <w:tc>
                <w:tcPr>
                  <w:tcW w:w="906" w:type="pct"/>
                  <w:vAlign w:val="center"/>
                </w:tcPr>
                <w:p>
                  <w:pPr>
                    <w:adjustRightInd w:val="0"/>
                    <w:jc w:val="center"/>
                    <w:rPr>
                      <w:sz w:val="24"/>
                    </w:rPr>
                  </w:pPr>
                  <w:r>
                    <w:rPr>
                      <w:rFonts w:hint="eastAsia"/>
                      <w:sz w:val="24"/>
                    </w:rPr>
                    <w:t>5</w:t>
                  </w:r>
                </w:p>
              </w:tc>
              <w:tc>
                <w:tcPr>
                  <w:tcW w:w="905" w:type="pct"/>
                  <w:vAlign w:val="center"/>
                </w:tcPr>
                <w:p>
                  <w:pPr>
                    <w:adjustRightInd w:val="0"/>
                    <w:jc w:val="center"/>
                    <w:rPr>
                      <w:sz w:val="24"/>
                    </w:rPr>
                  </w:pPr>
                  <w:r>
                    <w:rPr>
                      <w:rFonts w:hint="eastAsia"/>
                      <w:sz w:val="24"/>
                    </w:rPr>
                    <w:t>/</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72" w:type="pct"/>
                  <w:vAlign w:val="center"/>
                </w:tcPr>
                <w:p>
                  <w:pPr>
                    <w:autoSpaceDE w:val="0"/>
                    <w:autoSpaceDN w:val="0"/>
                    <w:adjustRightInd w:val="0"/>
                    <w:jc w:val="center"/>
                    <w:rPr>
                      <w:sz w:val="24"/>
                    </w:rPr>
                  </w:pPr>
                  <w:r>
                    <w:rPr>
                      <w:rFonts w:hint="eastAsia"/>
                      <w:sz w:val="24"/>
                    </w:rPr>
                    <w:t>15</w:t>
                  </w:r>
                </w:p>
              </w:tc>
              <w:tc>
                <w:tcPr>
                  <w:tcW w:w="1358" w:type="pct"/>
                  <w:vAlign w:val="center"/>
                </w:tcPr>
                <w:p>
                  <w:pPr>
                    <w:adjustRightInd w:val="0"/>
                    <w:jc w:val="center"/>
                    <w:rPr>
                      <w:sz w:val="24"/>
                    </w:rPr>
                  </w:pPr>
                  <w:r>
                    <w:rPr>
                      <w:rFonts w:hint="eastAsia"/>
                      <w:sz w:val="24"/>
                    </w:rPr>
                    <w:t>行车</w:t>
                  </w:r>
                </w:p>
              </w:tc>
              <w:tc>
                <w:tcPr>
                  <w:tcW w:w="1359" w:type="pct"/>
                  <w:vAlign w:val="center"/>
                </w:tcPr>
                <w:p>
                  <w:pPr>
                    <w:adjustRightInd w:val="0"/>
                    <w:jc w:val="center"/>
                    <w:rPr>
                      <w:sz w:val="24"/>
                    </w:rPr>
                  </w:pPr>
                  <w:r>
                    <w:rPr>
                      <w:rFonts w:hint="eastAsia"/>
                      <w:sz w:val="24"/>
                    </w:rPr>
                    <w:t>/</w:t>
                  </w:r>
                </w:p>
              </w:tc>
              <w:tc>
                <w:tcPr>
                  <w:tcW w:w="906" w:type="pct"/>
                  <w:vAlign w:val="center"/>
                </w:tcPr>
                <w:p>
                  <w:pPr>
                    <w:adjustRightInd w:val="0"/>
                    <w:jc w:val="center"/>
                    <w:rPr>
                      <w:sz w:val="24"/>
                    </w:rPr>
                  </w:pPr>
                  <w:r>
                    <w:rPr>
                      <w:rFonts w:hint="eastAsia"/>
                      <w:sz w:val="24"/>
                    </w:rPr>
                    <w:t>4</w:t>
                  </w:r>
                </w:p>
              </w:tc>
              <w:tc>
                <w:tcPr>
                  <w:tcW w:w="905" w:type="pct"/>
                  <w:vAlign w:val="center"/>
                </w:tcPr>
                <w:p>
                  <w:pPr>
                    <w:adjustRightInd w:val="0"/>
                    <w:jc w:val="center"/>
                    <w:rPr>
                      <w:sz w:val="24"/>
                    </w:rPr>
                  </w:pPr>
                  <w:r>
                    <w:rPr>
                      <w:rFonts w:hint="eastAsia"/>
                      <w:sz w:val="24"/>
                    </w:rPr>
                    <w:t>/</w:t>
                  </w:r>
                </w:p>
              </w:tc>
            </w:tr>
          </w:tbl>
          <w:p>
            <w:pPr>
              <w:adjustRightInd w:val="0"/>
              <w:snapToGrid w:val="0"/>
              <w:spacing w:line="500" w:lineRule="exact"/>
              <w:ind w:firstLine="480" w:firstLineChars="200"/>
              <w:rPr>
                <w:sz w:val="24"/>
              </w:rPr>
            </w:pPr>
            <w:r>
              <w:rPr>
                <w:sz w:val="24"/>
              </w:rPr>
              <w:t>经查《产业结构调整指导目录（201</w:t>
            </w:r>
            <w:r>
              <w:rPr>
                <w:rFonts w:hint="eastAsia"/>
                <w:sz w:val="24"/>
              </w:rPr>
              <w:t>9</w:t>
            </w:r>
            <w:r>
              <w:rPr>
                <w:sz w:val="24"/>
              </w:rPr>
              <w:t>年本）》（国家发改委201</w:t>
            </w:r>
            <w:r>
              <w:rPr>
                <w:rFonts w:hint="eastAsia"/>
                <w:sz w:val="24"/>
              </w:rPr>
              <w:t>9</w:t>
            </w:r>
            <w:r>
              <w:rPr>
                <w:sz w:val="24"/>
              </w:rPr>
              <w:t>年第2</w:t>
            </w:r>
            <w:r>
              <w:rPr>
                <w:rFonts w:hint="eastAsia"/>
                <w:sz w:val="24"/>
              </w:rPr>
              <w:t>9</w:t>
            </w:r>
            <w:r>
              <w:rPr>
                <w:sz w:val="24"/>
              </w:rPr>
              <w:t>号令），该项目使用设备不在限制类和淘汰类的范畴。</w:t>
            </w:r>
          </w:p>
          <w:p>
            <w:pPr>
              <w:tabs>
                <w:tab w:val="left" w:pos="1260"/>
              </w:tabs>
              <w:adjustRightInd w:val="0"/>
              <w:snapToGrid w:val="0"/>
              <w:spacing w:line="500" w:lineRule="exact"/>
              <w:ind w:firstLine="480" w:firstLineChars="200"/>
              <w:rPr>
                <w:sz w:val="24"/>
              </w:rPr>
            </w:pPr>
            <w:r>
              <w:rPr>
                <w:sz w:val="24"/>
              </w:rPr>
              <w:t>1</w:t>
            </w:r>
            <w:r>
              <w:rPr>
                <w:rFonts w:hint="eastAsia"/>
                <w:sz w:val="24"/>
              </w:rPr>
              <w:t>1.</w:t>
            </w:r>
            <w:r>
              <w:rPr>
                <w:sz w:val="24"/>
              </w:rPr>
              <w:t>公用工程</w:t>
            </w:r>
          </w:p>
          <w:p>
            <w:pPr>
              <w:adjustRightInd w:val="0"/>
              <w:snapToGrid w:val="0"/>
              <w:spacing w:line="500" w:lineRule="exact"/>
              <w:ind w:firstLine="480" w:firstLineChars="200"/>
              <w:rPr>
                <w:sz w:val="24"/>
              </w:rPr>
            </w:pPr>
            <w:r>
              <w:rPr>
                <w:rFonts w:hint="eastAsia"/>
                <w:sz w:val="24"/>
              </w:rPr>
              <w:t>(1)供电</w:t>
            </w:r>
          </w:p>
          <w:p>
            <w:pPr>
              <w:adjustRightInd w:val="0"/>
              <w:snapToGrid w:val="0"/>
              <w:spacing w:line="500" w:lineRule="exact"/>
              <w:ind w:firstLine="480" w:firstLineChars="200"/>
              <w:rPr>
                <w:sz w:val="24"/>
              </w:rPr>
            </w:pPr>
            <w:r>
              <w:rPr>
                <w:rFonts w:hint="eastAsia"/>
                <w:sz w:val="24"/>
              </w:rPr>
              <w:t>本项目年耗电量为2</w:t>
            </w:r>
            <w:r>
              <w:rPr>
                <w:sz w:val="24"/>
              </w:rPr>
              <w:t>0000</w:t>
            </w:r>
            <w:r>
              <w:rPr>
                <w:rFonts w:hint="eastAsia"/>
                <w:sz w:val="24"/>
              </w:rPr>
              <w:t>千瓦时，由当地电网供应，供全厂生产和照明，能满足本项目用电需求。</w:t>
            </w:r>
          </w:p>
          <w:p>
            <w:pPr>
              <w:adjustRightInd w:val="0"/>
              <w:snapToGrid w:val="0"/>
              <w:spacing w:line="500" w:lineRule="exact"/>
              <w:ind w:firstLine="480" w:firstLineChars="200"/>
              <w:rPr>
                <w:sz w:val="24"/>
              </w:rPr>
            </w:pPr>
            <w:r>
              <w:rPr>
                <w:rFonts w:hint="eastAsia"/>
                <w:sz w:val="24"/>
              </w:rPr>
              <w:t>(2)供热</w:t>
            </w:r>
          </w:p>
          <w:p>
            <w:pPr>
              <w:adjustRightInd w:val="0"/>
              <w:snapToGrid w:val="0"/>
              <w:spacing w:line="500" w:lineRule="exact"/>
              <w:ind w:firstLine="480" w:firstLineChars="200"/>
              <w:rPr>
                <w:sz w:val="24"/>
              </w:rPr>
            </w:pPr>
            <w:r>
              <w:rPr>
                <w:rFonts w:hint="eastAsia"/>
                <w:sz w:val="24"/>
              </w:rPr>
              <w:t>办公室采用空调供暖。</w:t>
            </w:r>
          </w:p>
          <w:p>
            <w:pPr>
              <w:adjustRightInd w:val="0"/>
              <w:snapToGrid w:val="0"/>
              <w:spacing w:line="500" w:lineRule="exact"/>
              <w:ind w:firstLine="480" w:firstLineChars="200"/>
              <w:rPr>
                <w:sz w:val="24"/>
              </w:rPr>
            </w:pPr>
            <w:r>
              <w:rPr>
                <w:rFonts w:hint="eastAsia"/>
                <w:sz w:val="24"/>
              </w:rPr>
              <w:t>(3)给水</w:t>
            </w:r>
          </w:p>
          <w:p>
            <w:pPr>
              <w:adjustRightInd w:val="0"/>
              <w:snapToGrid w:val="0"/>
              <w:spacing w:line="500" w:lineRule="exact"/>
              <w:ind w:firstLine="480" w:firstLineChars="200"/>
              <w:rPr>
                <w:sz w:val="24"/>
              </w:rPr>
            </w:pPr>
            <w:r>
              <w:rPr>
                <w:rFonts w:hint="eastAsia"/>
                <w:sz w:val="24"/>
              </w:rPr>
              <w:t>项目用水90</w:t>
            </w:r>
            <w:r>
              <w:rPr>
                <w:sz w:val="24"/>
              </w:rPr>
              <w:t>m</w:t>
            </w:r>
            <w:r>
              <w:rPr>
                <w:sz w:val="24"/>
                <w:vertAlign w:val="superscript"/>
              </w:rPr>
              <w:t>3</w:t>
            </w:r>
            <w:r>
              <w:rPr>
                <w:sz w:val="24"/>
              </w:rPr>
              <w:t>/a</w:t>
            </w:r>
            <w:r>
              <w:rPr>
                <w:rFonts w:hint="eastAsia"/>
                <w:sz w:val="24"/>
              </w:rPr>
              <w:t>，主要用于职工生活污水；员工均为附近村民均不在厂区食宿，根据《河南省地方标准</w:t>
            </w:r>
            <w:r>
              <w:rPr>
                <w:sz w:val="24"/>
              </w:rPr>
              <w:t>-</w:t>
            </w:r>
            <w:r>
              <w:rPr>
                <w:rFonts w:hint="eastAsia"/>
                <w:sz w:val="24"/>
              </w:rPr>
              <w:t>工业与城镇生活用水定额》（</w:t>
            </w:r>
            <w:r>
              <w:rPr>
                <w:sz w:val="24"/>
              </w:rPr>
              <w:t>DB41T385-2014</w:t>
            </w:r>
            <w:r>
              <w:rPr>
                <w:rFonts w:hint="eastAsia"/>
                <w:sz w:val="24"/>
              </w:rPr>
              <w:t>）中的相关标准，员工生活用水定额按照30</w:t>
            </w:r>
            <w:r>
              <w:rPr>
                <w:sz w:val="24"/>
              </w:rPr>
              <w:t>L/</w:t>
            </w:r>
            <w:r>
              <w:rPr>
                <w:rFonts w:hint="eastAsia"/>
                <w:sz w:val="24"/>
              </w:rPr>
              <w:t>人</w:t>
            </w:r>
            <w:r>
              <w:rPr>
                <w:sz w:val="24"/>
              </w:rPr>
              <w:t>·d</w:t>
            </w:r>
            <w:r>
              <w:rPr>
                <w:rFonts w:hint="eastAsia"/>
                <w:sz w:val="24"/>
              </w:rPr>
              <w:t>计算，年工作日30</w:t>
            </w:r>
            <w:r>
              <w:rPr>
                <w:sz w:val="24"/>
              </w:rPr>
              <w:t>0</w:t>
            </w:r>
            <w:r>
              <w:rPr>
                <w:rFonts w:hint="eastAsia"/>
                <w:sz w:val="24"/>
              </w:rPr>
              <w:t>天，厂区共新增工作人员10人。因此生活用水总计用水量为0.3</w:t>
            </w:r>
            <w:r>
              <w:rPr>
                <w:sz w:val="24"/>
              </w:rPr>
              <w:t>m</w:t>
            </w:r>
            <w:r>
              <w:rPr>
                <w:sz w:val="24"/>
                <w:vertAlign w:val="superscript"/>
              </w:rPr>
              <w:t>3</w:t>
            </w:r>
            <w:r>
              <w:rPr>
                <w:sz w:val="24"/>
              </w:rPr>
              <w:t>/d</w:t>
            </w:r>
            <w:r>
              <w:rPr>
                <w:rFonts w:hint="eastAsia"/>
                <w:sz w:val="24"/>
              </w:rPr>
              <w:t>，合90</w:t>
            </w:r>
            <w:r>
              <w:rPr>
                <w:sz w:val="24"/>
              </w:rPr>
              <w:t>m</w:t>
            </w:r>
            <w:r>
              <w:rPr>
                <w:sz w:val="24"/>
                <w:vertAlign w:val="superscript"/>
              </w:rPr>
              <w:t>3</w:t>
            </w:r>
            <w:r>
              <w:rPr>
                <w:sz w:val="24"/>
              </w:rPr>
              <w:t>/a</w:t>
            </w:r>
            <w:r>
              <w:rPr>
                <w:rFonts w:hint="eastAsia"/>
                <w:sz w:val="24"/>
              </w:rPr>
              <w:t>；项目用水由厂区自备井供给，能够满足厂区用水需求。</w:t>
            </w:r>
          </w:p>
          <w:p>
            <w:pPr>
              <w:adjustRightInd w:val="0"/>
              <w:snapToGrid w:val="0"/>
              <w:spacing w:line="500" w:lineRule="exact"/>
              <w:ind w:firstLine="480" w:firstLineChars="200"/>
              <w:rPr>
                <w:sz w:val="24"/>
              </w:rPr>
            </w:pPr>
            <w:r>
              <w:rPr>
                <w:rFonts w:hint="eastAsia"/>
                <w:sz w:val="24"/>
              </w:rPr>
              <w:t>(4)排水</w:t>
            </w:r>
          </w:p>
          <w:p>
            <w:pPr>
              <w:adjustRightInd w:val="0"/>
              <w:snapToGrid w:val="0"/>
              <w:spacing w:line="500" w:lineRule="exact"/>
              <w:ind w:firstLine="480" w:firstLineChars="200"/>
              <w:rPr>
                <w:sz w:val="24"/>
              </w:rPr>
            </w:pPr>
            <w:r>
              <w:rPr>
                <w:rFonts w:hint="eastAsia"/>
                <w:sz w:val="24"/>
              </w:rPr>
              <w:t>项目所在厂区主要为生活污水，生产不排水。</w:t>
            </w:r>
          </w:p>
          <w:p>
            <w:pPr>
              <w:adjustRightInd w:val="0"/>
              <w:snapToGrid w:val="0"/>
              <w:spacing w:line="500" w:lineRule="exact"/>
              <w:ind w:firstLine="480" w:firstLineChars="200"/>
              <w:rPr>
                <w:sz w:val="24"/>
              </w:rPr>
            </w:pPr>
            <w:r>
              <w:rPr>
                <w:rFonts w:hint="eastAsia"/>
                <w:sz w:val="24"/>
              </w:rPr>
              <w:t>项目废水主要为员工生活污水（粪污水），产生量按日用水量的</w:t>
            </w:r>
            <w:r>
              <w:rPr>
                <w:sz w:val="24"/>
              </w:rPr>
              <w:t>80%</w:t>
            </w:r>
            <w:r>
              <w:rPr>
                <w:rFonts w:hint="eastAsia"/>
                <w:sz w:val="24"/>
              </w:rPr>
              <w:t>计算，为0.24</w:t>
            </w:r>
            <w:r>
              <w:rPr>
                <w:sz w:val="24"/>
              </w:rPr>
              <w:t>m</w:t>
            </w:r>
            <w:r>
              <w:rPr>
                <w:sz w:val="24"/>
                <w:vertAlign w:val="superscript"/>
              </w:rPr>
              <w:t>3</w:t>
            </w:r>
            <w:r>
              <w:rPr>
                <w:sz w:val="24"/>
              </w:rPr>
              <w:t>/d</w:t>
            </w:r>
            <w:r>
              <w:rPr>
                <w:rFonts w:hint="eastAsia"/>
                <w:sz w:val="24"/>
              </w:rPr>
              <w:t>（72</w:t>
            </w:r>
            <w:r>
              <w:rPr>
                <w:sz w:val="24"/>
              </w:rPr>
              <w:t>m</w:t>
            </w:r>
            <w:r>
              <w:rPr>
                <w:sz w:val="24"/>
                <w:vertAlign w:val="superscript"/>
              </w:rPr>
              <w:t>3</w:t>
            </w:r>
            <w:r>
              <w:rPr>
                <w:sz w:val="24"/>
              </w:rPr>
              <w:t>/a</w:t>
            </w:r>
            <w:r>
              <w:rPr>
                <w:rFonts w:hint="eastAsia"/>
                <w:sz w:val="24"/>
              </w:rPr>
              <w:t>）。粪污水依托厂区现有化粪池（10m</w:t>
            </w:r>
            <w:r>
              <w:rPr>
                <w:rFonts w:hint="eastAsia"/>
                <w:sz w:val="24"/>
                <w:vertAlign w:val="superscript"/>
              </w:rPr>
              <w:t>3</w:t>
            </w:r>
            <w:r>
              <w:rPr>
                <w:rFonts w:hint="eastAsia"/>
                <w:sz w:val="24"/>
              </w:rPr>
              <w:t>）处理后，定期清运不外排，对地表水环境影响较小。</w:t>
            </w:r>
          </w:p>
          <w:p>
            <w:pPr>
              <w:adjustRightInd w:val="0"/>
              <w:snapToGrid w:val="0"/>
              <w:spacing w:line="500" w:lineRule="exact"/>
              <w:ind w:firstLine="480" w:firstLineChars="200"/>
              <w:rPr>
                <w:sz w:val="24"/>
              </w:rPr>
            </w:pPr>
            <w:r>
              <w:rPr>
                <w:rFonts w:hint="eastAsia"/>
                <w:sz w:val="24"/>
              </w:rPr>
              <w:t>项目给排水情况见表7，项目水平衡图见图1。</w:t>
            </w:r>
          </w:p>
          <w:p>
            <w:pPr>
              <w:autoSpaceDE w:val="0"/>
              <w:autoSpaceDN w:val="0"/>
              <w:adjustRightInd w:val="0"/>
              <w:snapToGrid w:val="0"/>
              <w:spacing w:line="400" w:lineRule="exact"/>
              <w:ind w:left="420"/>
              <w:rPr>
                <w:b/>
                <w:sz w:val="24"/>
              </w:rPr>
            </w:pPr>
            <w:r>
              <w:rPr>
                <w:b/>
                <w:sz w:val="24"/>
              </w:rPr>
              <w:t>表</w:t>
            </w:r>
            <w:r>
              <w:rPr>
                <w:rFonts w:hint="eastAsia"/>
                <w:b/>
                <w:sz w:val="24"/>
              </w:rPr>
              <w:t>7</w:t>
            </w:r>
            <w:r>
              <w:rPr>
                <w:b/>
                <w:sz w:val="24"/>
              </w:rPr>
              <w:t xml:space="preserve">        本项目给排水情况一览表</w:t>
            </w:r>
          </w:p>
          <w:tbl>
            <w:tblPr>
              <w:tblStyle w:val="27"/>
              <w:tblW w:w="8988"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57" w:type="dxa"/>
                <w:left w:w="108" w:type="dxa"/>
                <w:bottom w:w="57" w:type="dxa"/>
                <w:right w:w="108" w:type="dxa"/>
              </w:tblCellMar>
            </w:tblPr>
            <w:tblGrid>
              <w:gridCol w:w="1551"/>
              <w:gridCol w:w="1190"/>
              <w:gridCol w:w="1041"/>
              <w:gridCol w:w="2192"/>
              <w:gridCol w:w="1709"/>
              <w:gridCol w:w="130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47" w:hRule="atLeast"/>
              </w:trPr>
              <w:tc>
                <w:tcPr>
                  <w:tcW w:w="1551" w:type="dxa"/>
                  <w:vMerge w:val="restart"/>
                  <w:vAlign w:val="center"/>
                </w:tcPr>
                <w:p>
                  <w:pPr>
                    <w:spacing w:line="360" w:lineRule="exact"/>
                    <w:jc w:val="center"/>
                    <w:rPr>
                      <w:b/>
                      <w:sz w:val="24"/>
                    </w:rPr>
                  </w:pPr>
                  <w:r>
                    <w:rPr>
                      <w:b/>
                      <w:sz w:val="24"/>
                    </w:rPr>
                    <w:t>用水</w:t>
                  </w:r>
                </w:p>
                <w:p>
                  <w:pPr>
                    <w:spacing w:line="360" w:lineRule="exact"/>
                    <w:jc w:val="center"/>
                    <w:rPr>
                      <w:b/>
                      <w:sz w:val="24"/>
                    </w:rPr>
                  </w:pPr>
                  <w:r>
                    <w:rPr>
                      <w:b/>
                      <w:sz w:val="24"/>
                    </w:rPr>
                    <w:t>项目</w:t>
                  </w:r>
                </w:p>
              </w:tc>
              <w:tc>
                <w:tcPr>
                  <w:tcW w:w="1190" w:type="dxa"/>
                  <w:vMerge w:val="restart"/>
                  <w:vAlign w:val="center"/>
                </w:tcPr>
                <w:p>
                  <w:pPr>
                    <w:spacing w:line="360" w:lineRule="exact"/>
                    <w:jc w:val="center"/>
                    <w:rPr>
                      <w:b/>
                      <w:sz w:val="24"/>
                    </w:rPr>
                  </w:pPr>
                  <w:r>
                    <w:rPr>
                      <w:b/>
                      <w:sz w:val="24"/>
                    </w:rPr>
                    <w:t>用水指标</w:t>
                  </w:r>
                </w:p>
              </w:tc>
              <w:tc>
                <w:tcPr>
                  <w:tcW w:w="1041" w:type="dxa"/>
                  <w:vMerge w:val="restart"/>
                  <w:vAlign w:val="center"/>
                </w:tcPr>
                <w:p>
                  <w:pPr>
                    <w:spacing w:line="360" w:lineRule="exact"/>
                    <w:jc w:val="center"/>
                    <w:rPr>
                      <w:b/>
                      <w:sz w:val="24"/>
                    </w:rPr>
                  </w:pPr>
                  <w:r>
                    <w:rPr>
                      <w:b/>
                      <w:sz w:val="24"/>
                    </w:rPr>
                    <w:t>设计最大数量</w:t>
                  </w:r>
                </w:p>
              </w:tc>
              <w:tc>
                <w:tcPr>
                  <w:tcW w:w="3901" w:type="dxa"/>
                  <w:gridSpan w:val="2"/>
                  <w:vAlign w:val="center"/>
                </w:tcPr>
                <w:p>
                  <w:pPr>
                    <w:spacing w:line="360" w:lineRule="exact"/>
                    <w:jc w:val="center"/>
                    <w:rPr>
                      <w:b/>
                      <w:sz w:val="24"/>
                    </w:rPr>
                  </w:pPr>
                  <w:r>
                    <w:rPr>
                      <w:b/>
                      <w:sz w:val="24"/>
                    </w:rPr>
                    <w:t>用水量</w:t>
                  </w:r>
                </w:p>
              </w:tc>
              <w:tc>
                <w:tcPr>
                  <w:tcW w:w="1305" w:type="dxa"/>
                  <w:vMerge w:val="restart"/>
                  <w:vAlign w:val="center"/>
                </w:tcPr>
                <w:p>
                  <w:pPr>
                    <w:spacing w:line="360" w:lineRule="exact"/>
                    <w:jc w:val="center"/>
                    <w:rPr>
                      <w:b/>
                      <w:sz w:val="24"/>
                    </w:rPr>
                  </w:pPr>
                  <w:r>
                    <w:rPr>
                      <w:b/>
                      <w:sz w:val="24"/>
                    </w:rPr>
                    <w:t>排水量</w:t>
                  </w:r>
                </w:p>
                <w:p>
                  <w:pPr>
                    <w:spacing w:line="360" w:lineRule="exact"/>
                    <w:jc w:val="center"/>
                    <w:rPr>
                      <w:b/>
                      <w:sz w:val="24"/>
                    </w:rPr>
                  </w:pPr>
                  <w:r>
                    <w:rPr>
                      <w:b/>
                      <w:sz w:val="24"/>
                    </w:rPr>
                    <w:t>（m</w:t>
                  </w:r>
                  <w:r>
                    <w:rPr>
                      <w:b/>
                      <w:sz w:val="24"/>
                      <w:vertAlign w:val="superscript"/>
                    </w:rPr>
                    <w:t>3</w:t>
                  </w:r>
                  <w:r>
                    <w:rPr>
                      <w:b/>
                      <w:sz w:val="24"/>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47" w:hRule="atLeast"/>
              </w:trPr>
              <w:tc>
                <w:tcPr>
                  <w:tcW w:w="1551" w:type="dxa"/>
                  <w:vMerge w:val="continue"/>
                  <w:vAlign w:val="center"/>
                </w:tcPr>
                <w:p>
                  <w:pPr>
                    <w:spacing w:line="360" w:lineRule="exact"/>
                    <w:jc w:val="center"/>
                    <w:rPr>
                      <w:b/>
                      <w:sz w:val="24"/>
                    </w:rPr>
                  </w:pPr>
                </w:p>
              </w:tc>
              <w:tc>
                <w:tcPr>
                  <w:tcW w:w="1190" w:type="dxa"/>
                  <w:vMerge w:val="continue"/>
                  <w:vAlign w:val="center"/>
                </w:tcPr>
                <w:p>
                  <w:pPr>
                    <w:spacing w:line="360" w:lineRule="exact"/>
                    <w:jc w:val="center"/>
                    <w:rPr>
                      <w:b/>
                      <w:sz w:val="24"/>
                    </w:rPr>
                  </w:pPr>
                </w:p>
              </w:tc>
              <w:tc>
                <w:tcPr>
                  <w:tcW w:w="1041" w:type="dxa"/>
                  <w:vMerge w:val="continue"/>
                  <w:vAlign w:val="center"/>
                </w:tcPr>
                <w:p>
                  <w:pPr>
                    <w:spacing w:line="360" w:lineRule="exact"/>
                    <w:jc w:val="center"/>
                    <w:rPr>
                      <w:b/>
                      <w:sz w:val="24"/>
                    </w:rPr>
                  </w:pPr>
                </w:p>
              </w:tc>
              <w:tc>
                <w:tcPr>
                  <w:tcW w:w="2192" w:type="dxa"/>
                  <w:vAlign w:val="center"/>
                </w:tcPr>
                <w:p>
                  <w:pPr>
                    <w:spacing w:line="360" w:lineRule="exact"/>
                    <w:jc w:val="center"/>
                    <w:rPr>
                      <w:b/>
                      <w:sz w:val="24"/>
                    </w:rPr>
                  </w:pPr>
                  <w:r>
                    <w:rPr>
                      <w:rFonts w:hint="eastAsia"/>
                      <w:b/>
                      <w:sz w:val="24"/>
                    </w:rPr>
                    <w:t>日</w:t>
                  </w:r>
                  <w:r>
                    <w:rPr>
                      <w:b/>
                      <w:sz w:val="24"/>
                    </w:rPr>
                    <w:t>用水量（m</w:t>
                  </w:r>
                  <w:r>
                    <w:rPr>
                      <w:b/>
                      <w:sz w:val="24"/>
                      <w:vertAlign w:val="superscript"/>
                    </w:rPr>
                    <w:t>3</w:t>
                  </w:r>
                  <w:r>
                    <w:rPr>
                      <w:b/>
                      <w:sz w:val="24"/>
                    </w:rPr>
                    <w:t>/d）</w:t>
                  </w:r>
                </w:p>
              </w:tc>
              <w:tc>
                <w:tcPr>
                  <w:tcW w:w="1709" w:type="dxa"/>
                  <w:vAlign w:val="center"/>
                </w:tcPr>
                <w:p>
                  <w:pPr>
                    <w:spacing w:line="360" w:lineRule="exact"/>
                    <w:jc w:val="center"/>
                    <w:rPr>
                      <w:b/>
                      <w:sz w:val="24"/>
                    </w:rPr>
                  </w:pPr>
                  <w:r>
                    <w:rPr>
                      <w:b/>
                      <w:sz w:val="24"/>
                    </w:rPr>
                    <w:t>年用水量（m</w:t>
                  </w:r>
                  <w:r>
                    <w:rPr>
                      <w:b/>
                      <w:sz w:val="24"/>
                      <w:vertAlign w:val="superscript"/>
                    </w:rPr>
                    <w:t>3</w:t>
                  </w:r>
                  <w:r>
                    <w:rPr>
                      <w:b/>
                      <w:sz w:val="24"/>
                    </w:rPr>
                    <w:t>/a）</w:t>
                  </w:r>
                </w:p>
              </w:tc>
              <w:tc>
                <w:tcPr>
                  <w:tcW w:w="1305" w:type="dxa"/>
                  <w:vMerge w:val="continue"/>
                  <w:vAlign w:val="center"/>
                </w:tcPr>
                <w:p>
                  <w:pPr>
                    <w:spacing w:line="360" w:lineRule="exact"/>
                    <w:jc w:val="center"/>
                    <w:rPr>
                      <w:b/>
                      <w:sz w:val="24"/>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47" w:hRule="atLeast"/>
              </w:trPr>
              <w:tc>
                <w:tcPr>
                  <w:tcW w:w="1551" w:type="dxa"/>
                  <w:vAlign w:val="center"/>
                </w:tcPr>
                <w:p>
                  <w:pPr>
                    <w:adjustRightInd w:val="0"/>
                    <w:spacing w:line="360" w:lineRule="exact"/>
                    <w:jc w:val="center"/>
                    <w:rPr>
                      <w:sz w:val="24"/>
                    </w:rPr>
                  </w:pPr>
                  <w:r>
                    <w:rPr>
                      <w:sz w:val="24"/>
                    </w:rPr>
                    <w:t>生活用水</w:t>
                  </w:r>
                </w:p>
              </w:tc>
              <w:tc>
                <w:tcPr>
                  <w:tcW w:w="1190" w:type="dxa"/>
                  <w:vAlign w:val="center"/>
                </w:tcPr>
                <w:p>
                  <w:pPr>
                    <w:spacing w:line="360" w:lineRule="exact"/>
                    <w:jc w:val="center"/>
                    <w:rPr>
                      <w:sz w:val="24"/>
                    </w:rPr>
                  </w:pPr>
                  <w:r>
                    <w:rPr>
                      <w:rFonts w:hint="eastAsia"/>
                      <w:sz w:val="24"/>
                    </w:rPr>
                    <w:t>30</w:t>
                  </w:r>
                  <w:r>
                    <w:rPr>
                      <w:sz w:val="24"/>
                    </w:rPr>
                    <w:t>L/人·d</w:t>
                  </w:r>
                </w:p>
              </w:tc>
              <w:tc>
                <w:tcPr>
                  <w:tcW w:w="1041" w:type="dxa"/>
                  <w:vAlign w:val="center"/>
                </w:tcPr>
                <w:p>
                  <w:pPr>
                    <w:spacing w:line="360" w:lineRule="exact"/>
                    <w:jc w:val="center"/>
                    <w:rPr>
                      <w:sz w:val="24"/>
                    </w:rPr>
                  </w:pPr>
                  <w:r>
                    <w:rPr>
                      <w:rFonts w:hint="eastAsia"/>
                      <w:sz w:val="24"/>
                    </w:rPr>
                    <w:t>10</w:t>
                  </w:r>
                  <w:r>
                    <w:rPr>
                      <w:sz w:val="24"/>
                    </w:rPr>
                    <w:t>人</w:t>
                  </w:r>
                </w:p>
              </w:tc>
              <w:tc>
                <w:tcPr>
                  <w:tcW w:w="2192" w:type="dxa"/>
                  <w:vAlign w:val="center"/>
                </w:tcPr>
                <w:p>
                  <w:pPr>
                    <w:adjustRightInd w:val="0"/>
                    <w:spacing w:line="360" w:lineRule="exact"/>
                    <w:jc w:val="center"/>
                    <w:rPr>
                      <w:sz w:val="24"/>
                    </w:rPr>
                  </w:pPr>
                  <w:r>
                    <w:rPr>
                      <w:rFonts w:hint="eastAsia"/>
                      <w:sz w:val="24"/>
                    </w:rPr>
                    <w:t>0.3</w:t>
                  </w:r>
                </w:p>
              </w:tc>
              <w:tc>
                <w:tcPr>
                  <w:tcW w:w="1709" w:type="dxa"/>
                  <w:vAlign w:val="center"/>
                </w:tcPr>
                <w:p>
                  <w:pPr>
                    <w:adjustRightInd w:val="0"/>
                    <w:spacing w:line="360" w:lineRule="exact"/>
                    <w:jc w:val="center"/>
                    <w:rPr>
                      <w:sz w:val="24"/>
                    </w:rPr>
                  </w:pPr>
                  <w:r>
                    <w:rPr>
                      <w:rFonts w:hint="eastAsia"/>
                      <w:sz w:val="24"/>
                    </w:rPr>
                    <w:t>90</w:t>
                  </w:r>
                </w:p>
              </w:tc>
              <w:tc>
                <w:tcPr>
                  <w:tcW w:w="1305" w:type="dxa"/>
                  <w:vAlign w:val="center"/>
                </w:tcPr>
                <w:p>
                  <w:pPr>
                    <w:adjustRightInd w:val="0"/>
                    <w:spacing w:line="360" w:lineRule="exact"/>
                    <w:jc w:val="center"/>
                    <w:rPr>
                      <w:sz w:val="24"/>
                    </w:rPr>
                  </w:pPr>
                  <w:r>
                    <w:rPr>
                      <w:rFonts w:hint="eastAsia"/>
                      <w:sz w:val="24"/>
                    </w:rPr>
                    <w:t>72</w:t>
                  </w:r>
                </w:p>
              </w:tc>
            </w:tr>
          </w:tbl>
          <w:p>
            <w:pPr>
              <w:spacing w:line="360" w:lineRule="auto"/>
              <w:jc w:val="left"/>
              <w:rPr>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4433570</wp:posOffset>
                      </wp:positionH>
                      <wp:positionV relativeFrom="paragraph">
                        <wp:posOffset>1322070</wp:posOffset>
                      </wp:positionV>
                      <wp:extent cx="1557655" cy="274320"/>
                      <wp:effectExtent l="0" t="0" r="0" b="0"/>
                      <wp:wrapNone/>
                      <wp:docPr id="14" name="文本框 1701"/>
                      <wp:cNvGraphicFramePr/>
                      <a:graphic xmlns:a="http://schemas.openxmlformats.org/drawingml/2006/main">
                        <a:graphicData uri="http://schemas.microsoft.com/office/word/2010/wordprocessingShape">
                          <wps:wsp>
                            <wps:cNvSpPr txBox="1"/>
                            <wps:spPr>
                              <a:xfrm>
                                <a:off x="0" y="0"/>
                                <a:ext cx="1557655" cy="274320"/>
                              </a:xfrm>
                              <a:prstGeom prst="rect">
                                <a:avLst/>
                              </a:prstGeom>
                              <a:noFill/>
                              <a:ln>
                                <a:noFill/>
                              </a:ln>
                            </wps:spPr>
                            <wps:txbx>
                              <w:txbxContent>
                                <w:p>
                                  <w:r>
                                    <w:rPr>
                                      <w:rFonts w:hint="eastAsia"/>
                                    </w:rPr>
                                    <w:t>定期清运</w:t>
                                  </w:r>
                                </w:p>
                              </w:txbxContent>
                            </wps:txbx>
                            <wps:bodyPr upright="1"/>
                          </wps:wsp>
                        </a:graphicData>
                      </a:graphic>
                    </wp:anchor>
                  </w:drawing>
                </mc:Choice>
                <mc:Fallback>
                  <w:pict>
                    <v:shape id="文本框 1701" o:spid="_x0000_s1026" o:spt="202" type="#_x0000_t202" style="position:absolute;left:0pt;margin-left:349.1pt;margin-top:104.1pt;height:21.6pt;width:122.65pt;z-index:251658240;mso-width-relative:page;mso-height-relative:page;" filled="f" stroked="f" coordsize="21600,21600" o:gfxdata="UEsDBAoAAAAAAIdO4kAAAAAAAAAAAAAAAAAEAAAAZHJzL1BLAwQUAAAACACHTuJANBYmRtcAAAAL&#10;AQAADwAAAGRycy9kb3ducmV2LnhtbE2PTU/DMAyG70j8h8hI3FjS0k5raboDiCuIDZC4ZY3XVjRO&#10;1WRr+fd4J7j549Hrx9V2cYM44xR6TxqSlQKB1HjbU6vhff98twERoiFrBk+o4QcDbOvrq8qU1s/0&#10;huddbAWHUCiNhi7GsZQyNB06E1Z+ROLd0U/ORG6nVtrJzBzuBpkqtZbO9MQXOjPiY4fN9+7kNHy8&#10;HL8+M/XaPrl8nP2iJLlCan17k6gHEBGX+AfDRZ/VoWangz+RDWLQsC42KaMaUnUpmCiy+xzEgSd5&#10;koGsK/n/h/oXUEsDBBQAAAAIAIdO4kBxlEb3sQEAAFIDAAAOAAAAZHJzL2Uyb0RvYy54bWytU8Fu&#10;EzEQvSPxD5bvZDehadAqm0ooKhcESIUPcLx21pLtsTxOdvMD8AecuHDnu/IdjJ00hfbSQy9ee+b5&#10;zbw33uXN6Czbq4gGfMunk5oz5SV0xm9b/u3r7Zt3nGESvhMWvGr5QSG/Wb1+tRxCo2bQg+1UZETi&#10;sRlCy/uUQlNVKHvlBE4gKE9JDdGJRMe4rbooBmJ3tprV9XU1QOxCBKkQKbo+JfmZMT6HELQ2Uq1B&#10;7pzy6cQalRWJJGFvAvJV6VZrJdNnrVElZltOSlNZqQjtN3mtVkvRbKMIvZHnFsRzWnikyQnjqeiF&#10;ai2SYLtonlA5IyMg6DSR4KqTkOIIqZjWj7y560VQRQtZjeFiOr4crfy0/xKZ6eglXHHmhaOJH3/+&#10;OP76c/z9nU0X9TRbNARsCHkXCJvG9zAS/D6OFMzKRx1d/pImRnky+HAxWI2JyXxpPl9cz+ecScrN&#10;FldvZ2UC1cPtEDF9UOBY3rQ80gCLr2L/ERN1QtB7SC7m4dZYW4Zo/X8BAuZIlVs/tZh3adyMZz0b&#10;6A4kZxei2fZUqggqcLK6FDo/izzLf8+F9OFX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BYm&#10;RtcAAAALAQAADwAAAAAAAAABACAAAAAiAAAAZHJzL2Rvd25yZXYueG1sUEsBAhQAFAAAAAgAh07i&#10;QHGURvexAQAAUgMAAA4AAAAAAAAAAQAgAAAAJgEAAGRycy9lMm9Eb2MueG1sUEsFBgAAAAAGAAYA&#10;WQEAAEkFAAAAAA==&#10;">
                      <v:fill on="f" focussize="0,0"/>
                      <v:stroke on="f"/>
                      <v:imagedata o:title=""/>
                      <o:lock v:ext="edit" aspectratio="f"/>
                      <v:textbox>
                        <w:txbxContent>
                          <w:p>
                            <w:r>
                              <w:rPr>
                                <w:rFonts w:hint="eastAsia"/>
                              </w:rPr>
                              <w:t>定期清运</w:t>
                            </w:r>
                          </w:p>
                        </w:txbxContent>
                      </v:textbox>
                    </v:shape>
                  </w:pict>
                </mc:Fallback>
              </mc:AlternateContent>
            </w:r>
            <w:r>
              <w:rPr>
                <w:sz w:val="24"/>
              </w:rPr>
              <mc:AlternateContent>
                <mc:Choice Requires="wpc">
                  <w:drawing>
                    <wp:inline distT="0" distB="0" distL="114300" distR="114300">
                      <wp:extent cx="5942965" cy="2294890"/>
                      <wp:effectExtent l="0" t="0" r="635" b="3810"/>
                      <wp:docPr id="25" name="画布 168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a:noFill/>
                              </a:ln>
                            </wpc:whole>
                            <wps:wsp>
                              <wps:cNvPr id="15" name="文本框 1691"/>
                              <wps:cNvSpPr txBox="1"/>
                              <wps:spPr>
                                <a:xfrm>
                                  <a:off x="0" y="1476375"/>
                                  <a:ext cx="1193165" cy="321945"/>
                                </a:xfrm>
                                <a:prstGeom prst="rect">
                                  <a:avLst/>
                                </a:prstGeom>
                                <a:noFill/>
                                <a:ln>
                                  <a:noFill/>
                                </a:ln>
                              </wps:spPr>
                              <wps:txbx>
                                <w:txbxContent>
                                  <w:p>
                                    <w:pPr>
                                      <w:jc w:val="center"/>
                                    </w:pPr>
                                    <w:r>
                                      <w:rPr>
                                        <w:rFonts w:hint="eastAsia"/>
                                      </w:rPr>
                                      <w:t>厂区自备井</w:t>
                                    </w:r>
                                  </w:p>
                                </w:txbxContent>
                              </wps:txbx>
                              <wps:bodyPr upright="1"/>
                            </wps:wsp>
                            <wps:wsp>
                              <wps:cNvPr id="16" name="自选图形 1692"/>
                              <wps:cNvCnPr/>
                              <wps:spPr>
                                <a:xfrm>
                                  <a:off x="381000" y="1410970"/>
                                  <a:ext cx="812165" cy="635"/>
                                </a:xfrm>
                                <a:prstGeom prst="straightConnector1">
                                  <a:avLst/>
                                </a:prstGeom>
                                <a:ln w="9525" cap="flat" cmpd="sng">
                                  <a:solidFill>
                                    <a:srgbClr val="000000"/>
                                  </a:solidFill>
                                  <a:prstDash val="solid"/>
                                  <a:headEnd type="none" w="med" len="med"/>
                                  <a:tailEnd type="triangle" w="med" len="med"/>
                                </a:ln>
                              </wps:spPr>
                              <wps:bodyPr/>
                            </wps:wsp>
                            <wps:wsp>
                              <wps:cNvPr id="17" name="文本框 1693"/>
                              <wps:cNvSpPr txBox="1"/>
                              <wps:spPr>
                                <a:xfrm>
                                  <a:off x="1193165" y="1256030"/>
                                  <a:ext cx="847090" cy="321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生活用水</w:t>
                                    </w:r>
                                  </w:p>
                                </w:txbxContent>
                              </wps:txbx>
                              <wps:bodyPr upright="1"/>
                            </wps:wsp>
                            <wps:wsp>
                              <wps:cNvPr id="18" name="自选图形 1694"/>
                              <wps:cNvCnPr/>
                              <wps:spPr>
                                <a:xfrm>
                                  <a:off x="2040255" y="1425575"/>
                                  <a:ext cx="812165" cy="635"/>
                                </a:xfrm>
                                <a:prstGeom prst="straightConnector1">
                                  <a:avLst/>
                                </a:prstGeom>
                                <a:ln w="9525" cap="flat" cmpd="sng">
                                  <a:solidFill>
                                    <a:srgbClr val="000000"/>
                                  </a:solidFill>
                                  <a:prstDash val="solid"/>
                                  <a:headEnd type="none" w="med" len="med"/>
                                  <a:tailEnd type="triangle" w="med" len="med"/>
                                </a:ln>
                              </wps:spPr>
                              <wps:bodyPr/>
                            </wps:wsp>
                            <wps:wsp>
                              <wps:cNvPr id="19" name="自选图形 1695"/>
                              <wps:cNvCnPr/>
                              <wps:spPr>
                                <a:xfrm>
                                  <a:off x="3730625" y="1423670"/>
                                  <a:ext cx="812165" cy="635"/>
                                </a:xfrm>
                                <a:prstGeom prst="straightConnector1">
                                  <a:avLst/>
                                </a:prstGeom>
                                <a:ln w="9525" cap="flat" cmpd="sng">
                                  <a:solidFill>
                                    <a:srgbClr val="000000"/>
                                  </a:solidFill>
                                  <a:prstDash val="solid"/>
                                  <a:headEnd type="none" w="med" len="med"/>
                                  <a:tailEnd type="triangle" w="med" len="med"/>
                                </a:ln>
                              </wps:spPr>
                              <wps:bodyPr/>
                            </wps:wsp>
                            <wps:wsp>
                              <wps:cNvPr id="20" name="文本框 1696"/>
                              <wps:cNvSpPr txBox="1"/>
                              <wps:spPr>
                                <a:xfrm>
                                  <a:off x="2852420" y="1272540"/>
                                  <a:ext cx="934720" cy="321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厂房化粪池</w:t>
                                    </w:r>
                                  </w:p>
                                </w:txbxContent>
                              </wps:txbx>
                              <wps:bodyPr upright="1"/>
                            </wps:wsp>
                            <wps:wsp>
                              <wps:cNvPr id="21" name="文本框 1697"/>
                              <wps:cNvSpPr txBox="1"/>
                              <wps:spPr>
                                <a:xfrm>
                                  <a:off x="481330" y="1185545"/>
                                  <a:ext cx="491490" cy="290830"/>
                                </a:xfrm>
                                <a:prstGeom prst="rect">
                                  <a:avLst/>
                                </a:prstGeom>
                                <a:noFill/>
                                <a:ln>
                                  <a:noFill/>
                                </a:ln>
                              </wps:spPr>
                              <wps:txbx>
                                <w:txbxContent>
                                  <w:p>
                                    <w:r>
                                      <w:rPr>
                                        <w:rFonts w:hint="eastAsia"/>
                                      </w:rPr>
                                      <w:t>90</w:t>
                                    </w:r>
                                  </w:p>
                                </w:txbxContent>
                              </wps:txbx>
                              <wps:bodyPr upright="1"/>
                            </wps:wsp>
                            <wps:wsp>
                              <wps:cNvPr id="22" name="文本框 1698"/>
                              <wps:cNvSpPr txBox="1"/>
                              <wps:spPr>
                                <a:xfrm>
                                  <a:off x="3868420" y="1154430"/>
                                  <a:ext cx="491490" cy="290830"/>
                                </a:xfrm>
                                <a:prstGeom prst="rect">
                                  <a:avLst/>
                                </a:prstGeom>
                                <a:noFill/>
                                <a:ln>
                                  <a:noFill/>
                                </a:ln>
                              </wps:spPr>
                              <wps:txbx>
                                <w:txbxContent>
                                  <w:p>
                                    <w:r>
                                      <w:rPr>
                                        <w:rFonts w:hint="eastAsia"/>
                                      </w:rPr>
                                      <w:t>72</w:t>
                                    </w:r>
                                  </w:p>
                                </w:txbxContent>
                              </wps:txbx>
                              <wps:bodyPr upright="1"/>
                            </wps:wsp>
                            <wps:wsp>
                              <wps:cNvPr id="23" name="文本框 1699"/>
                              <wps:cNvSpPr txBox="1"/>
                              <wps:spPr>
                                <a:xfrm>
                                  <a:off x="2183765" y="1130935"/>
                                  <a:ext cx="491490" cy="290830"/>
                                </a:xfrm>
                                <a:prstGeom prst="rect">
                                  <a:avLst/>
                                </a:prstGeom>
                                <a:noFill/>
                                <a:ln>
                                  <a:noFill/>
                                </a:ln>
                              </wps:spPr>
                              <wps:txbx>
                                <w:txbxContent>
                                  <w:p>
                                    <w:r>
                                      <w:rPr>
                                        <w:rFonts w:hint="eastAsia"/>
                                      </w:rPr>
                                      <w:t>72</w:t>
                                    </w:r>
                                  </w:p>
                                </w:txbxContent>
                              </wps:txbx>
                              <wps:bodyPr upright="1"/>
                            </wps:wsp>
                            <wps:wsp>
                              <wps:cNvPr id="24" name="自选图形 1700"/>
                              <wps:cNvSpPr/>
                              <wps:spPr>
                                <a:xfrm>
                                  <a:off x="1532255" y="488315"/>
                                  <a:ext cx="736600" cy="530860"/>
                                </a:xfrm>
                                <a:prstGeom prst="cloudCallout">
                                  <a:avLst>
                                    <a:gd name="adj1" fmla="val -42241"/>
                                    <a:gd name="adj2" fmla="val 87801"/>
                                  </a:avLst>
                                </a:prstGeom>
                                <a:solidFill>
                                  <a:srgbClr val="FFFFFF"/>
                                </a:solidFill>
                                <a:ln w="9525" cap="flat" cmpd="sng">
                                  <a:solidFill>
                                    <a:srgbClr val="000000"/>
                                  </a:solidFill>
                                  <a:prstDash val="solid"/>
                                  <a:headEnd type="none" w="med" len="med"/>
                                  <a:tailEnd type="none" w="med" len="med"/>
                                </a:ln>
                              </wps:spPr>
                              <wps:txbx>
                                <w:txbxContent>
                                  <w:p>
                                    <w:r>
                                      <w:rPr>
                                        <w:rFonts w:hint="eastAsia"/>
                                      </w:rPr>
                                      <w:t>18</w:t>
                                    </w:r>
                                  </w:p>
                                </w:txbxContent>
                              </wps:txbx>
                              <wps:bodyPr upright="1"/>
                            </wps:wsp>
                          </wpc:wpc>
                        </a:graphicData>
                      </a:graphic>
                    </wp:inline>
                  </w:drawing>
                </mc:Choice>
                <mc:Fallback>
                  <w:pict>
                    <v:group id="画布 1689" o:spid="_x0000_s1026" o:spt="203" style="height:180.7pt;width:467.95pt;" coordsize="5942965,2294890" editas="canvas" o:gfxdata="UEsDBAoAAAAAAIdO4kAAAAAAAAAAAAAAAAAEAAAAZHJzL1BLAwQUAAAACACHTuJAMfhG1NUAAAAF&#10;AQAADwAAAGRycy9kb3ducmV2LnhtbE2PwU7DMBBE70j8g7WVuFE7pI1IiNMDUk/AgRaJ6zbeJlHj&#10;dYidNvw9hgu9rDSa0czbcjPbXpxp9J1jDclSgSCunem40fCx394/gvAB2WDvmDR8k4dNdXtTYmHc&#10;hd/pvAuNiCXsC9TQhjAUUvq6JYt+6Qbi6B3daDFEOTbSjHiJ5baXD0pl0mLHcaHFgZ5bqk+7yWrA&#10;bGW+3o7p6/5lyjBvZrVdfyqt7xaJegIRaA7/YfjFj+hQRaaDm9h40WuIj4S/G708XecgDhrSLFmB&#10;rEp5TV/9AFBLAwQUAAAACACHTuJAVjGqYXcEAADTFgAADgAAAGRycy9lMm9Eb2MueG1s7VjLbiQ1&#10;FN0j8Q+l2k+6bNdb6YxEMskGwUgzfIBT5XqgKrtkO+nODgmJEfsRG9gwS8QHICH4mwT4C65dj3R3&#10;uskkoGgi0otul+u27Xvu8X3tP1+2jXPOpKoFn7toz3MdxjOR17ycu1+8Pn4Wu47SlOe0EZzN3Qum&#10;3OcHH3+0v+hShkUlmpxJBxbhKl10c7fSuktnM5VVrKVqT3SMw8tCyJZqeJTlLJd0Aau3zQx7Xjhb&#10;CJl3UmRMKZg96l+6w4ryfRYURVFn7EhkZy3jul9VsoZqUElVdafcA3vaomCZ/rwoFNNOM3dBU22/&#10;YRMYn5rv2cE+TUtJu6rOhiPQ9znChk4trTlsOi11RDV1zmR9Y6m2zqRQotB7mWhnvSIWEdACeRvY&#10;nEhx1lldynRRdhPoYKgN1O+9bPbZ+Uvp1PncxYHrcNqCxf94++vlL187KIwTg8+iK1MQO5Hdq+6l&#10;HCbK/smovCxka35BGWdpkb2YkGVL7WQwGSQ+TkLYIYN3GCd+nAzYZxUY6Mb/surFLf+cjRvPzPmm&#10;4yw6YKW6hkr9O6heVbRj1gLKYDBAhSaorr57c/XDz1c/fgNoJahHy0oaqBy9/ESA8tO8gsmdiCE/&#10;CkkU9IwccUMoIWjEjWCU+FZgUp6mnVT6hInWMYO5K4Hxloj0/FOlwVggOoqYrbk4rpvGsr7haxMg&#10;aGYATpX2BzUjvTxdWpOr9FTkF6DUWSfrsoKtrFpWHAA3NHkI5MORpH+++emvr769/P73y9/eGfDx&#10;CviHfODpqMnIlYmkJEaeBz4A2Ih85CXRwMYR9xjhCfaQ3IK50pIaSA4F5wC/kOifLNBwZzF3k8Dc&#10;t4yCAy3AccGw7eASKl7a/yrR1LmxlDGRkuXpYSOdc2qcmP0YZcFga2LGzEdUVb2cfdWTqWI0f8Fz&#10;R190cLs5eHXXHKFlues0DIKAGVlKaFo315Ja1pSXzQ7p7XzpSWJON/DhoYgRjcRYu5JkhRV3uZLT&#10;vTMEwUHokU2C+JEHLsz6s//iXq5Zcs3gx/azzeAPz6S21kxaptyXU7vZt51PH5r/geSoD5Kb/sdf&#10;Ydrt/gd7vocD8ADWAcFo0/E/OSBwVY/KASW7mGGjh/GGkEDczgwSES80saFnBgmfQtMjD00YwkTv&#10;M9ZCU7jiMO4SmnAcYN+saUNThAN/IzQlxI/Me5NqP4Wm3QGHpuvpzm7JRxGaMNpKs+ieNPNjRCDp&#10;sSxDcRD0hQdNxwzZT5A/JkA48eI+QQKkxnJwrDr+H4UJxlvRj++JPonDeLrkKPD9zfzzCf4+oI7N&#10;C7IV/qF/ceeKHKOYRKbsNj4WES/pS8An9pfbGyLYH+FfT4sjqLEheg/Jj4lyw1PfYLh2FkPvCAUE&#10;j2mxH8cEGi02+I9OJyJhaMp2E9oC4sWhXX6308kacZYf0gZ+VroipqYu8yEm0/xLcJxF20DbDwps&#10;55mPsW9bG+tCcL+vheIo9vr2B01to+VGn+Vx1HMfXhVnu3nQ67SADn1Z00xdfbbNhete9MH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QYAAFtD&#10;b250ZW50X1R5cGVzXS54bWxQSwECFAAKAAAAAACHTuJAAAAAAAAAAAAAAAAABgAAAAAAAAAAABAA&#10;AADHBQAAX3JlbHMvUEsBAhQAFAAAAAgAh07iQIoUZjzRAAAAlAEAAAsAAAAAAAAAAQAgAAAA6wUA&#10;AF9yZWxzLy5yZWxzUEsBAhQACgAAAAAAh07iQAAAAAAAAAAAAAAAAAQAAAAAAAAAAAAQAAAAAAAA&#10;AGRycy9QSwECFAAUAAAACACHTuJAMfhG1NUAAAAFAQAADwAAAAAAAAABACAAAAAiAAAAZHJzL2Rv&#10;d25yZXYueG1sUEsBAhQAFAAAAAgAh07iQFYxqmF3BAAA0xYAAA4AAAAAAAAAAQAgAAAAJAEAAGRy&#10;cy9lMm9Eb2MueG1sUEsFBgAAAAAGAAYAWQEAAA0IAAAAAA==&#10;">
                      <o:lock v:ext="edit" aspectratio="f"/>
                      <v:shape id="画布 1689" o:spid="_x0000_s1026" style="position:absolute;left:0;top:0;height:2294890;width:5942965;" fillcolor="#FFFFFF" filled="t" stroked="f" coordsize="21600,21600" o:gfxdata="UEsDBAoAAAAAAIdO4kAAAAAAAAAAAAAAAAAEAAAAZHJzL1BLAwQUAAAACACHTuJAMfhG1NUAAAAF&#10;AQAADwAAAGRycy9kb3ducmV2LnhtbE2PwU7DMBBE70j8g7WVuFE7pI1IiNMDUk/AgRaJ6zbeJlHj&#10;dYidNvw9hgu9rDSa0czbcjPbXpxp9J1jDclSgSCunem40fCx394/gvAB2WDvmDR8k4dNdXtTYmHc&#10;hd/pvAuNiCXsC9TQhjAUUvq6JYt+6Qbi6B3daDFEOTbSjHiJ5baXD0pl0mLHcaHFgZ5bqk+7yWrA&#10;bGW+3o7p6/5lyjBvZrVdfyqt7xaJegIRaA7/YfjFj+hQRaaDm9h40WuIj4S/G708XecgDhrSLFmB&#10;rEp5TV/9AFBLAwQUAAAACACHTuJAxCy9ai4EAAB+FgAADgAAAGRycy9lMm9Eb2MueG1s7VjNjuNE&#10;EL4j8Q6W7ztxd/tfk1mJDMMFwUoLD9Cx246R3W119ySZGydWvACX5QJHxCvA2+wI3oLqbjuThISZ&#10;DctqR0wO8V+5XPX1V9VVdf583bXekknVCD710Vnge4wXomx4PfW//urqWep7SlNe0lZwNvVvmPKf&#10;X3z80fmqzxkWC9GWTHqghKt81U/9hdZ9PpmoYsE6qs5Ezzg8rITsqIZLWU9KSVegvWsnOAjiyUrI&#10;speiYErB3Uv30B80yocoFFXVFOxSFNcd49pplaylGlxSi6ZX/oW1tqpYob+sKsW010598FTbf/gI&#10;nM/N/+TinOa1pP2iKQYT6ENM2POpow2Hj25UXVJNvWvZ/E1V1xRSKFHps0J0E+eIRQS8QMEeNjPK&#10;l9Q5UwDWo4Fw9g71zmtjtxJtU141bWsvZD2ftdJbUkDtyv4MUJMdsQmYkZuXzXEFtGDm1ZZ7q6mf&#10;RTiycHBhdLp3Ww4qtoRXPRBI9RsqqX/n1MsF7ZldeJUXXyxfSK8pgd+R73HaAY9vf3h1++Ovtz99&#10;56E4Q8YfYwBIvuxBVq8/EWsQH+8ruGn8WVeyM0dYKQ+eA21uQCpMYpJEjjxsrb3CvIoygmL4XAES&#10;BKMstAIA2qijl0p/xkTnmZOpL4GcFiS6/Fxph9EoYj65wc6gunMDdA5gqtwZalzR6/l68Gouyhtw&#10;6rqXTb2AT1m3AHsLuHP8v0c+HpH/49Uvf377/ZvXv7/57WcDPh5BBvBn/IUcjD4COUlREIy4oyBL&#10;hqAdcU8R3sAek3swV1pSA8lMcA7wC4n+aQW2yOwVFHJdBTkGFrjrgVmK1/bd45EDZhvL3cruiJll&#10;vqRq4SLMPnJkWjBafspLT9/0QFkOCdg38dSx0vdaBvnanIFCmmvatHeSWjaU1+0R6cN8cSQx1r1n&#10;YiQjMXZCkhi/TgjJTdyZwMRRHJB9goRJkAGB3lVc7qykekiq3EmL74lJXaOZtEw5lVPH2XeYTx9a&#10;/oE6xmX+/fwTbjHt/vyDgzDAEeR1m/jhbD/xPyUgSFWPKgFlx5hhd48hB93PDJKQIIZCZ2AGiZ+2&#10;pke+NWHYJg5Ui/FWwnibahGnEQ6NTrs1JTgK97amjISJef60Nb1dufPItyaMDtIsOZFmYYoIFD2W&#10;ZSiNItd40HyskMMMhWMBhLMgdQXS/7Yxwfgg+umJ6JM0TjdBjqIw3K8/n+B3ffbQkWNyEP7sRPgx&#10;Skli2m6TYxEJMtcCPrG/PjwQweEI/25ZnLhOdasBG9qxI205iggey+IwTQkMWuzmPyadhMSxadvN&#10;1haRII3HRvjINKRoxXU5oy0ctqYiptOty2FPpuU3kDirroUJHYymvGchxqEdbewKQXzfCaVJGrjx&#10;B83toMXOsbbnLI+jn/vwujg3y+sLC+gwQjVzz+1rO1y4Gxtf/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cBgAAW0NvbnRlbnRfVHlwZXNdLnht&#10;bFBLAQIUAAoAAAAAAIdO4kAAAAAAAAAAAAAAAAAGAAAAAAAAAAAAEAAAAH4FAABfcmVscy9QSwEC&#10;FAAUAAAACACHTuJAihRmPNEAAACUAQAACwAAAAAAAAABACAAAACiBQAAX3JlbHMvLnJlbHNQSwEC&#10;FAAKAAAAAACHTuJAAAAAAAAAAAAAAAAABAAAAAAAAAAAABAAAAAAAAAAZHJzL1BLAQIUABQAAAAI&#10;AIdO4kAx+EbU1QAAAAUBAAAPAAAAAAAAAAEAIAAAACIAAABkcnMvZG93bnJldi54bWxQSwECFAAU&#10;AAAACACHTuJAxCy9ai4EAAB+FgAADgAAAAAAAAABACAAAAAkAQAAZHJzL2Uyb0RvYy54bWxQSwUG&#10;AAAAAAYABgBZAQAAxAcAAAAA&#10;">
                        <v:fill on="t" focussize="0,0"/>
                        <v:stroke on="f"/>
                        <v:imagedata o:title=""/>
                        <o:lock v:ext="edit" aspectratio="t"/>
                      </v:shape>
                      <v:shape id="文本框 1691" o:spid="_x0000_s1026" o:spt="202" type="#_x0000_t202" style="position:absolute;left:0;top:1476375;height:321945;width:1193165;" filled="f" stroked="f" coordsize="21600,21600" o:gfxdata="UEsDBAoAAAAAAIdO4kAAAAAAAAAAAAAAAAAEAAAAZHJzL1BLAwQUAAAACACHTuJAEr7qndQAAAAF&#10;AQAADwAAAGRycy9kb3ducmV2LnhtbE2PS0/DMBCE70j8B2uRuFE79CES4vQA4gqiPCRu23ibRMTr&#10;KHab8O9ZuMBlpdGMZr4tt7Pv1YnG2AW2kC0MKOI6uI4bC68vD1c3oGJCdtgHJgtfFGFbnZ+VWLgw&#10;8TOddqlRUsKxQAttSkOhdaxb8hgXYSAW7xBGj0nk2Gg34iTlvtfXxmy0x45locWB7lqqP3dHb+Ht&#10;8fDxvjJPzb1fD1OYjWafa2svLzJzCyrRnP7C8IMv6FAJ0z4c2UXVW5BH0u8VL1+uc1B7C8tNtgJd&#10;lfo/ffUNUEsDBBQAAAAIAIdO4kDjE9/3twEAAFgDAAAOAAAAZHJzL2Uyb0RvYy54bWytU0tu2zAQ&#10;3RfoHQjua1p24tSC5QCFkW6KtkDSA9AUaRHgDxzaki/Q3qCrbrrvuXyODiknaZNNFtlQ5MzTm3lv&#10;yNX1YA05yAjau4ZWkykl0gnfardr6Le7m3fvKYHEXcuNd7KhRwn0ev32zaoPtZz5zptWRoIkDuo+&#10;NLRLKdSMgeik5TDxQTpMKh8tT3iMO9ZG3iO7NWw2nS5Y72MbohcSAKObMUnPjPElhF4pLeTGi72V&#10;Lo2sURqeUBJ0OgBdl26VkiJ9UQpkIqahqDSVFYvgfptXtl7xehd56LQ4t8Bf0sITTZZrh0UfqDY8&#10;cbKP+hmV1SJ68CpNhLdsFFIcQRXV9Ik3tx0PsmhBqyE8mA6vRys+H75Golu8CZeUOG5x4qefP06/&#10;/px+fyfVYllli/oANSJvA2LT8MEPCL+PAwaz8kFFm7+oiWAeDT4i6uJqMb+6HG2WQyIi/1ot59UC&#10;ywlEzGfV8qIA2CNHiJA+Sm9J3jQ04hiLu/zwCRL2g9B7SC7p/I02pozSuP8CCMwRlgWMjeZdGrbD&#10;WdXWt0cUtQ9R7zosVWQVOBpeCp0vR57ov+dC+vgg1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r7qndQAAAAFAQAADwAAAAAAAAABACAAAAAiAAAAZHJzL2Rvd25yZXYueG1sUEsBAhQAFAAAAAgA&#10;h07iQOMT3/e3AQAAWAMAAA4AAAAAAAAAAQAgAAAAIwEAAGRycy9lMm9Eb2MueG1sUEsFBgAAAAAG&#10;AAYAWQEAAEwFAAAAAA==&#10;">
                        <v:fill on="f" focussize="0,0"/>
                        <v:stroke on="f"/>
                        <v:imagedata o:title=""/>
                        <o:lock v:ext="edit" aspectratio="f"/>
                        <v:textbox>
                          <w:txbxContent>
                            <w:p>
                              <w:pPr>
                                <w:jc w:val="center"/>
                              </w:pPr>
                              <w:r>
                                <w:rPr>
                                  <w:rFonts w:hint="eastAsia"/>
                                </w:rPr>
                                <w:t>厂区自备井</w:t>
                              </w:r>
                            </w:p>
                          </w:txbxContent>
                        </v:textbox>
                      </v:shape>
                      <v:shape id="自选图形 1692" o:spid="_x0000_s1026" o:spt="32" type="#_x0000_t32" style="position:absolute;left:381000;top:1410970;height:635;width:812165;" filled="f" stroked="t" coordsize="21600,21600" o:gfxdata="UEsDBAoAAAAAAIdO4kAAAAAAAAAAAAAAAAAEAAAAZHJzL1BLAwQUAAAACACHTuJAiX10OtYAAAAF&#10;AQAADwAAAGRycy9kb3ducmV2LnhtbE2PT0vEMBDF74LfIYzgzU3rarG10wVdxF4U3BXxmG3GJthM&#10;SpP956c3etHLwOM93vtNvTi4QexoCtYzQj7LQBB3XlvuEV7XDxc3IEJUrNXgmRCOFGDRnJ7UqtJ+&#10;zy+0W8VepBIOlUIwMY6VlKEz5FSY+ZE4eR9+ciomOfVST2qfyt0gL7OskE5ZTgtGjXRvqPtcbR1C&#10;XL4fTfHW3ZX2ef34VNivtm2XiOdneXYLItIh/oXhBz+hQ5OYNn7LOogBIT0Sf2/yyvl1CWKDMC/y&#10;K5BNLf/TN99QSwMEFAAAAAgAh07iQItn24QLAgAA9wMAAA4AAABkcnMvZTJvRG9jLnhtbK1TTY7T&#10;MBTeI3EHy3uapENLGzWdRcuwQVAJ5gCvjpNY8p9sT9Pu2CHOwI4ld4DbjAS34NnJTGEQ0izIwnm2&#10;v/f5fZ+fV5dHJcmBOy+MrmgxySnhmpla6Lai1++vni0o8QF0DdJoXtET9/Ry/fTJqrcln5rOyJo7&#10;giTal72taBeCLbPMs44r8BNjucbNxjgFAaeuzWoHPbIrmU3zfJ71xtXWGca9x9XtsElHRvcYQtM0&#10;gvGtYTeK6zCwOi4hoCTfCevpOlXbNJyFt03jeSCyoqg0pBEPwXgfx2y9grJ1YDvBxhLgMSU80KRA&#10;aDz0nmoLAciNE39RKcGc8aYJE2ZUNghJjqCKIn/gzbsOLE9a0Gpv7033/4+WvTnsHBE1dsKcEg0K&#10;b/zHx68/P3y6/fz99tsXUsyX0+hSb32J4I3euXHm7c5FycfGqfhHMeRY0YtFkedo7wkpnxf58sVo&#10;Mj8GwnB/UUyL+YwShoD5xSxyZ2cS63x4xY0iMaioDw5E24WN0Rrv0rgiuQyH1z4MiXcJsQKpSV/R&#10;5Wwa6QF7s8GewFBZ1Od1m3K9kaK+ElLGDO/a/UY6coDYH+kbC/oDFg/Zgu8GXNqKMCg7DvVLXZNw&#10;smicxgdDYwmK15RIju8rRgkZQMgzMjgBupX/QKMfUqMt0fPB5RjtTX1K5qd17Idk3Ni7seF+n6fs&#10;83td/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fXQ61gAAAAUBAAAPAAAAAAAAAAEAIAAAACIA&#10;AABkcnMvZG93bnJldi54bWxQSwECFAAUAAAACACHTuJAi2fbhAsCAAD3AwAADgAAAAAAAAABACAA&#10;AAAlAQAAZHJzL2Uyb0RvYy54bWxQSwUGAAAAAAYABgBZAQAAogUAAAAA&#10;">
                        <v:fill on="f" focussize="0,0"/>
                        <v:stroke color="#000000" joinstyle="round" endarrow="block"/>
                        <v:imagedata o:title=""/>
                        <o:lock v:ext="edit" aspectratio="f"/>
                      </v:shape>
                      <v:shape id="文本框 1693" o:spid="_x0000_s1026" o:spt="202" type="#_x0000_t202" style="position:absolute;left:1193165;top:1256030;height:321945;width:847090;" fillcolor="#FFFFFF" filled="t" stroked="t" coordsize="21600,21600" o:gfxdata="UEsDBAoAAAAAAIdO4kAAAAAAAAAAAAAAAAAEAAAAZHJzL1BLAwQUAAAACACHTuJAoY22INcAAAAF&#10;AQAADwAAAGRycy9kb3ducmV2LnhtbE2PwU7DMBBE70j9B2srcUGtE1JCk8bpAQkEt1IqenXjbRJh&#10;r4PtpuXvMVzgstJoRjNvq/XFaDai870lAek8AYbUWNVTK2D39jhbAvNBkpLaEgr4Qg/renJVyVLZ&#10;M73iuA0tiyXkSymgC2EoOfdNh0b6uR2Qone0zsgQpWu5cvIcy43mt0mScyN7igudHPChw+ZjezIC&#10;lovnce9fss17kx91EW7ux6dPJ8T1NE1WwAJewl8YfvAjOtSR6WBPpDzTAuIj4fdGr8juCmAHAVme&#10;LoDXFf9PX38DUEsDBBQAAAAIAIdO4kDujRy+FwIAAEUEAAAOAAAAZHJzL2Uyb0RvYy54bWytU82O&#10;0zAQviPxDpbvNEm77W6jpitBKRcESAsP4DpOYsl/8rhN+gLwBpy4cOe5+hw7drq/cNgDPjhj+8s3&#10;M9/MrK4HrchBeJDWVLSY5JQIw20tTVvRb1+3b64ogcBMzZQ1oqJHAfR6/frVqnelmNrOqlp4giQG&#10;yt5VtAvBlVkGvBOawcQ6YfCxsV6zgEffZrVnPbJrlU3zfJH11tfOWy4A8HYzPtIzo38JoW0aycXG&#10;8r0WJoysXigWMCXopAO6TtE2jeDhc9OACERVFDMNaUcnaO/inq1XrGw9c53k5xDYS0J4lpNm0qDT&#10;e6oNC4zsvfyLSkvuLdgmTLjV2ZhIUgSzKPJn2tx0zImUC0oN7l50+H+0/NPhiyeyxk64pMQwjRU/&#10;/fxx+vXn9Ps7KRbLWZSod1Ai8sYhNgxv7YDwu3vAy5j50Hgdv5gTie/FclYs5pQc0Z7OF/nsLLYY&#10;AuEIuLq4zJdYBo6A2bRYXswjY/ZA5DyED8JqEo2KeqxlkpgdPkIYoXeQ6BeskvVWKpUOvt29U54c&#10;GNZ9m9aZ/QlMGdJXdDmfYpycYTM32ERoaoeCgGmTvyd/wGPiPK1/EcfANgy6MYDEEGGs1DIIn6xO&#10;sPq9qUk4OtTc4KzRGIwWNSVK4GhGKyEDk+olSNROGZQwVmusSrTCsBuQJpo7Wx+xgnvnZduhpKmG&#10;CY7dlbQ/T0Js38fnRPow/et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Y22INcAAAAFAQAADwAA&#10;AAAAAAABACAAAAAiAAAAZHJzL2Rvd25yZXYueG1sUEsBAhQAFAAAAAgAh07iQO6NHL4XAgAARQQA&#10;AA4AAAAAAAAAAQAgAAAAJgEAAGRycy9lMm9Eb2MueG1sUEsFBgAAAAAGAAYAWQEAAK8FAAAAAA==&#10;">
                        <v:fill on="t" focussize="0,0"/>
                        <v:stroke color="#000000" joinstyle="miter"/>
                        <v:imagedata o:title=""/>
                        <o:lock v:ext="edit" aspectratio="f"/>
                        <v:textbox>
                          <w:txbxContent>
                            <w:p>
                              <w:pPr>
                                <w:jc w:val="center"/>
                              </w:pPr>
                              <w:r>
                                <w:rPr>
                                  <w:rFonts w:hint="eastAsia"/>
                                </w:rPr>
                                <w:t>生活用水</w:t>
                              </w:r>
                            </w:p>
                          </w:txbxContent>
                        </v:textbox>
                      </v:shape>
                      <v:shape id="自选图形 1694" o:spid="_x0000_s1026" o:spt="32" type="#_x0000_t32" style="position:absolute;left:2040255;top:1425575;height:635;width:812165;" filled="f" stroked="t" coordsize="21600,21600" o:gfxdata="UEsDBAoAAAAAAIdO4kAAAAAAAAAAAAAAAAAEAAAAZHJzL1BLAwQUAAAACACHTuJAiX10OtYAAAAF&#10;AQAADwAAAGRycy9kb3ducmV2LnhtbE2PT0vEMBDF74LfIYzgzU3rarG10wVdxF4U3BXxmG3GJthM&#10;SpP956c3etHLwOM93vtNvTi4QexoCtYzQj7LQBB3XlvuEV7XDxc3IEJUrNXgmRCOFGDRnJ7UqtJ+&#10;zy+0W8VepBIOlUIwMY6VlKEz5FSY+ZE4eR9+ciomOfVST2qfyt0gL7OskE5ZTgtGjXRvqPtcbR1C&#10;XL4fTfHW3ZX2ef34VNivtm2XiOdneXYLItIh/oXhBz+hQ5OYNn7LOogBIT0Sf2/yyvl1CWKDMC/y&#10;K5BNLf/TN99QSwMEFAAAAAgAh07iQFscK4UMAgAA+AMAAA4AAABkcnMvZTJvRG9jLnhtbK1TzY7T&#10;MBC+I/EOlu80SWnLbtR0Dy3LBUEl4AGmtpNY8p9sb9PeuCGegRtH3gHeZiV4C8ZO2cIipD2QQzLO&#10;zHz+vs/j5dVBK7IXPkhrGlpNSkqEYZZL0zX03dvrJxeUhAiGg7JGNPQoAr1aPX60HFwtpra3igtP&#10;EMSEenAN7WN0dVEE1gsNYWKdMJhsrdcQcem7gnsYEF2rYlqWi2KwnjtvmQgB/27GJD0h+ocA2raV&#10;TGwsu9HCxBHVCwURJYVeukBXmW3bChZft20QkaiGotKY37gJxrv0LlZLqDsPrpfsRAEeQuGeJg3S&#10;4KZ3UBuIQG68/AtKS+ZtsG2cMKuLUUh2BFVU5T1v3vTgRNaCVgd3Z3r4f7Ds1X7rieQ4CXjuBjSe&#10;+PcPX368/3j76dvt18+kWlzOkkuDCzUWr83Wn1bBbX2SfGi9Tl8UQw4NnZazcjqfU3JEzBlGz+aj&#10;y+IQCcOCi2paLTDPsGDxNCeLM4rzIb4QVpMUNDRED7Lr49oag4dpfZVthv3LEJEHNv5qSBSUIUND&#10;L+fTBA84nC0OBYbaocBgutwbrJL8WiqVOoLvdmvlyR7SgOQnsUXcP8rSJhsI/ViXU6OoXgB/bjiJ&#10;R4fOGbwxNFHQglOiBF6wFCEg1BGkOldGL8F06h/VuL0yyCKZPtqcop3lx+x+/o8DkXmehjdN3O/r&#10;3H2+sK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X10OtYAAAAFAQAADwAAAAAAAAABACAAAAAi&#10;AAAAZHJzL2Rvd25yZXYueG1sUEsBAhQAFAAAAAgAh07iQFscK4UMAgAA+AMAAA4AAAAAAAAAAQAg&#10;AAAAJQEAAGRycy9lMm9Eb2MueG1sUEsFBgAAAAAGAAYAWQEAAKMFAAAAAA==&#10;">
                        <v:fill on="f" focussize="0,0"/>
                        <v:stroke color="#000000" joinstyle="round" endarrow="block"/>
                        <v:imagedata o:title=""/>
                        <o:lock v:ext="edit" aspectratio="f"/>
                      </v:shape>
                      <v:shape id="自选图形 1695" o:spid="_x0000_s1026" o:spt="32" type="#_x0000_t32" style="position:absolute;left:3730625;top:1423670;height:635;width:812165;" filled="f" stroked="t" coordsize="21600,21600" o:gfxdata="UEsDBAoAAAAAAIdO4kAAAAAAAAAAAAAAAAAEAAAAZHJzL1BLAwQUAAAACACHTuJAiX10OtYAAAAF&#10;AQAADwAAAGRycy9kb3ducmV2LnhtbE2PT0vEMBDF74LfIYzgzU3rarG10wVdxF4U3BXxmG3GJthM&#10;SpP956c3etHLwOM93vtNvTi4QexoCtYzQj7LQBB3XlvuEV7XDxc3IEJUrNXgmRCOFGDRnJ7UqtJ+&#10;zy+0W8VepBIOlUIwMY6VlKEz5FSY+ZE4eR9+ciomOfVST2qfyt0gL7OskE5ZTgtGjXRvqPtcbR1C&#10;XL4fTfHW3ZX2ef34VNivtm2XiOdneXYLItIh/oXhBz+hQ5OYNn7LOogBIT0Sf2/yyvl1CWKDMC/y&#10;K5BNLf/TN99QSwMEFAAAAAgAh07iQKpyxB8OAgAA+AMAAA4AAABkcnMvZTJvRG9jLnhtbK1TzY7T&#10;MBC+I/EOlu80TUuz26jpHlqWC4JKwANMHSex5D/Z3qa9cUM8AzeOvAP7NivBWzB2whYWIe2BHJyx&#10;Z+ab+T6PV1dHJcmBOy+Mrmg+mVLCNTO10G1F37+7fnZJiQ+ga5BG84qeuKdX66dPVr0t+cx0Rtbc&#10;EQTRvuxtRbsQbJllnnVcgZ8YyzU6G+MUBNy6Nqsd9IiuZDabTousN662zjDuPZ5uBycdEd1jAE3T&#10;CMa3ht0orsOA6riEgJR8J6yn69Rt03AW3jSN54HIiiLTkFYsgvY+rtl6BWXrwHaCjS3AY1p4wEmB&#10;0Fj0HmoLAciNE39BKcGc8aYJE2ZUNhBJiiCLfPpAm7cdWJ64oNTe3ovu/x8se33YOSJqnIQlJRoU&#10;3vj3j19/fPh09/n27tsXkhfLRVSpt77E4I3euXHn7c5FysfGqfhHMuRY0fnFfFrMFpScEPP5bF5c&#10;jCrzYyAMAy7zWV6gn2FAMU/g2RnFOh9ecqNINCrqgwPRdmFjtMbLNC5PMsPhlQ/YByb+SogtSE36&#10;ii4XsTwDHM4GhwJNZZGg123K9UaK+lpIGTO8a/cb6cgB4oCkL7JF3D/CYpEt+G6IS65hdDoO9Qtd&#10;k3CyqJzGF0NjC4rXlEiODyxaCAhlACHPkcEJ0K38RzSWlxq7iKIPMkdrb+pTUj+d40CkPsfhjRP3&#10;+z5lnx/s+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JfXQ61gAAAAUBAAAPAAAAAAAAAAEAIAAA&#10;ACIAAABkcnMvZG93bnJldi54bWxQSwECFAAUAAAACACHTuJAqnLEHw4CAAD4AwAADgAAAAAAAAAB&#10;ACAAAAAlAQAAZHJzL2Uyb0RvYy54bWxQSwUGAAAAAAYABgBZAQAApQUAAAAA&#10;">
                        <v:fill on="f" focussize="0,0"/>
                        <v:stroke color="#000000" joinstyle="round" endarrow="block"/>
                        <v:imagedata o:title=""/>
                        <o:lock v:ext="edit" aspectratio="f"/>
                      </v:shape>
                      <v:shape id="文本框 1696" o:spid="_x0000_s1026" o:spt="202" type="#_x0000_t202" style="position:absolute;left:2852420;top:1272540;height:321945;width:934720;" fillcolor="#FFFFFF" filled="t" stroked="t" coordsize="21600,21600" o:gfxdata="UEsDBAoAAAAAAIdO4kAAAAAAAAAAAAAAAAAEAAAAZHJzL1BLAwQUAAAACACHTuJAoY22INcAAAAF&#10;AQAADwAAAGRycy9kb3ducmV2LnhtbE2PwU7DMBBE70j9B2srcUGtE1JCk8bpAQkEt1IqenXjbRJh&#10;r4PtpuXvMVzgstJoRjNvq/XFaDai870lAek8AYbUWNVTK2D39jhbAvNBkpLaEgr4Qg/renJVyVLZ&#10;M73iuA0tiyXkSymgC2EoOfdNh0b6uR2Qone0zsgQpWu5cvIcy43mt0mScyN7igudHPChw+ZjezIC&#10;lovnce9fss17kx91EW7ux6dPJ8T1NE1WwAJewl8YfvAjOtSR6WBPpDzTAuIj4fdGr8juCmAHAVme&#10;LoDXFf9PX38DUEsDBBQAAAAIAIdO4kDOPp/iFgIAAEUEAAAOAAAAZHJzL2Uyb0RvYy54bWytUzuO&#10;2zAQ7QPkDgT7WLbW9q4FywskjtMESYBNDkBTlESAP3BoS75AcoNUadLnXD7HDinvN1u4WBbUkHx6&#10;M/NmZnnda0X2woO0pqST0ZgSYbitpGlK+uP75t0VJRCYqZiyRpT0IIBer96+WXauELltraqEJ0hi&#10;oOhcSdsQXJFlwFuhGYysEwYfa+s1C3j0TVZ51iG7Vlk+Hs+zzvrKecsFAN6uh0d6YvTnENq6llys&#10;Ld9pYcLA6oViAVOCVjqgqxRtXQsevtY1iEBUSTHTkHZ0gvY27tlqyYrGM9dKfgqBnRPCs5w0kwad&#10;3lOtWWBk5+V/VFpyb8HWYcStzoZEkiKYxWT8TJubljmRckGpwd2LDq9Hy7/sv3kiq5LmKIlhGit+&#10;/P3r+Off8e9PMpkv5lGizkGByBuH2NC/tz02zt094GXMvK+9jl/MieB7fjXLp5HzgNj8Mp9NT2KL&#10;PhCOgMXF9DK+cwRc5JPFdBYZswci5yF8ElaTaJTUYy2TxGz/GcIAvYNEv2CVrDZSqXTwzfaD8mTP&#10;sO6btE7sT2DKkA4jmeUzjINhM9fYRGhqh4KAaZK/J3/AY+JxWi8Rx8DWDNohgMQQYazQMgifrFaw&#10;6qOpSDg41NzgrNEYjBYVJUrgaEYrIQOT6hwkaqcMShirNVQlWqHf9kgTza2tDljBnfOyaVHSVMME&#10;x+5K2p8mIbbv43MifZj+1S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hjbYg1wAAAAUBAAAPAAAA&#10;AAAAAAEAIAAAACIAAABkcnMvZG93bnJldi54bWxQSwECFAAUAAAACACHTuJAzj6f4hYCAABFBAAA&#10;DgAAAAAAAAABACAAAAAmAQAAZHJzL2Uyb0RvYy54bWxQSwUGAAAAAAYABgBZAQAArgUAAAAA&#10;">
                        <v:fill on="t" focussize="0,0"/>
                        <v:stroke color="#000000" joinstyle="miter"/>
                        <v:imagedata o:title=""/>
                        <o:lock v:ext="edit" aspectratio="f"/>
                        <v:textbox>
                          <w:txbxContent>
                            <w:p>
                              <w:pPr>
                                <w:jc w:val="center"/>
                              </w:pPr>
                              <w:r>
                                <w:rPr>
                                  <w:rFonts w:hint="eastAsia"/>
                                </w:rPr>
                                <w:t>厂房化粪池</w:t>
                              </w:r>
                            </w:p>
                          </w:txbxContent>
                        </v:textbox>
                      </v:shape>
                      <v:shape id="文本框 1697" o:spid="_x0000_s1026" o:spt="202" type="#_x0000_t202" style="position:absolute;left:481330;top:1185545;height:290830;width:491490;" filled="f" stroked="f" coordsize="21600,21600" o:gfxdata="UEsDBAoAAAAAAIdO4kAAAAAAAAAAAAAAAAAEAAAAZHJzL1BLAwQUAAAACACHTuJAEr7qndQAAAAF&#10;AQAADwAAAGRycy9kb3ducmV2LnhtbE2PS0/DMBCE70j8B2uRuFE79CES4vQA4gqiPCRu23ibRMTr&#10;KHab8O9ZuMBlpdGMZr4tt7Pv1YnG2AW2kC0MKOI6uI4bC68vD1c3oGJCdtgHJgtfFGFbnZ+VWLgw&#10;8TOddqlRUsKxQAttSkOhdaxb8hgXYSAW7xBGj0nk2Gg34iTlvtfXxmy0x45locWB7lqqP3dHb+Ht&#10;8fDxvjJPzb1fD1OYjWafa2svLzJzCyrRnP7C8IMv6FAJ0z4c2UXVW5BH0u8VL1+uc1B7C8tNtgJd&#10;lfo/ffUNUEsDBBQAAAAIAIdO4kAUDRWWuQEAAFwDAAAOAAAAZHJzL2Uyb0RvYy54bWytU0tu2zAQ&#10;3RfoHQjua0mOndqC5QCFkW6KtkCSA9AUaRHgDxzaki+Q3KCrbrrvuXyODinn03STRTfUcObhzbw3&#10;1OpqMJocRADlbEOrSUmJsNy1yu4aend7/WFBCURmW6adFQ09CqBX6/fvVr2vxdR1TrciECSxUPe+&#10;oV2Mvi4K4J0wDCbOC4tF6YJhEa9hV7SB9chudDEty8uid6H1wXEBgNnNWKRnxvAWQiel4mLj+N4I&#10;G0fWIDSLKAk65YGu87RSCh6/SQkiEt1QVBrziU0w3qazWK9YvQvMd4qfR2BvGeGVJsOUxaZPVBsW&#10;GdkH9Q+VUTw4cDJOuDPFKCQ7giqq8pU3Nx3zImtBq8E/mQ7/j5Z/PXwPRLUNnVaUWGZw46cfD6ef&#10;v0+/7kl1ufyYLOo91Ii88YiNwyc34MN5zAMmk/JBBpO+qIlgfbaoLi7Q5SNCq8V8PpuPXoshEp7q&#10;y2q2xDpHwHRZLhCLjYpnHh8gfhbOkBQ0NOAqs8Ps8AXiCH2EpLbWXSut8zq1/SuBnClTJBHjsCmK&#10;w3Y4K9u69ojC9j6oXYetsrQMR9PzTOcHkrb68p5Jn3+K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vuqd1AAAAAUBAAAPAAAAAAAAAAEAIAAAACIAAABkcnMvZG93bnJldi54bWxQSwECFAAUAAAA&#10;CACHTuJAFA0VlrkBAABcAwAADgAAAAAAAAABACAAAAAjAQAAZHJzL2Uyb0RvYy54bWxQSwUGAAAA&#10;AAYABgBZAQAATgUAAAAA&#10;">
                        <v:fill on="f" focussize="0,0"/>
                        <v:stroke on="f"/>
                        <v:imagedata o:title=""/>
                        <o:lock v:ext="edit" aspectratio="f"/>
                        <v:textbox>
                          <w:txbxContent>
                            <w:p>
                              <w:r>
                                <w:rPr>
                                  <w:rFonts w:hint="eastAsia"/>
                                </w:rPr>
                                <w:t>90</w:t>
                              </w:r>
                            </w:p>
                          </w:txbxContent>
                        </v:textbox>
                      </v:shape>
                      <v:shape id="文本框 1698" o:spid="_x0000_s1026" o:spt="202" type="#_x0000_t202" style="position:absolute;left:3868420;top:1154430;height:290830;width:491490;" filled="f" stroked="f" coordsize="21600,21600" o:gfxdata="UEsDBAoAAAAAAIdO4kAAAAAAAAAAAAAAAAAEAAAAZHJzL1BLAwQUAAAACACHTuJAEr7qndQAAAAF&#10;AQAADwAAAGRycy9kb3ducmV2LnhtbE2PS0/DMBCE70j8B2uRuFE79CES4vQA4gqiPCRu23ibRMTr&#10;KHab8O9ZuMBlpdGMZr4tt7Pv1YnG2AW2kC0MKOI6uI4bC68vD1c3oGJCdtgHJgtfFGFbnZ+VWLgw&#10;8TOddqlRUsKxQAttSkOhdaxb8hgXYSAW7xBGj0nk2Gg34iTlvtfXxmy0x45locWB7lqqP3dHb+Ht&#10;8fDxvjJPzb1fD1OYjWafa2svLzJzCyrRnP7C8IMv6FAJ0z4c2UXVW5BH0u8VL1+uc1B7C8tNtgJd&#10;lfo/ffUNUEsDBBQAAAAIAIdO4kDSoB83ugEAAF0DAAAOAAAAZHJzL2Uyb0RvYy54bWytU0tu2zAQ&#10;3RfIHQjua0qKYsiC5QCFkWyKtECaA9AUaREQPyBpS75Ae4Ouuum+5/I5OqSUpE02WWRDDWce3sx7&#10;Q62vR9WjI3deGt3gfJFhxDUzrdT7Bj98u/lYYeQD1S3tjeYNPnGPrzcXH9aDrXlhOtO33CEg0b4e&#10;bIO7EGxNiGcdV9QvjOUaisI4RQNc3Z60jg7ArnpSZNmSDMa11hnGvYfsdirimdG9hdAIIRnfGnZQ&#10;XIeJ1fGeBpDkO2k93qRpheAsfBHC84D6BoPSkE5oAvEunmSzpvXeUdtJNo9A3zLCC02KSg1Nn6i2&#10;NFB0cPIVlZLMGW9EWDCjyCQkOQIq8uyFN/cdtTxpAau9fTLdvx8tuzt+dUi2DS4KjDRVsPHzzx/n&#10;X3/Ov7+jfLmqokWD9TUg7y1gw/jJjPBwHvMeklH5KJyKX9CEoH5ZLauyAJtPgM2vyvJyNpuPATEA&#10;lKu8XEGdAaBYZdVUJ89E1vlwy41CMWiwg10mi+nxsw8wFEAfIbGvNjey79M+e/1fAoAxQ6KKadoY&#10;hXE3ztJ2pj2BsoN1ct9Bq6QtwcH11Gh+IXGt/94T6fNfsf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r7qndQAAAAFAQAADwAAAAAAAAABACAAAAAiAAAAZHJzL2Rvd25yZXYueG1sUEsBAhQAFAAA&#10;AAgAh07iQNKgHze6AQAAXQMAAA4AAAAAAAAAAQAgAAAAIwEAAGRycy9lMm9Eb2MueG1sUEsFBgAA&#10;AAAGAAYAWQEAAE8FAAAAAA==&#10;">
                        <v:fill on="f" focussize="0,0"/>
                        <v:stroke on="f"/>
                        <v:imagedata o:title=""/>
                        <o:lock v:ext="edit" aspectratio="f"/>
                        <v:textbox>
                          <w:txbxContent>
                            <w:p>
                              <w:r>
                                <w:rPr>
                                  <w:rFonts w:hint="eastAsia"/>
                                </w:rPr>
                                <w:t>72</w:t>
                              </w:r>
                            </w:p>
                          </w:txbxContent>
                        </v:textbox>
                      </v:shape>
                      <v:shape id="文本框 1699" o:spid="_x0000_s1026" o:spt="202" type="#_x0000_t202" style="position:absolute;left:2183765;top:1130935;height:290830;width:491490;" filled="f" stroked="f" coordsize="21600,21600" o:gfxdata="UEsDBAoAAAAAAIdO4kAAAAAAAAAAAAAAAAAEAAAAZHJzL1BLAwQUAAAACACHTuJAEr7qndQAAAAF&#10;AQAADwAAAGRycy9kb3ducmV2LnhtbE2PS0/DMBCE70j8B2uRuFE79CES4vQA4gqiPCRu23ibRMTr&#10;KHab8O9ZuMBlpdGMZr4tt7Pv1YnG2AW2kC0MKOI6uI4bC68vD1c3oGJCdtgHJgtfFGFbnZ+VWLgw&#10;8TOddqlRUsKxQAttSkOhdaxb8hgXYSAW7xBGj0nk2Gg34iTlvtfXxmy0x45locWB7lqqP3dHb+Ht&#10;8fDxvjJPzb1fD1OYjWafa2svLzJzCyrRnP7C8IMv6FAJ0z4c2UXVW5BH0u8VL1+uc1B7C8tNtgJd&#10;lfo/ffUNUEsDBBQAAAAIAIdO4kC6wwIdvAEAAF0DAAAOAAAAZHJzL2Uyb0RvYy54bWytU0tu2zAQ&#10;3RfoHQjua+qTuJZgOUBhpJuiLZD0ADRFWgT4A0lb8gXaG3TVTfc9l8/RIeUkbbrJohtqOPPwZt4b&#10;an0zaYWO3AdpTYfLRYERN8z20uw7/OX+9s0KoxCp6amyhnf4xAO+2bx+tR5dyys7WNVzj4DEhHZ0&#10;HR5idC0hgQ1c07CwjhsoCus1jXD1e9J7OgK7VqQqiiUZre+dt4yHANntXMQXRv8SQiuEZHxr2UFz&#10;E2dWzxWNICkM0gW8ydMKwVn8JETgEakOg9KYT2gC8S6dZLOm7d5TN0h2GYG+ZIRnmjSVBpo+Um1p&#10;pOjg5T9UWjJvgxVxwawms5DsCKgoi2fe3A3U8awFrA7u0fTw/2jZx+Nnj2Tf4arGyFANGz9//3b+&#10;8ev88ysql02TLBpdaAF55wAbp3d2gofzkA+QTMon4XX6giYE9apc1W+X1xidAFvWRVNfz2bzKSIG&#10;gKumvGpgDQwAVVOs6rwM8kTkfIjvudUoBR32sMtsMT1+CBGGAugDJPU19lYqlfepzF8JAKYMSSrm&#10;aVMUp910kbaz/QmUHZyX+wFaZW0ZDq7nRpcXktb65z2TPv0V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Svuqd1AAAAAUBAAAPAAAAAAAAAAEAIAAAACIAAABkcnMvZG93bnJldi54bWxQSwECFAAU&#10;AAAACACHTuJAusMCHbwBAABdAwAADgAAAAAAAAABACAAAAAjAQAAZHJzL2Uyb0RvYy54bWxQSwUG&#10;AAAAAAYABgBZAQAAUQUAAAAA&#10;">
                        <v:fill on="f" focussize="0,0"/>
                        <v:stroke on="f"/>
                        <v:imagedata o:title=""/>
                        <o:lock v:ext="edit" aspectratio="f"/>
                        <v:textbox>
                          <w:txbxContent>
                            <w:p>
                              <w:r>
                                <w:rPr>
                                  <w:rFonts w:hint="eastAsia"/>
                                </w:rPr>
                                <w:t>72</w:t>
                              </w:r>
                            </w:p>
                          </w:txbxContent>
                        </v:textbox>
                      </v:shape>
                      <v:shape id="自选图形 1700" o:spid="_x0000_s1026" o:spt="106" type="#_x0000_t106" style="position:absolute;left:1532255;top:488315;height:530860;width:736600;" fillcolor="#FFFFFF" filled="t" stroked="t" coordsize="21600,21600" o:gfxdata="UEsDBAoAAAAAAIdO4kAAAAAAAAAAAAAAAAAEAAAAZHJzL1BLAwQUAAAACACHTuJArho7IdYAAAAF&#10;AQAADwAAAGRycy9kb3ducmV2LnhtbE2PzU7DMBCE70i8g7VI3KgTClEb4lSiUsWBCy0Irtt48wPx&#10;OordtLw9C5dyWWk0o5lvi9XJ9WqiMXSeDaSzBBRx5W3HjYG3183NAlSIyBZ7z2TgmwKsysuLAnPr&#10;j7ylaRcbJSUccjTQxjjkWoeqJYdh5gdi8Wo/Oowix0bbEY9S7np9mySZdtixLLQ40Lql6mt3cAa6&#10;5wb1Z7bevD990EsdF9P20dXGXF+lyQOoSKd4DsMvvqBDKUx7f2AbVG9AHol/V7zl/H4Jam9gnqV3&#10;oMtC/6cvfwBQSwMEFAAAAAgAh07iQN9tgbg/AgAAjQQAAA4AAABkcnMvZTJvRG9jLnhtbK1UzY7T&#10;MBC+I/EOlu/bpGnTlqrpHraUC4KVFh7AtZ3GyH+y3aa9cUM8AzeOvAO8zUrwFoydsO0uHHrAh3gc&#10;T76Z75uZLK4PSqI9d14YXeHhIMeIa2qY0NsKv3+3vpph5APRjEijeYWP3OPr5fNni9bOeWEaIxl3&#10;CEC0n7e2wk0Idp5lnjZcET8wlmu4rI1TJMDRbTPmSAvoSmZFnk+y1jhmnaHce3i76i5xj+guATR1&#10;LShfGbpTXIcO1XFJAlDyjbAeL1O2dc1peFvXngckKwxMQ3pCELA38ZktF2S+dcQ2gvYpkEtSeMJJ&#10;EaEh6APUigSCdk78BaUEdcabOgyoUVlHJCkCLIb5E23uGmJ54gJSe/sguv9/sPTN/tYhwSpcjDHS&#10;REHFf3769uvj5/svP+6/f0XDaZ5Uaq2fg/OdvXWgWTx5MCPlQ+1U3IEMOkBHlaOiKEuMjhUez2aj&#10;YdmJzA8BUbifjiYTgEQU7stRPpsk+OyEY50Pr7hRKBoVptLs2A2RsIUkMdm/9iFpzfqECfswxKhW&#10;Ekq3JxJdjYtiPOxre+ZUnDvNprM8+UDoHhKsP8EjvjdSsLWQMh3cdnMjHQL8Cq/TigHgk0duUqO2&#10;wi/KAgSgBMajhrYEU1mQ2OttYvDoC38OnKf1L+CY2Ir4pksgIXQEG07YS81QOFqonYaZxTEFxRlG&#10;ksOIRyu1eSBCXuIJnKQGaqciRyscNoe+8hvDjtA1O+vEtoESdTJGJ+jSpEk/UXEMzs8J9PQXW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ho7IdYAAAAFAQAADwAAAAAAAAABACAAAAAiAAAAZHJz&#10;L2Rvd25yZXYueG1sUEsBAhQAFAAAAAgAh07iQN9tgbg/AgAAjQQAAA4AAAAAAAAAAQAgAAAAJQEA&#10;AGRycy9lMm9Eb2MueG1sUEsFBgAAAAAGAAYAWQEAANYFAAAAAA==&#10;" adj="1676,29765">
                        <v:fill on="t" focussize="0,0"/>
                        <v:stroke color="#000000" joinstyle="round"/>
                        <v:imagedata o:title=""/>
                        <o:lock v:ext="edit" aspectratio="f"/>
                        <v:textbox>
                          <w:txbxContent>
                            <w:p>
                              <w:r>
                                <w:rPr>
                                  <w:rFonts w:hint="eastAsia"/>
                                </w:rPr>
                                <w:t>18</w:t>
                              </w:r>
                            </w:p>
                          </w:txbxContent>
                        </v:textbox>
                      </v:shape>
                      <w10:wrap type="none"/>
                      <w10:anchorlock/>
                    </v:group>
                  </w:pict>
                </mc:Fallback>
              </mc:AlternateContent>
            </w:r>
          </w:p>
          <w:p>
            <w:pPr>
              <w:widowControl/>
              <w:adjustRightInd w:val="0"/>
              <w:snapToGrid w:val="0"/>
              <w:spacing w:line="360" w:lineRule="auto"/>
              <w:jc w:val="center"/>
              <w:rPr>
                <w:sz w:val="24"/>
              </w:rPr>
            </w:pPr>
            <w:r>
              <w:rPr>
                <w:rFonts w:hint="eastAsia"/>
                <w:sz w:val="24"/>
              </w:rPr>
              <w:t>图1</w:t>
            </w:r>
            <w:r>
              <w:rPr>
                <w:sz w:val="24"/>
              </w:rPr>
              <w:t xml:space="preserve"> </w:t>
            </w:r>
            <w:r>
              <w:rPr>
                <w:rFonts w:hint="eastAsia"/>
                <w:sz w:val="24"/>
              </w:rPr>
              <w:t>项目水平衡图       单位：</w:t>
            </w:r>
            <w:r>
              <w:rPr>
                <w:sz w:val="24"/>
              </w:rPr>
              <w:t>m</w:t>
            </w:r>
            <w:r>
              <w:rPr>
                <w:sz w:val="24"/>
                <w:vertAlign w:val="superscript"/>
              </w:rPr>
              <w:t>3</w:t>
            </w:r>
            <w:r>
              <w:rPr>
                <w:sz w:val="24"/>
              </w:rPr>
              <w:t>/a</w:t>
            </w:r>
          </w:p>
          <w:p>
            <w:pPr>
              <w:adjustRightInd w:val="0"/>
              <w:snapToGrid w:val="0"/>
              <w:spacing w:line="500" w:lineRule="exact"/>
              <w:rPr>
                <w:sz w:val="24"/>
              </w:rPr>
            </w:pPr>
            <w:r>
              <w:rPr>
                <w:sz w:val="24"/>
              </w:rPr>
              <mc:AlternateContent>
                <mc:Choice Requires="wps">
                  <w:drawing>
                    <wp:anchor distT="0" distB="0" distL="114300" distR="114300" simplePos="0" relativeHeight="251657216" behindDoc="0" locked="0" layoutInCell="1" allowOverlap="1">
                      <wp:simplePos x="0" y="0"/>
                      <wp:positionH relativeFrom="column">
                        <wp:posOffset>-76835</wp:posOffset>
                      </wp:positionH>
                      <wp:positionV relativeFrom="paragraph">
                        <wp:posOffset>33655</wp:posOffset>
                      </wp:positionV>
                      <wp:extent cx="6096000" cy="0"/>
                      <wp:effectExtent l="0" t="0" r="0" b="0"/>
                      <wp:wrapNone/>
                      <wp:docPr id="13" name="自选图形 1702"/>
                      <wp:cNvGraphicFramePr/>
                      <a:graphic xmlns:a="http://schemas.openxmlformats.org/drawingml/2006/main">
                        <a:graphicData uri="http://schemas.microsoft.com/office/word/2010/wordprocessingShape">
                          <wps:wsp>
                            <wps:cNvCnPr/>
                            <wps:spPr>
                              <a:xfrm>
                                <a:off x="0" y="0"/>
                                <a:ext cx="6096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02" o:spid="_x0000_s1026" o:spt="32" type="#_x0000_t32" style="position:absolute;left:0pt;margin-left:-6.05pt;margin-top:2.65pt;height:0pt;width:480pt;z-index:251657216;mso-width-relative:page;mso-height-relative:page;" filled="f" stroked="t" coordsize="21600,21600" o:gfxdata="UEsDBAoAAAAAAIdO4kAAAAAAAAAAAAAAAAAEAAAAZHJzL1BLAwQUAAAACACHTuJA90ixINUAAAAH&#10;AQAADwAAAGRycy9kb3ducmV2LnhtbE2OwU7DMBBE70j8g7VIXFBrO1AgIZsKIXHgSFuJqxsvSSBe&#10;R7HTlH49hgscRzN688r10fXiQGPoPCPopQJBXHvbcYOw2z4v7kGEaNia3jMhfFGAdXV+VprC+plf&#10;6bCJjUgQDoVBaGMcCilD3ZIzYekH4tS9+9GZmOLYSDuaOcFdLzOlbqUzHaeH1gz01FL9uZkcAoVp&#10;pdVj7prdy2m+estOH/OwRby80OoBRKRj/BvDj35Shyo57f3ENogeYaEznaYIq2sQqc9v7nIQ+98s&#10;q1L+96++AVBLAwQUAAAACACHTuJADm4/f/gBAADnAwAADgAAAGRycy9lMm9Eb2MueG1srVPNjtMw&#10;EL4j8Q6W7zRp0RY2arqHluWCoBLwAFPHSSz5Tx5v0964IZ6BG0feAd5mpeUtGDvdLiyXHsjBGXtm&#10;vpnv83hxtTea7WRA5WzNp5OSM2mFa5Ttav7xw/Wzl5xhBNuAdlbW/CCRXy2fPlkMvpIz1zvdyMAI&#10;xGI1+Jr3MfqqKFD00gBOnJeWnK0LBiJtQ1c0AQZCN7qYleW8GFxofHBCItLpenTyI2I4B9C1rRJy&#10;7cSNkTaOqEFqiEQJe+WRL3O3bStFfNe2KCPTNSemMa9UhOxtWovlAqougO+VOLYA57TwiJMBZano&#10;CWoNEdhNUP9AGSWCQ9fGiXCmGIlkRYjFtHykzfsevMxcSGr0J9Hx/8GKt7tNYKqhSXjOmQVDN373&#10;+fuvT19uv/68/fGNTV+Us6TS4LGi4JXdhOMO/SYkyvs2mPQnMmyflT2clJX7yAQdzsvLeVmS6OLe&#10;Vzwk+oDxtXSGJaPmGAOoro8rZy3dnwvTrCzs3mCk0pR4n5CqasuGml9ezC4IHGgeW5oDMo0nTmi7&#10;nItOq+ZaaZ0yMHTblQ5sB2km8pcIEu5fYanIGrAf47JrnJZeQvPKNiwePIll6ZHw1IKRDWda0ptK&#10;FgFCFUHpcyKptLbUQdJ4VDVZW9ccstj5nO4/93ic1TRgf+5z9sP7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0ixINUAAAAHAQAADwAAAAAAAAABACAAAAAiAAAAZHJzL2Rvd25yZXYueG1sUEsB&#10;AhQAFAAAAAgAh07iQA5uP3/4AQAA5wMAAA4AAAAAAAAAAQAgAAAAJAEAAGRycy9lMm9Eb2MueG1s&#10;UEsFBgAAAAAGAAYAWQEAAI4FAAAAAA==&#10;">
                      <v:fill on="f" focussize="0,0"/>
                      <v:stroke color="#000000" joinstyle="round"/>
                      <v:imagedata o:title=""/>
                      <o:lock v:ext="edit" aspectratio="f"/>
                    </v:shape>
                  </w:pict>
                </mc:Fallback>
              </mc:AlternateContent>
            </w:r>
            <w:r>
              <w:rPr>
                <w:sz w:val="24"/>
              </w:rPr>
              <w:t>与本项目有关的原有污染情况及主要环境问题：</w:t>
            </w:r>
          </w:p>
          <w:p>
            <w:pPr>
              <w:tabs>
                <w:tab w:val="left" w:pos="5247"/>
              </w:tabs>
              <w:adjustRightInd w:val="0"/>
              <w:snapToGrid w:val="0"/>
              <w:spacing w:line="500" w:lineRule="exact"/>
              <w:ind w:firstLine="480" w:firstLineChars="200"/>
              <w:rPr>
                <w:sz w:val="24"/>
              </w:rPr>
            </w:pPr>
            <w:r>
              <w:rPr>
                <w:rFonts w:hint="eastAsia"/>
                <w:sz w:val="24"/>
              </w:rPr>
              <w:t>新乡市天华科技有限公司位于新乡市新乡县朗公庙镇曲水村北，现已建成年产100套振动筛给料机项目，该公司于2005年3月对现有工程开展了环境影响评价工作，委托新乡市环境保护科学设计研究院编制完成了《新乡市天华科技有限公司年产100套振动筛给料机项目环境影响报告表》，新乡市环境保护局于2005年3月28日以新环【2005】12号文进行了批复；新乡县环境保护监测站于2008年4月以新环验监字【2008】第12号文进行了竣工验收监测报告表的编制工作，企业完成验收工作。</w:t>
            </w:r>
            <w:r>
              <w:rPr>
                <w:rFonts w:hint="eastAsia"/>
                <w:sz w:val="24"/>
                <w:u w:val="single"/>
              </w:rPr>
              <w:t>现有工程喷漆废气于2019年8月进行了提标改造，并且通过了验收监测，专家组意见及签名详见附件9。</w:t>
            </w:r>
          </w:p>
          <w:p>
            <w:pPr>
              <w:tabs>
                <w:tab w:val="left" w:pos="5247"/>
              </w:tabs>
              <w:adjustRightInd w:val="0"/>
              <w:snapToGrid w:val="0"/>
              <w:spacing w:line="500" w:lineRule="exact"/>
              <w:ind w:firstLine="480" w:firstLineChars="200"/>
              <w:rPr>
                <w:sz w:val="24"/>
              </w:rPr>
            </w:pPr>
            <w:r>
              <w:rPr>
                <w:sz w:val="24"/>
              </w:rPr>
              <w:t>1</w:t>
            </w:r>
            <w:r>
              <w:rPr>
                <w:rFonts w:hint="eastAsia"/>
                <w:sz w:val="24"/>
              </w:rPr>
              <w:t>.</w:t>
            </w:r>
            <w:r>
              <w:rPr>
                <w:sz w:val="24"/>
              </w:rPr>
              <w:t>现有工程建设内容</w:t>
            </w:r>
          </w:p>
          <w:p>
            <w:pPr>
              <w:tabs>
                <w:tab w:val="left" w:pos="5247"/>
              </w:tabs>
              <w:adjustRightInd w:val="0"/>
              <w:snapToGrid w:val="0"/>
              <w:spacing w:line="500" w:lineRule="exact"/>
              <w:ind w:firstLine="480" w:firstLineChars="200"/>
              <w:rPr>
                <w:sz w:val="24"/>
              </w:rPr>
            </w:pPr>
            <w:r>
              <w:rPr>
                <w:sz w:val="24"/>
              </w:rPr>
              <w:t>现有项目</w:t>
            </w:r>
            <w:r>
              <w:rPr>
                <w:rFonts w:hint="eastAsia"/>
                <w:sz w:val="24"/>
              </w:rPr>
              <w:t>规模</w:t>
            </w:r>
            <w:r>
              <w:rPr>
                <w:sz w:val="24"/>
              </w:rPr>
              <w:t>为年</w:t>
            </w:r>
            <w:r>
              <w:rPr>
                <w:rFonts w:hint="eastAsia"/>
                <w:sz w:val="24"/>
              </w:rPr>
              <w:t>加工100套振动筛、给料机，总占地面积5800m</w:t>
            </w:r>
            <w:r>
              <w:rPr>
                <w:rFonts w:hint="eastAsia"/>
                <w:sz w:val="24"/>
                <w:vertAlign w:val="superscript"/>
              </w:rPr>
              <w:t>2</w:t>
            </w:r>
            <w:r>
              <w:rPr>
                <w:rFonts w:hint="eastAsia"/>
                <w:sz w:val="24"/>
              </w:rPr>
              <w:t>，</w:t>
            </w:r>
            <w:r>
              <w:rPr>
                <w:sz w:val="24"/>
              </w:rPr>
              <w:t>建设内容主要包括</w:t>
            </w:r>
            <w:r>
              <w:rPr>
                <w:rFonts w:hint="eastAsia"/>
                <w:sz w:val="24"/>
              </w:rPr>
              <w:t>办公室、生产车间</w:t>
            </w:r>
            <w:r>
              <w:rPr>
                <w:sz w:val="24"/>
              </w:rPr>
              <w:t>等，主要建设内容详见表</w:t>
            </w:r>
            <w:r>
              <w:rPr>
                <w:rFonts w:hint="eastAsia"/>
                <w:sz w:val="24"/>
              </w:rPr>
              <w:t>8</w:t>
            </w:r>
            <w:r>
              <w:rPr>
                <w:sz w:val="24"/>
              </w:rPr>
              <w:t>。</w:t>
            </w:r>
          </w:p>
          <w:p>
            <w:pPr>
              <w:autoSpaceDE w:val="0"/>
              <w:autoSpaceDN w:val="0"/>
              <w:adjustRightInd w:val="0"/>
              <w:snapToGrid w:val="0"/>
              <w:spacing w:line="400" w:lineRule="exact"/>
              <w:ind w:left="420"/>
              <w:rPr>
                <w:b/>
                <w:sz w:val="24"/>
              </w:rPr>
            </w:pPr>
            <w:r>
              <w:rPr>
                <w:b/>
                <w:sz w:val="24"/>
              </w:rPr>
              <w:t>表</w:t>
            </w:r>
            <w:r>
              <w:rPr>
                <w:rFonts w:hint="eastAsia"/>
                <w:b/>
                <w:sz w:val="24"/>
              </w:rPr>
              <w:t>8</w:t>
            </w:r>
            <w:r>
              <w:rPr>
                <w:b/>
                <w:sz w:val="24"/>
              </w:rPr>
              <w:t xml:space="preserve">                       </w:t>
            </w:r>
            <w:r>
              <w:rPr>
                <w:rFonts w:hint="eastAsia"/>
                <w:b/>
                <w:sz w:val="24"/>
              </w:rPr>
              <w:t>现有</w:t>
            </w:r>
            <w:r>
              <w:rPr>
                <w:b/>
                <w:sz w:val="24"/>
              </w:rPr>
              <w:t>项目建设规模及内容一览表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autofit"/>
              <w:tblCellMar>
                <w:top w:w="0" w:type="dxa"/>
                <w:left w:w="0" w:type="dxa"/>
                <w:bottom w:w="0" w:type="dxa"/>
                <w:right w:w="0" w:type="dxa"/>
              </w:tblCellMar>
            </w:tblPr>
            <w:tblGrid>
              <w:gridCol w:w="1387"/>
              <w:gridCol w:w="2516"/>
              <w:gridCol w:w="6357"/>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atLeast"/>
                <w:jc w:val="center"/>
              </w:trPr>
              <w:tc>
                <w:tcPr>
                  <w:tcW w:w="676" w:type="pct"/>
                  <w:tcBorders>
                    <w:top w:val="single" w:color="auto" w:sz="12" w:space="0"/>
                    <w:left w:val="nil"/>
                    <w:bottom w:val="single" w:color="auto" w:sz="4" w:space="0"/>
                    <w:right w:val="single" w:color="auto" w:sz="6" w:space="0"/>
                  </w:tcBorders>
                  <w:vAlign w:val="center"/>
                </w:tcPr>
                <w:p>
                  <w:pPr>
                    <w:autoSpaceDE w:val="0"/>
                    <w:autoSpaceDN w:val="0"/>
                    <w:adjustRightInd w:val="0"/>
                    <w:jc w:val="center"/>
                    <w:rPr>
                      <w:b/>
                      <w:sz w:val="24"/>
                    </w:rPr>
                  </w:pPr>
                  <w:r>
                    <w:rPr>
                      <w:b/>
                      <w:sz w:val="24"/>
                    </w:rPr>
                    <w:t>项目组成</w:t>
                  </w:r>
                </w:p>
              </w:tc>
              <w:tc>
                <w:tcPr>
                  <w:tcW w:w="1226" w:type="pct"/>
                  <w:tcBorders>
                    <w:top w:val="single" w:color="auto" w:sz="12" w:space="0"/>
                    <w:left w:val="single" w:color="auto" w:sz="6" w:space="0"/>
                    <w:bottom w:val="single" w:color="auto" w:sz="4" w:space="0"/>
                    <w:right w:val="single" w:color="auto" w:sz="6" w:space="0"/>
                  </w:tcBorders>
                  <w:vAlign w:val="center"/>
                </w:tcPr>
                <w:p>
                  <w:pPr>
                    <w:autoSpaceDE w:val="0"/>
                    <w:autoSpaceDN w:val="0"/>
                    <w:adjustRightInd w:val="0"/>
                    <w:jc w:val="center"/>
                    <w:rPr>
                      <w:b/>
                      <w:sz w:val="24"/>
                    </w:rPr>
                  </w:pPr>
                  <w:r>
                    <w:rPr>
                      <w:b/>
                      <w:sz w:val="24"/>
                    </w:rPr>
                    <w:t>主项名称</w:t>
                  </w:r>
                </w:p>
              </w:tc>
              <w:tc>
                <w:tcPr>
                  <w:tcW w:w="3098" w:type="pct"/>
                  <w:tcBorders>
                    <w:top w:val="single" w:color="auto" w:sz="12" w:space="0"/>
                    <w:left w:val="single" w:color="auto" w:sz="6" w:space="0"/>
                    <w:bottom w:val="single" w:color="auto" w:sz="4" w:space="0"/>
                    <w:right w:val="nil"/>
                  </w:tcBorders>
                  <w:vAlign w:val="center"/>
                </w:tcPr>
                <w:p>
                  <w:pPr>
                    <w:autoSpaceDE w:val="0"/>
                    <w:autoSpaceDN w:val="0"/>
                    <w:adjustRightInd w:val="0"/>
                    <w:jc w:val="center"/>
                    <w:rPr>
                      <w:b/>
                      <w:sz w:val="24"/>
                    </w:rPr>
                  </w:pPr>
                  <w:r>
                    <w:rPr>
                      <w:b/>
                      <w:sz w:val="24"/>
                    </w:rPr>
                    <w:t>建设内容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atLeast"/>
                <w:jc w:val="center"/>
              </w:trPr>
              <w:tc>
                <w:tcPr>
                  <w:tcW w:w="676" w:type="pct"/>
                  <w:tcBorders>
                    <w:top w:val="single" w:color="auto" w:sz="4" w:space="0"/>
                    <w:left w:val="nil"/>
                    <w:right w:val="single" w:color="auto" w:sz="6" w:space="0"/>
                  </w:tcBorders>
                  <w:vAlign w:val="center"/>
                </w:tcPr>
                <w:p>
                  <w:pPr>
                    <w:autoSpaceDE w:val="0"/>
                    <w:autoSpaceDN w:val="0"/>
                    <w:adjustRightInd w:val="0"/>
                    <w:jc w:val="center"/>
                    <w:rPr>
                      <w:sz w:val="24"/>
                    </w:rPr>
                  </w:pPr>
                  <w:r>
                    <w:rPr>
                      <w:sz w:val="24"/>
                    </w:rPr>
                    <w:t>主体工程</w:t>
                  </w:r>
                </w:p>
              </w:tc>
              <w:tc>
                <w:tcPr>
                  <w:tcW w:w="1226"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sz w:val="24"/>
                    </w:rPr>
                  </w:pPr>
                  <w:r>
                    <w:rPr>
                      <w:sz w:val="24"/>
                    </w:rPr>
                    <w:t>生产车间</w:t>
                  </w:r>
                  <w:r>
                    <w:rPr>
                      <w:rFonts w:hint="eastAsia"/>
                      <w:sz w:val="24"/>
                    </w:rPr>
                    <w:t>及原料库</w:t>
                  </w:r>
                </w:p>
              </w:tc>
              <w:tc>
                <w:tcPr>
                  <w:tcW w:w="3098" w:type="pct"/>
                  <w:tcBorders>
                    <w:top w:val="single" w:color="auto" w:sz="4" w:space="0"/>
                    <w:left w:val="single" w:color="auto" w:sz="6" w:space="0"/>
                    <w:bottom w:val="single" w:color="auto" w:sz="4" w:space="0"/>
                    <w:right w:val="nil"/>
                  </w:tcBorders>
                  <w:vAlign w:val="center"/>
                </w:tcPr>
                <w:p>
                  <w:pPr>
                    <w:autoSpaceDE w:val="0"/>
                    <w:autoSpaceDN w:val="0"/>
                    <w:adjustRightInd w:val="0"/>
                    <w:ind w:firstLine="120" w:firstLineChars="50"/>
                    <w:jc w:val="center"/>
                    <w:rPr>
                      <w:sz w:val="24"/>
                    </w:rPr>
                  </w:pPr>
                  <w:r>
                    <w:rPr>
                      <w:rFonts w:hint="eastAsia"/>
                      <w:sz w:val="24"/>
                    </w:rPr>
                    <w:t>2间</w:t>
                  </w:r>
                  <w:r>
                    <w:rPr>
                      <w:sz w:val="24"/>
                    </w:rPr>
                    <w:t>1层</w:t>
                  </w:r>
                  <w:r>
                    <w:rPr>
                      <w:rFonts w:hint="eastAsia"/>
                      <w:sz w:val="24"/>
                    </w:rPr>
                    <w:t>，一间1200m</w:t>
                  </w:r>
                  <w:r>
                    <w:rPr>
                      <w:rFonts w:hint="eastAsia"/>
                      <w:sz w:val="24"/>
                      <w:vertAlign w:val="superscript"/>
                    </w:rPr>
                    <w:t>2</w:t>
                  </w:r>
                  <w:r>
                    <w:rPr>
                      <w:rFonts w:hint="eastAsia"/>
                      <w:sz w:val="24"/>
                    </w:rPr>
                    <w:t>，一间850m</w:t>
                  </w:r>
                  <w:r>
                    <w:rPr>
                      <w:rFonts w:hint="eastAsia"/>
                      <w:sz w:val="24"/>
                      <w:vertAlign w:val="super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atLeast"/>
                <w:jc w:val="center"/>
              </w:trPr>
              <w:tc>
                <w:tcPr>
                  <w:tcW w:w="676" w:type="pct"/>
                  <w:tcBorders>
                    <w:top w:val="single" w:color="auto" w:sz="4" w:space="0"/>
                    <w:left w:val="nil"/>
                    <w:bottom w:val="single" w:color="auto" w:sz="4" w:space="0"/>
                    <w:right w:val="single" w:color="auto" w:sz="6" w:space="0"/>
                  </w:tcBorders>
                  <w:vAlign w:val="center"/>
                </w:tcPr>
                <w:p>
                  <w:pPr>
                    <w:autoSpaceDE w:val="0"/>
                    <w:autoSpaceDN w:val="0"/>
                    <w:adjustRightInd w:val="0"/>
                    <w:jc w:val="center"/>
                    <w:rPr>
                      <w:sz w:val="24"/>
                    </w:rPr>
                  </w:pPr>
                  <w:r>
                    <w:rPr>
                      <w:sz w:val="24"/>
                    </w:rPr>
                    <w:t>辅助工程</w:t>
                  </w:r>
                </w:p>
              </w:tc>
              <w:tc>
                <w:tcPr>
                  <w:tcW w:w="1226"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sz w:val="24"/>
                    </w:rPr>
                  </w:pPr>
                  <w:r>
                    <w:rPr>
                      <w:sz w:val="24"/>
                    </w:rPr>
                    <w:t>办公</w:t>
                  </w:r>
                  <w:r>
                    <w:rPr>
                      <w:rFonts w:hint="eastAsia"/>
                      <w:sz w:val="24"/>
                    </w:rPr>
                    <w:t>用房</w:t>
                  </w:r>
                </w:p>
              </w:tc>
              <w:tc>
                <w:tcPr>
                  <w:tcW w:w="3098" w:type="pct"/>
                  <w:tcBorders>
                    <w:top w:val="single" w:color="auto" w:sz="4" w:space="0"/>
                    <w:left w:val="single" w:color="auto" w:sz="6" w:space="0"/>
                    <w:bottom w:val="single" w:color="auto" w:sz="4" w:space="0"/>
                    <w:right w:val="nil"/>
                  </w:tcBorders>
                  <w:vAlign w:val="center"/>
                </w:tcPr>
                <w:p>
                  <w:pPr>
                    <w:autoSpaceDE w:val="0"/>
                    <w:autoSpaceDN w:val="0"/>
                    <w:adjustRightInd w:val="0"/>
                    <w:ind w:firstLine="120" w:firstLineChars="50"/>
                    <w:jc w:val="center"/>
                    <w:rPr>
                      <w:sz w:val="24"/>
                    </w:rPr>
                  </w:pPr>
                  <w:r>
                    <w:rPr>
                      <w:sz w:val="24"/>
                    </w:rPr>
                    <w:t>1座1层</w:t>
                  </w:r>
                  <w:r>
                    <w:rPr>
                      <w:rFonts w:hint="eastAsia"/>
                      <w:sz w:val="24"/>
                    </w:rPr>
                    <w:t>，面积220m</w:t>
                  </w:r>
                  <w:r>
                    <w:rPr>
                      <w:rFonts w:hint="eastAsia"/>
                      <w:sz w:val="24"/>
                      <w:vertAlign w:val="super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atLeast"/>
                <w:jc w:val="center"/>
              </w:trPr>
              <w:tc>
                <w:tcPr>
                  <w:tcW w:w="676" w:type="pct"/>
                  <w:vMerge w:val="restart"/>
                  <w:tcBorders>
                    <w:top w:val="single" w:color="auto" w:sz="4" w:space="0"/>
                    <w:left w:val="nil"/>
                    <w:right w:val="single" w:color="auto" w:sz="6" w:space="0"/>
                  </w:tcBorders>
                  <w:vAlign w:val="center"/>
                </w:tcPr>
                <w:p>
                  <w:pPr>
                    <w:widowControl/>
                    <w:jc w:val="center"/>
                    <w:rPr>
                      <w:sz w:val="24"/>
                    </w:rPr>
                  </w:pPr>
                  <w:r>
                    <w:rPr>
                      <w:rFonts w:hint="eastAsia"/>
                      <w:sz w:val="24"/>
                    </w:rPr>
                    <w:t>环保工程</w:t>
                  </w:r>
                </w:p>
              </w:tc>
              <w:tc>
                <w:tcPr>
                  <w:tcW w:w="1226"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sz w:val="24"/>
                      <w:u w:val="single"/>
                    </w:rPr>
                  </w:pPr>
                  <w:r>
                    <w:rPr>
                      <w:rFonts w:hint="eastAsia"/>
                      <w:sz w:val="24"/>
                      <w:u w:val="single"/>
                    </w:rPr>
                    <w:t>废气治理</w:t>
                  </w:r>
                </w:p>
              </w:tc>
              <w:tc>
                <w:tcPr>
                  <w:tcW w:w="3098" w:type="pct"/>
                  <w:tcBorders>
                    <w:top w:val="single" w:color="auto" w:sz="4" w:space="0"/>
                    <w:left w:val="single" w:color="auto" w:sz="6" w:space="0"/>
                    <w:bottom w:val="single" w:color="auto" w:sz="4" w:space="0"/>
                    <w:right w:val="nil"/>
                  </w:tcBorders>
                  <w:vAlign w:val="center"/>
                </w:tcPr>
                <w:p>
                  <w:pPr>
                    <w:autoSpaceDE w:val="0"/>
                    <w:autoSpaceDN w:val="0"/>
                    <w:adjustRightInd w:val="0"/>
                    <w:ind w:firstLine="120" w:firstLineChars="50"/>
                    <w:jc w:val="center"/>
                    <w:rPr>
                      <w:sz w:val="24"/>
                      <w:u w:val="single"/>
                    </w:rPr>
                  </w:pPr>
                  <w:r>
                    <w:rPr>
                      <w:rFonts w:hint="eastAsia"/>
                      <w:sz w:val="24"/>
                      <w:u w:val="single"/>
                    </w:rPr>
                    <w:t>密闭喷漆房，采用喷淋塔+UV光解+活性炭吸附工艺进行治理，治理后废气经15米排气筒排放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atLeast"/>
                <w:jc w:val="center"/>
              </w:trPr>
              <w:tc>
                <w:tcPr>
                  <w:tcW w:w="676" w:type="pct"/>
                  <w:vMerge w:val="continue"/>
                  <w:tcBorders>
                    <w:left w:val="nil"/>
                    <w:right w:val="single" w:color="auto" w:sz="6" w:space="0"/>
                  </w:tcBorders>
                  <w:vAlign w:val="center"/>
                </w:tcPr>
                <w:p>
                  <w:pPr>
                    <w:widowControl/>
                    <w:jc w:val="center"/>
                    <w:rPr>
                      <w:sz w:val="24"/>
                    </w:rPr>
                  </w:pPr>
                </w:p>
              </w:tc>
              <w:tc>
                <w:tcPr>
                  <w:tcW w:w="1226"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sz w:val="24"/>
                      <w:u w:val="single"/>
                    </w:rPr>
                  </w:pPr>
                  <w:r>
                    <w:rPr>
                      <w:rFonts w:hint="eastAsia"/>
                      <w:sz w:val="24"/>
                      <w:u w:val="single"/>
                    </w:rPr>
                    <w:t>废水治理</w:t>
                  </w:r>
                </w:p>
              </w:tc>
              <w:tc>
                <w:tcPr>
                  <w:tcW w:w="3098" w:type="pct"/>
                  <w:tcBorders>
                    <w:top w:val="single" w:color="auto" w:sz="4" w:space="0"/>
                    <w:left w:val="single" w:color="auto" w:sz="6" w:space="0"/>
                    <w:bottom w:val="single" w:color="auto" w:sz="4" w:space="0"/>
                    <w:right w:val="nil"/>
                  </w:tcBorders>
                  <w:vAlign w:val="center"/>
                </w:tcPr>
                <w:p>
                  <w:pPr>
                    <w:autoSpaceDE w:val="0"/>
                    <w:autoSpaceDN w:val="0"/>
                    <w:adjustRightInd w:val="0"/>
                    <w:ind w:firstLine="120" w:firstLineChars="50"/>
                    <w:jc w:val="center"/>
                    <w:rPr>
                      <w:sz w:val="24"/>
                      <w:u w:val="single"/>
                    </w:rPr>
                  </w:pPr>
                  <w:r>
                    <w:rPr>
                      <w:rFonts w:hint="eastAsia"/>
                      <w:sz w:val="24"/>
                      <w:u w:val="single"/>
                    </w:rPr>
                    <w:t>生活污水经厂区化粪池处理后，定期清运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atLeast"/>
                <w:jc w:val="center"/>
              </w:trPr>
              <w:tc>
                <w:tcPr>
                  <w:tcW w:w="676" w:type="pct"/>
                  <w:vMerge w:val="continue"/>
                  <w:tcBorders>
                    <w:left w:val="nil"/>
                    <w:right w:val="single" w:color="auto" w:sz="6" w:space="0"/>
                  </w:tcBorders>
                  <w:vAlign w:val="center"/>
                </w:tcPr>
                <w:p>
                  <w:pPr>
                    <w:widowControl/>
                    <w:jc w:val="center"/>
                    <w:rPr>
                      <w:sz w:val="24"/>
                    </w:rPr>
                  </w:pPr>
                </w:p>
              </w:tc>
              <w:tc>
                <w:tcPr>
                  <w:tcW w:w="1226"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sz w:val="24"/>
                      <w:u w:val="single"/>
                    </w:rPr>
                  </w:pPr>
                  <w:r>
                    <w:rPr>
                      <w:rFonts w:hint="eastAsia"/>
                      <w:sz w:val="24"/>
                      <w:u w:val="single"/>
                    </w:rPr>
                    <w:t>噪声治理</w:t>
                  </w:r>
                </w:p>
              </w:tc>
              <w:tc>
                <w:tcPr>
                  <w:tcW w:w="3098" w:type="pct"/>
                  <w:tcBorders>
                    <w:top w:val="single" w:color="auto" w:sz="4" w:space="0"/>
                    <w:left w:val="single" w:color="auto" w:sz="6" w:space="0"/>
                    <w:bottom w:val="single" w:color="auto" w:sz="4" w:space="0"/>
                    <w:right w:val="nil"/>
                  </w:tcBorders>
                  <w:vAlign w:val="center"/>
                </w:tcPr>
                <w:p>
                  <w:pPr>
                    <w:autoSpaceDE w:val="0"/>
                    <w:autoSpaceDN w:val="0"/>
                    <w:adjustRightInd w:val="0"/>
                    <w:ind w:firstLine="120" w:firstLineChars="50"/>
                    <w:jc w:val="center"/>
                    <w:rPr>
                      <w:sz w:val="24"/>
                      <w:u w:val="single"/>
                    </w:rPr>
                  </w:pPr>
                  <w:r>
                    <w:rPr>
                      <w:rFonts w:hint="eastAsia"/>
                      <w:sz w:val="24"/>
                      <w:u w:val="single"/>
                    </w:rPr>
                    <w:t>基础减振、隔声设施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atLeast"/>
                <w:jc w:val="center"/>
              </w:trPr>
              <w:tc>
                <w:tcPr>
                  <w:tcW w:w="676" w:type="pct"/>
                  <w:vMerge w:val="continue"/>
                  <w:tcBorders>
                    <w:left w:val="nil"/>
                    <w:right w:val="single" w:color="auto" w:sz="6" w:space="0"/>
                  </w:tcBorders>
                  <w:vAlign w:val="center"/>
                </w:tcPr>
                <w:p>
                  <w:pPr>
                    <w:widowControl/>
                    <w:jc w:val="center"/>
                    <w:rPr>
                      <w:sz w:val="24"/>
                    </w:rPr>
                  </w:pPr>
                </w:p>
              </w:tc>
              <w:tc>
                <w:tcPr>
                  <w:tcW w:w="1226" w:type="pct"/>
                  <w:vMerge w:val="restart"/>
                  <w:tcBorders>
                    <w:top w:val="single" w:color="auto" w:sz="4" w:space="0"/>
                    <w:left w:val="single" w:color="auto" w:sz="6" w:space="0"/>
                    <w:right w:val="single" w:color="auto" w:sz="6" w:space="0"/>
                  </w:tcBorders>
                  <w:vAlign w:val="center"/>
                </w:tcPr>
                <w:p>
                  <w:pPr>
                    <w:autoSpaceDE w:val="0"/>
                    <w:autoSpaceDN w:val="0"/>
                    <w:adjustRightInd w:val="0"/>
                    <w:jc w:val="center"/>
                    <w:rPr>
                      <w:sz w:val="24"/>
                      <w:u w:val="single"/>
                    </w:rPr>
                  </w:pPr>
                  <w:r>
                    <w:rPr>
                      <w:rFonts w:hint="eastAsia"/>
                      <w:sz w:val="24"/>
                      <w:u w:val="single"/>
                    </w:rPr>
                    <w:t>固废治理</w:t>
                  </w:r>
                </w:p>
              </w:tc>
              <w:tc>
                <w:tcPr>
                  <w:tcW w:w="3098" w:type="pct"/>
                  <w:tcBorders>
                    <w:top w:val="single" w:color="auto" w:sz="4" w:space="0"/>
                    <w:left w:val="single" w:color="auto" w:sz="6" w:space="0"/>
                    <w:bottom w:val="single" w:color="auto" w:sz="4" w:space="0"/>
                    <w:right w:val="nil"/>
                  </w:tcBorders>
                  <w:vAlign w:val="center"/>
                </w:tcPr>
                <w:p>
                  <w:pPr>
                    <w:spacing w:line="360" w:lineRule="exact"/>
                    <w:jc w:val="center"/>
                    <w:rPr>
                      <w:sz w:val="24"/>
                    </w:rPr>
                  </w:pPr>
                  <w:r>
                    <w:rPr>
                      <w:rFonts w:hint="eastAsia"/>
                      <w:sz w:val="24"/>
                    </w:rPr>
                    <w:t>一间</w:t>
                  </w:r>
                  <w:r>
                    <w:rPr>
                      <w:sz w:val="24"/>
                    </w:rPr>
                    <w:t>一般固废暂存间</w:t>
                  </w:r>
                  <w:r>
                    <w:rPr>
                      <w:rFonts w:hint="eastAsia"/>
                      <w:sz w:val="24"/>
                    </w:rPr>
                    <w:t>（10m</w:t>
                  </w:r>
                  <w:r>
                    <w:rPr>
                      <w:rFonts w:hint="eastAsia"/>
                      <w:sz w:val="24"/>
                      <w:vertAlign w:val="superscript"/>
                    </w:rPr>
                    <w:t>2</w:t>
                  </w:r>
                  <w:r>
                    <w:rPr>
                      <w:rFonts w:hint="eastAsia"/>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atLeast"/>
                <w:jc w:val="center"/>
              </w:trPr>
              <w:tc>
                <w:tcPr>
                  <w:tcW w:w="676" w:type="pct"/>
                  <w:vMerge w:val="continue"/>
                  <w:tcBorders>
                    <w:left w:val="nil"/>
                    <w:right w:val="single" w:color="auto" w:sz="6" w:space="0"/>
                  </w:tcBorders>
                  <w:vAlign w:val="center"/>
                </w:tcPr>
                <w:p>
                  <w:pPr>
                    <w:widowControl/>
                    <w:jc w:val="center"/>
                    <w:rPr>
                      <w:sz w:val="24"/>
                    </w:rPr>
                  </w:pPr>
                </w:p>
              </w:tc>
              <w:tc>
                <w:tcPr>
                  <w:tcW w:w="1226" w:type="pct"/>
                  <w:vMerge w:val="continue"/>
                  <w:tcBorders>
                    <w:top w:val="single" w:color="auto" w:sz="4" w:space="0"/>
                    <w:left w:val="single" w:color="auto" w:sz="6" w:space="0"/>
                    <w:right w:val="single" w:color="auto" w:sz="6" w:space="0"/>
                  </w:tcBorders>
                  <w:vAlign w:val="center"/>
                </w:tcPr>
                <w:p>
                  <w:pPr>
                    <w:autoSpaceDE w:val="0"/>
                    <w:autoSpaceDN w:val="0"/>
                    <w:adjustRightInd w:val="0"/>
                    <w:jc w:val="center"/>
                    <w:rPr>
                      <w:sz w:val="24"/>
                      <w:u w:val="single"/>
                    </w:rPr>
                  </w:pPr>
                </w:p>
              </w:tc>
              <w:tc>
                <w:tcPr>
                  <w:tcW w:w="3098" w:type="pct"/>
                  <w:tcBorders>
                    <w:top w:val="single" w:color="auto" w:sz="4" w:space="0"/>
                    <w:left w:val="single" w:color="auto" w:sz="6" w:space="0"/>
                    <w:bottom w:val="single" w:color="auto" w:sz="4" w:space="0"/>
                    <w:right w:val="nil"/>
                  </w:tcBorders>
                  <w:vAlign w:val="center"/>
                </w:tcPr>
                <w:p>
                  <w:pPr>
                    <w:spacing w:line="360" w:lineRule="exact"/>
                    <w:jc w:val="center"/>
                    <w:rPr>
                      <w:sz w:val="24"/>
                    </w:rPr>
                  </w:pPr>
                  <w:r>
                    <w:rPr>
                      <w:rFonts w:hint="eastAsia"/>
                      <w:sz w:val="24"/>
                    </w:rPr>
                    <w:t>一间危废</w:t>
                  </w:r>
                  <w:r>
                    <w:rPr>
                      <w:sz w:val="24"/>
                    </w:rPr>
                    <w:t>暂存间</w:t>
                  </w:r>
                  <w:r>
                    <w:rPr>
                      <w:rFonts w:hint="eastAsia"/>
                      <w:sz w:val="24"/>
                    </w:rPr>
                    <w:t>（5m</w:t>
                  </w:r>
                  <w:r>
                    <w:rPr>
                      <w:rFonts w:hint="eastAsia"/>
                      <w:sz w:val="24"/>
                      <w:vertAlign w:val="superscript"/>
                    </w:rPr>
                    <w:t>2</w:t>
                  </w:r>
                  <w:r>
                    <w:rPr>
                      <w:rFonts w:hint="eastAsia"/>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atLeast"/>
                <w:jc w:val="center"/>
              </w:trPr>
              <w:tc>
                <w:tcPr>
                  <w:tcW w:w="676" w:type="pct"/>
                  <w:vMerge w:val="continue"/>
                  <w:tcBorders>
                    <w:left w:val="nil"/>
                    <w:right w:val="single" w:color="auto" w:sz="6" w:space="0"/>
                  </w:tcBorders>
                  <w:vAlign w:val="center"/>
                </w:tcPr>
                <w:p>
                  <w:pPr>
                    <w:widowControl/>
                    <w:jc w:val="center"/>
                    <w:rPr>
                      <w:sz w:val="24"/>
                    </w:rPr>
                  </w:pPr>
                </w:p>
              </w:tc>
              <w:tc>
                <w:tcPr>
                  <w:tcW w:w="1226" w:type="pct"/>
                  <w:vMerge w:val="continue"/>
                  <w:tcBorders>
                    <w:left w:val="single" w:color="auto" w:sz="6" w:space="0"/>
                    <w:bottom w:val="single" w:color="auto" w:sz="4" w:space="0"/>
                    <w:right w:val="single" w:color="auto" w:sz="6" w:space="0"/>
                  </w:tcBorders>
                  <w:vAlign w:val="center"/>
                </w:tcPr>
                <w:p>
                  <w:pPr>
                    <w:autoSpaceDE w:val="0"/>
                    <w:autoSpaceDN w:val="0"/>
                    <w:adjustRightInd w:val="0"/>
                    <w:jc w:val="center"/>
                    <w:rPr>
                      <w:sz w:val="24"/>
                      <w:u w:val="single"/>
                    </w:rPr>
                  </w:pPr>
                </w:p>
              </w:tc>
              <w:tc>
                <w:tcPr>
                  <w:tcW w:w="3098" w:type="pct"/>
                  <w:tcBorders>
                    <w:top w:val="single" w:color="auto" w:sz="4" w:space="0"/>
                    <w:left w:val="single" w:color="auto" w:sz="6" w:space="0"/>
                    <w:bottom w:val="single" w:color="auto" w:sz="4" w:space="0"/>
                    <w:right w:val="nil"/>
                  </w:tcBorders>
                  <w:vAlign w:val="center"/>
                </w:tcPr>
                <w:p>
                  <w:pPr>
                    <w:autoSpaceDE w:val="0"/>
                    <w:autoSpaceDN w:val="0"/>
                    <w:adjustRightInd w:val="0"/>
                    <w:ind w:firstLine="120" w:firstLineChars="50"/>
                    <w:jc w:val="center"/>
                    <w:rPr>
                      <w:sz w:val="24"/>
                      <w:u w:val="single"/>
                    </w:rPr>
                  </w:pPr>
                  <w:r>
                    <w:rPr>
                      <w:sz w:val="24"/>
                    </w:rPr>
                    <w:t>生活垃圾收集后交由环卫部门统一清运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atLeast"/>
                <w:jc w:val="center"/>
              </w:trPr>
              <w:tc>
                <w:tcPr>
                  <w:tcW w:w="676" w:type="pct"/>
                  <w:vMerge w:val="restart"/>
                  <w:tcBorders>
                    <w:top w:val="single" w:color="auto" w:sz="4" w:space="0"/>
                    <w:left w:val="nil"/>
                    <w:bottom w:val="single" w:color="auto" w:sz="4" w:space="0"/>
                    <w:right w:val="single" w:color="auto" w:sz="6" w:space="0"/>
                  </w:tcBorders>
                  <w:vAlign w:val="center"/>
                </w:tcPr>
                <w:p>
                  <w:pPr>
                    <w:autoSpaceDE w:val="0"/>
                    <w:autoSpaceDN w:val="0"/>
                    <w:adjustRightInd w:val="0"/>
                    <w:jc w:val="center"/>
                    <w:rPr>
                      <w:sz w:val="24"/>
                    </w:rPr>
                  </w:pPr>
                  <w:r>
                    <w:rPr>
                      <w:sz w:val="24"/>
                    </w:rPr>
                    <w:t>公用工程</w:t>
                  </w:r>
                </w:p>
              </w:tc>
              <w:tc>
                <w:tcPr>
                  <w:tcW w:w="1226"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sz w:val="24"/>
                    </w:rPr>
                  </w:pPr>
                  <w:r>
                    <w:rPr>
                      <w:rFonts w:hint="eastAsia"/>
                      <w:sz w:val="24"/>
                    </w:rPr>
                    <w:t>供</w:t>
                  </w:r>
                  <w:r>
                    <w:rPr>
                      <w:sz w:val="24"/>
                    </w:rPr>
                    <w:t>水工程</w:t>
                  </w:r>
                </w:p>
              </w:tc>
              <w:tc>
                <w:tcPr>
                  <w:tcW w:w="3098" w:type="pct"/>
                  <w:tcBorders>
                    <w:top w:val="single" w:color="auto" w:sz="4" w:space="0"/>
                    <w:left w:val="single" w:color="auto" w:sz="6" w:space="0"/>
                    <w:bottom w:val="single" w:color="auto" w:sz="4" w:space="0"/>
                    <w:right w:val="nil"/>
                  </w:tcBorders>
                  <w:vAlign w:val="center"/>
                </w:tcPr>
                <w:p>
                  <w:pPr>
                    <w:spacing w:line="360" w:lineRule="exact"/>
                    <w:jc w:val="center"/>
                    <w:rPr>
                      <w:sz w:val="24"/>
                    </w:rPr>
                  </w:pPr>
                  <w:r>
                    <w:rPr>
                      <w:rFonts w:hint="eastAsia"/>
                      <w:sz w:val="24"/>
                    </w:rPr>
                    <w:t>厂区</w:t>
                  </w:r>
                  <w:r>
                    <w:rPr>
                      <w:sz w:val="24"/>
                    </w:rPr>
                    <w:t>自备井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454" w:hRule="atLeast"/>
                <w:jc w:val="center"/>
              </w:trPr>
              <w:tc>
                <w:tcPr>
                  <w:tcW w:w="676" w:type="pct"/>
                  <w:vMerge w:val="continue"/>
                  <w:tcBorders>
                    <w:top w:val="single" w:color="auto" w:sz="4" w:space="0"/>
                    <w:left w:val="nil"/>
                    <w:bottom w:val="single" w:color="auto" w:sz="4" w:space="0"/>
                    <w:right w:val="single" w:color="auto" w:sz="6" w:space="0"/>
                  </w:tcBorders>
                  <w:vAlign w:val="center"/>
                </w:tcPr>
                <w:p>
                  <w:pPr>
                    <w:widowControl/>
                    <w:jc w:val="left"/>
                    <w:rPr>
                      <w:sz w:val="24"/>
                    </w:rPr>
                  </w:pPr>
                </w:p>
              </w:tc>
              <w:tc>
                <w:tcPr>
                  <w:tcW w:w="1226" w:type="pct"/>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sz w:val="24"/>
                    </w:rPr>
                  </w:pPr>
                  <w:r>
                    <w:rPr>
                      <w:sz w:val="24"/>
                    </w:rPr>
                    <w:t>供电工程</w:t>
                  </w:r>
                </w:p>
              </w:tc>
              <w:tc>
                <w:tcPr>
                  <w:tcW w:w="3098" w:type="pct"/>
                  <w:tcBorders>
                    <w:top w:val="single" w:color="auto" w:sz="4" w:space="0"/>
                    <w:left w:val="single" w:color="auto" w:sz="6" w:space="0"/>
                    <w:bottom w:val="single" w:color="auto" w:sz="4" w:space="0"/>
                    <w:right w:val="nil"/>
                  </w:tcBorders>
                  <w:vAlign w:val="center"/>
                </w:tcPr>
                <w:p>
                  <w:pPr>
                    <w:autoSpaceDE w:val="0"/>
                    <w:autoSpaceDN w:val="0"/>
                    <w:adjustRightInd w:val="0"/>
                    <w:ind w:firstLine="240" w:firstLineChars="100"/>
                    <w:jc w:val="center"/>
                    <w:rPr>
                      <w:sz w:val="24"/>
                    </w:rPr>
                  </w:pPr>
                  <w:r>
                    <w:rPr>
                      <w:rFonts w:hint="eastAsia"/>
                      <w:sz w:val="24"/>
                    </w:rPr>
                    <w:t>当地电网</w:t>
                  </w:r>
                </w:p>
              </w:tc>
            </w:tr>
          </w:tbl>
          <w:p>
            <w:pPr>
              <w:tabs>
                <w:tab w:val="left" w:pos="5247"/>
              </w:tabs>
              <w:adjustRightInd w:val="0"/>
              <w:snapToGrid w:val="0"/>
              <w:spacing w:line="500" w:lineRule="exact"/>
              <w:ind w:firstLine="480" w:firstLineChars="200"/>
              <w:rPr>
                <w:sz w:val="24"/>
              </w:rPr>
            </w:pPr>
            <w:r>
              <w:rPr>
                <w:rFonts w:hint="eastAsia"/>
                <w:sz w:val="24"/>
              </w:rPr>
              <w:t>2.现有工程主要生产设备</w:t>
            </w:r>
          </w:p>
          <w:p>
            <w:pPr>
              <w:tabs>
                <w:tab w:val="left" w:pos="5247"/>
              </w:tabs>
              <w:adjustRightInd w:val="0"/>
              <w:snapToGrid w:val="0"/>
              <w:spacing w:line="500" w:lineRule="exact"/>
              <w:ind w:firstLine="480" w:firstLineChars="200"/>
              <w:rPr>
                <w:sz w:val="24"/>
              </w:rPr>
            </w:pPr>
            <w:r>
              <w:rPr>
                <w:rFonts w:hint="eastAsia"/>
                <w:sz w:val="24"/>
              </w:rPr>
              <w:t>现有工程主要生产设备详见表9。</w:t>
            </w:r>
          </w:p>
          <w:p>
            <w:pPr>
              <w:autoSpaceDE w:val="0"/>
              <w:autoSpaceDN w:val="0"/>
              <w:adjustRightInd w:val="0"/>
              <w:snapToGrid w:val="0"/>
              <w:spacing w:line="400" w:lineRule="exact"/>
              <w:ind w:left="420"/>
              <w:rPr>
                <w:b/>
                <w:sz w:val="24"/>
              </w:rPr>
            </w:pPr>
            <w:r>
              <w:rPr>
                <w:b/>
                <w:sz w:val="24"/>
              </w:rPr>
              <w:t>表</w:t>
            </w:r>
            <w:r>
              <w:rPr>
                <w:rFonts w:hint="eastAsia"/>
                <w:b/>
                <w:sz w:val="24"/>
              </w:rPr>
              <w:t>9</w:t>
            </w:r>
            <w:r>
              <w:rPr>
                <w:b/>
                <w:sz w:val="24"/>
              </w:rPr>
              <w:t xml:space="preserve">                      </w:t>
            </w:r>
            <w:r>
              <w:rPr>
                <w:rFonts w:hint="eastAsia"/>
                <w:b/>
                <w:sz w:val="24"/>
              </w:rPr>
              <w:t>现有</w:t>
            </w:r>
            <w:r>
              <w:rPr>
                <w:b/>
                <w:sz w:val="24"/>
              </w:rPr>
              <w:t>项目主要生产设备</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33"/>
              <w:gridCol w:w="2247"/>
              <w:gridCol w:w="2694"/>
              <w:gridCol w:w="2479"/>
              <w:gridCol w:w="170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pct"/>
                  <w:tcBorders>
                    <w:top w:val="single" w:color="auto" w:sz="12" w:space="0"/>
                    <w:left w:val="nil"/>
                    <w:bottom w:val="single" w:color="auto" w:sz="6" w:space="0"/>
                    <w:right w:val="single" w:color="auto" w:sz="6" w:space="0"/>
                  </w:tcBorders>
                  <w:vAlign w:val="center"/>
                </w:tcPr>
                <w:p>
                  <w:pPr>
                    <w:autoSpaceDE w:val="0"/>
                    <w:autoSpaceDN w:val="0"/>
                    <w:adjustRightInd w:val="0"/>
                    <w:jc w:val="center"/>
                    <w:rPr>
                      <w:b/>
                      <w:sz w:val="24"/>
                    </w:rPr>
                  </w:pPr>
                  <w:r>
                    <w:rPr>
                      <w:rFonts w:hint="eastAsia"/>
                      <w:b/>
                      <w:sz w:val="24"/>
                    </w:rPr>
                    <w:t>序号</w:t>
                  </w:r>
                </w:p>
              </w:tc>
              <w:tc>
                <w:tcPr>
                  <w:tcW w:w="1095" w:type="pct"/>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jc w:val="center"/>
                    <w:rPr>
                      <w:b/>
                      <w:sz w:val="24"/>
                    </w:rPr>
                  </w:pPr>
                  <w:r>
                    <w:rPr>
                      <w:rFonts w:hint="eastAsia"/>
                      <w:b/>
                      <w:sz w:val="24"/>
                    </w:rPr>
                    <w:t>设备名称</w:t>
                  </w:r>
                </w:p>
              </w:tc>
              <w:tc>
                <w:tcPr>
                  <w:tcW w:w="1313" w:type="pct"/>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jc w:val="center"/>
                    <w:rPr>
                      <w:b/>
                      <w:sz w:val="24"/>
                    </w:rPr>
                  </w:pPr>
                  <w:r>
                    <w:rPr>
                      <w:rFonts w:hint="eastAsia"/>
                      <w:b/>
                      <w:sz w:val="24"/>
                    </w:rPr>
                    <w:t>型号</w:t>
                  </w:r>
                </w:p>
              </w:tc>
              <w:tc>
                <w:tcPr>
                  <w:tcW w:w="1208" w:type="pct"/>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jc w:val="center"/>
                    <w:rPr>
                      <w:b/>
                      <w:sz w:val="24"/>
                    </w:rPr>
                  </w:pPr>
                  <w:r>
                    <w:rPr>
                      <w:rFonts w:hint="eastAsia"/>
                      <w:b/>
                      <w:sz w:val="24"/>
                    </w:rPr>
                    <w:t>设备数量（台</w:t>
                  </w:r>
                  <w:r>
                    <w:rPr>
                      <w:b/>
                      <w:sz w:val="24"/>
                    </w:rPr>
                    <w:t>/</w:t>
                  </w:r>
                  <w:r>
                    <w:rPr>
                      <w:rFonts w:hint="eastAsia"/>
                      <w:b/>
                      <w:sz w:val="24"/>
                    </w:rPr>
                    <w:t>套）</w:t>
                  </w:r>
                </w:p>
              </w:tc>
              <w:tc>
                <w:tcPr>
                  <w:tcW w:w="833" w:type="pct"/>
                  <w:tcBorders>
                    <w:top w:val="single" w:color="auto" w:sz="12" w:space="0"/>
                    <w:left w:val="single" w:color="auto" w:sz="6" w:space="0"/>
                    <w:bottom w:val="single" w:color="auto" w:sz="6" w:space="0"/>
                    <w:right w:val="nil"/>
                  </w:tcBorders>
                  <w:vAlign w:val="center"/>
                </w:tcPr>
                <w:p>
                  <w:pPr>
                    <w:autoSpaceDE w:val="0"/>
                    <w:autoSpaceDN w:val="0"/>
                    <w:adjustRightInd w:val="0"/>
                    <w:jc w:val="center"/>
                    <w:rPr>
                      <w:b/>
                      <w:sz w:val="24"/>
                    </w:rPr>
                  </w:pPr>
                  <w:r>
                    <w:rPr>
                      <w:rFonts w:hint="eastAsia"/>
                      <w:b/>
                      <w:sz w:val="24"/>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pct"/>
                  <w:tcBorders>
                    <w:top w:val="single" w:color="auto" w:sz="6" w:space="0"/>
                    <w:left w:val="nil"/>
                    <w:bottom w:val="single" w:color="auto" w:sz="6" w:space="0"/>
                    <w:right w:val="single" w:color="auto" w:sz="6" w:space="0"/>
                  </w:tcBorders>
                  <w:vAlign w:val="center"/>
                </w:tcPr>
                <w:p>
                  <w:pPr>
                    <w:autoSpaceDE w:val="0"/>
                    <w:autoSpaceDN w:val="0"/>
                    <w:adjustRightInd w:val="0"/>
                    <w:jc w:val="center"/>
                    <w:rPr>
                      <w:sz w:val="24"/>
                    </w:rPr>
                  </w:pPr>
                  <w:r>
                    <w:rPr>
                      <w:sz w:val="24"/>
                    </w:rPr>
                    <w:t>1</w:t>
                  </w:r>
                </w:p>
              </w:tc>
              <w:tc>
                <w:tcPr>
                  <w:tcW w:w="1095" w:type="pct"/>
                  <w:tcBorders>
                    <w:top w:val="single" w:color="auto" w:sz="6" w:space="0"/>
                    <w:left w:val="single" w:color="auto" w:sz="6" w:space="0"/>
                    <w:bottom w:val="single" w:color="auto" w:sz="6" w:space="0"/>
                    <w:right w:val="single" w:color="auto" w:sz="6" w:space="0"/>
                  </w:tcBorders>
                  <w:vAlign w:val="center"/>
                </w:tcPr>
                <w:p>
                  <w:pPr>
                    <w:adjustRightInd w:val="0"/>
                    <w:jc w:val="center"/>
                    <w:rPr>
                      <w:sz w:val="24"/>
                    </w:rPr>
                  </w:pPr>
                  <w:r>
                    <w:rPr>
                      <w:rFonts w:hint="eastAsia"/>
                      <w:sz w:val="24"/>
                    </w:rPr>
                    <w:t>焊机</w:t>
                  </w:r>
                </w:p>
              </w:tc>
              <w:tc>
                <w:tcPr>
                  <w:tcW w:w="1313" w:type="pct"/>
                  <w:tcBorders>
                    <w:top w:val="single" w:color="auto" w:sz="6" w:space="0"/>
                    <w:left w:val="single" w:color="auto" w:sz="6" w:space="0"/>
                    <w:bottom w:val="single" w:color="auto" w:sz="6" w:space="0"/>
                    <w:right w:val="single" w:color="auto" w:sz="6" w:space="0"/>
                  </w:tcBorders>
                  <w:vAlign w:val="center"/>
                </w:tcPr>
                <w:p>
                  <w:pPr>
                    <w:adjustRightInd w:val="0"/>
                    <w:jc w:val="center"/>
                    <w:rPr>
                      <w:sz w:val="24"/>
                    </w:rPr>
                  </w:pPr>
                  <w:r>
                    <w:rPr>
                      <w:rFonts w:hint="eastAsia"/>
                      <w:sz w:val="24"/>
                    </w:rPr>
                    <w:t>/</w:t>
                  </w:r>
                </w:p>
              </w:tc>
              <w:tc>
                <w:tcPr>
                  <w:tcW w:w="1208" w:type="pct"/>
                  <w:tcBorders>
                    <w:top w:val="single" w:color="auto" w:sz="6" w:space="0"/>
                    <w:left w:val="single" w:color="auto" w:sz="6" w:space="0"/>
                    <w:bottom w:val="single" w:color="auto" w:sz="6" w:space="0"/>
                    <w:right w:val="single" w:color="auto" w:sz="6" w:space="0"/>
                  </w:tcBorders>
                  <w:vAlign w:val="center"/>
                </w:tcPr>
                <w:p>
                  <w:pPr>
                    <w:adjustRightInd w:val="0"/>
                    <w:jc w:val="center"/>
                    <w:rPr>
                      <w:sz w:val="24"/>
                    </w:rPr>
                  </w:pPr>
                  <w:r>
                    <w:rPr>
                      <w:rFonts w:hint="eastAsia"/>
                      <w:sz w:val="24"/>
                    </w:rPr>
                    <w:t>8</w:t>
                  </w:r>
                </w:p>
              </w:tc>
              <w:tc>
                <w:tcPr>
                  <w:tcW w:w="833" w:type="pct"/>
                  <w:tcBorders>
                    <w:top w:val="single" w:color="auto" w:sz="6" w:space="0"/>
                    <w:left w:val="single" w:color="auto" w:sz="6" w:space="0"/>
                    <w:bottom w:val="single" w:color="auto" w:sz="6" w:space="0"/>
                    <w:right w:val="nil"/>
                  </w:tcBorders>
                  <w:vAlign w:val="center"/>
                </w:tcPr>
                <w:p>
                  <w:pPr>
                    <w:adjustRightInd w:val="0"/>
                    <w:jc w:val="center"/>
                    <w:rPr>
                      <w:sz w:val="24"/>
                    </w:rPr>
                  </w:pPr>
                  <w:r>
                    <w:rPr>
                      <w:rFonts w:hint="eastAsia"/>
                      <w:sz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pct"/>
                  <w:tcBorders>
                    <w:top w:val="single" w:color="auto" w:sz="6" w:space="0"/>
                    <w:left w:val="nil"/>
                    <w:bottom w:val="single" w:color="auto" w:sz="6" w:space="0"/>
                    <w:right w:val="single" w:color="auto" w:sz="6" w:space="0"/>
                  </w:tcBorders>
                  <w:vAlign w:val="center"/>
                </w:tcPr>
                <w:p>
                  <w:pPr>
                    <w:autoSpaceDE w:val="0"/>
                    <w:autoSpaceDN w:val="0"/>
                    <w:adjustRightInd w:val="0"/>
                    <w:jc w:val="center"/>
                    <w:rPr>
                      <w:sz w:val="24"/>
                    </w:rPr>
                  </w:pPr>
                  <w:r>
                    <w:rPr>
                      <w:sz w:val="24"/>
                    </w:rPr>
                    <w:t>2</w:t>
                  </w:r>
                </w:p>
              </w:tc>
              <w:tc>
                <w:tcPr>
                  <w:tcW w:w="1095" w:type="pct"/>
                  <w:tcBorders>
                    <w:top w:val="single" w:color="auto" w:sz="6" w:space="0"/>
                    <w:left w:val="single" w:color="auto" w:sz="6" w:space="0"/>
                    <w:bottom w:val="single" w:color="auto" w:sz="6" w:space="0"/>
                    <w:right w:val="single" w:color="auto" w:sz="6" w:space="0"/>
                  </w:tcBorders>
                  <w:vAlign w:val="center"/>
                </w:tcPr>
                <w:p>
                  <w:pPr>
                    <w:adjustRightInd w:val="0"/>
                    <w:jc w:val="center"/>
                    <w:rPr>
                      <w:sz w:val="24"/>
                    </w:rPr>
                  </w:pPr>
                  <w:r>
                    <w:rPr>
                      <w:rFonts w:hint="eastAsia"/>
                      <w:sz w:val="24"/>
                    </w:rPr>
                    <w:t>刨床</w:t>
                  </w:r>
                </w:p>
              </w:tc>
              <w:tc>
                <w:tcPr>
                  <w:tcW w:w="1313" w:type="pct"/>
                  <w:tcBorders>
                    <w:top w:val="single" w:color="auto" w:sz="6" w:space="0"/>
                    <w:left w:val="single" w:color="auto" w:sz="6" w:space="0"/>
                    <w:bottom w:val="single" w:color="auto" w:sz="6" w:space="0"/>
                    <w:right w:val="single" w:color="auto" w:sz="6" w:space="0"/>
                  </w:tcBorders>
                  <w:vAlign w:val="center"/>
                </w:tcPr>
                <w:p>
                  <w:pPr>
                    <w:adjustRightInd w:val="0"/>
                    <w:jc w:val="center"/>
                    <w:rPr>
                      <w:sz w:val="24"/>
                    </w:rPr>
                  </w:pPr>
                  <w:r>
                    <w:rPr>
                      <w:rFonts w:hint="eastAsia"/>
                      <w:sz w:val="24"/>
                    </w:rPr>
                    <w:t>/</w:t>
                  </w:r>
                </w:p>
              </w:tc>
              <w:tc>
                <w:tcPr>
                  <w:tcW w:w="1208" w:type="pct"/>
                  <w:tcBorders>
                    <w:top w:val="single" w:color="auto" w:sz="6" w:space="0"/>
                    <w:left w:val="single" w:color="auto" w:sz="6" w:space="0"/>
                    <w:bottom w:val="single" w:color="auto" w:sz="6" w:space="0"/>
                    <w:right w:val="single" w:color="auto" w:sz="6" w:space="0"/>
                  </w:tcBorders>
                  <w:vAlign w:val="center"/>
                </w:tcPr>
                <w:p>
                  <w:pPr>
                    <w:adjustRightInd w:val="0"/>
                    <w:jc w:val="center"/>
                    <w:rPr>
                      <w:sz w:val="24"/>
                    </w:rPr>
                  </w:pPr>
                  <w:r>
                    <w:rPr>
                      <w:rFonts w:hint="eastAsia"/>
                      <w:sz w:val="24"/>
                    </w:rPr>
                    <w:t>1</w:t>
                  </w:r>
                </w:p>
              </w:tc>
              <w:tc>
                <w:tcPr>
                  <w:tcW w:w="833" w:type="pct"/>
                  <w:tcBorders>
                    <w:top w:val="single" w:color="auto" w:sz="6" w:space="0"/>
                    <w:left w:val="single" w:color="auto" w:sz="6" w:space="0"/>
                    <w:bottom w:val="single" w:color="auto" w:sz="6" w:space="0"/>
                    <w:right w:val="nil"/>
                  </w:tcBorders>
                  <w:vAlign w:val="center"/>
                </w:tcPr>
                <w:p>
                  <w:pPr>
                    <w:adjustRightInd w:val="0"/>
                    <w:jc w:val="center"/>
                    <w:rPr>
                      <w:sz w:val="24"/>
                    </w:rPr>
                  </w:pPr>
                  <w:r>
                    <w:rPr>
                      <w:rFonts w:hint="eastAsia"/>
                      <w:sz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pct"/>
                  <w:tcBorders>
                    <w:top w:val="single" w:color="auto" w:sz="6" w:space="0"/>
                    <w:left w:val="nil"/>
                    <w:bottom w:val="single" w:color="auto" w:sz="6" w:space="0"/>
                    <w:right w:val="single" w:color="auto" w:sz="6" w:space="0"/>
                  </w:tcBorders>
                  <w:vAlign w:val="center"/>
                </w:tcPr>
                <w:p>
                  <w:pPr>
                    <w:autoSpaceDE w:val="0"/>
                    <w:autoSpaceDN w:val="0"/>
                    <w:adjustRightInd w:val="0"/>
                    <w:jc w:val="center"/>
                    <w:rPr>
                      <w:sz w:val="24"/>
                    </w:rPr>
                  </w:pPr>
                  <w:r>
                    <w:rPr>
                      <w:sz w:val="24"/>
                    </w:rPr>
                    <w:t>3</w:t>
                  </w:r>
                </w:p>
              </w:tc>
              <w:tc>
                <w:tcPr>
                  <w:tcW w:w="1095" w:type="pct"/>
                  <w:tcBorders>
                    <w:top w:val="single" w:color="auto" w:sz="6" w:space="0"/>
                    <w:left w:val="single" w:color="auto" w:sz="6" w:space="0"/>
                    <w:bottom w:val="single" w:color="auto" w:sz="6" w:space="0"/>
                    <w:right w:val="single" w:color="auto" w:sz="6" w:space="0"/>
                  </w:tcBorders>
                  <w:vAlign w:val="center"/>
                </w:tcPr>
                <w:p>
                  <w:pPr>
                    <w:adjustRightInd w:val="0"/>
                    <w:jc w:val="center"/>
                    <w:rPr>
                      <w:sz w:val="24"/>
                    </w:rPr>
                  </w:pPr>
                  <w:r>
                    <w:rPr>
                      <w:rFonts w:hint="eastAsia"/>
                      <w:sz w:val="24"/>
                    </w:rPr>
                    <w:t>车床</w:t>
                  </w:r>
                </w:p>
              </w:tc>
              <w:tc>
                <w:tcPr>
                  <w:tcW w:w="1313" w:type="pct"/>
                  <w:tcBorders>
                    <w:top w:val="single" w:color="auto" w:sz="6" w:space="0"/>
                    <w:left w:val="single" w:color="auto" w:sz="6" w:space="0"/>
                    <w:bottom w:val="single" w:color="auto" w:sz="6" w:space="0"/>
                    <w:right w:val="single" w:color="auto" w:sz="6" w:space="0"/>
                  </w:tcBorders>
                  <w:vAlign w:val="center"/>
                </w:tcPr>
                <w:p>
                  <w:pPr>
                    <w:adjustRightInd w:val="0"/>
                    <w:jc w:val="center"/>
                    <w:rPr>
                      <w:sz w:val="24"/>
                    </w:rPr>
                  </w:pPr>
                  <w:r>
                    <w:rPr>
                      <w:rFonts w:hint="eastAsia"/>
                      <w:sz w:val="24"/>
                    </w:rPr>
                    <w:t>/</w:t>
                  </w:r>
                </w:p>
              </w:tc>
              <w:tc>
                <w:tcPr>
                  <w:tcW w:w="1208" w:type="pct"/>
                  <w:tcBorders>
                    <w:top w:val="single" w:color="auto" w:sz="6" w:space="0"/>
                    <w:left w:val="single" w:color="auto" w:sz="6" w:space="0"/>
                    <w:bottom w:val="single" w:color="auto" w:sz="6" w:space="0"/>
                    <w:right w:val="single" w:color="auto" w:sz="6" w:space="0"/>
                  </w:tcBorders>
                  <w:vAlign w:val="center"/>
                </w:tcPr>
                <w:p>
                  <w:pPr>
                    <w:adjustRightInd w:val="0"/>
                    <w:jc w:val="center"/>
                    <w:rPr>
                      <w:sz w:val="24"/>
                    </w:rPr>
                  </w:pPr>
                  <w:r>
                    <w:rPr>
                      <w:rFonts w:hint="eastAsia"/>
                      <w:sz w:val="24"/>
                    </w:rPr>
                    <w:t>1</w:t>
                  </w:r>
                </w:p>
              </w:tc>
              <w:tc>
                <w:tcPr>
                  <w:tcW w:w="833" w:type="pct"/>
                  <w:tcBorders>
                    <w:top w:val="single" w:color="auto" w:sz="6" w:space="0"/>
                    <w:left w:val="single" w:color="auto" w:sz="6" w:space="0"/>
                    <w:bottom w:val="single" w:color="auto" w:sz="6" w:space="0"/>
                    <w:right w:val="nil"/>
                  </w:tcBorders>
                  <w:vAlign w:val="center"/>
                </w:tcPr>
                <w:p>
                  <w:pPr>
                    <w:adjustRightInd w:val="0"/>
                    <w:jc w:val="center"/>
                    <w:rPr>
                      <w:sz w:val="24"/>
                    </w:rPr>
                  </w:pPr>
                  <w:r>
                    <w:rPr>
                      <w:rFonts w:hint="eastAsia"/>
                      <w:sz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pct"/>
                  <w:tcBorders>
                    <w:top w:val="single" w:color="auto" w:sz="6" w:space="0"/>
                    <w:left w:val="nil"/>
                    <w:bottom w:val="single" w:color="auto" w:sz="6" w:space="0"/>
                    <w:right w:val="single" w:color="auto" w:sz="6" w:space="0"/>
                  </w:tcBorders>
                  <w:vAlign w:val="center"/>
                </w:tcPr>
                <w:p>
                  <w:pPr>
                    <w:autoSpaceDE w:val="0"/>
                    <w:autoSpaceDN w:val="0"/>
                    <w:adjustRightInd w:val="0"/>
                    <w:jc w:val="center"/>
                    <w:rPr>
                      <w:sz w:val="24"/>
                    </w:rPr>
                  </w:pPr>
                  <w:r>
                    <w:rPr>
                      <w:rFonts w:hint="eastAsia"/>
                      <w:sz w:val="24"/>
                    </w:rPr>
                    <w:t>4</w:t>
                  </w:r>
                </w:p>
              </w:tc>
              <w:tc>
                <w:tcPr>
                  <w:tcW w:w="1095" w:type="pct"/>
                  <w:tcBorders>
                    <w:top w:val="single" w:color="auto" w:sz="6" w:space="0"/>
                    <w:left w:val="single" w:color="auto" w:sz="6" w:space="0"/>
                    <w:bottom w:val="single" w:color="auto" w:sz="6" w:space="0"/>
                    <w:right w:val="single" w:color="auto" w:sz="6" w:space="0"/>
                  </w:tcBorders>
                  <w:vAlign w:val="center"/>
                </w:tcPr>
                <w:p>
                  <w:pPr>
                    <w:adjustRightInd w:val="0"/>
                    <w:jc w:val="center"/>
                    <w:rPr>
                      <w:sz w:val="24"/>
                    </w:rPr>
                  </w:pPr>
                  <w:r>
                    <w:rPr>
                      <w:rFonts w:hint="eastAsia"/>
                      <w:sz w:val="24"/>
                    </w:rPr>
                    <w:t>台钻</w:t>
                  </w:r>
                </w:p>
              </w:tc>
              <w:tc>
                <w:tcPr>
                  <w:tcW w:w="1313" w:type="pct"/>
                  <w:tcBorders>
                    <w:top w:val="single" w:color="auto" w:sz="6" w:space="0"/>
                    <w:left w:val="single" w:color="auto" w:sz="6" w:space="0"/>
                    <w:bottom w:val="single" w:color="auto" w:sz="6" w:space="0"/>
                    <w:right w:val="single" w:color="auto" w:sz="6" w:space="0"/>
                  </w:tcBorders>
                  <w:vAlign w:val="center"/>
                </w:tcPr>
                <w:p>
                  <w:pPr>
                    <w:adjustRightInd w:val="0"/>
                    <w:jc w:val="center"/>
                    <w:rPr>
                      <w:sz w:val="24"/>
                    </w:rPr>
                  </w:pPr>
                  <w:r>
                    <w:rPr>
                      <w:rFonts w:hint="eastAsia"/>
                      <w:sz w:val="24"/>
                    </w:rPr>
                    <w:t>/</w:t>
                  </w:r>
                </w:p>
              </w:tc>
              <w:tc>
                <w:tcPr>
                  <w:tcW w:w="1208" w:type="pct"/>
                  <w:tcBorders>
                    <w:top w:val="single" w:color="auto" w:sz="6" w:space="0"/>
                    <w:left w:val="single" w:color="auto" w:sz="6" w:space="0"/>
                    <w:bottom w:val="single" w:color="auto" w:sz="6" w:space="0"/>
                    <w:right w:val="single" w:color="auto" w:sz="6" w:space="0"/>
                  </w:tcBorders>
                  <w:vAlign w:val="center"/>
                </w:tcPr>
                <w:p>
                  <w:pPr>
                    <w:adjustRightInd w:val="0"/>
                    <w:jc w:val="center"/>
                    <w:rPr>
                      <w:sz w:val="24"/>
                    </w:rPr>
                  </w:pPr>
                  <w:r>
                    <w:rPr>
                      <w:rFonts w:hint="eastAsia"/>
                      <w:sz w:val="24"/>
                    </w:rPr>
                    <w:t>1</w:t>
                  </w:r>
                </w:p>
              </w:tc>
              <w:tc>
                <w:tcPr>
                  <w:tcW w:w="833" w:type="pct"/>
                  <w:tcBorders>
                    <w:top w:val="single" w:color="auto" w:sz="6" w:space="0"/>
                    <w:left w:val="single" w:color="auto" w:sz="6" w:space="0"/>
                    <w:bottom w:val="single" w:color="auto" w:sz="6" w:space="0"/>
                    <w:right w:val="nil"/>
                  </w:tcBorders>
                  <w:vAlign w:val="center"/>
                </w:tcPr>
                <w:p>
                  <w:pPr>
                    <w:adjustRightInd w:val="0"/>
                    <w:jc w:val="center"/>
                    <w:rPr>
                      <w:sz w:val="24"/>
                    </w:rPr>
                  </w:pPr>
                  <w:r>
                    <w:rPr>
                      <w:rFonts w:hint="eastAsia"/>
                      <w:sz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pct"/>
                  <w:tcBorders>
                    <w:top w:val="single" w:color="auto" w:sz="6" w:space="0"/>
                    <w:left w:val="nil"/>
                    <w:bottom w:val="single" w:color="auto" w:sz="6" w:space="0"/>
                    <w:right w:val="single" w:color="auto" w:sz="6" w:space="0"/>
                  </w:tcBorders>
                  <w:vAlign w:val="center"/>
                </w:tcPr>
                <w:p>
                  <w:pPr>
                    <w:autoSpaceDE w:val="0"/>
                    <w:autoSpaceDN w:val="0"/>
                    <w:adjustRightInd w:val="0"/>
                    <w:jc w:val="center"/>
                    <w:rPr>
                      <w:sz w:val="24"/>
                    </w:rPr>
                  </w:pPr>
                  <w:r>
                    <w:rPr>
                      <w:rFonts w:hint="eastAsia"/>
                      <w:sz w:val="24"/>
                    </w:rPr>
                    <w:t>5</w:t>
                  </w:r>
                </w:p>
              </w:tc>
              <w:tc>
                <w:tcPr>
                  <w:tcW w:w="1095" w:type="pct"/>
                  <w:tcBorders>
                    <w:top w:val="single" w:color="auto" w:sz="6" w:space="0"/>
                    <w:left w:val="single" w:color="auto" w:sz="6" w:space="0"/>
                    <w:bottom w:val="single" w:color="auto" w:sz="6" w:space="0"/>
                    <w:right w:val="single" w:color="auto" w:sz="6" w:space="0"/>
                  </w:tcBorders>
                  <w:vAlign w:val="center"/>
                </w:tcPr>
                <w:p>
                  <w:pPr>
                    <w:adjustRightInd w:val="0"/>
                    <w:jc w:val="center"/>
                    <w:rPr>
                      <w:sz w:val="24"/>
                    </w:rPr>
                  </w:pPr>
                  <w:r>
                    <w:rPr>
                      <w:rFonts w:hint="eastAsia"/>
                      <w:sz w:val="24"/>
                    </w:rPr>
                    <w:t>行车</w:t>
                  </w:r>
                </w:p>
              </w:tc>
              <w:tc>
                <w:tcPr>
                  <w:tcW w:w="1313" w:type="pct"/>
                  <w:tcBorders>
                    <w:top w:val="single" w:color="auto" w:sz="6" w:space="0"/>
                    <w:left w:val="single" w:color="auto" w:sz="6" w:space="0"/>
                    <w:bottom w:val="single" w:color="auto" w:sz="6" w:space="0"/>
                    <w:right w:val="single" w:color="auto" w:sz="6" w:space="0"/>
                  </w:tcBorders>
                  <w:vAlign w:val="center"/>
                </w:tcPr>
                <w:p>
                  <w:pPr>
                    <w:adjustRightInd w:val="0"/>
                    <w:jc w:val="center"/>
                    <w:rPr>
                      <w:sz w:val="24"/>
                    </w:rPr>
                  </w:pPr>
                  <w:r>
                    <w:rPr>
                      <w:rFonts w:hint="eastAsia"/>
                      <w:sz w:val="24"/>
                    </w:rPr>
                    <w:t>/</w:t>
                  </w:r>
                </w:p>
              </w:tc>
              <w:tc>
                <w:tcPr>
                  <w:tcW w:w="1208" w:type="pct"/>
                  <w:tcBorders>
                    <w:top w:val="single" w:color="auto" w:sz="6" w:space="0"/>
                    <w:left w:val="single" w:color="auto" w:sz="6" w:space="0"/>
                    <w:bottom w:val="single" w:color="auto" w:sz="6" w:space="0"/>
                    <w:right w:val="single" w:color="auto" w:sz="6" w:space="0"/>
                  </w:tcBorders>
                  <w:vAlign w:val="center"/>
                </w:tcPr>
                <w:p>
                  <w:pPr>
                    <w:adjustRightInd w:val="0"/>
                    <w:jc w:val="center"/>
                    <w:rPr>
                      <w:sz w:val="24"/>
                    </w:rPr>
                  </w:pPr>
                  <w:r>
                    <w:rPr>
                      <w:rFonts w:hint="eastAsia"/>
                      <w:sz w:val="24"/>
                    </w:rPr>
                    <w:t>1</w:t>
                  </w:r>
                </w:p>
              </w:tc>
              <w:tc>
                <w:tcPr>
                  <w:tcW w:w="833" w:type="pct"/>
                  <w:tcBorders>
                    <w:top w:val="single" w:color="auto" w:sz="6" w:space="0"/>
                    <w:left w:val="single" w:color="auto" w:sz="6" w:space="0"/>
                    <w:bottom w:val="single" w:color="auto" w:sz="6" w:space="0"/>
                    <w:right w:val="nil"/>
                  </w:tcBorders>
                  <w:vAlign w:val="center"/>
                </w:tcPr>
                <w:p>
                  <w:pPr>
                    <w:adjustRightInd w:val="0"/>
                    <w:jc w:val="center"/>
                    <w:rPr>
                      <w:sz w:val="24"/>
                    </w:rPr>
                  </w:pPr>
                  <w:r>
                    <w:rPr>
                      <w:rFonts w:hint="eastAsia"/>
                      <w:sz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pct"/>
                  <w:tcBorders>
                    <w:top w:val="single" w:color="auto" w:sz="6" w:space="0"/>
                    <w:left w:val="nil"/>
                    <w:bottom w:val="single" w:color="auto" w:sz="6" w:space="0"/>
                    <w:right w:val="single" w:color="auto" w:sz="6" w:space="0"/>
                  </w:tcBorders>
                  <w:vAlign w:val="center"/>
                </w:tcPr>
                <w:p>
                  <w:pPr>
                    <w:autoSpaceDE w:val="0"/>
                    <w:autoSpaceDN w:val="0"/>
                    <w:adjustRightInd w:val="0"/>
                    <w:jc w:val="center"/>
                    <w:rPr>
                      <w:sz w:val="24"/>
                    </w:rPr>
                  </w:pPr>
                  <w:r>
                    <w:rPr>
                      <w:rFonts w:hint="eastAsia"/>
                      <w:sz w:val="24"/>
                    </w:rPr>
                    <w:t>6</w:t>
                  </w:r>
                </w:p>
              </w:tc>
              <w:tc>
                <w:tcPr>
                  <w:tcW w:w="1095" w:type="pct"/>
                  <w:tcBorders>
                    <w:top w:val="single" w:color="auto" w:sz="6" w:space="0"/>
                    <w:left w:val="single" w:color="auto" w:sz="6" w:space="0"/>
                    <w:bottom w:val="single" w:color="auto" w:sz="6" w:space="0"/>
                    <w:right w:val="single" w:color="auto" w:sz="6" w:space="0"/>
                  </w:tcBorders>
                  <w:vAlign w:val="center"/>
                </w:tcPr>
                <w:p>
                  <w:pPr>
                    <w:adjustRightInd w:val="0"/>
                    <w:jc w:val="center"/>
                    <w:rPr>
                      <w:sz w:val="24"/>
                    </w:rPr>
                  </w:pPr>
                  <w:r>
                    <w:rPr>
                      <w:rFonts w:hint="eastAsia"/>
                      <w:sz w:val="24"/>
                    </w:rPr>
                    <w:t>喷枪</w:t>
                  </w:r>
                </w:p>
              </w:tc>
              <w:tc>
                <w:tcPr>
                  <w:tcW w:w="1313" w:type="pct"/>
                  <w:tcBorders>
                    <w:top w:val="single" w:color="auto" w:sz="6" w:space="0"/>
                    <w:left w:val="single" w:color="auto" w:sz="6" w:space="0"/>
                    <w:bottom w:val="single" w:color="auto" w:sz="6" w:space="0"/>
                    <w:right w:val="single" w:color="auto" w:sz="6" w:space="0"/>
                  </w:tcBorders>
                  <w:vAlign w:val="center"/>
                </w:tcPr>
                <w:p>
                  <w:pPr>
                    <w:adjustRightInd w:val="0"/>
                    <w:jc w:val="center"/>
                    <w:rPr>
                      <w:sz w:val="24"/>
                    </w:rPr>
                  </w:pPr>
                  <w:r>
                    <w:rPr>
                      <w:rFonts w:hint="eastAsia"/>
                      <w:sz w:val="24"/>
                    </w:rPr>
                    <w:t>/</w:t>
                  </w:r>
                </w:p>
              </w:tc>
              <w:tc>
                <w:tcPr>
                  <w:tcW w:w="1208" w:type="pct"/>
                  <w:tcBorders>
                    <w:top w:val="single" w:color="auto" w:sz="6" w:space="0"/>
                    <w:left w:val="single" w:color="auto" w:sz="6" w:space="0"/>
                    <w:bottom w:val="single" w:color="auto" w:sz="6" w:space="0"/>
                    <w:right w:val="single" w:color="auto" w:sz="6" w:space="0"/>
                  </w:tcBorders>
                  <w:vAlign w:val="center"/>
                </w:tcPr>
                <w:p>
                  <w:pPr>
                    <w:adjustRightInd w:val="0"/>
                    <w:jc w:val="center"/>
                    <w:rPr>
                      <w:sz w:val="24"/>
                    </w:rPr>
                  </w:pPr>
                  <w:r>
                    <w:rPr>
                      <w:rFonts w:hint="eastAsia"/>
                      <w:sz w:val="24"/>
                    </w:rPr>
                    <w:t>2</w:t>
                  </w:r>
                </w:p>
              </w:tc>
              <w:tc>
                <w:tcPr>
                  <w:tcW w:w="833" w:type="pct"/>
                  <w:tcBorders>
                    <w:top w:val="single" w:color="auto" w:sz="6" w:space="0"/>
                    <w:left w:val="single" w:color="auto" w:sz="6" w:space="0"/>
                    <w:bottom w:val="single" w:color="auto" w:sz="6" w:space="0"/>
                    <w:right w:val="nil"/>
                  </w:tcBorders>
                  <w:vAlign w:val="center"/>
                </w:tcPr>
                <w:p>
                  <w:pPr>
                    <w:adjustRightInd w:val="0"/>
                    <w:jc w:val="center"/>
                    <w:rPr>
                      <w:sz w:val="24"/>
                    </w:rPr>
                  </w:pPr>
                  <w:r>
                    <w:rPr>
                      <w:rFonts w:hint="eastAsia"/>
                      <w:sz w:val="24"/>
                    </w:rPr>
                    <w:t>/</w:t>
                  </w:r>
                </w:p>
              </w:tc>
            </w:tr>
          </w:tbl>
          <w:p>
            <w:pPr>
              <w:tabs>
                <w:tab w:val="left" w:pos="5247"/>
              </w:tabs>
              <w:adjustRightInd w:val="0"/>
              <w:snapToGrid w:val="0"/>
              <w:spacing w:line="500" w:lineRule="exact"/>
              <w:ind w:firstLine="480" w:firstLineChars="200"/>
              <w:rPr>
                <w:sz w:val="24"/>
                <w:u w:val="single"/>
              </w:rPr>
            </w:pPr>
            <w:r>
              <w:rPr>
                <w:sz w:val="24"/>
              </w:rPr>
              <w:t>3.</w:t>
            </w:r>
            <w:r>
              <w:rPr>
                <w:sz w:val="24"/>
                <w:u w:val="single"/>
              </w:rPr>
              <w:t>现有</w:t>
            </w:r>
            <w:r>
              <w:rPr>
                <w:rFonts w:hint="eastAsia"/>
                <w:sz w:val="24"/>
                <w:u w:val="single"/>
              </w:rPr>
              <w:t>工程</w:t>
            </w:r>
            <w:r>
              <w:rPr>
                <w:sz w:val="24"/>
                <w:u w:val="single"/>
              </w:rPr>
              <w:t>主要原辅材料</w:t>
            </w:r>
          </w:p>
          <w:p>
            <w:pPr>
              <w:adjustRightInd w:val="0"/>
              <w:snapToGrid w:val="0"/>
              <w:spacing w:line="500" w:lineRule="exact"/>
              <w:ind w:firstLine="480" w:firstLineChars="200"/>
              <w:rPr>
                <w:sz w:val="24"/>
              </w:rPr>
            </w:pPr>
            <w:r>
              <w:rPr>
                <w:rFonts w:hint="eastAsia"/>
                <w:sz w:val="24"/>
              </w:rPr>
              <w:t>本项目底漆和面漆全部采用水性环保漆，稀释剂为清水，主要挥发物质为二乙二醇丁醚等有机溶剂，不含甲苯、二甲苯成分。</w:t>
            </w:r>
          </w:p>
          <w:p>
            <w:pPr>
              <w:adjustRightInd w:val="0"/>
              <w:snapToGrid w:val="0"/>
              <w:spacing w:line="500" w:lineRule="exact"/>
              <w:ind w:firstLine="480" w:firstLineChars="200"/>
              <w:rPr>
                <w:sz w:val="24"/>
              </w:rPr>
            </w:pPr>
            <w:r>
              <w:rPr>
                <w:rFonts w:hint="eastAsia"/>
                <w:sz w:val="24"/>
              </w:rPr>
              <w:t>(1)水性漆使用量核算</w:t>
            </w:r>
          </w:p>
          <w:p>
            <w:pPr>
              <w:adjustRightInd w:val="0"/>
              <w:snapToGrid w:val="0"/>
              <w:spacing w:line="500" w:lineRule="exact"/>
              <w:ind w:firstLine="480" w:firstLineChars="200"/>
              <w:rPr>
                <w:sz w:val="24"/>
              </w:rPr>
            </w:pPr>
            <w:r>
              <w:rPr>
                <w:rFonts w:hint="eastAsia"/>
                <w:sz w:val="24"/>
              </w:rPr>
              <w:t>①喷漆方案</w:t>
            </w:r>
          </w:p>
          <w:p>
            <w:pPr>
              <w:adjustRightInd w:val="0"/>
              <w:snapToGrid w:val="0"/>
              <w:spacing w:line="500" w:lineRule="exact"/>
              <w:ind w:firstLine="480" w:firstLineChars="200"/>
              <w:rPr>
                <w:sz w:val="24"/>
              </w:rPr>
            </w:pPr>
            <w:r>
              <w:rPr>
                <w:rFonts w:hint="eastAsia"/>
                <w:sz w:val="24"/>
              </w:rPr>
              <w:t>本项目是对振动设备进行喷涂，项目喷漆方案见表10所示。</w:t>
            </w:r>
          </w:p>
          <w:p>
            <w:pPr>
              <w:autoSpaceDE w:val="0"/>
              <w:autoSpaceDN w:val="0"/>
              <w:adjustRightInd w:val="0"/>
              <w:snapToGrid w:val="0"/>
              <w:spacing w:line="400" w:lineRule="exact"/>
              <w:ind w:left="420"/>
              <w:rPr>
                <w:b/>
                <w:sz w:val="24"/>
              </w:rPr>
            </w:pPr>
            <w:r>
              <w:rPr>
                <w:rFonts w:hAnsi="宋体"/>
                <w:b/>
                <w:sz w:val="24"/>
              </w:rPr>
              <w:t>表</w:t>
            </w:r>
            <w:r>
              <w:rPr>
                <w:rFonts w:hint="eastAsia"/>
                <w:b/>
                <w:sz w:val="24"/>
              </w:rPr>
              <w:t>10</w:t>
            </w:r>
            <w:r>
              <w:rPr>
                <w:b/>
                <w:sz w:val="24"/>
              </w:rPr>
              <w:t xml:space="preserve">                       </w:t>
            </w:r>
            <w:r>
              <w:rPr>
                <w:rFonts w:hAnsi="宋体"/>
                <w:b/>
                <w:sz w:val="24"/>
              </w:rPr>
              <w:t>本项目喷漆方案一览表</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3871"/>
              <w:gridCol w:w="2229"/>
              <w:gridCol w:w="22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3" w:type="pct"/>
                  <w:vAlign w:val="center"/>
                </w:tcPr>
                <w:p>
                  <w:pPr>
                    <w:pStyle w:val="48"/>
                    <w:spacing w:line="240" w:lineRule="auto"/>
                    <w:ind w:firstLine="0" w:firstLineChars="0"/>
                    <w:jc w:val="center"/>
                    <w:rPr>
                      <w:b/>
                      <w:kern w:val="2"/>
                      <w:sz w:val="24"/>
                      <w:szCs w:val="24"/>
                    </w:rPr>
                  </w:pPr>
                  <w:r>
                    <w:rPr>
                      <w:rFonts w:hAnsi="宋体"/>
                      <w:b/>
                      <w:kern w:val="2"/>
                      <w:sz w:val="24"/>
                      <w:szCs w:val="24"/>
                    </w:rPr>
                    <w:t>产品名称</w:t>
                  </w:r>
                </w:p>
              </w:tc>
              <w:tc>
                <w:tcPr>
                  <w:tcW w:w="1886" w:type="pct"/>
                  <w:vAlign w:val="center"/>
                </w:tcPr>
                <w:p>
                  <w:pPr>
                    <w:pStyle w:val="48"/>
                    <w:spacing w:line="240" w:lineRule="auto"/>
                    <w:ind w:firstLine="0" w:firstLineChars="0"/>
                    <w:jc w:val="center"/>
                    <w:rPr>
                      <w:b/>
                      <w:kern w:val="2"/>
                      <w:sz w:val="24"/>
                      <w:szCs w:val="24"/>
                    </w:rPr>
                  </w:pPr>
                  <w:r>
                    <w:rPr>
                      <w:rFonts w:hAnsi="宋体"/>
                      <w:b/>
                      <w:kern w:val="2"/>
                      <w:sz w:val="24"/>
                      <w:szCs w:val="24"/>
                    </w:rPr>
                    <w:t>总喷漆面积</w:t>
                  </w:r>
                </w:p>
              </w:tc>
              <w:tc>
                <w:tcPr>
                  <w:tcW w:w="1086" w:type="pct"/>
                  <w:vAlign w:val="center"/>
                </w:tcPr>
                <w:p>
                  <w:pPr>
                    <w:pStyle w:val="48"/>
                    <w:spacing w:line="240" w:lineRule="auto"/>
                    <w:ind w:firstLine="0" w:firstLineChars="0"/>
                    <w:jc w:val="center"/>
                    <w:rPr>
                      <w:b/>
                      <w:kern w:val="2"/>
                      <w:sz w:val="24"/>
                      <w:szCs w:val="24"/>
                    </w:rPr>
                  </w:pPr>
                  <w:r>
                    <w:rPr>
                      <w:rFonts w:hAnsi="宋体"/>
                      <w:b/>
                      <w:kern w:val="2"/>
                      <w:sz w:val="24"/>
                      <w:szCs w:val="24"/>
                    </w:rPr>
                    <w:t>底漆喷漆厚度</w:t>
                  </w:r>
                </w:p>
              </w:tc>
              <w:tc>
                <w:tcPr>
                  <w:tcW w:w="1104" w:type="pct"/>
                  <w:vAlign w:val="center"/>
                </w:tcPr>
                <w:p>
                  <w:pPr>
                    <w:pStyle w:val="48"/>
                    <w:spacing w:line="240" w:lineRule="auto"/>
                    <w:ind w:firstLine="0" w:firstLineChars="0"/>
                    <w:jc w:val="center"/>
                    <w:rPr>
                      <w:b/>
                      <w:kern w:val="2"/>
                      <w:sz w:val="24"/>
                      <w:szCs w:val="24"/>
                    </w:rPr>
                  </w:pPr>
                  <w:r>
                    <w:rPr>
                      <w:rFonts w:hAnsi="宋体"/>
                      <w:b/>
                      <w:kern w:val="2"/>
                      <w:sz w:val="24"/>
                      <w:szCs w:val="24"/>
                    </w:rPr>
                    <w:t>面漆喷漆厚度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3" w:type="pct"/>
                  <w:vAlign w:val="center"/>
                </w:tcPr>
                <w:p>
                  <w:pPr>
                    <w:pStyle w:val="48"/>
                    <w:spacing w:line="240" w:lineRule="auto"/>
                    <w:ind w:firstLine="0" w:firstLineChars="0"/>
                    <w:jc w:val="center"/>
                    <w:rPr>
                      <w:kern w:val="2"/>
                      <w:sz w:val="24"/>
                      <w:szCs w:val="24"/>
                    </w:rPr>
                  </w:pPr>
                  <w:r>
                    <w:rPr>
                      <w:rFonts w:hint="eastAsia" w:hAnsi="宋体"/>
                      <w:kern w:val="2"/>
                      <w:sz w:val="24"/>
                      <w:szCs w:val="24"/>
                    </w:rPr>
                    <w:t>振动设备</w:t>
                  </w:r>
                </w:p>
              </w:tc>
              <w:tc>
                <w:tcPr>
                  <w:tcW w:w="1886" w:type="pct"/>
                  <w:vAlign w:val="center"/>
                </w:tcPr>
                <w:p>
                  <w:pPr>
                    <w:pStyle w:val="48"/>
                    <w:spacing w:line="240" w:lineRule="auto"/>
                    <w:ind w:firstLine="0" w:firstLineChars="0"/>
                    <w:jc w:val="center"/>
                    <w:rPr>
                      <w:kern w:val="2"/>
                      <w:sz w:val="24"/>
                      <w:szCs w:val="24"/>
                    </w:rPr>
                  </w:pPr>
                  <w:r>
                    <w:rPr>
                      <w:kern w:val="2"/>
                      <w:sz w:val="24"/>
                      <w:szCs w:val="24"/>
                    </w:rPr>
                    <w:t>1000m</w:t>
                  </w:r>
                  <w:r>
                    <w:rPr>
                      <w:kern w:val="2"/>
                      <w:sz w:val="24"/>
                      <w:szCs w:val="24"/>
                      <w:vertAlign w:val="superscript"/>
                    </w:rPr>
                    <w:t>2</w:t>
                  </w:r>
                </w:p>
              </w:tc>
              <w:tc>
                <w:tcPr>
                  <w:tcW w:w="1086" w:type="pct"/>
                  <w:vAlign w:val="center"/>
                </w:tcPr>
                <w:p>
                  <w:pPr>
                    <w:pStyle w:val="48"/>
                    <w:spacing w:line="240" w:lineRule="auto"/>
                    <w:ind w:firstLine="0" w:firstLineChars="0"/>
                    <w:jc w:val="center"/>
                    <w:rPr>
                      <w:kern w:val="2"/>
                      <w:sz w:val="24"/>
                      <w:szCs w:val="24"/>
                    </w:rPr>
                  </w:pPr>
                  <w:r>
                    <w:rPr>
                      <w:kern w:val="2"/>
                      <w:sz w:val="24"/>
                      <w:szCs w:val="24"/>
                    </w:rPr>
                    <w:t>50μm</w:t>
                  </w:r>
                </w:p>
              </w:tc>
              <w:tc>
                <w:tcPr>
                  <w:tcW w:w="1104" w:type="pct"/>
                  <w:vAlign w:val="center"/>
                </w:tcPr>
                <w:p>
                  <w:pPr>
                    <w:pStyle w:val="48"/>
                    <w:spacing w:line="240" w:lineRule="auto"/>
                    <w:ind w:firstLine="0" w:firstLineChars="0"/>
                    <w:jc w:val="center"/>
                    <w:rPr>
                      <w:kern w:val="2"/>
                      <w:sz w:val="24"/>
                      <w:szCs w:val="24"/>
                    </w:rPr>
                  </w:pPr>
                  <w:r>
                    <w:rPr>
                      <w:kern w:val="2"/>
                      <w:sz w:val="24"/>
                      <w:szCs w:val="24"/>
                    </w:rPr>
                    <w:t>40μm</w:t>
                  </w:r>
                </w:p>
              </w:tc>
            </w:tr>
          </w:tbl>
          <w:p>
            <w:pPr>
              <w:adjustRightInd w:val="0"/>
              <w:spacing w:line="500" w:lineRule="exact"/>
              <w:ind w:firstLine="480" w:firstLineChars="200"/>
              <w:rPr>
                <w:bCs/>
                <w:sz w:val="24"/>
              </w:rPr>
            </w:pPr>
            <w:r>
              <w:rPr>
                <w:bCs/>
                <w:sz w:val="24"/>
              </w:rPr>
              <w:t>②计算公式</w:t>
            </w:r>
          </w:p>
          <w:p>
            <w:pPr>
              <w:adjustRightInd w:val="0"/>
              <w:spacing w:line="500" w:lineRule="exact"/>
              <w:ind w:firstLine="480" w:firstLineChars="200"/>
              <w:rPr>
                <w:bCs/>
                <w:sz w:val="24"/>
              </w:rPr>
            </w:pPr>
            <w:r>
              <w:rPr>
                <w:bCs/>
                <w:sz w:val="24"/>
              </w:rPr>
              <w:t>水性漆用量采用以下公式计算：</w:t>
            </w:r>
          </w:p>
          <w:p>
            <w:pPr>
              <w:pStyle w:val="2"/>
              <w:rPr>
                <w:b w:val="0"/>
              </w:rPr>
            </w:pPr>
            <w:r>
              <w:rPr>
                <w:b w:val="0"/>
                <w:bCs w:val="0"/>
              </w:rPr>
              <w:t>m=ρδs</w:t>
            </w:r>
            <w:r>
              <w:rPr>
                <w:b w:val="0"/>
              </w:rPr>
              <w:t>×10</w:t>
            </w:r>
            <w:r>
              <w:rPr>
                <w:b w:val="0"/>
                <w:vertAlign w:val="superscript"/>
              </w:rPr>
              <w:t>-3</w:t>
            </w:r>
            <w:r>
              <w:rPr>
                <w:b w:val="0"/>
              </w:rPr>
              <w:t>/ε</w:t>
            </w:r>
          </w:p>
          <w:p>
            <w:pPr>
              <w:adjustRightInd w:val="0"/>
              <w:spacing w:line="500" w:lineRule="exact"/>
              <w:ind w:firstLine="480" w:firstLineChars="200"/>
              <w:rPr>
                <w:bCs/>
                <w:sz w:val="24"/>
              </w:rPr>
            </w:pPr>
            <w:r>
              <w:rPr>
                <w:bCs/>
                <w:sz w:val="24"/>
              </w:rPr>
              <w:t>其中：m：水性漆总用量(t/a)；</w:t>
            </w:r>
          </w:p>
          <w:p>
            <w:pPr>
              <w:adjustRightInd w:val="0"/>
              <w:spacing w:line="500" w:lineRule="exact"/>
              <w:ind w:firstLine="1200" w:firstLineChars="500"/>
              <w:rPr>
                <w:bCs/>
                <w:sz w:val="24"/>
              </w:rPr>
            </w:pPr>
            <w:r>
              <w:rPr>
                <w:bCs/>
                <w:sz w:val="24"/>
              </w:rPr>
              <w:t>ρ：水性漆密度(t/m</w:t>
            </w:r>
            <w:r>
              <w:rPr>
                <w:bCs/>
                <w:sz w:val="24"/>
                <w:vertAlign w:val="superscript"/>
              </w:rPr>
              <w:t>3</w:t>
            </w:r>
            <w:r>
              <w:rPr>
                <w:bCs/>
                <w:sz w:val="24"/>
              </w:rPr>
              <w:t>)；</w:t>
            </w:r>
          </w:p>
          <w:p>
            <w:pPr>
              <w:adjustRightInd w:val="0"/>
              <w:spacing w:line="500" w:lineRule="exact"/>
              <w:ind w:firstLine="1200" w:firstLineChars="500"/>
              <w:rPr>
                <w:bCs/>
                <w:sz w:val="24"/>
              </w:rPr>
            </w:pPr>
            <w:r>
              <w:rPr>
                <w:bCs/>
                <w:sz w:val="24"/>
              </w:rPr>
              <w:t>δ：涂层厚度(mm)；</w:t>
            </w:r>
          </w:p>
          <w:p>
            <w:pPr>
              <w:adjustRightInd w:val="0"/>
              <w:spacing w:line="500" w:lineRule="exact"/>
              <w:ind w:firstLine="1200" w:firstLineChars="500"/>
              <w:rPr>
                <w:bCs/>
                <w:sz w:val="24"/>
              </w:rPr>
            </w:pPr>
            <w:r>
              <w:rPr>
                <w:bCs/>
                <w:sz w:val="24"/>
              </w:rPr>
              <w:t>s：涂装总面积(m</w:t>
            </w:r>
            <w:r>
              <w:rPr>
                <w:bCs/>
                <w:sz w:val="24"/>
                <w:vertAlign w:val="superscript"/>
              </w:rPr>
              <w:t>2</w:t>
            </w:r>
            <w:r>
              <w:rPr>
                <w:bCs/>
                <w:sz w:val="24"/>
              </w:rPr>
              <w:t>/a)；</w:t>
            </w:r>
          </w:p>
          <w:p>
            <w:pPr>
              <w:adjustRightInd w:val="0"/>
              <w:spacing w:line="500" w:lineRule="exact"/>
              <w:ind w:firstLine="1200" w:firstLineChars="500"/>
              <w:rPr>
                <w:bCs/>
                <w:sz w:val="24"/>
              </w:rPr>
            </w:pPr>
            <w:r>
              <w:rPr>
                <w:sz w:val="24"/>
              </w:rPr>
              <w:t>ε：上漆率。</w:t>
            </w:r>
          </w:p>
          <w:p>
            <w:pPr>
              <w:adjustRightInd w:val="0"/>
              <w:snapToGrid w:val="0"/>
              <w:spacing w:line="500" w:lineRule="exact"/>
              <w:ind w:firstLine="480" w:firstLineChars="200"/>
              <w:rPr>
                <w:bCs/>
                <w:sz w:val="24"/>
              </w:rPr>
            </w:pPr>
            <w:r>
              <w:rPr>
                <w:bCs/>
                <w:sz w:val="24"/>
              </w:rPr>
              <w:t>③参数选择</w:t>
            </w:r>
          </w:p>
          <w:p>
            <w:pPr>
              <w:adjustRightInd w:val="0"/>
              <w:snapToGrid w:val="0"/>
              <w:spacing w:line="500" w:lineRule="exact"/>
              <w:ind w:firstLine="480" w:firstLineChars="200"/>
              <w:rPr>
                <w:bCs/>
                <w:sz w:val="24"/>
              </w:rPr>
            </w:pPr>
            <w:r>
              <w:rPr>
                <w:bCs/>
                <w:sz w:val="24"/>
              </w:rPr>
              <w:t>根据实际生产要求，确定本项目计算参数如表</w:t>
            </w:r>
            <w:r>
              <w:rPr>
                <w:rFonts w:hint="eastAsia"/>
                <w:bCs/>
                <w:sz w:val="24"/>
              </w:rPr>
              <w:t>11</w:t>
            </w:r>
            <w:r>
              <w:rPr>
                <w:bCs/>
                <w:sz w:val="24"/>
              </w:rPr>
              <w:t>所示。</w:t>
            </w:r>
          </w:p>
          <w:p>
            <w:pPr>
              <w:autoSpaceDE w:val="0"/>
              <w:autoSpaceDN w:val="0"/>
              <w:adjustRightInd w:val="0"/>
              <w:snapToGrid w:val="0"/>
              <w:spacing w:line="400" w:lineRule="exact"/>
              <w:ind w:left="420"/>
              <w:rPr>
                <w:b/>
                <w:sz w:val="24"/>
              </w:rPr>
            </w:pPr>
            <w:r>
              <w:rPr>
                <w:rFonts w:hAnsi="宋体"/>
                <w:b/>
                <w:sz w:val="24"/>
              </w:rPr>
              <w:t>表</w:t>
            </w:r>
            <w:r>
              <w:rPr>
                <w:rFonts w:hint="eastAsia"/>
                <w:b/>
                <w:sz w:val="24"/>
              </w:rPr>
              <w:t>11</w:t>
            </w:r>
            <w:r>
              <w:rPr>
                <w:b/>
                <w:sz w:val="24"/>
              </w:rPr>
              <w:t xml:space="preserve">              </w:t>
            </w:r>
            <w:r>
              <w:rPr>
                <w:rFonts w:hAnsi="宋体"/>
                <w:b/>
                <w:sz w:val="24"/>
              </w:rPr>
              <w:t>水性漆用量计算参数一览表</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90"/>
              <w:gridCol w:w="3657"/>
              <w:gridCol w:w="43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6" w:type="pct"/>
                  <w:vAlign w:val="center"/>
                </w:tcPr>
                <w:p>
                  <w:pPr>
                    <w:pStyle w:val="48"/>
                    <w:spacing w:line="240" w:lineRule="auto"/>
                    <w:ind w:firstLine="0" w:firstLineChars="0"/>
                    <w:jc w:val="center"/>
                    <w:rPr>
                      <w:b/>
                      <w:kern w:val="2"/>
                      <w:sz w:val="24"/>
                      <w:szCs w:val="24"/>
                    </w:rPr>
                  </w:pPr>
                  <w:r>
                    <w:rPr>
                      <w:rFonts w:hAnsi="宋体"/>
                      <w:b/>
                      <w:kern w:val="2"/>
                      <w:sz w:val="24"/>
                      <w:szCs w:val="24"/>
                    </w:rPr>
                    <w:t>类型</w:t>
                  </w:r>
                </w:p>
              </w:tc>
              <w:tc>
                <w:tcPr>
                  <w:tcW w:w="1782" w:type="pct"/>
                  <w:vAlign w:val="center"/>
                </w:tcPr>
                <w:p>
                  <w:pPr>
                    <w:pStyle w:val="48"/>
                    <w:spacing w:line="240" w:lineRule="auto"/>
                    <w:ind w:firstLine="0" w:firstLineChars="0"/>
                    <w:jc w:val="center"/>
                    <w:rPr>
                      <w:b/>
                      <w:kern w:val="2"/>
                      <w:sz w:val="24"/>
                      <w:szCs w:val="24"/>
                    </w:rPr>
                  </w:pPr>
                  <w:r>
                    <w:rPr>
                      <w:rFonts w:hAnsi="宋体"/>
                      <w:b/>
                      <w:kern w:val="2"/>
                      <w:sz w:val="24"/>
                      <w:szCs w:val="24"/>
                    </w:rPr>
                    <w:t>水性漆密度</w:t>
                  </w:r>
                  <w:r>
                    <w:rPr>
                      <w:b/>
                      <w:bCs/>
                      <w:kern w:val="2"/>
                      <w:sz w:val="24"/>
                      <w:szCs w:val="24"/>
                    </w:rPr>
                    <w:t>(t/m</w:t>
                  </w:r>
                  <w:r>
                    <w:rPr>
                      <w:b/>
                      <w:bCs/>
                      <w:kern w:val="2"/>
                      <w:sz w:val="24"/>
                      <w:szCs w:val="24"/>
                      <w:vertAlign w:val="superscript"/>
                    </w:rPr>
                    <w:t>3</w:t>
                  </w:r>
                  <w:r>
                    <w:rPr>
                      <w:b/>
                      <w:bCs/>
                      <w:kern w:val="2"/>
                      <w:sz w:val="24"/>
                      <w:szCs w:val="24"/>
                    </w:rPr>
                    <w:t>)</w:t>
                  </w:r>
                </w:p>
              </w:tc>
              <w:tc>
                <w:tcPr>
                  <w:tcW w:w="2102" w:type="pct"/>
                  <w:vAlign w:val="center"/>
                </w:tcPr>
                <w:p>
                  <w:pPr>
                    <w:pStyle w:val="48"/>
                    <w:spacing w:line="240" w:lineRule="auto"/>
                    <w:ind w:firstLine="0" w:firstLineChars="0"/>
                    <w:jc w:val="center"/>
                    <w:rPr>
                      <w:b/>
                      <w:kern w:val="2"/>
                      <w:sz w:val="24"/>
                      <w:szCs w:val="24"/>
                    </w:rPr>
                  </w:pPr>
                  <w:r>
                    <w:rPr>
                      <w:rFonts w:hAnsi="宋体"/>
                      <w:b/>
                      <w:kern w:val="2"/>
                      <w:sz w:val="24"/>
                      <w:szCs w:val="24"/>
                    </w:rPr>
                    <w:t>上漆率</w:t>
                  </w:r>
                  <w:r>
                    <w:rPr>
                      <w:b/>
                      <w:kern w:val="2"/>
                      <w:sz w:val="24"/>
                      <w:szCs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6" w:type="pct"/>
                  <w:vAlign w:val="center"/>
                </w:tcPr>
                <w:p>
                  <w:pPr>
                    <w:pStyle w:val="48"/>
                    <w:spacing w:line="240" w:lineRule="auto"/>
                    <w:ind w:firstLine="0" w:firstLineChars="0"/>
                    <w:jc w:val="center"/>
                    <w:rPr>
                      <w:kern w:val="2"/>
                      <w:sz w:val="24"/>
                      <w:szCs w:val="24"/>
                    </w:rPr>
                  </w:pPr>
                  <w:r>
                    <w:rPr>
                      <w:rFonts w:hAnsi="宋体"/>
                      <w:kern w:val="2"/>
                      <w:sz w:val="24"/>
                      <w:szCs w:val="24"/>
                    </w:rPr>
                    <w:t>底漆</w:t>
                  </w:r>
                </w:p>
              </w:tc>
              <w:tc>
                <w:tcPr>
                  <w:tcW w:w="1782" w:type="pct"/>
                  <w:vAlign w:val="center"/>
                </w:tcPr>
                <w:p>
                  <w:pPr>
                    <w:pStyle w:val="48"/>
                    <w:spacing w:line="240" w:lineRule="auto"/>
                    <w:ind w:firstLine="0" w:firstLineChars="0"/>
                    <w:jc w:val="center"/>
                    <w:rPr>
                      <w:kern w:val="2"/>
                      <w:sz w:val="24"/>
                      <w:szCs w:val="24"/>
                    </w:rPr>
                  </w:pPr>
                  <w:r>
                    <w:rPr>
                      <w:kern w:val="2"/>
                      <w:sz w:val="24"/>
                      <w:szCs w:val="24"/>
                    </w:rPr>
                    <w:t>1.45</w:t>
                  </w:r>
                </w:p>
              </w:tc>
              <w:tc>
                <w:tcPr>
                  <w:tcW w:w="2102" w:type="pct"/>
                  <w:vAlign w:val="center"/>
                </w:tcPr>
                <w:p>
                  <w:pPr>
                    <w:pStyle w:val="48"/>
                    <w:spacing w:line="240" w:lineRule="auto"/>
                    <w:ind w:firstLine="0" w:firstLineChars="0"/>
                    <w:jc w:val="center"/>
                    <w:rPr>
                      <w:kern w:val="2"/>
                      <w:sz w:val="24"/>
                      <w:szCs w:val="24"/>
                    </w:rPr>
                  </w:pPr>
                  <w:r>
                    <w:rPr>
                      <w:kern w:val="2"/>
                      <w:sz w:val="24"/>
                      <w:szCs w:val="24"/>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6" w:type="pct"/>
                  <w:vAlign w:val="center"/>
                </w:tcPr>
                <w:p>
                  <w:pPr>
                    <w:pStyle w:val="48"/>
                    <w:spacing w:line="240" w:lineRule="auto"/>
                    <w:ind w:firstLine="0" w:firstLineChars="0"/>
                    <w:jc w:val="center"/>
                    <w:rPr>
                      <w:kern w:val="2"/>
                      <w:sz w:val="24"/>
                      <w:szCs w:val="24"/>
                    </w:rPr>
                  </w:pPr>
                  <w:r>
                    <w:rPr>
                      <w:rFonts w:hAnsi="宋体"/>
                      <w:kern w:val="2"/>
                      <w:sz w:val="24"/>
                      <w:szCs w:val="24"/>
                    </w:rPr>
                    <w:t>面漆</w:t>
                  </w:r>
                </w:p>
              </w:tc>
              <w:tc>
                <w:tcPr>
                  <w:tcW w:w="1782" w:type="pct"/>
                  <w:vAlign w:val="center"/>
                </w:tcPr>
                <w:p>
                  <w:pPr>
                    <w:pStyle w:val="48"/>
                    <w:spacing w:line="240" w:lineRule="auto"/>
                    <w:ind w:firstLine="0" w:firstLineChars="0"/>
                    <w:jc w:val="center"/>
                    <w:rPr>
                      <w:kern w:val="2"/>
                      <w:sz w:val="24"/>
                      <w:szCs w:val="24"/>
                    </w:rPr>
                  </w:pPr>
                  <w:r>
                    <w:rPr>
                      <w:kern w:val="2"/>
                      <w:sz w:val="24"/>
                      <w:szCs w:val="24"/>
                    </w:rPr>
                    <w:t>1.48</w:t>
                  </w:r>
                </w:p>
              </w:tc>
              <w:tc>
                <w:tcPr>
                  <w:tcW w:w="2102" w:type="pct"/>
                  <w:vAlign w:val="center"/>
                </w:tcPr>
                <w:p>
                  <w:pPr>
                    <w:pStyle w:val="48"/>
                    <w:spacing w:line="240" w:lineRule="auto"/>
                    <w:ind w:firstLine="0" w:firstLineChars="0"/>
                    <w:jc w:val="center"/>
                    <w:rPr>
                      <w:kern w:val="2"/>
                      <w:sz w:val="24"/>
                      <w:szCs w:val="24"/>
                    </w:rPr>
                  </w:pPr>
                  <w:r>
                    <w:rPr>
                      <w:kern w:val="2"/>
                      <w:sz w:val="24"/>
                      <w:szCs w:val="24"/>
                    </w:rPr>
                    <w:t>70</w:t>
                  </w:r>
                </w:p>
              </w:tc>
            </w:tr>
          </w:tbl>
          <w:p>
            <w:pPr>
              <w:adjustRightInd w:val="0"/>
              <w:snapToGrid w:val="0"/>
              <w:spacing w:line="500" w:lineRule="exact"/>
              <w:ind w:firstLine="480" w:firstLineChars="200"/>
              <w:rPr>
                <w:sz w:val="24"/>
              </w:rPr>
            </w:pPr>
            <w:r>
              <w:rPr>
                <w:rFonts w:hint="eastAsia"/>
                <w:sz w:val="24"/>
              </w:rPr>
              <w:t>④计算结果</w:t>
            </w:r>
          </w:p>
          <w:p>
            <w:pPr>
              <w:adjustRightInd w:val="0"/>
              <w:snapToGrid w:val="0"/>
              <w:spacing w:line="500" w:lineRule="exact"/>
              <w:ind w:firstLine="480" w:firstLineChars="200"/>
              <w:rPr>
                <w:sz w:val="24"/>
              </w:rPr>
            </w:pPr>
            <w:r>
              <w:rPr>
                <w:rFonts w:hint="eastAsia"/>
                <w:sz w:val="24"/>
              </w:rPr>
              <w:t>经计算本项目底漆使用量为0.10t/a，面漆使用量为0.08t/a。</w:t>
            </w:r>
          </w:p>
          <w:p>
            <w:pPr>
              <w:adjustRightInd w:val="0"/>
              <w:snapToGrid w:val="0"/>
              <w:spacing w:line="500" w:lineRule="exact"/>
              <w:ind w:firstLine="480" w:firstLineChars="200"/>
              <w:rPr>
                <w:sz w:val="24"/>
              </w:rPr>
            </w:pPr>
            <w:r>
              <w:rPr>
                <w:sz w:val="24"/>
              </w:rPr>
              <w:t>原有</w:t>
            </w:r>
            <w:r>
              <w:rPr>
                <w:rFonts w:hint="eastAsia"/>
                <w:sz w:val="24"/>
              </w:rPr>
              <w:t>工程</w:t>
            </w:r>
            <w:r>
              <w:rPr>
                <w:sz w:val="24"/>
              </w:rPr>
              <w:t>主要原辅材料与</w:t>
            </w:r>
            <w:r>
              <w:rPr>
                <w:rFonts w:hint="eastAsia"/>
                <w:sz w:val="24"/>
              </w:rPr>
              <w:t>能</w:t>
            </w:r>
            <w:r>
              <w:rPr>
                <w:sz w:val="24"/>
              </w:rPr>
              <w:t>源消耗见表</w:t>
            </w:r>
            <w:r>
              <w:rPr>
                <w:rFonts w:hint="eastAsia"/>
                <w:sz w:val="24"/>
              </w:rPr>
              <w:t>11。</w:t>
            </w:r>
          </w:p>
          <w:p>
            <w:pPr>
              <w:autoSpaceDE w:val="0"/>
              <w:autoSpaceDN w:val="0"/>
              <w:adjustRightInd w:val="0"/>
              <w:snapToGrid w:val="0"/>
              <w:spacing w:line="400" w:lineRule="exact"/>
              <w:ind w:left="420"/>
              <w:rPr>
                <w:b/>
                <w:sz w:val="24"/>
              </w:rPr>
            </w:pPr>
            <w:r>
              <w:rPr>
                <w:rFonts w:hint="eastAsia"/>
                <w:b/>
                <w:sz w:val="24"/>
              </w:rPr>
              <w:t>续</w:t>
            </w:r>
            <w:r>
              <w:rPr>
                <w:b/>
                <w:sz w:val="24"/>
              </w:rPr>
              <w:t>表</w:t>
            </w:r>
            <w:r>
              <w:rPr>
                <w:rFonts w:hint="eastAsia"/>
                <w:b/>
                <w:sz w:val="24"/>
              </w:rPr>
              <w:t>11</w:t>
            </w:r>
            <w:r>
              <w:rPr>
                <w:b/>
                <w:sz w:val="24"/>
              </w:rPr>
              <w:t xml:space="preserve">     </w:t>
            </w:r>
            <w:r>
              <w:rPr>
                <w:rFonts w:hint="eastAsia"/>
                <w:b/>
                <w:sz w:val="24"/>
              </w:rPr>
              <w:t xml:space="preserve">              </w:t>
            </w:r>
            <w:r>
              <w:rPr>
                <w:b/>
                <w:sz w:val="24"/>
              </w:rPr>
              <w:t>项目主要原辅材料及能源消耗量</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906"/>
              <w:gridCol w:w="4028"/>
              <w:gridCol w:w="24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12" w:space="0"/>
                    <w:left w:val="nil"/>
                    <w:bottom w:val="single" w:color="auto" w:sz="4" w:space="0"/>
                    <w:right w:val="single" w:color="auto" w:sz="4" w:space="0"/>
                  </w:tcBorders>
                  <w:vAlign w:val="center"/>
                </w:tcPr>
                <w:p>
                  <w:pPr>
                    <w:adjustRightInd w:val="0"/>
                    <w:snapToGrid w:val="0"/>
                    <w:spacing w:line="360" w:lineRule="exact"/>
                    <w:jc w:val="center"/>
                    <w:rPr>
                      <w:b/>
                      <w:sz w:val="24"/>
                    </w:rPr>
                  </w:pPr>
                  <w:r>
                    <w:rPr>
                      <w:b/>
                      <w:sz w:val="24"/>
                    </w:rPr>
                    <w:t>序号</w:t>
                  </w:r>
                </w:p>
              </w:tc>
              <w:tc>
                <w:tcPr>
                  <w:tcW w:w="1416" w:type="pct"/>
                  <w:tcBorders>
                    <w:top w:val="single" w:color="auto" w:sz="12" w:space="0"/>
                    <w:left w:val="single" w:color="auto" w:sz="4" w:space="0"/>
                    <w:bottom w:val="single" w:color="auto" w:sz="4" w:space="0"/>
                    <w:right w:val="single" w:color="auto" w:sz="4" w:space="0"/>
                  </w:tcBorders>
                  <w:vAlign w:val="center"/>
                </w:tcPr>
                <w:p>
                  <w:pPr>
                    <w:adjustRightInd w:val="0"/>
                    <w:snapToGrid w:val="0"/>
                    <w:spacing w:line="360" w:lineRule="exact"/>
                    <w:jc w:val="center"/>
                    <w:rPr>
                      <w:b/>
                      <w:sz w:val="24"/>
                    </w:rPr>
                  </w:pPr>
                  <w:r>
                    <w:rPr>
                      <w:b/>
                      <w:sz w:val="24"/>
                    </w:rPr>
                    <w:t>名称</w:t>
                  </w:r>
                </w:p>
              </w:tc>
              <w:tc>
                <w:tcPr>
                  <w:tcW w:w="1963" w:type="pct"/>
                  <w:tcBorders>
                    <w:top w:val="single" w:color="auto" w:sz="12" w:space="0"/>
                    <w:left w:val="single" w:color="auto" w:sz="4" w:space="0"/>
                    <w:bottom w:val="single" w:color="auto" w:sz="4" w:space="0"/>
                    <w:right w:val="single" w:color="auto" w:sz="4" w:space="0"/>
                  </w:tcBorders>
                  <w:vAlign w:val="center"/>
                </w:tcPr>
                <w:p>
                  <w:pPr>
                    <w:adjustRightInd w:val="0"/>
                    <w:snapToGrid w:val="0"/>
                    <w:spacing w:line="360" w:lineRule="exact"/>
                    <w:jc w:val="center"/>
                    <w:rPr>
                      <w:b/>
                      <w:sz w:val="24"/>
                    </w:rPr>
                  </w:pPr>
                  <w:r>
                    <w:rPr>
                      <w:b/>
                      <w:sz w:val="24"/>
                    </w:rPr>
                    <w:t>年用量t/a</w:t>
                  </w:r>
                </w:p>
              </w:tc>
              <w:tc>
                <w:tcPr>
                  <w:tcW w:w="1210" w:type="pct"/>
                  <w:tcBorders>
                    <w:top w:val="single" w:color="auto" w:sz="12" w:space="0"/>
                    <w:left w:val="single" w:color="auto" w:sz="4" w:space="0"/>
                    <w:bottom w:val="single" w:color="auto" w:sz="4" w:space="0"/>
                    <w:right w:val="nil"/>
                  </w:tcBorders>
                  <w:vAlign w:val="center"/>
                </w:tcPr>
                <w:p>
                  <w:pPr>
                    <w:adjustRightInd w:val="0"/>
                    <w:snapToGrid w:val="0"/>
                    <w:spacing w:line="360" w:lineRule="exact"/>
                    <w:jc w:val="center"/>
                    <w:rPr>
                      <w:b/>
                      <w:sz w:val="24"/>
                    </w:rPr>
                  </w:pPr>
                  <w:r>
                    <w:rPr>
                      <w:b/>
                      <w:sz w:val="24"/>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rPr>
                  </w:pPr>
                  <w:r>
                    <w:rPr>
                      <w:sz w:val="24"/>
                    </w:rPr>
                    <w:t>1</w:t>
                  </w:r>
                </w:p>
              </w:tc>
              <w:tc>
                <w:tcPr>
                  <w:tcW w:w="141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钢材</w:t>
                  </w:r>
                </w:p>
              </w:tc>
              <w:tc>
                <w:tcPr>
                  <w:tcW w:w="19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300</w:t>
                  </w:r>
                </w:p>
              </w:tc>
              <w:tc>
                <w:tcPr>
                  <w:tcW w:w="1210" w:type="pct"/>
                  <w:tcBorders>
                    <w:top w:val="single" w:color="auto" w:sz="4" w:space="0"/>
                    <w:left w:val="single" w:color="auto" w:sz="4" w:space="0"/>
                    <w:bottom w:val="single" w:color="auto" w:sz="4" w:space="0"/>
                    <w:right w:val="nil"/>
                  </w:tcBorders>
                  <w:vAlign w:val="center"/>
                </w:tcPr>
                <w:p>
                  <w:pPr>
                    <w:adjustRightInd w:val="0"/>
                    <w:snapToGrid w:val="0"/>
                    <w:spacing w:line="360" w:lineRule="exact"/>
                    <w:jc w:val="center"/>
                    <w:rPr>
                      <w:sz w:val="24"/>
                    </w:rPr>
                  </w:pPr>
                  <w:r>
                    <w:rPr>
                      <w:rFonts w:hint="eastAsia"/>
                      <w:sz w:val="24"/>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rPr>
                  </w:pPr>
                  <w:r>
                    <w:rPr>
                      <w:sz w:val="24"/>
                    </w:rPr>
                    <w:t>2</w:t>
                  </w:r>
                </w:p>
              </w:tc>
              <w:tc>
                <w:tcPr>
                  <w:tcW w:w="141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轴承</w:t>
                  </w:r>
                </w:p>
              </w:tc>
              <w:tc>
                <w:tcPr>
                  <w:tcW w:w="19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100套</w:t>
                  </w:r>
                </w:p>
              </w:tc>
              <w:tc>
                <w:tcPr>
                  <w:tcW w:w="1210" w:type="pct"/>
                  <w:tcBorders>
                    <w:top w:val="single" w:color="auto" w:sz="4" w:space="0"/>
                    <w:left w:val="single" w:color="auto" w:sz="4" w:space="0"/>
                    <w:bottom w:val="single" w:color="auto" w:sz="4" w:space="0"/>
                    <w:right w:val="nil"/>
                  </w:tcBorders>
                  <w:vAlign w:val="center"/>
                </w:tcPr>
                <w:p>
                  <w:pPr>
                    <w:adjustRightInd w:val="0"/>
                    <w:snapToGrid w:val="0"/>
                    <w:spacing w:line="360" w:lineRule="exact"/>
                    <w:jc w:val="center"/>
                    <w:rPr>
                      <w:sz w:val="24"/>
                    </w:rPr>
                  </w:pPr>
                  <w:r>
                    <w:rPr>
                      <w:rFonts w:hint="eastAsia"/>
                      <w:sz w:val="24"/>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3</w:t>
                  </w:r>
                </w:p>
              </w:tc>
              <w:tc>
                <w:tcPr>
                  <w:tcW w:w="141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水性面漆</w:t>
                  </w:r>
                </w:p>
              </w:tc>
              <w:tc>
                <w:tcPr>
                  <w:tcW w:w="19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0.08</w:t>
                  </w:r>
                </w:p>
              </w:tc>
              <w:tc>
                <w:tcPr>
                  <w:tcW w:w="1210" w:type="pct"/>
                  <w:tcBorders>
                    <w:top w:val="single" w:color="auto" w:sz="4" w:space="0"/>
                    <w:left w:val="single" w:color="auto" w:sz="4" w:space="0"/>
                    <w:bottom w:val="single" w:color="auto" w:sz="4" w:space="0"/>
                    <w:right w:val="nil"/>
                  </w:tcBorders>
                  <w:vAlign w:val="center"/>
                </w:tcPr>
                <w:p>
                  <w:pPr>
                    <w:adjustRightInd w:val="0"/>
                    <w:snapToGrid w:val="0"/>
                    <w:spacing w:line="360" w:lineRule="exact"/>
                    <w:jc w:val="center"/>
                    <w:rPr>
                      <w:sz w:val="24"/>
                    </w:rPr>
                  </w:pPr>
                  <w:r>
                    <w:rPr>
                      <w:rFonts w:hint="eastAsia"/>
                      <w:sz w:val="24"/>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4</w:t>
                  </w:r>
                </w:p>
              </w:tc>
              <w:tc>
                <w:tcPr>
                  <w:tcW w:w="141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水性底漆</w:t>
                  </w:r>
                </w:p>
              </w:tc>
              <w:tc>
                <w:tcPr>
                  <w:tcW w:w="19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0.10</w:t>
                  </w:r>
                </w:p>
              </w:tc>
              <w:tc>
                <w:tcPr>
                  <w:tcW w:w="1210" w:type="pct"/>
                  <w:tcBorders>
                    <w:top w:val="single" w:color="auto" w:sz="4" w:space="0"/>
                    <w:left w:val="single" w:color="auto" w:sz="4" w:space="0"/>
                    <w:bottom w:val="single" w:color="auto" w:sz="4" w:space="0"/>
                    <w:right w:val="nil"/>
                  </w:tcBorders>
                  <w:vAlign w:val="center"/>
                </w:tcPr>
                <w:p>
                  <w:pPr>
                    <w:adjustRightInd w:val="0"/>
                    <w:snapToGrid w:val="0"/>
                    <w:spacing w:line="360" w:lineRule="exact"/>
                    <w:jc w:val="center"/>
                    <w:rPr>
                      <w:sz w:val="24"/>
                    </w:rPr>
                  </w:pPr>
                  <w:r>
                    <w:rPr>
                      <w:rFonts w:hint="eastAsia"/>
                      <w:sz w:val="24"/>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5</w:t>
                  </w:r>
                </w:p>
              </w:tc>
              <w:tc>
                <w:tcPr>
                  <w:tcW w:w="141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水</w:t>
                  </w:r>
                </w:p>
              </w:tc>
              <w:tc>
                <w:tcPr>
                  <w:tcW w:w="19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180</w:t>
                  </w:r>
                </w:p>
              </w:tc>
              <w:tc>
                <w:tcPr>
                  <w:tcW w:w="1210" w:type="pct"/>
                  <w:tcBorders>
                    <w:top w:val="single" w:color="auto" w:sz="4" w:space="0"/>
                    <w:left w:val="single" w:color="auto" w:sz="4" w:space="0"/>
                    <w:bottom w:val="single" w:color="auto" w:sz="4" w:space="0"/>
                    <w:right w:val="nil"/>
                  </w:tcBorders>
                  <w:vAlign w:val="center"/>
                </w:tcPr>
                <w:p>
                  <w:pPr>
                    <w:adjustRightInd w:val="0"/>
                    <w:snapToGrid w:val="0"/>
                    <w:spacing w:line="360" w:lineRule="exact"/>
                    <w:jc w:val="center"/>
                    <w:rPr>
                      <w:sz w:val="24"/>
                    </w:rPr>
                  </w:pPr>
                  <w:r>
                    <w:rPr>
                      <w:rFonts w:hint="eastAsia"/>
                      <w:sz w:val="24"/>
                    </w:rPr>
                    <w:t>厂区自备井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6</w:t>
                  </w:r>
                </w:p>
              </w:tc>
              <w:tc>
                <w:tcPr>
                  <w:tcW w:w="141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电</w:t>
                  </w:r>
                </w:p>
              </w:tc>
              <w:tc>
                <w:tcPr>
                  <w:tcW w:w="19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sz w:val="24"/>
                    </w:rPr>
                    <w:t>2万度</w:t>
                  </w:r>
                </w:p>
              </w:tc>
              <w:tc>
                <w:tcPr>
                  <w:tcW w:w="1210" w:type="pct"/>
                  <w:tcBorders>
                    <w:top w:val="single" w:color="auto" w:sz="4" w:space="0"/>
                    <w:left w:val="single" w:color="auto" w:sz="4" w:space="0"/>
                    <w:bottom w:val="single" w:color="auto" w:sz="4" w:space="0"/>
                    <w:right w:val="nil"/>
                  </w:tcBorders>
                  <w:vAlign w:val="center"/>
                </w:tcPr>
                <w:p>
                  <w:pPr>
                    <w:adjustRightInd w:val="0"/>
                    <w:snapToGrid w:val="0"/>
                    <w:spacing w:line="360" w:lineRule="exact"/>
                    <w:jc w:val="center"/>
                    <w:rPr>
                      <w:sz w:val="24"/>
                    </w:rPr>
                  </w:pPr>
                  <w:r>
                    <w:rPr>
                      <w:rFonts w:hint="eastAsia"/>
                      <w:sz w:val="24"/>
                    </w:rPr>
                    <w:t>当地电网</w:t>
                  </w:r>
                </w:p>
              </w:tc>
            </w:tr>
          </w:tbl>
          <w:p>
            <w:pPr>
              <w:tabs>
                <w:tab w:val="left" w:pos="5247"/>
              </w:tabs>
              <w:adjustRightInd w:val="0"/>
              <w:snapToGrid w:val="0"/>
              <w:spacing w:line="500" w:lineRule="exact"/>
              <w:ind w:firstLine="480" w:firstLineChars="200"/>
              <w:rPr>
                <w:rFonts w:hint="eastAsia"/>
                <w:sz w:val="24"/>
                <w:u w:val="single"/>
              </w:rPr>
            </w:pPr>
            <w:r>
              <w:rPr>
                <w:rFonts w:hint="eastAsia"/>
                <w:sz w:val="24"/>
                <w:u w:val="single"/>
              </w:rPr>
              <w:t>本项目使用水性漆是单组份水性丙烯酸涂料。其以水稀释剂、不含有机溶剂的涂料，不含苯、甲苯、二甲苯、甲醛、游离TDI、有毒重金属，无毒无刺激气味，对人体无害，不污染环境，漆膜丰满、晶莹透亮、柔韧性好并且具有耐水、耐磨、耐老化、耐黄变、干燥快、使用方便等特点。</w:t>
            </w:r>
          </w:p>
          <w:p>
            <w:pPr>
              <w:tabs>
                <w:tab w:val="left" w:pos="5247"/>
              </w:tabs>
              <w:adjustRightInd w:val="0"/>
              <w:snapToGrid w:val="0"/>
              <w:spacing w:line="500" w:lineRule="exact"/>
              <w:ind w:firstLine="480" w:firstLineChars="200"/>
              <w:rPr>
                <w:sz w:val="24"/>
              </w:rPr>
            </w:pPr>
            <w:r>
              <w:rPr>
                <w:rFonts w:hint="eastAsia"/>
                <w:sz w:val="24"/>
              </w:rPr>
              <w:t>原辅材料理化性质：</w:t>
            </w:r>
          </w:p>
          <w:p>
            <w:pPr>
              <w:tabs>
                <w:tab w:val="left" w:pos="5247"/>
              </w:tabs>
              <w:adjustRightInd w:val="0"/>
              <w:snapToGrid w:val="0"/>
              <w:spacing w:line="500" w:lineRule="exact"/>
              <w:ind w:firstLine="480" w:firstLineChars="200"/>
              <w:rPr>
                <w:sz w:val="24"/>
              </w:rPr>
            </w:pPr>
            <w:r>
              <w:rPr>
                <w:rFonts w:hint="eastAsia"/>
                <w:sz w:val="24"/>
              </w:rPr>
              <w:t>水性丙烯酸乳液：是通过乳液聚合的方式，将各种丙烯酸单体聚合而成的乳液，广泛应用于涂料，粘合剂，造纸，纺织等行业。乳白色液体，带蓝光，PH值2.0~4.0，无毒、无刺激，对人体无害，符合环保要求，非成膜高光树脂，具有优异的光泽与透明性，抗粘连性能好。化学性质稳定，不易挥发。</w:t>
            </w:r>
          </w:p>
          <w:p>
            <w:pPr>
              <w:tabs>
                <w:tab w:val="left" w:pos="5247"/>
              </w:tabs>
              <w:adjustRightInd w:val="0"/>
              <w:snapToGrid w:val="0"/>
              <w:spacing w:line="500" w:lineRule="exact"/>
              <w:ind w:firstLine="480" w:firstLineChars="200"/>
              <w:rPr>
                <w:sz w:val="24"/>
              </w:rPr>
            </w:pPr>
            <w:r>
              <w:rPr>
                <w:rFonts w:hint="eastAsia"/>
                <w:sz w:val="24"/>
              </w:rPr>
              <w:t>水性漆的组分见表12所示，各成分理化性质及作用见表13所示。</w:t>
            </w:r>
          </w:p>
          <w:p>
            <w:pPr>
              <w:autoSpaceDE w:val="0"/>
              <w:autoSpaceDN w:val="0"/>
              <w:adjustRightInd w:val="0"/>
              <w:snapToGrid w:val="0"/>
              <w:spacing w:line="400" w:lineRule="exact"/>
              <w:ind w:left="420"/>
              <w:rPr>
                <w:rFonts w:ascii="宋体" w:hAnsi="宋体"/>
                <w:b/>
                <w:sz w:val="24"/>
              </w:rPr>
            </w:pPr>
            <w:r>
              <w:rPr>
                <w:rFonts w:hAnsi="宋体"/>
                <w:b/>
                <w:sz w:val="24"/>
              </w:rPr>
              <w:t>表</w:t>
            </w:r>
            <w:r>
              <w:rPr>
                <w:b/>
                <w:sz w:val="24"/>
              </w:rPr>
              <w:t xml:space="preserve">12 </w:t>
            </w:r>
            <w:r>
              <w:rPr>
                <w:rFonts w:ascii="宋体" w:hAnsi="宋体"/>
                <w:b/>
                <w:sz w:val="24"/>
              </w:rPr>
              <w:t xml:space="preserve">         </w:t>
            </w:r>
            <w:r>
              <w:rPr>
                <w:rFonts w:hint="eastAsia" w:ascii="宋体" w:hAnsi="宋体"/>
                <w:b/>
                <w:sz w:val="24"/>
              </w:rPr>
              <w:t xml:space="preserve">       </w:t>
            </w:r>
            <w:r>
              <w:rPr>
                <w:rFonts w:ascii="宋体" w:hAnsi="宋体"/>
                <w:b/>
                <w:sz w:val="24"/>
              </w:rPr>
              <w:t xml:space="preserve">   本项目水性漆成分一览表</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1738"/>
              <w:gridCol w:w="1740"/>
              <w:gridCol w:w="1393"/>
              <w:gridCol w:w="1566"/>
              <w:gridCol w:w="1044"/>
              <w:gridCol w:w="10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pct"/>
                  <w:vMerge w:val="restart"/>
                  <w:vAlign w:val="center"/>
                </w:tcPr>
                <w:p>
                  <w:pPr>
                    <w:pStyle w:val="48"/>
                    <w:spacing w:line="240" w:lineRule="auto"/>
                    <w:ind w:firstLine="0" w:firstLineChars="0"/>
                    <w:jc w:val="center"/>
                    <w:rPr>
                      <w:rFonts w:ascii="宋体" w:hAnsi="宋体"/>
                      <w:b/>
                      <w:kern w:val="2"/>
                      <w:sz w:val="24"/>
                      <w:szCs w:val="24"/>
                    </w:rPr>
                  </w:pPr>
                  <w:r>
                    <w:rPr>
                      <w:rFonts w:ascii="宋体" w:hAnsi="宋体"/>
                      <w:b/>
                      <w:kern w:val="2"/>
                      <w:sz w:val="24"/>
                      <w:szCs w:val="24"/>
                    </w:rPr>
                    <w:t>名称</w:t>
                  </w:r>
                </w:p>
              </w:tc>
              <w:tc>
                <w:tcPr>
                  <w:tcW w:w="4138" w:type="pct"/>
                  <w:gridSpan w:val="6"/>
                  <w:vAlign w:val="center"/>
                </w:tcPr>
                <w:p>
                  <w:pPr>
                    <w:pStyle w:val="48"/>
                    <w:spacing w:line="240" w:lineRule="auto"/>
                    <w:ind w:firstLine="0" w:firstLineChars="0"/>
                    <w:jc w:val="center"/>
                    <w:rPr>
                      <w:rFonts w:ascii="宋体" w:hAnsi="宋体"/>
                      <w:b/>
                      <w:kern w:val="2"/>
                      <w:sz w:val="24"/>
                      <w:szCs w:val="24"/>
                    </w:rPr>
                  </w:pPr>
                  <w:r>
                    <w:rPr>
                      <w:rFonts w:ascii="宋体" w:hAnsi="宋体"/>
                      <w:b/>
                      <w:kern w:val="2"/>
                      <w:sz w:val="24"/>
                      <w:szCs w:val="24"/>
                    </w:rPr>
                    <w:t>成分组成比例(%)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vAlign w:val="center"/>
                </w:tcPr>
                <w:p>
                  <w:pPr>
                    <w:widowControl/>
                    <w:jc w:val="left"/>
                    <w:rPr>
                      <w:rFonts w:ascii="宋体" w:hAnsi="宋体"/>
                      <w:b/>
                      <w:sz w:val="24"/>
                    </w:rPr>
                  </w:pPr>
                </w:p>
              </w:tc>
              <w:tc>
                <w:tcPr>
                  <w:tcW w:w="847" w:type="pct"/>
                  <w:vAlign w:val="center"/>
                </w:tcPr>
                <w:p>
                  <w:pPr>
                    <w:pStyle w:val="48"/>
                    <w:spacing w:line="240" w:lineRule="auto"/>
                    <w:ind w:firstLine="0" w:firstLineChars="0"/>
                    <w:jc w:val="center"/>
                    <w:rPr>
                      <w:rFonts w:ascii="宋体" w:hAnsi="宋体"/>
                      <w:b/>
                      <w:kern w:val="2"/>
                      <w:sz w:val="24"/>
                      <w:szCs w:val="24"/>
                    </w:rPr>
                  </w:pPr>
                  <w:r>
                    <w:rPr>
                      <w:rFonts w:ascii="宋体" w:hAnsi="宋体"/>
                      <w:b/>
                      <w:bCs/>
                      <w:kern w:val="2"/>
                      <w:sz w:val="24"/>
                      <w:szCs w:val="24"/>
                    </w:rPr>
                    <w:t>丙烯酸树脂聚合物</w:t>
                  </w:r>
                </w:p>
              </w:tc>
              <w:tc>
                <w:tcPr>
                  <w:tcW w:w="848" w:type="pct"/>
                  <w:vAlign w:val="center"/>
                </w:tcPr>
                <w:p>
                  <w:pPr>
                    <w:pStyle w:val="48"/>
                    <w:spacing w:line="240" w:lineRule="auto"/>
                    <w:ind w:firstLine="0" w:firstLineChars="0"/>
                    <w:jc w:val="center"/>
                    <w:rPr>
                      <w:rFonts w:ascii="宋体" w:hAnsi="宋体"/>
                      <w:b/>
                      <w:kern w:val="2"/>
                      <w:sz w:val="24"/>
                      <w:szCs w:val="24"/>
                    </w:rPr>
                  </w:pPr>
                  <w:r>
                    <w:rPr>
                      <w:rFonts w:ascii="宋体" w:hAnsi="宋体"/>
                      <w:b/>
                      <w:bCs/>
                      <w:kern w:val="2"/>
                      <w:sz w:val="24"/>
                      <w:szCs w:val="24"/>
                    </w:rPr>
                    <w:t>脂肪族聚氨酯分散体</w:t>
                  </w:r>
                </w:p>
              </w:tc>
              <w:tc>
                <w:tcPr>
                  <w:tcW w:w="679" w:type="pct"/>
                  <w:vAlign w:val="center"/>
                </w:tcPr>
                <w:p>
                  <w:pPr>
                    <w:pStyle w:val="48"/>
                    <w:spacing w:line="240" w:lineRule="auto"/>
                    <w:ind w:firstLine="0" w:firstLineChars="0"/>
                    <w:jc w:val="center"/>
                    <w:rPr>
                      <w:rFonts w:ascii="宋体" w:hAnsi="宋体"/>
                      <w:b/>
                      <w:kern w:val="2"/>
                      <w:sz w:val="24"/>
                      <w:szCs w:val="24"/>
                    </w:rPr>
                  </w:pPr>
                  <w:r>
                    <w:rPr>
                      <w:rFonts w:ascii="宋体" w:hAnsi="宋体"/>
                      <w:b/>
                      <w:bCs/>
                      <w:kern w:val="2"/>
                      <w:sz w:val="24"/>
                      <w:szCs w:val="24"/>
                    </w:rPr>
                    <w:t>二乙二醇丁醚</w:t>
                  </w:r>
                </w:p>
              </w:tc>
              <w:tc>
                <w:tcPr>
                  <w:tcW w:w="763" w:type="pct"/>
                  <w:vAlign w:val="center"/>
                </w:tcPr>
                <w:p>
                  <w:pPr>
                    <w:pStyle w:val="48"/>
                    <w:spacing w:line="240" w:lineRule="auto"/>
                    <w:ind w:firstLine="0" w:firstLineChars="0"/>
                    <w:jc w:val="center"/>
                    <w:rPr>
                      <w:rFonts w:ascii="宋体" w:hAnsi="宋体"/>
                      <w:b/>
                      <w:kern w:val="2"/>
                      <w:sz w:val="24"/>
                      <w:szCs w:val="24"/>
                    </w:rPr>
                  </w:pPr>
                  <w:r>
                    <w:rPr>
                      <w:rFonts w:ascii="宋体" w:hAnsi="宋体"/>
                      <w:b/>
                      <w:bCs/>
                      <w:kern w:val="2"/>
                      <w:sz w:val="24"/>
                      <w:szCs w:val="24"/>
                    </w:rPr>
                    <w:t>乙二醇丁醚</w:t>
                  </w:r>
                </w:p>
              </w:tc>
              <w:tc>
                <w:tcPr>
                  <w:tcW w:w="509" w:type="pct"/>
                  <w:vAlign w:val="center"/>
                </w:tcPr>
                <w:p>
                  <w:pPr>
                    <w:pStyle w:val="48"/>
                    <w:spacing w:line="240" w:lineRule="auto"/>
                    <w:ind w:firstLine="0" w:firstLineChars="0"/>
                    <w:jc w:val="center"/>
                    <w:rPr>
                      <w:rFonts w:ascii="宋体" w:hAnsi="宋体"/>
                      <w:b/>
                      <w:kern w:val="2"/>
                      <w:sz w:val="24"/>
                      <w:szCs w:val="24"/>
                    </w:rPr>
                  </w:pPr>
                  <w:r>
                    <w:rPr>
                      <w:rFonts w:ascii="宋体" w:hAnsi="宋体"/>
                      <w:b/>
                      <w:bCs/>
                      <w:kern w:val="2"/>
                      <w:sz w:val="24"/>
                      <w:szCs w:val="24"/>
                    </w:rPr>
                    <w:t>消光粉</w:t>
                  </w:r>
                </w:p>
              </w:tc>
              <w:tc>
                <w:tcPr>
                  <w:tcW w:w="492" w:type="pct"/>
                  <w:vAlign w:val="center"/>
                </w:tcPr>
                <w:p>
                  <w:pPr>
                    <w:pStyle w:val="48"/>
                    <w:spacing w:line="240" w:lineRule="auto"/>
                    <w:ind w:firstLine="0" w:firstLineChars="0"/>
                    <w:jc w:val="center"/>
                    <w:rPr>
                      <w:rFonts w:ascii="宋体" w:hAnsi="宋体"/>
                      <w:b/>
                      <w:kern w:val="2"/>
                      <w:sz w:val="24"/>
                      <w:szCs w:val="24"/>
                    </w:rPr>
                  </w:pPr>
                  <w:r>
                    <w:rPr>
                      <w:rFonts w:ascii="宋体" w:hAnsi="宋体"/>
                      <w:b/>
                      <w:kern w:val="2"/>
                      <w:sz w:val="24"/>
                      <w:szCs w:val="24"/>
                    </w:rPr>
                    <w:t>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pct"/>
                  <w:vAlign w:val="center"/>
                </w:tcPr>
                <w:p>
                  <w:pPr>
                    <w:pStyle w:val="48"/>
                    <w:spacing w:line="240" w:lineRule="auto"/>
                    <w:ind w:firstLine="0" w:firstLineChars="0"/>
                    <w:jc w:val="center"/>
                    <w:rPr>
                      <w:rFonts w:ascii="宋体" w:hAnsi="宋体"/>
                      <w:kern w:val="2"/>
                      <w:sz w:val="24"/>
                      <w:szCs w:val="24"/>
                    </w:rPr>
                  </w:pPr>
                  <w:r>
                    <w:rPr>
                      <w:rFonts w:ascii="宋体" w:hAnsi="宋体"/>
                      <w:kern w:val="2"/>
                      <w:sz w:val="24"/>
                      <w:szCs w:val="24"/>
                    </w:rPr>
                    <w:t>水性底漆</w:t>
                  </w:r>
                </w:p>
              </w:tc>
              <w:tc>
                <w:tcPr>
                  <w:tcW w:w="847" w:type="pct"/>
                  <w:vAlign w:val="center"/>
                </w:tcPr>
                <w:p>
                  <w:pPr>
                    <w:pStyle w:val="48"/>
                    <w:spacing w:line="240" w:lineRule="auto"/>
                    <w:ind w:firstLine="0" w:firstLineChars="0"/>
                    <w:jc w:val="center"/>
                    <w:rPr>
                      <w:rFonts w:ascii="宋体" w:hAnsi="宋体"/>
                      <w:kern w:val="2"/>
                      <w:sz w:val="24"/>
                      <w:szCs w:val="24"/>
                    </w:rPr>
                  </w:pPr>
                  <w:r>
                    <w:rPr>
                      <w:rFonts w:ascii="宋体" w:hAnsi="宋体"/>
                      <w:kern w:val="2"/>
                      <w:sz w:val="24"/>
                      <w:szCs w:val="24"/>
                    </w:rPr>
                    <w:t>65</w:t>
                  </w:r>
                </w:p>
              </w:tc>
              <w:tc>
                <w:tcPr>
                  <w:tcW w:w="848" w:type="pct"/>
                  <w:vAlign w:val="center"/>
                </w:tcPr>
                <w:p>
                  <w:pPr>
                    <w:pStyle w:val="48"/>
                    <w:spacing w:line="240" w:lineRule="auto"/>
                    <w:ind w:firstLine="0" w:firstLineChars="0"/>
                    <w:jc w:val="center"/>
                    <w:rPr>
                      <w:rFonts w:ascii="宋体" w:hAnsi="宋体"/>
                      <w:kern w:val="2"/>
                      <w:sz w:val="24"/>
                      <w:szCs w:val="24"/>
                    </w:rPr>
                  </w:pPr>
                  <w:r>
                    <w:rPr>
                      <w:rFonts w:ascii="宋体" w:hAnsi="宋体"/>
                      <w:kern w:val="2"/>
                      <w:sz w:val="24"/>
                      <w:szCs w:val="24"/>
                    </w:rPr>
                    <w:t>10</w:t>
                  </w:r>
                </w:p>
              </w:tc>
              <w:tc>
                <w:tcPr>
                  <w:tcW w:w="679" w:type="pct"/>
                  <w:vAlign w:val="center"/>
                </w:tcPr>
                <w:p>
                  <w:pPr>
                    <w:pStyle w:val="48"/>
                    <w:spacing w:line="240" w:lineRule="auto"/>
                    <w:ind w:firstLine="0" w:firstLineChars="0"/>
                    <w:jc w:val="center"/>
                    <w:rPr>
                      <w:rFonts w:ascii="宋体" w:hAnsi="宋体"/>
                      <w:kern w:val="2"/>
                      <w:sz w:val="24"/>
                      <w:szCs w:val="24"/>
                    </w:rPr>
                  </w:pPr>
                  <w:r>
                    <w:rPr>
                      <w:rFonts w:ascii="宋体" w:hAnsi="宋体"/>
                      <w:kern w:val="2"/>
                      <w:sz w:val="24"/>
                      <w:szCs w:val="24"/>
                    </w:rPr>
                    <w:t>2</w:t>
                  </w:r>
                </w:p>
              </w:tc>
              <w:tc>
                <w:tcPr>
                  <w:tcW w:w="763" w:type="pct"/>
                  <w:vAlign w:val="center"/>
                </w:tcPr>
                <w:p>
                  <w:pPr>
                    <w:pStyle w:val="48"/>
                    <w:spacing w:line="240" w:lineRule="auto"/>
                    <w:ind w:firstLine="0" w:firstLineChars="0"/>
                    <w:jc w:val="center"/>
                    <w:rPr>
                      <w:rFonts w:ascii="宋体" w:hAnsi="宋体"/>
                      <w:kern w:val="2"/>
                      <w:sz w:val="24"/>
                      <w:szCs w:val="24"/>
                    </w:rPr>
                  </w:pPr>
                  <w:r>
                    <w:rPr>
                      <w:rFonts w:ascii="宋体" w:hAnsi="宋体"/>
                      <w:kern w:val="2"/>
                      <w:sz w:val="24"/>
                      <w:szCs w:val="24"/>
                    </w:rPr>
                    <w:t>3</w:t>
                  </w:r>
                </w:p>
              </w:tc>
              <w:tc>
                <w:tcPr>
                  <w:tcW w:w="509" w:type="pct"/>
                  <w:vAlign w:val="center"/>
                </w:tcPr>
                <w:p>
                  <w:pPr>
                    <w:pStyle w:val="48"/>
                    <w:spacing w:line="240" w:lineRule="auto"/>
                    <w:ind w:firstLine="0" w:firstLineChars="0"/>
                    <w:jc w:val="center"/>
                    <w:rPr>
                      <w:rFonts w:ascii="宋体" w:hAnsi="宋体"/>
                      <w:kern w:val="2"/>
                      <w:sz w:val="24"/>
                      <w:szCs w:val="24"/>
                    </w:rPr>
                  </w:pPr>
                  <w:r>
                    <w:rPr>
                      <w:rFonts w:ascii="宋体" w:hAnsi="宋体"/>
                      <w:kern w:val="2"/>
                      <w:sz w:val="24"/>
                      <w:szCs w:val="24"/>
                    </w:rPr>
                    <w:t>0</w:t>
                  </w:r>
                </w:p>
              </w:tc>
              <w:tc>
                <w:tcPr>
                  <w:tcW w:w="492" w:type="pct"/>
                  <w:vAlign w:val="center"/>
                </w:tcPr>
                <w:p>
                  <w:pPr>
                    <w:pStyle w:val="48"/>
                    <w:spacing w:line="240" w:lineRule="auto"/>
                    <w:ind w:firstLine="0" w:firstLineChars="0"/>
                    <w:jc w:val="center"/>
                    <w:rPr>
                      <w:rFonts w:ascii="宋体" w:hAnsi="宋体"/>
                      <w:kern w:val="2"/>
                      <w:sz w:val="24"/>
                      <w:szCs w:val="24"/>
                    </w:rPr>
                  </w:pPr>
                  <w:r>
                    <w:rPr>
                      <w:rFonts w:ascii="宋体" w:hAnsi="宋体"/>
                      <w:kern w:val="2"/>
                      <w:sz w:val="24"/>
                      <w:szCs w:val="24"/>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pct"/>
                  <w:vAlign w:val="center"/>
                </w:tcPr>
                <w:p>
                  <w:pPr>
                    <w:pStyle w:val="48"/>
                    <w:spacing w:line="240" w:lineRule="auto"/>
                    <w:ind w:firstLine="0" w:firstLineChars="0"/>
                    <w:jc w:val="center"/>
                    <w:rPr>
                      <w:rFonts w:ascii="宋体" w:hAnsi="宋体"/>
                      <w:kern w:val="2"/>
                      <w:sz w:val="24"/>
                      <w:szCs w:val="24"/>
                    </w:rPr>
                  </w:pPr>
                  <w:r>
                    <w:rPr>
                      <w:rFonts w:ascii="宋体" w:hAnsi="宋体"/>
                      <w:kern w:val="2"/>
                      <w:sz w:val="24"/>
                      <w:szCs w:val="24"/>
                    </w:rPr>
                    <w:t>水性面漆</w:t>
                  </w:r>
                </w:p>
              </w:tc>
              <w:tc>
                <w:tcPr>
                  <w:tcW w:w="847" w:type="pct"/>
                  <w:vAlign w:val="center"/>
                </w:tcPr>
                <w:p>
                  <w:pPr>
                    <w:pStyle w:val="48"/>
                    <w:spacing w:line="240" w:lineRule="auto"/>
                    <w:ind w:firstLine="0" w:firstLineChars="0"/>
                    <w:jc w:val="center"/>
                    <w:rPr>
                      <w:rFonts w:ascii="宋体" w:hAnsi="宋体"/>
                      <w:kern w:val="2"/>
                      <w:sz w:val="24"/>
                      <w:szCs w:val="24"/>
                    </w:rPr>
                  </w:pPr>
                  <w:r>
                    <w:rPr>
                      <w:rFonts w:ascii="宋体" w:hAnsi="宋体"/>
                      <w:kern w:val="2"/>
                      <w:sz w:val="24"/>
                      <w:szCs w:val="24"/>
                    </w:rPr>
                    <w:t>70</w:t>
                  </w:r>
                </w:p>
              </w:tc>
              <w:tc>
                <w:tcPr>
                  <w:tcW w:w="848" w:type="pct"/>
                  <w:vAlign w:val="center"/>
                </w:tcPr>
                <w:p>
                  <w:pPr>
                    <w:pStyle w:val="48"/>
                    <w:spacing w:line="240" w:lineRule="auto"/>
                    <w:ind w:firstLine="0" w:firstLineChars="0"/>
                    <w:jc w:val="center"/>
                    <w:rPr>
                      <w:rFonts w:ascii="宋体" w:hAnsi="宋体"/>
                      <w:kern w:val="2"/>
                      <w:sz w:val="24"/>
                      <w:szCs w:val="24"/>
                    </w:rPr>
                  </w:pPr>
                  <w:r>
                    <w:rPr>
                      <w:rFonts w:ascii="宋体" w:hAnsi="宋体"/>
                      <w:kern w:val="2"/>
                      <w:sz w:val="24"/>
                      <w:szCs w:val="24"/>
                    </w:rPr>
                    <w:t>10</w:t>
                  </w:r>
                </w:p>
              </w:tc>
              <w:tc>
                <w:tcPr>
                  <w:tcW w:w="679" w:type="pct"/>
                  <w:vAlign w:val="center"/>
                </w:tcPr>
                <w:p>
                  <w:pPr>
                    <w:pStyle w:val="48"/>
                    <w:spacing w:line="240" w:lineRule="auto"/>
                    <w:ind w:firstLine="0" w:firstLineChars="0"/>
                    <w:jc w:val="center"/>
                    <w:rPr>
                      <w:rFonts w:ascii="宋体" w:hAnsi="宋体"/>
                      <w:kern w:val="2"/>
                      <w:sz w:val="24"/>
                      <w:szCs w:val="24"/>
                    </w:rPr>
                  </w:pPr>
                  <w:r>
                    <w:rPr>
                      <w:rFonts w:ascii="宋体" w:hAnsi="宋体"/>
                      <w:kern w:val="2"/>
                      <w:sz w:val="24"/>
                      <w:szCs w:val="24"/>
                    </w:rPr>
                    <w:t>1</w:t>
                  </w:r>
                </w:p>
              </w:tc>
              <w:tc>
                <w:tcPr>
                  <w:tcW w:w="763" w:type="pct"/>
                  <w:vAlign w:val="center"/>
                </w:tcPr>
                <w:p>
                  <w:pPr>
                    <w:pStyle w:val="48"/>
                    <w:spacing w:line="240" w:lineRule="auto"/>
                    <w:ind w:firstLine="0" w:firstLineChars="0"/>
                    <w:jc w:val="center"/>
                    <w:rPr>
                      <w:rFonts w:ascii="宋体" w:hAnsi="宋体"/>
                      <w:kern w:val="2"/>
                      <w:sz w:val="24"/>
                      <w:szCs w:val="24"/>
                    </w:rPr>
                  </w:pPr>
                  <w:r>
                    <w:rPr>
                      <w:rFonts w:ascii="宋体" w:hAnsi="宋体"/>
                      <w:kern w:val="2"/>
                      <w:sz w:val="24"/>
                      <w:szCs w:val="24"/>
                    </w:rPr>
                    <w:t>3</w:t>
                  </w:r>
                </w:p>
              </w:tc>
              <w:tc>
                <w:tcPr>
                  <w:tcW w:w="509" w:type="pct"/>
                  <w:vAlign w:val="center"/>
                </w:tcPr>
                <w:p>
                  <w:pPr>
                    <w:pStyle w:val="48"/>
                    <w:spacing w:line="240" w:lineRule="auto"/>
                    <w:ind w:firstLine="0" w:firstLineChars="0"/>
                    <w:jc w:val="center"/>
                    <w:rPr>
                      <w:rFonts w:ascii="宋体" w:hAnsi="宋体"/>
                      <w:kern w:val="2"/>
                      <w:sz w:val="24"/>
                      <w:szCs w:val="24"/>
                    </w:rPr>
                  </w:pPr>
                  <w:r>
                    <w:rPr>
                      <w:rFonts w:ascii="宋体" w:hAnsi="宋体"/>
                      <w:kern w:val="2"/>
                      <w:sz w:val="24"/>
                      <w:szCs w:val="24"/>
                    </w:rPr>
                    <w:t>1</w:t>
                  </w:r>
                </w:p>
              </w:tc>
              <w:tc>
                <w:tcPr>
                  <w:tcW w:w="492" w:type="pct"/>
                  <w:vAlign w:val="center"/>
                </w:tcPr>
                <w:p>
                  <w:pPr>
                    <w:pStyle w:val="48"/>
                    <w:spacing w:line="240" w:lineRule="auto"/>
                    <w:ind w:firstLine="0" w:firstLineChars="0"/>
                    <w:jc w:val="center"/>
                    <w:rPr>
                      <w:rFonts w:ascii="宋体" w:hAnsi="宋体"/>
                      <w:kern w:val="2"/>
                      <w:sz w:val="24"/>
                      <w:szCs w:val="24"/>
                    </w:rPr>
                  </w:pPr>
                  <w:r>
                    <w:rPr>
                      <w:rFonts w:ascii="宋体" w:hAnsi="宋体"/>
                      <w:kern w:val="2"/>
                      <w:sz w:val="24"/>
                      <w:szCs w:val="24"/>
                    </w:rPr>
                    <w:t>15</w:t>
                  </w:r>
                </w:p>
              </w:tc>
            </w:tr>
          </w:tbl>
          <w:p>
            <w:pPr>
              <w:autoSpaceDE w:val="0"/>
              <w:autoSpaceDN w:val="0"/>
              <w:adjustRightInd w:val="0"/>
              <w:snapToGrid w:val="0"/>
              <w:spacing w:line="400" w:lineRule="exact"/>
              <w:ind w:left="420"/>
              <w:rPr>
                <w:rFonts w:ascii="宋体" w:hAnsi="宋体"/>
                <w:b/>
                <w:sz w:val="24"/>
              </w:rPr>
            </w:pPr>
            <w:r>
              <w:rPr>
                <w:rFonts w:hAnsi="宋体"/>
                <w:b/>
                <w:sz w:val="24"/>
              </w:rPr>
              <w:t>表</w:t>
            </w:r>
            <w:r>
              <w:rPr>
                <w:b/>
                <w:sz w:val="24"/>
              </w:rPr>
              <w:t xml:space="preserve">13  </w:t>
            </w:r>
            <w:r>
              <w:rPr>
                <w:rFonts w:ascii="宋体" w:hAnsi="宋体"/>
                <w:b/>
                <w:sz w:val="24"/>
              </w:rPr>
              <w:t xml:space="preserve">      </w:t>
            </w:r>
            <w:r>
              <w:rPr>
                <w:rFonts w:hint="eastAsia" w:ascii="宋体" w:hAnsi="宋体"/>
                <w:b/>
                <w:sz w:val="24"/>
              </w:rPr>
              <w:t xml:space="preserve">       </w:t>
            </w:r>
            <w:r>
              <w:rPr>
                <w:rFonts w:ascii="宋体" w:hAnsi="宋体"/>
                <w:b/>
                <w:sz w:val="24"/>
              </w:rPr>
              <w:t xml:space="preserve">     各成分理化性质及作用一览表</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86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pct"/>
                  <w:vAlign w:val="center"/>
                </w:tcPr>
                <w:p>
                  <w:pPr>
                    <w:pStyle w:val="48"/>
                    <w:spacing w:line="240" w:lineRule="auto"/>
                    <w:ind w:firstLine="0" w:firstLineChars="0"/>
                    <w:jc w:val="center"/>
                    <w:rPr>
                      <w:rFonts w:ascii="宋体" w:hAnsi="宋体"/>
                      <w:b/>
                      <w:kern w:val="2"/>
                      <w:sz w:val="24"/>
                      <w:szCs w:val="24"/>
                    </w:rPr>
                  </w:pPr>
                  <w:r>
                    <w:rPr>
                      <w:rFonts w:ascii="宋体" w:hAnsi="宋体"/>
                      <w:b/>
                      <w:kern w:val="2"/>
                      <w:sz w:val="24"/>
                      <w:szCs w:val="24"/>
                    </w:rPr>
                    <w:t>类型</w:t>
                  </w:r>
                </w:p>
              </w:tc>
              <w:tc>
                <w:tcPr>
                  <w:tcW w:w="4224" w:type="pct"/>
                  <w:vAlign w:val="center"/>
                </w:tcPr>
                <w:p>
                  <w:pPr>
                    <w:pStyle w:val="48"/>
                    <w:spacing w:line="240" w:lineRule="auto"/>
                    <w:ind w:firstLine="0" w:firstLineChars="0"/>
                    <w:jc w:val="center"/>
                    <w:rPr>
                      <w:rFonts w:ascii="宋体" w:hAnsi="宋体"/>
                      <w:b/>
                      <w:kern w:val="2"/>
                      <w:sz w:val="24"/>
                      <w:szCs w:val="24"/>
                    </w:rPr>
                  </w:pPr>
                  <w:r>
                    <w:rPr>
                      <w:rFonts w:ascii="宋体" w:hAnsi="宋体"/>
                      <w:b/>
                      <w:kern w:val="2"/>
                      <w:sz w:val="24"/>
                      <w:szCs w:val="24"/>
                    </w:rPr>
                    <w:t>理化性质及作用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pct"/>
                  <w:vAlign w:val="center"/>
                </w:tcPr>
                <w:p>
                  <w:pPr>
                    <w:adjustRightInd w:val="0"/>
                    <w:jc w:val="center"/>
                    <w:rPr>
                      <w:rFonts w:ascii="宋体" w:hAnsi="宋体"/>
                      <w:bCs/>
                      <w:sz w:val="24"/>
                    </w:rPr>
                  </w:pPr>
                  <w:r>
                    <w:rPr>
                      <w:rFonts w:ascii="宋体" w:hAnsi="宋体"/>
                      <w:bCs/>
                      <w:sz w:val="24"/>
                    </w:rPr>
                    <w:t>丙烯酸树脂聚合物</w:t>
                  </w:r>
                </w:p>
              </w:tc>
              <w:tc>
                <w:tcPr>
                  <w:tcW w:w="4224" w:type="pct"/>
                  <w:vAlign w:val="center"/>
                </w:tcPr>
                <w:p>
                  <w:pPr>
                    <w:pStyle w:val="48"/>
                    <w:spacing w:line="240" w:lineRule="auto"/>
                    <w:ind w:firstLine="0" w:firstLineChars="0"/>
                    <w:jc w:val="left"/>
                    <w:rPr>
                      <w:rFonts w:ascii="宋体" w:hAnsi="宋体"/>
                      <w:kern w:val="2"/>
                      <w:sz w:val="24"/>
                      <w:szCs w:val="24"/>
                    </w:rPr>
                  </w:pPr>
                  <w:r>
                    <w:rPr>
                      <w:rFonts w:ascii="宋体" w:hAnsi="宋体"/>
                      <w:kern w:val="2"/>
                      <w:sz w:val="24"/>
                      <w:szCs w:val="24"/>
                    </w:rPr>
                    <w:t>丙烯酸树脂是由丙烯酸、甲基丙烯酸及其酯类按不同的比例共聚而成的一类高分子聚合物，具有安全、稳定、惰性及无刺激等优点。丙烯酸树脂色浅、水白透明。涂膜性能优异，耐光、耐候性佳，耐热，耐过度烘烤、耐化学品性及耐腐蚀等性能都极好。因此，用丙烯酸树脂制造的涂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pct"/>
                  <w:vAlign w:val="center"/>
                </w:tcPr>
                <w:p>
                  <w:pPr>
                    <w:adjustRightInd w:val="0"/>
                    <w:jc w:val="center"/>
                    <w:rPr>
                      <w:rFonts w:ascii="宋体" w:hAnsi="宋体"/>
                      <w:bCs/>
                      <w:sz w:val="24"/>
                    </w:rPr>
                  </w:pPr>
                  <w:r>
                    <w:rPr>
                      <w:rFonts w:ascii="宋体" w:hAnsi="宋体"/>
                      <w:bCs/>
                      <w:sz w:val="24"/>
                    </w:rPr>
                    <w:t>脂肪族聚氨酯分散体</w:t>
                  </w:r>
                </w:p>
              </w:tc>
              <w:tc>
                <w:tcPr>
                  <w:tcW w:w="4224" w:type="pct"/>
                  <w:vAlign w:val="center"/>
                </w:tcPr>
                <w:p>
                  <w:pPr>
                    <w:pStyle w:val="48"/>
                    <w:spacing w:line="240" w:lineRule="auto"/>
                    <w:ind w:firstLine="0" w:firstLineChars="0"/>
                    <w:jc w:val="left"/>
                    <w:rPr>
                      <w:rFonts w:ascii="宋体" w:hAnsi="宋体"/>
                      <w:kern w:val="2"/>
                      <w:sz w:val="24"/>
                      <w:szCs w:val="24"/>
                    </w:rPr>
                  </w:pPr>
                  <w:r>
                    <w:rPr>
                      <w:rFonts w:ascii="宋体" w:hAnsi="宋体"/>
                      <w:kern w:val="2"/>
                      <w:sz w:val="24"/>
                      <w:szCs w:val="24"/>
                    </w:rPr>
                    <w:t>是一种基于聚碳酸酯二醇的水性脂肪族聚氨酯分散体。与丙烯酸乳液混合使用来提高漆膜的丰满度、硬度、韧性和耐化学性，常用作水性漆活性稀释剂。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pct"/>
                  <w:vAlign w:val="center"/>
                </w:tcPr>
                <w:p>
                  <w:pPr>
                    <w:adjustRightInd w:val="0"/>
                    <w:jc w:val="center"/>
                    <w:rPr>
                      <w:rFonts w:ascii="宋体" w:hAnsi="宋体"/>
                      <w:bCs/>
                      <w:sz w:val="24"/>
                    </w:rPr>
                  </w:pPr>
                  <w:r>
                    <w:rPr>
                      <w:rFonts w:ascii="宋体" w:hAnsi="宋体"/>
                      <w:bCs/>
                      <w:sz w:val="24"/>
                    </w:rPr>
                    <w:t>二乙二醇丁醚</w:t>
                  </w:r>
                </w:p>
              </w:tc>
              <w:tc>
                <w:tcPr>
                  <w:tcW w:w="4224" w:type="pct"/>
                  <w:vAlign w:val="center"/>
                </w:tcPr>
                <w:p>
                  <w:pPr>
                    <w:pStyle w:val="48"/>
                    <w:spacing w:line="240" w:lineRule="auto"/>
                    <w:ind w:firstLine="0" w:firstLineChars="0"/>
                    <w:jc w:val="left"/>
                    <w:rPr>
                      <w:rFonts w:ascii="宋体" w:hAnsi="宋体"/>
                      <w:kern w:val="2"/>
                      <w:sz w:val="24"/>
                      <w:szCs w:val="24"/>
                    </w:rPr>
                  </w:pPr>
                  <w:r>
                    <w:rPr>
                      <w:rFonts w:ascii="宋体" w:hAnsi="宋体"/>
                      <w:kern w:val="2"/>
                      <w:sz w:val="24"/>
                      <w:szCs w:val="24"/>
                    </w:rPr>
                    <w:t>二乙二醇丁醚是稍有丁醇气味的无色液体，分子式C</w:t>
                  </w:r>
                  <w:r>
                    <w:rPr>
                      <w:rFonts w:ascii="宋体" w:hAnsi="宋体"/>
                      <w:kern w:val="2"/>
                      <w:sz w:val="24"/>
                      <w:szCs w:val="24"/>
                      <w:vertAlign w:val="subscript"/>
                    </w:rPr>
                    <w:t>8</w:t>
                  </w:r>
                  <w:r>
                    <w:rPr>
                      <w:rFonts w:ascii="宋体" w:hAnsi="宋体"/>
                      <w:kern w:val="2"/>
                      <w:sz w:val="24"/>
                      <w:szCs w:val="24"/>
                    </w:rPr>
                    <w:t>H</w:t>
                  </w:r>
                  <w:r>
                    <w:rPr>
                      <w:rFonts w:ascii="宋体" w:hAnsi="宋体"/>
                      <w:kern w:val="2"/>
                      <w:sz w:val="24"/>
                      <w:szCs w:val="24"/>
                      <w:vertAlign w:val="subscript"/>
                    </w:rPr>
                    <w:t>18</w:t>
                  </w:r>
                  <w:r>
                    <w:rPr>
                      <w:rFonts w:ascii="宋体" w:hAnsi="宋体"/>
                      <w:kern w:val="2"/>
                      <w:sz w:val="24"/>
                      <w:szCs w:val="24"/>
                    </w:rPr>
                    <w:t>O</w:t>
                  </w:r>
                  <w:r>
                    <w:rPr>
                      <w:rFonts w:ascii="宋体" w:hAnsi="宋体"/>
                      <w:kern w:val="2"/>
                      <w:sz w:val="24"/>
                      <w:szCs w:val="24"/>
                      <w:vertAlign w:val="subscript"/>
                    </w:rPr>
                    <w:t>3</w:t>
                  </w:r>
                  <w:r>
                    <w:rPr>
                      <w:rFonts w:ascii="宋体" w:hAnsi="宋体"/>
                      <w:kern w:val="2"/>
                      <w:sz w:val="24"/>
                      <w:szCs w:val="24"/>
                    </w:rPr>
                    <w:t>，相对密度0.9536，能与水以任何比例混溶，溶于乙醇、乙醚、油类和其他有机溶剂。由于其较高的沸点，较低的挥发速度，可用作水性漆凝聚剂(成膜助剂)。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pct"/>
                  <w:vAlign w:val="center"/>
                </w:tcPr>
                <w:p>
                  <w:pPr>
                    <w:adjustRightInd w:val="0"/>
                    <w:jc w:val="center"/>
                    <w:rPr>
                      <w:rFonts w:ascii="宋体" w:hAnsi="宋体"/>
                      <w:bCs/>
                      <w:sz w:val="24"/>
                    </w:rPr>
                  </w:pPr>
                  <w:r>
                    <w:rPr>
                      <w:rFonts w:ascii="宋体" w:hAnsi="宋体"/>
                      <w:bCs/>
                      <w:sz w:val="24"/>
                    </w:rPr>
                    <w:t>乙二醇丁醚</w:t>
                  </w:r>
                </w:p>
              </w:tc>
              <w:tc>
                <w:tcPr>
                  <w:tcW w:w="4224" w:type="pct"/>
                  <w:vAlign w:val="center"/>
                </w:tcPr>
                <w:p>
                  <w:pPr>
                    <w:pStyle w:val="48"/>
                    <w:spacing w:line="240" w:lineRule="auto"/>
                    <w:ind w:firstLine="0" w:firstLineChars="0"/>
                    <w:jc w:val="left"/>
                    <w:rPr>
                      <w:rFonts w:ascii="宋体" w:hAnsi="宋体"/>
                      <w:kern w:val="2"/>
                      <w:sz w:val="24"/>
                      <w:szCs w:val="24"/>
                    </w:rPr>
                  </w:pPr>
                  <w:r>
                    <w:rPr>
                      <w:rFonts w:ascii="宋体" w:hAnsi="宋体"/>
                      <w:kern w:val="2"/>
                      <w:sz w:val="24"/>
                      <w:szCs w:val="24"/>
                    </w:rPr>
                    <w:t>无色</w:t>
                  </w:r>
                  <w:r>
                    <w:fldChar w:fldCharType="begin"/>
                  </w:r>
                  <w:r>
                    <w:instrText xml:space="preserve"> HYPERLINK "https://baike.so.com/doc/6226848-6440171.html" \t "_blank" </w:instrText>
                  </w:r>
                  <w:r>
                    <w:fldChar w:fldCharType="separate"/>
                  </w:r>
                  <w:r>
                    <w:rPr>
                      <w:rStyle w:val="31"/>
                      <w:rFonts w:ascii="宋体" w:hAnsi="宋体"/>
                      <w:color w:val="000000"/>
                      <w:kern w:val="2"/>
                      <w:sz w:val="24"/>
                      <w:szCs w:val="24"/>
                    </w:rPr>
                    <w:t>易燃液体</w:t>
                  </w:r>
                  <w:r>
                    <w:rPr>
                      <w:rStyle w:val="31"/>
                      <w:rFonts w:ascii="宋体" w:hAnsi="宋体"/>
                      <w:color w:val="000000"/>
                      <w:kern w:val="2"/>
                      <w:sz w:val="24"/>
                      <w:szCs w:val="24"/>
                    </w:rPr>
                    <w:fldChar w:fldCharType="end"/>
                  </w:r>
                  <w:r>
                    <w:rPr>
                      <w:rFonts w:ascii="宋体" w:hAnsi="宋体"/>
                      <w:color w:val="000000"/>
                      <w:kern w:val="2"/>
                      <w:sz w:val="24"/>
                      <w:szCs w:val="24"/>
                    </w:rPr>
                    <w:t>，具</w:t>
                  </w:r>
                  <w:r>
                    <w:rPr>
                      <w:rFonts w:ascii="宋体" w:hAnsi="宋体"/>
                      <w:kern w:val="2"/>
                      <w:sz w:val="24"/>
                      <w:szCs w:val="24"/>
                    </w:rPr>
                    <w:t>有中等程度醚味，分子式C</w:t>
                  </w:r>
                  <w:r>
                    <w:rPr>
                      <w:rFonts w:ascii="宋体" w:hAnsi="宋体"/>
                      <w:kern w:val="2"/>
                      <w:sz w:val="24"/>
                      <w:szCs w:val="24"/>
                      <w:vertAlign w:val="subscript"/>
                    </w:rPr>
                    <w:t>6</w:t>
                  </w:r>
                  <w:r>
                    <w:rPr>
                      <w:rFonts w:ascii="宋体" w:hAnsi="宋体"/>
                      <w:kern w:val="2"/>
                      <w:sz w:val="24"/>
                      <w:szCs w:val="24"/>
                    </w:rPr>
                    <w:t>H</w:t>
                  </w:r>
                  <w:r>
                    <w:rPr>
                      <w:rFonts w:ascii="宋体" w:hAnsi="宋体"/>
                      <w:kern w:val="2"/>
                      <w:sz w:val="24"/>
                      <w:szCs w:val="24"/>
                      <w:vertAlign w:val="subscript"/>
                    </w:rPr>
                    <w:t>14</w:t>
                  </w:r>
                  <w:r>
                    <w:rPr>
                      <w:rFonts w:ascii="宋体" w:hAnsi="宋体"/>
                      <w:kern w:val="2"/>
                      <w:sz w:val="24"/>
                      <w:szCs w:val="24"/>
                    </w:rPr>
                    <w:t>O</w:t>
                  </w:r>
                  <w:r>
                    <w:rPr>
                      <w:rFonts w:ascii="宋体" w:hAnsi="宋体"/>
                      <w:kern w:val="2"/>
                      <w:sz w:val="24"/>
                      <w:szCs w:val="24"/>
                      <w:vertAlign w:val="subscript"/>
                    </w:rPr>
                    <w:t>2</w:t>
                  </w:r>
                  <w:r>
                    <w:rPr>
                      <w:rFonts w:ascii="宋体" w:hAnsi="宋体"/>
                      <w:kern w:val="2"/>
                      <w:sz w:val="24"/>
                      <w:szCs w:val="24"/>
                    </w:rPr>
                    <w:t>，对密度0.901，与水混溶，可混溶于醇等多数有机溶剂。主要用于硝基纤维素、醋酸纤维素，合成树脂、油漆的溶剂，涂料工业用于配制油漆稀释剂、脱漆剂及制造喷漆的原料等。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pct"/>
                  <w:vAlign w:val="center"/>
                </w:tcPr>
                <w:p>
                  <w:pPr>
                    <w:adjustRightInd w:val="0"/>
                    <w:jc w:val="center"/>
                    <w:rPr>
                      <w:rFonts w:ascii="宋体" w:hAnsi="宋体"/>
                      <w:bCs/>
                      <w:sz w:val="24"/>
                    </w:rPr>
                  </w:pPr>
                  <w:r>
                    <w:rPr>
                      <w:rFonts w:ascii="宋体" w:hAnsi="宋体"/>
                      <w:bCs/>
                      <w:sz w:val="24"/>
                    </w:rPr>
                    <w:t>消光粉</w:t>
                  </w:r>
                </w:p>
              </w:tc>
              <w:tc>
                <w:tcPr>
                  <w:tcW w:w="4224" w:type="pct"/>
                  <w:vAlign w:val="center"/>
                </w:tcPr>
                <w:p>
                  <w:pPr>
                    <w:pStyle w:val="48"/>
                    <w:spacing w:line="240" w:lineRule="auto"/>
                    <w:ind w:firstLine="0" w:firstLineChars="0"/>
                    <w:jc w:val="left"/>
                    <w:rPr>
                      <w:rFonts w:ascii="宋体" w:hAnsi="宋体"/>
                      <w:kern w:val="2"/>
                      <w:sz w:val="24"/>
                      <w:szCs w:val="24"/>
                    </w:rPr>
                  </w:pPr>
                  <w:r>
                    <w:rPr>
                      <w:rFonts w:ascii="宋体" w:hAnsi="宋体"/>
                      <w:kern w:val="2"/>
                      <w:sz w:val="24"/>
                      <w:szCs w:val="24"/>
                    </w:rPr>
                    <w:t>消光粉主要成分为二氧化硅，通过采用特殊的生产工艺及表面处理，消光粉有独特的折射率，能赋予漆膜更好的透明性，施工过程中有很好的润湿效果，使漆膜具有更好的细腻手感，从而更好的展现素材的层次感，以及色彩的鲜艳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6" w:type="pct"/>
                  <w:vAlign w:val="center"/>
                </w:tcPr>
                <w:p>
                  <w:pPr>
                    <w:adjustRightInd w:val="0"/>
                    <w:jc w:val="center"/>
                    <w:rPr>
                      <w:rFonts w:ascii="宋体" w:hAnsi="宋体"/>
                      <w:bCs/>
                      <w:sz w:val="24"/>
                    </w:rPr>
                  </w:pPr>
                  <w:r>
                    <w:rPr>
                      <w:rFonts w:ascii="宋体" w:hAnsi="宋体"/>
                      <w:bCs/>
                      <w:sz w:val="24"/>
                    </w:rPr>
                    <w:t>水</w:t>
                  </w:r>
                </w:p>
              </w:tc>
              <w:tc>
                <w:tcPr>
                  <w:tcW w:w="4224" w:type="pct"/>
                  <w:vAlign w:val="center"/>
                </w:tcPr>
                <w:p>
                  <w:pPr>
                    <w:pStyle w:val="48"/>
                    <w:spacing w:line="240" w:lineRule="auto"/>
                    <w:ind w:firstLine="0" w:firstLineChars="0"/>
                    <w:jc w:val="left"/>
                    <w:rPr>
                      <w:rFonts w:ascii="宋体" w:hAnsi="宋体"/>
                      <w:kern w:val="2"/>
                      <w:sz w:val="24"/>
                      <w:szCs w:val="24"/>
                    </w:rPr>
                  </w:pPr>
                  <w:r>
                    <w:rPr>
                      <w:rFonts w:ascii="宋体" w:hAnsi="宋体"/>
                      <w:kern w:val="2"/>
                      <w:sz w:val="24"/>
                      <w:szCs w:val="24"/>
                    </w:rPr>
                    <w:t>作为水性漆溶剂</w:t>
                  </w:r>
                </w:p>
              </w:tc>
            </w:tr>
          </w:tbl>
          <w:p>
            <w:pPr>
              <w:tabs>
                <w:tab w:val="left" w:pos="5247"/>
              </w:tabs>
              <w:adjustRightInd w:val="0"/>
              <w:snapToGrid w:val="0"/>
              <w:spacing w:line="500" w:lineRule="exact"/>
              <w:ind w:firstLine="480" w:firstLineChars="200"/>
              <w:rPr>
                <w:sz w:val="24"/>
              </w:rPr>
            </w:pPr>
            <w:r>
              <w:rPr>
                <w:rFonts w:hint="eastAsia"/>
                <w:sz w:val="24"/>
              </w:rPr>
              <w:t>4.</w:t>
            </w:r>
            <w:r>
              <w:rPr>
                <w:sz w:val="24"/>
              </w:rPr>
              <w:t>现有工程工艺流程简述</w:t>
            </w:r>
          </w:p>
          <w:p>
            <w:pPr>
              <w:tabs>
                <w:tab w:val="left" w:pos="5247"/>
              </w:tabs>
              <w:adjustRightInd w:val="0"/>
              <w:snapToGrid w:val="0"/>
              <w:spacing w:line="500" w:lineRule="exact"/>
              <w:ind w:firstLine="480" w:firstLineChars="200"/>
              <w:rPr>
                <w:sz w:val="24"/>
              </w:rPr>
            </w:pPr>
            <w:r>
              <w:rPr>
                <w:sz w:val="24"/>
              </w:rPr>
              <w:t>现有工程产品为</w:t>
            </w:r>
            <w:r>
              <w:rPr>
                <w:rFonts w:hint="eastAsia"/>
                <w:sz w:val="24"/>
              </w:rPr>
              <w:t>年产100套振动筛、给料机项目，</w:t>
            </w:r>
            <w:r>
              <w:rPr>
                <w:sz w:val="24"/>
              </w:rPr>
              <w:t>具体的生产工艺流程</w:t>
            </w:r>
            <w:r>
              <w:rPr>
                <w:rFonts w:hint="eastAsia"/>
                <w:sz w:val="24"/>
              </w:rPr>
              <w:t>及产污环节</w:t>
            </w:r>
            <w:r>
              <w:rPr>
                <w:sz w:val="24"/>
              </w:rPr>
              <w:t>详见图</w:t>
            </w:r>
            <w:r>
              <w:rPr>
                <w:rFonts w:hint="eastAsia"/>
                <w:sz w:val="24"/>
              </w:rPr>
              <w:t>2</w:t>
            </w:r>
            <w:r>
              <w:rPr>
                <w:sz w:val="24"/>
              </w:rPr>
              <w:t>。</w:t>
            </w:r>
          </w:p>
          <w:p>
            <w:pPr>
              <w:tabs>
                <w:tab w:val="left" w:pos="5247"/>
              </w:tabs>
              <w:adjustRightInd w:val="0"/>
              <w:snapToGrid w:val="0"/>
              <w:spacing w:line="240" w:lineRule="atLeast"/>
              <w:ind w:firstLine="480" w:firstLineChars="200"/>
              <w:rPr>
                <w:sz w:val="24"/>
              </w:rPr>
            </w:pPr>
            <w:r>
              <w:rPr>
                <w:sz w:val="24"/>
              </w:rPr>
              <mc:AlternateContent>
                <mc:Choice Requires="wpc">
                  <w:drawing>
                    <wp:inline distT="0" distB="0" distL="114300" distR="114300">
                      <wp:extent cx="6242685" cy="2722880"/>
                      <wp:effectExtent l="0" t="0" r="5715" b="7620"/>
                      <wp:docPr id="53" name="画布 163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a:noFill/>
                              </a:ln>
                            </wpc:whole>
                            <wps:wsp>
                              <wps:cNvPr id="26" name="文本框 1641"/>
                              <wps:cNvSpPr txBox="1"/>
                              <wps:spPr>
                                <a:xfrm>
                                  <a:off x="730250" y="843915"/>
                                  <a:ext cx="75501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剪板</w:t>
                                    </w:r>
                                  </w:p>
                                </w:txbxContent>
                              </wps:txbx>
                              <wps:bodyPr upright="1"/>
                            </wps:wsp>
                            <wps:wsp>
                              <wps:cNvPr id="27" name="文本框 1644"/>
                              <wps:cNvSpPr txBox="1"/>
                              <wps:spPr>
                                <a:xfrm>
                                  <a:off x="1794510" y="804545"/>
                                  <a:ext cx="629285" cy="328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折弯</w:t>
                                    </w:r>
                                  </w:p>
                                </w:txbxContent>
                              </wps:txbx>
                              <wps:bodyPr upright="1"/>
                            </wps:wsp>
                            <wps:wsp>
                              <wps:cNvPr id="28" name="文本框 1645"/>
                              <wps:cNvSpPr txBox="1"/>
                              <wps:spPr>
                                <a:xfrm>
                                  <a:off x="2733675" y="796290"/>
                                  <a:ext cx="739140" cy="3549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车床加工</w:t>
                                    </w:r>
                                  </w:p>
                                </w:txbxContent>
                              </wps:txbx>
                              <wps:bodyPr upright="1"/>
                            </wps:wsp>
                            <wps:wsp>
                              <wps:cNvPr id="29" name="自选图形 1647"/>
                              <wps:cNvCnPr/>
                              <wps:spPr>
                                <a:xfrm>
                                  <a:off x="433070" y="972820"/>
                                  <a:ext cx="297180" cy="635"/>
                                </a:xfrm>
                                <a:prstGeom prst="straightConnector1">
                                  <a:avLst/>
                                </a:prstGeom>
                                <a:ln w="9525" cap="flat" cmpd="sng">
                                  <a:solidFill>
                                    <a:srgbClr val="000000"/>
                                  </a:solidFill>
                                  <a:prstDash val="solid"/>
                                  <a:headEnd type="none" w="med" len="med"/>
                                  <a:tailEnd type="triangle" w="med" len="med"/>
                                </a:ln>
                              </wps:spPr>
                              <wps:bodyPr/>
                            </wps:wsp>
                            <wps:wsp>
                              <wps:cNvPr id="30" name="自选图形 1648"/>
                              <wps:cNvCnPr/>
                              <wps:spPr>
                                <a:xfrm>
                                  <a:off x="1497330" y="972185"/>
                                  <a:ext cx="297180" cy="635"/>
                                </a:xfrm>
                                <a:prstGeom prst="straightConnector1">
                                  <a:avLst/>
                                </a:prstGeom>
                                <a:ln w="9525" cap="flat" cmpd="sng">
                                  <a:solidFill>
                                    <a:srgbClr val="000000"/>
                                  </a:solidFill>
                                  <a:prstDash val="solid"/>
                                  <a:headEnd type="none" w="med" len="med"/>
                                  <a:tailEnd type="triangle" w="med" len="med"/>
                                </a:ln>
                              </wps:spPr>
                              <wps:bodyPr/>
                            </wps:wsp>
                            <wps:wsp>
                              <wps:cNvPr id="31" name="自选图形 1650"/>
                              <wps:cNvCnPr/>
                              <wps:spPr>
                                <a:xfrm>
                                  <a:off x="2436495" y="971550"/>
                                  <a:ext cx="297180" cy="635"/>
                                </a:xfrm>
                                <a:prstGeom prst="straightConnector1">
                                  <a:avLst/>
                                </a:prstGeom>
                                <a:ln w="9525" cap="flat" cmpd="sng">
                                  <a:solidFill>
                                    <a:srgbClr val="000000"/>
                                  </a:solidFill>
                                  <a:prstDash val="solid"/>
                                  <a:headEnd type="none" w="med" len="med"/>
                                  <a:tailEnd type="triangle" w="med" len="med"/>
                                </a:ln>
                              </wps:spPr>
                              <wps:bodyPr/>
                            </wps:wsp>
                            <wps:wsp>
                              <wps:cNvPr id="32" name="矩形 187"/>
                              <wps:cNvSpPr/>
                              <wps:spPr>
                                <a:xfrm>
                                  <a:off x="552450" y="164465"/>
                                  <a:ext cx="1035050" cy="323850"/>
                                </a:xfrm>
                                <a:prstGeom prst="rect">
                                  <a:avLst/>
                                </a:prstGeom>
                                <a:noFill/>
                                <a:ln>
                                  <a:noFill/>
                                </a:ln>
                              </wps:spPr>
                              <wps:txbx>
                                <w:txbxContent>
                                  <w:p>
                                    <w:pPr>
                                      <w:jc w:val="center"/>
                                    </w:pPr>
                                    <w:r>
                                      <w:rPr>
                                        <w:rFonts w:hint="eastAsia"/>
                                      </w:rPr>
                                      <w:t>噪声、边角料</w:t>
                                    </w:r>
                                  </w:p>
                                </w:txbxContent>
                              </wps:txbx>
                              <wps:bodyPr upright="1"/>
                            </wps:wsp>
                            <wps:wsp>
                              <wps:cNvPr id="33" name="自选图形 1655"/>
                              <wps:cNvCnPr/>
                              <wps:spPr>
                                <a:xfrm flipV="1">
                                  <a:off x="1084580" y="386715"/>
                                  <a:ext cx="635" cy="419100"/>
                                </a:xfrm>
                                <a:prstGeom prst="straightConnector1">
                                  <a:avLst/>
                                </a:prstGeom>
                                <a:ln w="9525" cap="flat" cmpd="sng">
                                  <a:solidFill>
                                    <a:srgbClr val="000000"/>
                                  </a:solidFill>
                                  <a:prstDash val="dash"/>
                                  <a:headEnd type="none" w="med" len="med"/>
                                  <a:tailEnd type="triangle" w="med" len="med"/>
                                </a:ln>
                              </wps:spPr>
                              <wps:bodyPr/>
                            </wps:wsp>
                            <wps:wsp>
                              <wps:cNvPr id="34" name="文本框 1658"/>
                              <wps:cNvSpPr txBox="1"/>
                              <wps:spPr>
                                <a:xfrm>
                                  <a:off x="1085215" y="2246630"/>
                                  <a:ext cx="3470910" cy="342900"/>
                                </a:xfrm>
                                <a:prstGeom prst="rect">
                                  <a:avLst/>
                                </a:prstGeom>
                                <a:noFill/>
                                <a:ln>
                                  <a:noFill/>
                                </a:ln>
                              </wps:spPr>
                              <wps:txbx>
                                <w:txbxContent>
                                  <w:p>
                                    <w:pPr>
                                      <w:ind w:firstLine="211" w:firstLineChars="100"/>
                                      <w:rPr>
                                        <w:b/>
                                      </w:rPr>
                                    </w:pPr>
                                    <w:r>
                                      <w:rPr>
                                        <w:rFonts w:hint="eastAsia"/>
                                        <w:b/>
                                      </w:rPr>
                                      <w:t>图2</w:t>
                                    </w:r>
                                    <w:r>
                                      <w:rPr>
                                        <w:b/>
                                      </w:rPr>
                                      <w:t xml:space="preserve"> </w:t>
                                    </w:r>
                                    <w:r>
                                      <w:rPr>
                                        <w:rFonts w:hAnsi="宋体"/>
                                        <w:b/>
                                      </w:rPr>
                                      <w:t>现有</w:t>
                                    </w:r>
                                    <w:r>
                                      <w:rPr>
                                        <w:rFonts w:hint="eastAsia" w:hAnsi="宋体"/>
                                        <w:b/>
                                      </w:rPr>
                                      <w:t>工程</w:t>
                                    </w:r>
                                    <w:r>
                                      <w:rPr>
                                        <w:rFonts w:hAnsi="宋体"/>
                                        <w:b/>
                                      </w:rPr>
                                      <w:t>工艺流程及产排污环节图</w:t>
                                    </w:r>
                                  </w:p>
                                  <w:p/>
                                </w:txbxContent>
                              </wps:txbx>
                              <wps:bodyPr upright="1"/>
                            </wps:wsp>
                            <wps:wsp>
                              <wps:cNvPr id="35" name="矩形 185"/>
                              <wps:cNvSpPr/>
                              <wps:spPr>
                                <a:xfrm>
                                  <a:off x="0" y="843915"/>
                                  <a:ext cx="651510" cy="323850"/>
                                </a:xfrm>
                                <a:prstGeom prst="rect">
                                  <a:avLst/>
                                </a:prstGeom>
                                <a:noFill/>
                                <a:ln>
                                  <a:noFill/>
                                </a:ln>
                              </wps:spPr>
                              <wps:txbx>
                                <w:txbxContent>
                                  <w:p>
                                    <w:pPr>
                                      <w:jc w:val="center"/>
                                    </w:pPr>
                                    <w:r>
                                      <w:rPr>
                                        <w:rFonts w:hint="eastAsia"/>
                                      </w:rPr>
                                      <w:t>原料</w:t>
                                    </w:r>
                                  </w:p>
                                </w:txbxContent>
                              </wps:txbx>
                              <wps:bodyPr upright="1"/>
                            </wps:wsp>
                            <wps:wsp>
                              <wps:cNvPr id="36" name="自选图形 1650"/>
                              <wps:cNvCnPr/>
                              <wps:spPr>
                                <a:xfrm>
                                  <a:off x="3500120" y="973455"/>
                                  <a:ext cx="297180" cy="635"/>
                                </a:xfrm>
                                <a:prstGeom prst="straightConnector1">
                                  <a:avLst/>
                                </a:prstGeom>
                                <a:ln w="9525" cap="flat" cmpd="sng">
                                  <a:solidFill>
                                    <a:srgbClr val="000000"/>
                                  </a:solidFill>
                                  <a:prstDash val="solid"/>
                                  <a:headEnd type="none" w="med" len="med"/>
                                  <a:tailEnd type="triangle" w="med" len="med"/>
                                </a:ln>
                              </wps:spPr>
                              <wps:bodyPr/>
                            </wps:wsp>
                            <wps:wsp>
                              <wps:cNvPr id="37" name="文本框 1644"/>
                              <wps:cNvSpPr txBox="1"/>
                              <wps:spPr>
                                <a:xfrm>
                                  <a:off x="3797300" y="791845"/>
                                  <a:ext cx="629285" cy="328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焊接</w:t>
                                    </w:r>
                                  </w:p>
                                </w:txbxContent>
                              </wps:txbx>
                              <wps:bodyPr upright="1"/>
                            </wps:wsp>
                            <wps:wsp>
                              <wps:cNvPr id="38" name="自选图形 1650"/>
                              <wps:cNvCnPr/>
                              <wps:spPr>
                                <a:xfrm>
                                  <a:off x="4451985" y="970915"/>
                                  <a:ext cx="297180" cy="635"/>
                                </a:xfrm>
                                <a:prstGeom prst="straightConnector1">
                                  <a:avLst/>
                                </a:prstGeom>
                                <a:ln w="9525" cap="flat" cmpd="sng">
                                  <a:solidFill>
                                    <a:srgbClr val="000000"/>
                                  </a:solidFill>
                                  <a:prstDash val="solid"/>
                                  <a:headEnd type="none" w="med" len="med"/>
                                  <a:tailEnd type="triangle" w="med" len="med"/>
                                </a:ln>
                              </wps:spPr>
                              <wps:bodyPr/>
                            </wps:wsp>
                            <wps:wsp>
                              <wps:cNvPr id="39" name="文本框 1644"/>
                              <wps:cNvSpPr txBox="1"/>
                              <wps:spPr>
                                <a:xfrm>
                                  <a:off x="4749165" y="791845"/>
                                  <a:ext cx="629285" cy="328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组装</w:t>
                                    </w:r>
                                  </w:p>
                                </w:txbxContent>
                              </wps:txbx>
                              <wps:bodyPr upright="1"/>
                            </wps:wsp>
                            <wps:wsp>
                              <wps:cNvPr id="40" name="自选图形 1850"/>
                              <wps:cNvCnPr/>
                              <wps:spPr>
                                <a:xfrm>
                                  <a:off x="5087620" y="1129665"/>
                                  <a:ext cx="635" cy="463550"/>
                                </a:xfrm>
                                <a:prstGeom prst="straightConnector1">
                                  <a:avLst/>
                                </a:prstGeom>
                                <a:ln w="9525" cap="flat" cmpd="sng">
                                  <a:solidFill>
                                    <a:srgbClr val="000000"/>
                                  </a:solidFill>
                                  <a:prstDash val="solid"/>
                                  <a:headEnd type="none" w="med" len="med"/>
                                  <a:tailEnd type="triangle" w="med" len="med"/>
                                </a:ln>
                              </wps:spPr>
                              <wps:bodyPr/>
                            </wps:wsp>
                            <wps:wsp>
                              <wps:cNvPr id="41" name="文本框 1644"/>
                              <wps:cNvSpPr txBox="1"/>
                              <wps:spPr>
                                <a:xfrm>
                                  <a:off x="4749165" y="1593215"/>
                                  <a:ext cx="629285" cy="3282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喷漆</w:t>
                                    </w:r>
                                  </w:p>
                                </w:txbxContent>
                              </wps:txbx>
                              <wps:bodyPr upright="1"/>
                            </wps:wsp>
                            <wps:wsp>
                              <wps:cNvPr id="42" name="自选图形 1852"/>
                              <wps:cNvCnPr/>
                              <wps:spPr>
                                <a:xfrm flipH="1">
                                  <a:off x="4252595" y="1745615"/>
                                  <a:ext cx="488315" cy="635"/>
                                </a:xfrm>
                                <a:prstGeom prst="straightConnector1">
                                  <a:avLst/>
                                </a:prstGeom>
                                <a:ln w="9525" cap="flat" cmpd="sng">
                                  <a:solidFill>
                                    <a:srgbClr val="000000"/>
                                  </a:solidFill>
                                  <a:prstDash val="solid"/>
                                  <a:headEnd type="none" w="med" len="med"/>
                                  <a:tailEnd type="triangle" w="med" len="med"/>
                                </a:ln>
                              </wps:spPr>
                              <wps:bodyPr/>
                            </wps:wsp>
                            <wps:wsp>
                              <wps:cNvPr id="43" name="文本框 1644"/>
                              <wps:cNvSpPr txBox="1"/>
                              <wps:spPr>
                                <a:xfrm>
                                  <a:off x="3623310" y="1593215"/>
                                  <a:ext cx="629285" cy="328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调试</w:t>
                                    </w:r>
                                  </w:p>
                                </w:txbxContent>
                              </wps:txbx>
                              <wps:bodyPr upright="1"/>
                            </wps:wsp>
                            <wps:wsp>
                              <wps:cNvPr id="44" name="自选图形 1854"/>
                              <wps:cNvCnPr/>
                              <wps:spPr>
                                <a:xfrm flipH="1">
                                  <a:off x="3134995" y="1746250"/>
                                  <a:ext cx="488315" cy="635"/>
                                </a:xfrm>
                                <a:prstGeom prst="straightConnector1">
                                  <a:avLst/>
                                </a:prstGeom>
                                <a:ln w="9525" cap="flat" cmpd="sng">
                                  <a:solidFill>
                                    <a:srgbClr val="000000"/>
                                  </a:solidFill>
                                  <a:prstDash val="solid"/>
                                  <a:headEnd type="none" w="med" len="med"/>
                                  <a:tailEnd type="triangle" w="med" len="med"/>
                                </a:ln>
                              </wps:spPr>
                              <wps:bodyPr/>
                            </wps:wsp>
                            <wps:wsp>
                              <wps:cNvPr id="45" name="文本框 1644"/>
                              <wps:cNvSpPr txBox="1"/>
                              <wps:spPr>
                                <a:xfrm>
                                  <a:off x="2505710" y="1593215"/>
                                  <a:ext cx="629285" cy="328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成品</w:t>
                                    </w:r>
                                  </w:p>
                                </w:txbxContent>
                              </wps:txbx>
                              <wps:bodyPr upright="1"/>
                            </wps:wsp>
                            <wps:wsp>
                              <wps:cNvPr id="46" name="自选图形 1655"/>
                              <wps:cNvCnPr/>
                              <wps:spPr>
                                <a:xfrm flipV="1">
                                  <a:off x="2067560" y="372745"/>
                                  <a:ext cx="635" cy="419100"/>
                                </a:xfrm>
                                <a:prstGeom prst="straightConnector1">
                                  <a:avLst/>
                                </a:prstGeom>
                                <a:ln w="9525" cap="flat" cmpd="sng">
                                  <a:solidFill>
                                    <a:srgbClr val="000000"/>
                                  </a:solidFill>
                                  <a:prstDash val="dash"/>
                                  <a:headEnd type="none" w="med" len="med"/>
                                  <a:tailEnd type="triangle" w="med" len="med"/>
                                </a:ln>
                              </wps:spPr>
                              <wps:bodyPr/>
                            </wps:wsp>
                            <wps:wsp>
                              <wps:cNvPr id="47" name="矩形 187"/>
                              <wps:cNvSpPr/>
                              <wps:spPr>
                                <a:xfrm>
                                  <a:off x="1587500" y="164465"/>
                                  <a:ext cx="1035050" cy="323850"/>
                                </a:xfrm>
                                <a:prstGeom prst="rect">
                                  <a:avLst/>
                                </a:prstGeom>
                                <a:noFill/>
                                <a:ln>
                                  <a:noFill/>
                                </a:ln>
                              </wps:spPr>
                              <wps:txbx>
                                <w:txbxContent>
                                  <w:p>
                                    <w:pPr>
                                      <w:jc w:val="center"/>
                                    </w:pPr>
                                    <w:r>
                                      <w:rPr>
                                        <w:rFonts w:hint="eastAsia"/>
                                      </w:rPr>
                                      <w:t>噪声</w:t>
                                    </w:r>
                                  </w:p>
                                </w:txbxContent>
                              </wps:txbx>
                              <wps:bodyPr upright="1"/>
                            </wps:wsp>
                            <wps:wsp>
                              <wps:cNvPr id="48" name="自选图形 1655"/>
                              <wps:cNvCnPr/>
                              <wps:spPr>
                                <a:xfrm flipV="1">
                                  <a:off x="3045460" y="374015"/>
                                  <a:ext cx="635" cy="419100"/>
                                </a:xfrm>
                                <a:prstGeom prst="straightConnector1">
                                  <a:avLst/>
                                </a:prstGeom>
                                <a:ln w="9525" cap="flat" cmpd="sng">
                                  <a:solidFill>
                                    <a:srgbClr val="000000"/>
                                  </a:solidFill>
                                  <a:prstDash val="dash"/>
                                  <a:headEnd type="none" w="med" len="med"/>
                                  <a:tailEnd type="triangle" w="med" len="med"/>
                                </a:ln>
                              </wps:spPr>
                              <wps:bodyPr/>
                            </wps:wsp>
                            <wps:wsp>
                              <wps:cNvPr id="49" name="矩形 187"/>
                              <wps:cNvSpPr/>
                              <wps:spPr>
                                <a:xfrm>
                                  <a:off x="2505710" y="164465"/>
                                  <a:ext cx="1035050" cy="323850"/>
                                </a:xfrm>
                                <a:prstGeom prst="rect">
                                  <a:avLst/>
                                </a:prstGeom>
                                <a:noFill/>
                                <a:ln>
                                  <a:noFill/>
                                </a:ln>
                              </wps:spPr>
                              <wps:txbx>
                                <w:txbxContent>
                                  <w:p>
                                    <w:pPr>
                                      <w:jc w:val="center"/>
                                    </w:pPr>
                                    <w:r>
                                      <w:rPr>
                                        <w:rFonts w:hint="eastAsia"/>
                                      </w:rPr>
                                      <w:t>噪声、边角料</w:t>
                                    </w:r>
                                  </w:p>
                                </w:txbxContent>
                              </wps:txbx>
                              <wps:bodyPr upright="1"/>
                            </wps:wsp>
                            <wps:wsp>
                              <wps:cNvPr id="50" name="自选图形 1655"/>
                              <wps:cNvCnPr/>
                              <wps:spPr>
                                <a:xfrm flipV="1">
                                  <a:off x="4172585" y="386715"/>
                                  <a:ext cx="635" cy="419100"/>
                                </a:xfrm>
                                <a:prstGeom prst="straightConnector1">
                                  <a:avLst/>
                                </a:prstGeom>
                                <a:ln w="9525" cap="flat" cmpd="sng">
                                  <a:solidFill>
                                    <a:srgbClr val="000000"/>
                                  </a:solidFill>
                                  <a:prstDash val="dash"/>
                                  <a:headEnd type="none" w="med" len="med"/>
                                  <a:tailEnd type="triangle" w="med" len="med"/>
                                </a:ln>
                              </wps:spPr>
                              <wps:bodyPr/>
                            </wps:wsp>
                            <wps:wsp>
                              <wps:cNvPr id="51" name="矩形 187"/>
                              <wps:cNvSpPr/>
                              <wps:spPr>
                                <a:xfrm>
                                  <a:off x="4773930" y="1167765"/>
                                  <a:ext cx="1035050" cy="323850"/>
                                </a:xfrm>
                                <a:prstGeom prst="rect">
                                  <a:avLst/>
                                </a:prstGeom>
                                <a:noFill/>
                                <a:ln>
                                  <a:noFill/>
                                </a:ln>
                              </wps:spPr>
                              <wps:txbx>
                                <w:txbxContent>
                                  <w:p>
                                    <w:pPr>
                                      <w:jc w:val="center"/>
                                    </w:pPr>
                                    <w:r>
                                      <w:rPr>
                                        <w:rFonts w:hint="eastAsia"/>
                                      </w:rPr>
                                      <w:t>废气、固废</w:t>
                                    </w:r>
                                  </w:p>
                                </w:txbxContent>
                              </wps:txbx>
                              <wps:bodyPr upright="1"/>
                            </wps:wsp>
                            <wps:wsp>
                              <wps:cNvPr id="52" name="自选图形 1655"/>
                              <wps:cNvCnPr/>
                              <wps:spPr>
                                <a:xfrm flipV="1">
                                  <a:off x="5240655" y="1367790"/>
                                  <a:ext cx="635" cy="225425"/>
                                </a:xfrm>
                                <a:prstGeom prst="straightConnector1">
                                  <a:avLst/>
                                </a:prstGeom>
                                <a:ln w="9525" cap="flat" cmpd="sng">
                                  <a:solidFill>
                                    <a:srgbClr val="000000"/>
                                  </a:solidFill>
                                  <a:prstDash val="dash"/>
                                  <a:headEnd type="none" w="med" len="med"/>
                                  <a:tailEnd type="triangle" w="med" len="med"/>
                                </a:ln>
                              </wps:spPr>
                              <wps:bodyPr/>
                            </wps:wsp>
                          </wpc:wpc>
                        </a:graphicData>
                      </a:graphic>
                    </wp:inline>
                  </w:drawing>
                </mc:Choice>
                <mc:Fallback>
                  <w:pict>
                    <v:group id="画布 1638" o:spid="_x0000_s1026" o:spt="203" style="height:214.4pt;width:491.55pt;" coordsize="6242685,2722880" editas="canvas" o:gfxdata="UEsDBAoAAAAAAIdO4kAAAAAAAAAAAAAAAAAEAAAAZHJzL1BLAwQUAAAACACHTuJAMTwKW9UAAAAF&#10;AQAADwAAAGRycy9kb3ducmV2LnhtbE2PwU7DMBBE70j9B2uRuFE7bYnSEKcHpJ6AQ1skrtt4m0TE&#10;6zR22vD3mF7gstJoRjNvi81kO3GhwbeONSRzBYK4cqblWsPHYfuYgfAB2WDnmDR8k4dNObsrMDfu&#10;yju67EMtYgn7HDU0IfS5lL5qyKKfu544eic3WAxRDrU0A15jue3kQqlUWmw5LjTY00tD1dd+tBow&#10;XZnz+2n5dngdU1zXk9o+fSqtH+4T9Qwi0BT+wvCLH9GhjExHN7LxotMQHwm3G711tkxAHDWsFlkG&#10;sizkf/ryB1BLAwQUAAAACACHTuJAP5A+124GAAB8OgAADgAAAGRycy9lMm9Eb2MueG1s7VvLjuNE&#10;FN0j8Q+W90xcL5cddXokumeGBYKRBthXO05iyS+V3Z30DgmJ0ewRG5AQ7EB8ABKCv+ke+AtulR+x&#10;PU4nE5qho7gXaT/LVbfOPfdRt04er6LQuPJlFiTxxESPLNPwYy+ZBvF8Yn7+2dMPHNPIchFPRZjE&#10;/sS89jPz8en7750s07GPk0USTn1pQCNxNl6mE3OR5+l4NMq8hR+J7FGS+jHcnCUyEjmcyvloKsUS&#10;Wo/CEbYse7RM5DSViednGVw9L26aZYtylwaT2Szw/PPEu4z8OC9alX4ochhStgjSzDzVvZ3NfC//&#10;dDbL/NwIJyaMNNe/8BE4vlC/o9MTMZ5LkS4Cr+yC2KULnTFFIojho3VT5yIXxqUM3mgqCjyZZMks&#10;f+Ql0agYiJYIjAJZHdk8k8llqscyHy/naS10mKiO1Pdu1vvk6rk0gunEZMQ0YhHBjL/+5veb374y&#10;kE0cJZ9lOh/DY89k+iJ9LssL8+JMDXk1k5H6D4MxVlqy17Vk/VVueHDRxhTbDjMND+5hjrHjlLL3&#10;FjBBb7znLZ5seXNUfXik+ld3Z5kCKrO1qLJ/J6oXC5H6egYyJYNSVNiuRHX77cvb73+9/fFrkBZF&#10;hbT0k0pURr76MIHB19czuNgjMU4szACQIBqHEhexApWV7DhjFlwrRWdjrO/X4xfjVGb5Mz+JDHUw&#10;MSWAXmNRXH2c5TBf8Gj1iPp6loTB9GkQhvpEzi/OQmlcCVCQp/pPfR1eaT0WxsZyYroMvm14ArR+&#10;BtoGh1EKyMniuf5e642s2bCl//oaVh07F9mi6IBuoRh9FOS+hJ6I8cIX0yfx1MivUwBnDKRkqs5E&#10;/tQ0Qh84TB3pJ3MRhLs8CaMLYxikAksxJ+ooX12soBl1eJFMr2H+LlMZzBcgUj2D+nHAVvHIfw8y&#10;3gsyqoaq+ghwfBuQIe5ShkqUWZTRDsps7OJKQQl2sDug7ChQBta+YP0WlenJ3wNlmBNicyAJ4DLu&#10;AqZKlq+5DOiNAgiVGSCMuvaAsqNAmVuh7K+Xv/z95aub7/68+eMnZTN5g87O4tK9qFi5MvG1b0EJ&#10;sXjBYS4HkuqgC7scgV+h0WWTLdDKcikUu58lcQwWM5HoLqP57g3gvmYvl4GI5+EGI9lv+gp7B4bl&#10;Hds4ApNVsE8XF6Xnqc3cdlwg6gLx1MBAYMi0Q1DRzgAM8JwOChhoAzDAT177P9uBgSmxKbgyyh4B&#10;OYAnPQADXOq2o3xQwMAVMF7/8LO2IU7ThCiPuMTHhmCLMUzLYAvMDy0cEDGumAJZhFnqvvZQMHEK&#10;xABtVmFuFUrtGG3FiQq1NBupmEOM6wv9VPzAohBSZwU6DM2aLuIGRTRmYZB+ocInNfAyP4AshzJl&#10;pZUL6NiglG2VVIZbS58iF1laXzdL/0Ea8SnEs8WYjsKG00ojmxEEaxrwt4pTLYdhle4AeGBMbRvM&#10;esuWE8otAEapoRRCjC0Y2ZYPqRWyyAocnIaCrMq8XcWITdXczoiFKvZlnmyGdMpg4EKdISV12q/L&#10;hRqBZbi8gQsbDAgWxkIQuxROCaEFla5t0OCtHpq3er+pOsIhmgFWU/jgLgJz2WbAIVV3lAlhWI3p&#10;D5YLF3Vn+qGQB3ZVqlfHRGBLO/Aa6OfQ6KfOrjU9MLrvSgHl1EUQFw30Yw7rUetFT5W278vVlRHy&#10;zvTDLIfbpfeDEHbtbgi+DgDhaFv4/SADwAZsjiEChIXvEhn3zj+IuURFg60IcPB/jtL/oXXqrx1+&#10;Qb5A4eNuAtKpqI86qSiKoaChzA4jTpndRRp1HKJyESoAHhaUelcq+7OY/9eCEq3TlfdCRcTGhJRF&#10;EwMVQdlQQcRHX5sDvvUGX6jpdG/IBPVSEUGEumsqslVBWMvoDVR0YFEZZG3u0ysCQDA+UJGuU2z4&#10;1wMVbUxKN1cB7qKi7gIdtqCCyy7Sj4Rj8IvaTLSOz4YFuv5K1AfmE9XZ6T2XzBFzOCxZ6ITQsGbe&#10;3LzQXx5ONyZq91VJogp2a5Wkqhy85RwMKnlY5U20ztjuqZItb2AoY2nsJ+pXSfCmex12e+8yFoo4&#10;ZuUqylDG0r8D45AKy1idxNxTJSnnxC1rUBGyOe/mtYfSsjJFV20425DP218nobTPUm+rlSsE+xB4&#10;d/tBbSdhExUk/5QRHWrLWpuodnZd9bY72JSoJVhuoFS7Hpvnup58vWn09B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cCAAAW0NvbnRlbnRfVHlw&#10;ZXNdLnhtbFBLAQIUAAoAAAAAAIdO4kAAAAAAAAAAAAAAAAAGAAAAAAAAAAAAEAAAAL4HAABfcmVs&#10;cy9QSwECFAAUAAAACACHTuJAihRmPNEAAACUAQAACwAAAAAAAAABACAAAADiBwAAX3JlbHMvLnJl&#10;bHNQSwECFAAKAAAAAACHTuJAAAAAAAAAAAAAAAAABAAAAAAAAAAAABAAAAAAAAAAZHJzL1BLAQIU&#10;ABQAAAAIAIdO4kAxPApb1QAAAAUBAAAPAAAAAAAAAAEAIAAAACIAAABkcnMvZG93bnJldi54bWxQ&#10;SwECFAAUAAAACACHTuJAP5A+124GAAB8OgAADgAAAAAAAAABACAAAAAkAQAAZHJzL2Uyb0RvYy54&#10;bWxQSwUGAAAAAAYABgBZAQAABAoAAAAA&#10;">
                      <o:lock v:ext="edit" aspectratio="f"/>
                      <v:shape id="画布 1638" o:spid="_x0000_s1026" style="position:absolute;left:0;top:0;height:2722880;width:6242685;" fillcolor="#FFFFFF" filled="t" stroked="f" coordsize="21600,21600" o:gfxdata="UEsDBAoAAAAAAIdO4kAAAAAAAAAAAAAAAAAEAAAAZHJzL1BLAwQUAAAACACHTuJAMTwKW9UAAAAF&#10;AQAADwAAAGRycy9kb3ducmV2LnhtbE2PwU7DMBBE70j9B2uRuFE7bYnSEKcHpJ6AQ1skrtt4m0TE&#10;6zR22vD3mF7gstJoRjNvi81kO3GhwbeONSRzBYK4cqblWsPHYfuYgfAB2WDnmDR8k4dNObsrMDfu&#10;yju67EMtYgn7HDU0IfS5lL5qyKKfu544eic3WAxRDrU0A15jue3kQqlUWmw5LjTY00tD1dd+tBow&#10;XZnz+2n5dngdU1zXk9o+fSqtH+4T9Qwi0BT+wvCLH9GhjExHN7LxotMQHwm3G711tkxAHDWsFlkG&#10;sizkf/ryB1BLAwQUAAAACACHTuJAwIV76yUGAAAnOgAADgAAAGRycy9lMm9Eb2MueG1s7VvNbutE&#10;FN4j8Q6W9zSeP48dNb0SLYUFgitdYD+1ncSS/2S7TbpjxRUvwAYkBDsQrwBvcwu8BWdmHMc2TpPm&#10;hkujuIvUiZ3J/HznO+d8c+b8xTKOjLsgL8I0mZjozDKNIPFSP0xmE/PLL64/cEyjKEXiiyhNgol5&#10;HxTmi4v33ztfZOMAp/M08oPcgEaSYrzIJua8LLPxaFR48yAWxVmaBQncnKZ5LEp4m89Gfi4W0Hoc&#10;jbBl2aNFmvtZnnpBUcCnV/qmWbWY79JgOp2GXnCVerdxkJS61TyIRAlDKuZhVpgXqrfTaeCVn0+n&#10;RVAa0cSEkZbqFX4Erm/k6+jiXIxnucjmoVd1QezShc6YYhEm8KN1U1eiFMZtHv6rqTj08rRIp+WZ&#10;l8YjPRA1IzAKZHXm5lIkd0IPxoO5XnUQrg7Y7s1M9rtIo9C/DqNIvclnN5dRbtwJmLVr9ScnatR6&#10;bATdGMsvy/8LgEUgvxolxmJiugwzNR1JKtvU340SaKLx8CIDABVZDaXi7Qb1ai6yQC18MfY+u3uZ&#10;G6E/MbFtGomIAccP371++OG3h5++MZBNkRyP7AA8+SqDZ8vlh+kSzGH1eQEfyvEsp3ks/8NKGXCf&#10;EwszwM79xHQocRHTAAqWpeHJ24xZ8JnhwX3MbQyzoMe+aibLi/LjII0NeTExc8Cnmidx92lR6kdX&#10;j6iFePKqtFbA8AQY6BQMA7oUZzAdRTJTv7d5uS31V3W79Zjs2JUo5hoW6pYefRyWQQ6dF+N5IPyP&#10;Et8o7zOY8QT4w5RwiAPfNKIA6EZeqSdLEUa7PAmYq3BTjPWayFUrlzdLaEZe3qT+PazfbZaHszlM&#10;qVpBgJnCln7kvwcZ7wUZlUPdA2SIu5ShCmUWZbSDMhu72KlQRrCD3QFlJ4EycMw9VKYWfw+UYU6I&#10;zQFGwFXcBUxVzrDmMqA3CiCUXEYYde0BZSeBMneFsr9e//r319+++f6PN7//LH0mb9DZZfJSMr6E&#10;3QZPSQmxuOYwlwNJddCFXY6cCl022QKtosyFZPfLNEnAY6Y5esxpNkKQd+QA93V7ZR6KZBZtcJL9&#10;rk/7O5j7d+zjCCyWZp8uLpwn4QJRF4inBgYCRwaDEeMV7QzAgMjpqICBNgAD4uR1/LOdMDAlNoVQ&#10;RvojIAeIpAdggF20A+WjAgZeAePPH39RPsRpuhCZdj3uQhjDtEq2wP1QHYCsmQJZhFnyvopQMHE0&#10;YoA298y26mRV5xxiXH/QT8XPLAshZDXfHYZmzRBxgyEa0yjMvpLpUyPbRZZDmfTSMgR0bDDKtklK&#10;x61mnyIXWcpeN8/+s3TiPuSzekwn4cPpCiFNMYQ1Hbi0yl3FEIAHw1LuAHhgTG0b3HrLlxPKLQBG&#10;ZaEUUowtGNmmh9QGeaQWCnOlY6iaEZumuZ0RtSn2KU82Q0oyGLhQyX6klv26XKgQWKXLG7iwwYDg&#10;YSwEuYsOSgjVVLr2QUO0emzR6mGlOsIhmwFWk/jgLgJ32WbAQao7SUGY1FLd29EPBR3YlVKvyonA&#10;l3bgNdDPsdFPra41IzC6704B5dRFkBcN9GMO+1HrTU8p2/dpdVWGvHP0wywHNjG1d0MIu3Y3BV8n&#10;gHC1Lf1+lglgAzankAHCxnffHtIh+Acxl8hssJUBDvHPScY/tJb+2vEP6AUSH48TkJKiPulIURRD&#10;SUmlDiNOmd1FGnUcIrUImQAPG0q9O5X9Kub/taFEa7nyIKEQsTEhVdHEQEVQzKWJ+ORrcyC23hAL&#10;NZ3eBiWol4oIItRdU5EtC8JaTm+goiPLykC1OWRUBIBgfKAiVT3aiK8HKtooSjd3AR6jou4GHbag&#10;gsvWCRrhGOKiNhOt87Nhg66/EvWZxUS1Ol1vED1tyxwxh8OWhRKEhj3z5jmD/vJwulGo3dckiSzY&#10;rU2SynLwVnAwmORxlTfRWrHd0yRb0cBQxtI4+tNvkrKip0+8tPcuY6GIY1btogxlLP0nMI6psIzV&#10;IuaeJkk5J25Vg4qQzXlX1x5KyyqJrjpFBbLdgW0SSvssadFy5wrBOQTePX5Q+0k4RAXin3SiQ21Z&#10;6xDVzqGrPnSXeWoGq7OO8oBi872qJ1+f77z4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MIAABbQ29udGVudF9UeXBlc10ueG1sUEsBAhQACgAA&#10;AAAAh07iQAAAAAAAAAAAAAAAAAYAAAAAAAAAAAAQAAAAdQcAAF9yZWxzL1BLAQIUABQAAAAIAIdO&#10;4kCKFGY80QAAAJQBAAALAAAAAAAAAAEAIAAAAJkHAABfcmVscy8ucmVsc1BLAQIUAAoAAAAAAIdO&#10;4kAAAAAAAAAAAAAAAAAEAAAAAAAAAAAAEAAAAAAAAABkcnMvUEsBAhQAFAAAAAgAh07iQDE8ClvV&#10;AAAABQEAAA8AAAAAAAAAAQAgAAAAIgAAAGRycy9kb3ducmV2LnhtbFBLAQIUABQAAAAIAIdO4kDA&#10;hXvrJQYAACc6AAAOAAAAAAAAAAEAIAAAACQBAABkcnMvZTJvRG9jLnhtbFBLBQYAAAAABgAGAFkB&#10;AAC7CQAAAAA=&#10;">
                        <v:fill on="t" focussize="0,0"/>
                        <v:stroke on="f"/>
                        <v:imagedata o:title=""/>
                        <o:lock v:ext="edit" aspectratio="t"/>
                      </v:shape>
                      <v:shape id="文本框 1641" o:spid="_x0000_s1026" o:spt="202" type="#_x0000_t202" style="position:absolute;left:730250;top:843915;height:276225;width:755015;" fillcolor="#FFFFFF" filled="t" stroked="t" coordsize="21600,21600" o:gfxdata="UEsDBAoAAAAAAIdO4kAAAAAAAAAAAAAAAAAEAAAAZHJzL1BLAwQUAAAACACHTuJAoUn6r9YAAAAF&#10;AQAADwAAAGRycy9kb3ducmV2LnhtbE2PQU8CMRCF7yT+h2ZMvBDoLhAo63Y5mGjkJmj0WrbD7sZ2&#10;urZlwX9v5aKXSV7ey3vflJuLNWxAHzpHEvJpBgypdrqjRsLb6+NEAAtRkVbGEUr4xgCb6mZUqkK7&#10;M+1w2MeGpRIKhZLQxtgXnIe6RavC1PVIyTs6b1VM0jdce3VO5dbwWZYtuVUdpYVW9fjQYv25P1kJ&#10;YvE8fITt/OW9Xh7NOo5Xw9OXl/LuNs/ugUW8xL8w/OIndKgS08GdSAdmJKRH4vUmby3mObCDhMVM&#10;COBVyf/TVz9QSwMEFAAAAAgAh07iQLtovfQYAgAAQwQAAA4AAABkcnMvZTJvRG9jLnhtbK1TzY7T&#10;MBC+I/EOlu80aXbb3a2argSlXBAgLTyAazuJJf/J4zbpC8AbcOLCnefqc+zY6f7CYQ/k4Iw942/m&#10;+2a8vB6MJnsZQDlb0+mkpERa7oSybU2/fd28uaQEIrOCaWdlTQ8S6PXq9atl7xeycp3TQgaCIBYW&#10;va9pF6NfFAXwThoGE+elRWfjgmERt6EtRGA9ohtdVGU5L3oXhA+OSwA8XY9OekIMLwF0TaO4XDu+&#10;M9LGETVIzSJSgk55oKtcbdNIHj83DchIdE2RacwrJkF7m9ZitWSLNjDfKX4qgb2khGecDFMWk95D&#10;rVlkZBfUX1BG8eDANXHCnSlGIlkRZDEtn2lz0zEvMxeUGvy96PD/YPmn/ZdAlKhpNafEMoMdP/78&#10;cfz15/j7O5nOz6dJot7DAiNvPMbG4a0bcHDuzgEPE/OhCSb9kRNB/8VZWc1Q5UNNL8/PrqazUWo5&#10;RMKTezYr8Yxw9FcX86rK/uIBxgeIH6QzJBk1DdjJLDDbf4SIJWHoXUjKCk4rsVFa501ot+90IHuG&#10;Xd/kL2XHK0/CtCV9Ta9mmJtwhqPc4AihaTzKAbbN+Z7cgMfAZf7+BZwKWzPoxgIywsjeqChDHrlO&#10;MvHeChIPHhW3+NJoKsZIQYmW+DCTlSMjU/olkchOWySZejX2JFlx2A4Ik8ytEwfs384H1XYoae5g&#10;DsfZyuqc3kEa3sf7DPrw9le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Un6r9YAAAAFAQAADwAA&#10;AAAAAAABACAAAAAiAAAAZHJzL2Rvd25yZXYueG1sUEsBAhQAFAAAAAgAh07iQLtovfQYAgAAQwQA&#10;AA4AAAAAAAAAAQAgAAAAJQEAAGRycy9lMm9Eb2MueG1sUEsFBgAAAAAGAAYAWQEAAK8FAAAAAA==&#10;">
                        <v:fill on="t" focussize="0,0"/>
                        <v:stroke color="#000000" joinstyle="miter"/>
                        <v:imagedata o:title=""/>
                        <o:lock v:ext="edit" aspectratio="f"/>
                        <v:textbox>
                          <w:txbxContent>
                            <w:p>
                              <w:pPr>
                                <w:jc w:val="center"/>
                              </w:pPr>
                              <w:r>
                                <w:rPr>
                                  <w:rFonts w:hint="eastAsia"/>
                                </w:rPr>
                                <w:t>剪板</w:t>
                              </w:r>
                            </w:p>
                          </w:txbxContent>
                        </v:textbox>
                      </v:shape>
                      <v:shape id="文本框 1644" o:spid="_x0000_s1026" o:spt="202" type="#_x0000_t202" style="position:absolute;left:1794510;top:804545;height:328295;width:629285;" fillcolor="#FFFFFF" filled="t" stroked="t" coordsize="21600,21600" o:gfxdata="UEsDBAoAAAAAAIdO4kAAAAAAAAAAAAAAAAAEAAAAZHJzL1BLAwQUAAAACACHTuJAoUn6r9YAAAAF&#10;AQAADwAAAGRycy9kb3ducmV2LnhtbE2PQU8CMRCF7yT+h2ZMvBDoLhAo63Y5mGjkJmj0WrbD7sZ2&#10;urZlwX9v5aKXSV7ey3vflJuLNWxAHzpHEvJpBgypdrqjRsLb6+NEAAtRkVbGEUr4xgCb6mZUqkK7&#10;M+1w2MeGpRIKhZLQxtgXnIe6RavC1PVIyTs6b1VM0jdce3VO5dbwWZYtuVUdpYVW9fjQYv25P1kJ&#10;YvE8fITt/OW9Xh7NOo5Xw9OXl/LuNs/ugUW8xL8w/OIndKgS08GdSAdmJKRH4vUmby3mObCDhMVM&#10;COBVyf/TVz9QSwMEFAAAAAgAh07iQBA3PT8ZAgAARAQAAA4AAABkcnMvZTJvRG9jLnhtbK1TTa7T&#10;MBDeI3EHy3uaNLR9bdX0SVDKBgHSgwO4jpNY8p88bpNeAG7Aig17ztVzMHb6/t+iC7Jwxp7xN/N9&#10;M15d91qRg/AgrSnpeJRTIgy3lTRNSb9/276ZUwKBmYopa0RJjwLo9fr1q1XnlqKwrVWV8ARBDCw7&#10;V9I2BLfMMuCt0AxG1gmDztp6zQJufZNVnnWIrlVW5Pks66yvnLdcAODpZnDSM6K/BNDWteRiY/le&#10;CxMGVC8UC0gJWumArlO1dS14+FLXIAJRJUWmIa2YBO1dXLP1ii0bz1wr+bkEdkkJTzhpJg0mvYPa&#10;sMDI3stnUFpyb8HWYcStzgYiSRFkMc6faHPTMicSF5Qa3J3o8P9g+efDV09kVdLiihLDNHb89Ovn&#10;6fff058fZDybTKJEnYMlRt44jA39O9vj4NyeAx5G5n3tdfwjJxL9V4vJdIwyH0s6zyfTyXTQWvSB&#10;cPTPikUxn1LC0f+2mBeL5M/ucZyH8FFYTaJRUo+tTAqzwycIWBOG3obEtGCVrLZSqbTxze698uTA&#10;sO3b9MXseOVRmDKkK+liWsQ6GM5yjTOEpnaoB5gm5Xt0Ax4C5+l7CTgWtmHQDgUkhIG9lkH4NHOt&#10;YNUHU5FwdCi5wadGYzFaVJQogS8zWikyMKkuiUR2yiDJ2KyhKdEK/a5HmGjubHXEBu6dl02LkqYW&#10;pnAcrqTO+SHE6X24T6D3j3/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FJ+q/WAAAABQEAAA8A&#10;AAAAAAAAAQAgAAAAIgAAAGRycy9kb3ducmV2LnhtbFBLAQIUABQAAAAIAIdO4kAQNz0/GQIAAEQE&#10;AAAOAAAAAAAAAAEAIAAAACUBAABkcnMvZTJvRG9jLnhtbFBLBQYAAAAABgAGAFkBAACwBQAAAAA=&#10;">
                        <v:fill on="t" focussize="0,0"/>
                        <v:stroke color="#000000" joinstyle="miter"/>
                        <v:imagedata o:title=""/>
                        <o:lock v:ext="edit" aspectratio="f"/>
                        <v:textbox>
                          <w:txbxContent>
                            <w:p>
                              <w:pPr>
                                <w:jc w:val="center"/>
                              </w:pPr>
                              <w:r>
                                <w:rPr>
                                  <w:rFonts w:hint="eastAsia"/>
                                </w:rPr>
                                <w:t>折弯</w:t>
                              </w:r>
                            </w:p>
                          </w:txbxContent>
                        </v:textbox>
                      </v:shape>
                      <v:shape id="文本框 1645" o:spid="_x0000_s1026" o:spt="202" type="#_x0000_t202" style="position:absolute;left:2733675;top:796290;height:354965;width:739140;" fillcolor="#FFFFFF" filled="t" stroked="t" coordsize="21600,21600" o:gfxdata="UEsDBAoAAAAAAIdO4kAAAAAAAAAAAAAAAAAEAAAAZHJzL1BLAwQUAAAACACHTuJAoUn6r9YAAAAF&#10;AQAADwAAAGRycy9kb3ducmV2LnhtbE2PQU8CMRCF7yT+h2ZMvBDoLhAo63Y5mGjkJmj0WrbD7sZ2&#10;urZlwX9v5aKXSV7ey3vflJuLNWxAHzpHEvJpBgypdrqjRsLb6+NEAAtRkVbGEUr4xgCb6mZUqkK7&#10;M+1w2MeGpRIKhZLQxtgXnIe6RavC1PVIyTs6b1VM0jdce3VO5dbwWZYtuVUdpYVW9fjQYv25P1kJ&#10;YvE8fITt/OW9Xh7NOo5Xw9OXl/LuNs/ugUW8xL8w/OIndKgS08GdSAdmJKRH4vUmby3mObCDhMVM&#10;COBVyf/TVz9QSwMEFAAAAAgAh07iQHtFnjgaAgAARAQAAA4AAABkcnMvZTJvRG9jLnhtbK1Ty67T&#10;MBDdI/EPlvc0afqiUdMrQSkbBEgXPsB1nMSSX/K4TfoD8Aes2LDnu/odjN3eJyy6IAtn7BmfmXNm&#10;vLoZtCIH4UFaU9HxKKdEGG5radqKfv2yffWaEgjM1ExZIyp6FEBv1i9frHpXisJ2VtXCEwQxUPau&#10;ol0Irswy4J3QDEbWCYPOxnrNAm59m9We9YiuVVbk+Tzrra+dt1wA4Onm7KQXRH8NoG0aycXG8r0W&#10;JpxRvVAsICXopAO6TtU2jeDhU9OACERVFJmGtGIStHdxzdYrVraeuU7ySwnsmhKecdJMGkx6D7Vh&#10;gZG9l39Bacm9BduEEbc6OxNJiiCLcf5Mm9uOOZG4oNTg7kWH/wfLPx4+eyLrihbYd8M0dvz04/vp&#10;5+/Tr29kPJ/OokS9gxIjbx3GhuGNHXBw7s4BDyPzofE6/pETQX+xmEzmixklx4oulvNiedFaDIFw&#10;9C8my/EUu8DRP5lNl/OUKHvAcR7Ce2E1iUZFPbYyKcwOHyBgTRh6FxLTglWy3kql0sa3u7fKkwPD&#10;tm/TF8vFK0/ClCF9RZezAsvkDGe5wRlCUzvUA0yb8j25AY+B8/T9CzgWtmHQnQtICDGMlVoG4ZPV&#10;CVa/MzUJR4eSG3xqNBajRU2JEvgyo5UiA5PqmkhkpwySjM06NyVaYdgNCBPNna2P2MC987LtUNLU&#10;whSOw5XUuTyEOL2P9wn04fG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Sfqv1gAAAAUBAAAP&#10;AAAAAAAAAAEAIAAAACIAAABkcnMvZG93bnJldi54bWxQSwECFAAUAAAACACHTuJAe0WeOBoCAABE&#10;BAAADgAAAAAAAAABACAAAAAlAQAAZHJzL2Uyb0RvYy54bWxQSwUGAAAAAAYABgBZAQAAsQUAAAAA&#10;">
                        <v:fill on="t" focussize="0,0"/>
                        <v:stroke color="#000000" joinstyle="miter"/>
                        <v:imagedata o:title=""/>
                        <o:lock v:ext="edit" aspectratio="f"/>
                        <v:textbox>
                          <w:txbxContent>
                            <w:p>
                              <w:r>
                                <w:rPr>
                                  <w:rFonts w:hint="eastAsia"/>
                                </w:rPr>
                                <w:t>车床加工</w:t>
                              </w:r>
                            </w:p>
                          </w:txbxContent>
                        </v:textbox>
                      </v:shape>
                      <v:shape id="自选图形 1647" o:spid="_x0000_s1026" o:spt="32" type="#_x0000_t32" style="position:absolute;left:433070;top:972820;height:635;width:297180;" filled="f" stroked="t" coordsize="21600,21600" o:gfxdata="UEsDBAoAAAAAAIdO4kAAAAAAAAAAAAAAAAAEAAAAZHJzL1BLAwQUAAAACACHTuJAibk4tdYAAAAF&#10;AQAADwAAAGRycy9kb3ducmV2LnhtbE2PT0vEMBDF74LfIYzgzU27SunWThd0EXtRcFfEY7YZm2Az&#10;KU32n5/e6EUvA4/3eO839fLoBrGnKVjPCPksA0HceW25R3jdPFyVIEJUrNXgmRBOFGDZnJ/VqtL+&#10;wC+0X8depBIOlUIwMY6VlKEz5FSY+ZE4eR9+ciomOfVST+qQyt0g51lWSKcspwWjRro31H2udw4h&#10;rt5Ppnjr7hb2efP4VNivtm1XiJcXeXYLItIx/oXhBz+hQ5OYtn7HOogBIT0Sf2/yFuV1DmKLcDMv&#10;S5BNLf/TN99QSwMEFAAAAAgAh07iQLpSbZwKAgAA9gMAAA4AAABkcnMvZTJvRG9jLnhtbK1TzY7T&#10;MBC+I/EOlu80bbr9i5ruoWW5IKgEPMDUcRJL/pPtbdobN8QzcOPIO8DbrARvwdgJW1iEtAdycMae&#10;mW/m+zxeX5+UJEfuvDC6pJPRmBKumamEbkr67u3NsyUlPoCuQBrNS3rmnl5vnj5Zd7bguWmNrLgj&#10;CKJ90dmStiHYIss8a7kCPzKWa3TWxikIuHVNVjnoEF3JLB+P51lnXGWdYdx7PN31TjoguscAmroW&#10;jO8Mu1Vchx7VcQkBKflWWE83qdu65iy8rmvPA5ElRaYhrVgE7UNcs80aisaBbQUbWoDHtPCAkwKh&#10;seg91A4CkFsn/oJSgjnjTR1GzKisJ5IUQRaT8QNt3rRgeeKCUnt7L7r/f7Ds1XHviKhKmq8o0aDw&#10;xr9/+PLj/ce7T9/uvn4mk/nVIqrUWV9g8Fbv3bDzdu8i5VPtVPwjGXIq6dV0Ol6gvOeSrhb5Mh80&#10;5qdAGLrz1WKyRDdD/3w6i9DZBcM6H15wo0g0SuqDA9G0YWu0xqs0bpJEhuNLH/rEXwmxAalJh0Vn&#10;+QzhAUezxpFAU1mk53WTcr2RoroRUsYM75rDVjpyhDge6Rsa+iMsFtmBb/u45IphULQcque6IuFs&#10;UTeN74XGFhSvKJEcn1e0UmQAIS+RwQnQjfxHNOohNcoSJe9FjtbBVOekfTrHcUjCDaMb5+33fcq+&#10;PNfN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m5OLXWAAAABQEAAA8AAAAAAAAAAQAgAAAAIgAA&#10;AGRycy9kb3ducmV2LnhtbFBLAQIUABQAAAAIAIdO4kC6Um2cCgIAAPYDAAAOAAAAAAAAAAEAIAAA&#10;ACUBAABkcnMvZTJvRG9jLnhtbFBLBQYAAAAABgAGAFkBAAChBQAAAAA=&#10;">
                        <v:fill on="f" focussize="0,0"/>
                        <v:stroke color="#000000" joinstyle="round" endarrow="block"/>
                        <v:imagedata o:title=""/>
                        <o:lock v:ext="edit" aspectratio="f"/>
                      </v:shape>
                      <v:shape id="自选图形 1648" o:spid="_x0000_s1026" o:spt="32" type="#_x0000_t32" style="position:absolute;left:1497330;top:972185;height:635;width:297180;" filled="f" stroked="t" coordsize="21600,21600" o:gfxdata="UEsDBAoAAAAAAIdO4kAAAAAAAAAAAAAAAAAEAAAAZHJzL1BLAwQUAAAACACHTuJAibk4tdYAAAAF&#10;AQAADwAAAGRycy9kb3ducmV2LnhtbE2PT0vEMBDF74LfIYzgzU27SunWThd0EXtRcFfEY7YZm2Az&#10;KU32n5/e6EUvA4/3eO839fLoBrGnKVjPCPksA0HceW25R3jdPFyVIEJUrNXgmRBOFGDZnJ/VqtL+&#10;wC+0X8depBIOlUIwMY6VlKEz5FSY+ZE4eR9+ciomOfVST+qQyt0g51lWSKcspwWjRro31H2udw4h&#10;rt5Ppnjr7hb2efP4VNivtm1XiJcXeXYLItIx/oXhBz+hQ5OYtn7HOogBIT0Sf2/yFuV1DmKLcDMv&#10;S5BNLf/TN99QSwMEFAAAAAgAh07iQF3zvXgMAgAA9wMAAA4AAABkcnMvZTJvRG9jLnhtbK1TzY7T&#10;MBC+I/EOlu80Tbr9i5ruoWW5IKgEPIDrOIkl/8njbdobN8QzcOPIO8DbrARvwdgpW1iEtAd6SMeZ&#10;mW++78t4dX3UihyEB2lNRfPRmBJhuK2laSv67u3NswUlEJipmbJGVPQkgF6vnz5Z9a4Uhe2sqoUn&#10;CGKg7F1FuxBcmWXAO6EZjKwTBpON9ZoFPPo2qz3rEV2rrBiPZ1lvfe285QIA326HJD0j+scA2qaR&#10;XGwtv9XChAHVC8UCSoJOOqDrxLZpBA+vmwZEIKqiqDSkJw7BeB+f2XrFytYz10l+psAeQ+GBJs2k&#10;waH3UFsWGLn18i8oLbm3YJsw4lZng5DkCKrIxw+8edMxJ5IWtBrcvenw/2D5q8POE1lXdIKWGKbx&#10;i3//8OXH+493n77dff1M8tnVIrrUOyixeGN2/nwCt/NR8rHxOv6jGHLEjbpazicR7FTR5bzIF9PB&#10;ZHEMhGO+WM7zBaY55meTlMwuIM5DeCGsJjGoKATPZNuFjTUGv6X1eXKZHV5CQBrY+KshMlCG9Dh0&#10;WkwRnuFuNrgTGGqH+sC0qReskvWNVCp2gG/3G+XJgcX9SL/IFnH/KItDtgy6oS6lBlGdYPVzU5Nw&#10;cmicwQtDIwUtakqUwPsVIwRkZWBSXSqDl8y06h/VOF4ZZBE9H1yO0d7Wp2R+eo/7kHiedzcu3O/n&#10;1H25r+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bk4tdYAAAAFAQAADwAAAAAAAAABACAAAAAi&#10;AAAAZHJzL2Rvd25yZXYueG1sUEsBAhQAFAAAAAgAh07iQF3zvXgMAgAA9wMAAA4AAAAAAAAAAQAg&#10;AAAAJQEAAGRycy9lMm9Eb2MueG1sUEsFBgAAAAAGAAYAWQEAAKMFAAAAAA==&#10;">
                        <v:fill on="f" focussize="0,0"/>
                        <v:stroke color="#000000" joinstyle="round" endarrow="block"/>
                        <v:imagedata o:title=""/>
                        <o:lock v:ext="edit" aspectratio="f"/>
                      </v:shape>
                      <v:shape id="自选图形 1650" o:spid="_x0000_s1026" o:spt="32" type="#_x0000_t32" style="position:absolute;left:2436495;top:971550;height:635;width:297180;" filled="f" stroked="t" coordsize="21600,21600" o:gfxdata="UEsDBAoAAAAAAIdO4kAAAAAAAAAAAAAAAAAEAAAAZHJzL1BLAwQUAAAACACHTuJAibk4tdYAAAAF&#10;AQAADwAAAGRycy9kb3ducmV2LnhtbE2PT0vEMBDF74LfIYzgzU27SunWThd0EXtRcFfEY7YZm2Az&#10;KU32n5/e6EUvA4/3eO839fLoBrGnKVjPCPksA0HceW25R3jdPFyVIEJUrNXgmRBOFGDZnJ/VqtL+&#10;wC+0X8depBIOlUIwMY6VlKEz5FSY+ZE4eR9+ciomOfVST+qQyt0g51lWSKcspwWjRro31H2udw4h&#10;rt5Ppnjr7hb2efP4VNivtm1XiJcXeXYLItIx/oXhBz+hQ5OYtn7HOogBIT0Sf2/yFuV1DmKLcDMv&#10;S5BNLf/TN99QSwMEFAAAAAgAh07iQAF0rmMKAgAA9wMAAA4AAABkcnMvZTJvRG9jLnhtbK1TzW4T&#10;MRC+I/EOlu9ks0kT2lU2PSSUC4JKwANMvN5dS/6Tx83PjRviGbhx5B3o21SCt2DsDQ0UIfXAHrxj&#10;z8w3830eLy73RrOtDKicrXk5GnMmrXCNsl3N37+7enbOGUawDWhnZc0PEvnl8umTxc5XcuJ6pxsZ&#10;GIFYrHa+5n2MvioKFL00gCPnpSVn64KBSNvQFU2AHaEbXUzG43mxc6HxwQmJSKfrwcmPiOExgK5t&#10;lZBrJ26MtHFADVJDJErYK498mbttWynim7ZFGZmuOTGNeaUiZG/SWiwXUHUBfK/EsQV4TAsPOBlQ&#10;loreQ60hArsJ6i8oo0Rw6No4Es4UA5GsCLEoxw+0eduDl5kLSY3+XnT8f7Di9fY6MNXUfFpyZsHQ&#10;jX//+PXHh093n2/vvn1h5XyWVdp5rCh4Za8DaZZ26K9Dorxvg0l/IsP2NZ+cTednFzPODjW/eF7O&#10;hnSo5D4ykfx0eE7yC/LPp7N0A8UJxAeML6UzLBk1xxhAdX1cOWvpLl0os8qwfYVxSPyVkDrQlu2o&#10;6GxC1QXQbLY0E2QaT/zQdjkXnVbNldI6ZWDoNisd2BbSfOTv2NAfYanIGrAf4rJrmJxeQvPCNiwe&#10;PAln6cHw1IKRDWda0vtKVp6xCEqfImNQYDv9j2jSQ1uS5aRysjauOWTx8znNQxbuOLtp4H7f5+zT&#10;e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m5OLXWAAAABQEAAA8AAAAAAAAAAQAgAAAAIgAA&#10;AGRycy9kb3ducmV2LnhtbFBLAQIUABQAAAAIAIdO4kABdK5jCgIAAPcDAAAOAAAAAAAAAAEAIAAA&#10;ACUBAABkcnMvZTJvRG9jLnhtbFBLBQYAAAAABgAGAFkBAAChBQAAAAA=&#10;">
                        <v:fill on="f" focussize="0,0"/>
                        <v:stroke color="#000000" joinstyle="round" endarrow="block"/>
                        <v:imagedata o:title=""/>
                        <o:lock v:ext="edit" aspectratio="f"/>
                      </v:shape>
                      <v:rect id="矩形 187" o:spid="_x0000_s1026" o:spt="1" style="position:absolute;left:552450;top:164465;height:323850;width:1035050;" filled="f" stroked="f" coordsize="21600,21600" o:gfxdata="UEsDBAoAAAAAAIdO4kAAAAAAAAAAAAAAAAAEAAAAZHJzL1BLAwQUAAAACACHTuJA/qXf0NcAAAAF&#10;AQAADwAAAGRycy9kb3ducmV2LnhtbE2PQUvDQBCF70L/wzIFL2I3qSIxZtJDobRIoZhqz9vsmASz&#10;s2l2m9R/79aLXgYe7/HeN9niYloxUO8aywjxLAJBXFrdcIXwvl/dJyCcV6xVa5kQvsnBIp/cZCrV&#10;duQ3GgpfiVDCLlUItfddKqUrazLKzWxHHLxP2xvlg+wrqXs1hnLTynkUPUmjGg4LtepoWVP5VZwN&#10;wljuhsN+u5a7u8PG8mlzWhYfr4i30zh6AeHp4v/CcMUP6JAHpqM9s3aiRQiP+N8bvOfkIQZxRHic&#10;JwnIPJP/6fMfUEsDBBQAAAAIAIdO4kDtDeDzrwEAAE4DAAAOAAAAZHJzL2Uyb0RvYy54bWytU0tu&#10;2zAU3BfoHQjuY31suYZgORsj3RRtgLQHoCnSIsAf+GhLPk2A7HqIHCfoNfooqUmbbrLIhno/zJsZ&#10;UtvrwWhyFgGUsw0tFjklwnLXKnts6I/vN1cbSiAy2zLtrGjoRQC93n38sO19LUrXOd2KQBDEQt37&#10;hnYx+jrLgHfCMFg4Lyw2pQuGRUzDMWsD6xHd6KzM83XWu9D64LgAwOp+atIZMbwF0EmpuNg7fjLC&#10;xgk1CM0iSoJOeaC7ka2UgsdvUoKIRDcUlcbxxCUYH9KZ7basPgbmO8VnCuwtFF5pMkxZXPoMtWeR&#10;kVNQ/0EZxYMDJ+OCO5NNQkZHUEWRv/LmrmNejFrQavDPpsP7wfKv59tAVNvQZUmJZQZv/Nf9z6fH&#10;B1JsPiV7eg81Tt352zBngGHSOshg0hdVkKGhVVWuKvT1gq9qvVqtq8lcMUTCsV3kyypPfY4Dy3K5&#10;wRgBsxccHyB+Fs6QFDQ04OWNnrLzF4jT6J+RtNa6G6U11lmt7T8FxEyVLFGfyKYoDodhVnBw7QVl&#10;n3xQxw5XFSOTNIQ2j5zmJ5Hu8e98BH35DX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6l39DX&#10;AAAABQEAAA8AAAAAAAAAAQAgAAAAIgAAAGRycy9kb3ducmV2LnhtbFBLAQIUABQAAAAIAIdO4kDt&#10;DeDzrwEAAE4DAAAOAAAAAAAAAAEAIAAAACYBAABkcnMvZTJvRG9jLnhtbFBLBQYAAAAABgAGAFkB&#10;AABHBQAAAAA=&#10;">
                        <v:fill on="f" focussize="0,0"/>
                        <v:stroke on="f"/>
                        <v:imagedata o:title=""/>
                        <o:lock v:ext="edit" aspectratio="f"/>
                        <v:textbox>
                          <w:txbxContent>
                            <w:p>
                              <w:pPr>
                                <w:jc w:val="center"/>
                              </w:pPr>
                              <w:r>
                                <w:rPr>
                                  <w:rFonts w:hint="eastAsia"/>
                                </w:rPr>
                                <w:t>噪声、边角料</w:t>
                              </w:r>
                            </w:p>
                          </w:txbxContent>
                        </v:textbox>
                      </v:rect>
                      <v:shape id="自选图形 1655" o:spid="_x0000_s1026" o:spt="32" type="#_x0000_t32" style="position:absolute;left:1084580;top:386715;flip:y;height:419100;width:635;" filled="f" stroked="t" coordsize="21600,21600" o:gfxdata="UEsDBAoAAAAAAIdO4kAAAAAAAAAAAAAAAAAEAAAAZHJzL1BLAwQUAAAACACHTuJA0vBbLNMAAAAF&#10;AQAADwAAAGRycy9kb3ducmV2LnhtbE2PwU7DMBBE70j9B2srcaN2CmrTEKcHJA4cm+QDnHgbR8Tr&#10;yHabwtfjcoHLSqMZzbwtjzc7sSv6MDqSkG0EMKTe6ZEGCW3z/pQDC1GRVpMjlPCFAY7V6qFUhXYL&#10;nfBax4GlEgqFkmBinAvOQ2/QqrBxM1Lyzs5bFZP0A9deLancTnwrxI5bNVJaMGrGN4P9Z32xEnhn&#10;yH+fm3a3iI+5XWq9b6yW8nGdiVdgEW/xLwx3/IQOVWLq3IV0YJOE9Ej8vck75M8ZsE7CyzbPgVcl&#10;/09f/QBQSwMEFAAAAAgAh07iQDm5chAWAgAAAAQAAA4AAABkcnMvZTJvRG9jLnhtbK1TzY7TMBC+&#10;I/EOlu80Sbst3ajpHlqWC4KV+LlPbSex5D/Z3qa9cUM8AzeOvAO8zUrwFoydsguLkPZADtGMZ+ab&#10;+T6PVxcHrche+CCtaWg1KSkRhlkuTdfQt28unywpCREMB2WNaOhRBHqxfvxoNbhaTG1vFReeIIgJ&#10;9eAa2sfo6qIIrBcawsQ6YTDYWq8houu7gnsYEF2rYlqWi2KwnjtvmQgBT7djkJ4Q/UMAbdtKJraW&#10;XWth4ojqhYKIlEIvXaDrPG3bChZftW0QkaiGItOY/9gE7V36F+sV1J0H10t2GgEeMsI9Thqkwaa3&#10;UFuIQK69/AtKS+ZtsG2cMKuLkUhWBFlU5T1tXvfgROaCUgd3K3r4f7Ds5f7KE8kbOptRYkDjjX//&#10;8OXH+483n77dfP1MqsV8nlQaXKgxeWOu/MkL7sonyofWa9Iq6d7hOmURkBY5oFMuz+ZLVPqI6MvF&#10;0yoDQS0OkTCML2ZzShgGz6rzqsx3UYxwCdb5EJ8Lq0kyGhqiB9n1cWONwVu1fmwF+xch4kBY+Ksg&#10;FStDhoaez6epA+CWtrgdaGqHTIPp8pjBKskvpVKpIvhut1Ge7CFtSv4SbcT9Iy012ULoxzyO1rhC&#10;vQD+zHASjw4VNPhyaJpAC06JEvjQkoV4UEeQ6i4zegmmU//Ixu7K4BBJ/FHuZO0sP+ZbyOe4GHnM&#10;0xKnzfvdz9V3D3f9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LwWyzTAAAABQEAAA8AAAAAAAAA&#10;AQAgAAAAIgAAAGRycy9kb3ducmV2LnhtbFBLAQIUABQAAAAIAIdO4kA5uXIQFgIAAAAEAAAOAAAA&#10;AAAAAAEAIAAAACIBAABkcnMvZTJvRG9jLnhtbFBLBQYAAAAABgAGAFkBAACqBQAAAAA=&#10;">
                        <v:fill on="f" focussize="0,0"/>
                        <v:stroke color="#000000" joinstyle="round" dashstyle="dash" endarrow="block"/>
                        <v:imagedata o:title=""/>
                        <o:lock v:ext="edit" aspectratio="f"/>
                      </v:shape>
                      <v:shape id="文本框 1658" o:spid="_x0000_s1026" o:spt="202" type="#_x0000_t202" style="position:absolute;left:1085215;top:2246630;height:342900;width:3470910;" filled="f" stroked="f" coordsize="21600,21600" o:gfxdata="UEsDBAoAAAAAAIdO4kAAAAAAAAAAAAAAAAAEAAAAZHJzL1BLAwQUAAAACACHTuJAEnqmEtQAAAAF&#10;AQAADwAAAGRycy9kb3ducmV2LnhtbE2PwU7DMBBE70j8g7VI3KidUlAasukBxBVEC0jc3HibRMTr&#10;KHab8PcsXOCy0mhGM2/Lzex7daIxdoERsoUBRVwH13GD8Lp7vMpBxWTZ2T4wIXxRhE11flbawoWJ&#10;X+i0TY2SEo6FRWhTGgqtY92St3ERBmLxDmH0NokcG+1GO0m57/XSmFvtbcey0NqB7luqP7dHj/D2&#10;dPh4X5nn5sHfDFOYjWa/1oiXF5m5A5VoTn9h+MEXdKiEaR+O7KLqEeSR9HvFW+fXGag9wmqZ56Cr&#10;Uv+nr74BUEsDBBQAAAAIAIdO4kDikQ0TuwEAAF4DAAAOAAAAZHJzL2Uyb0RvYy54bWytU0tu2zAQ&#10;3RfoHQjua0ryp45gOUBhJJugLZDkADRFWgT4A0lb8gXaG3TVTfc9l8/RIa38N1l0Qw1nHt7Me0Ot&#10;Lget0IH7IK1pcDkpMOKG2VaaXYPv764+LTEKkZqWKmt4g4884Mv1xw+r3tW8sp1VLfcISEyoe9fg&#10;LkZXExJYxzUNE+u4gaKwXtMIV78jrac9sGtFqqJYkN761nnLeAiQ3ZyLeGT07yG0QkjGN5btNTfx&#10;zOq5ohEkhU66gNd5WiE4i9+ECDwi1WBQGvMJTSDeppOsV7Teeeo6ycYR6HtGeKVJU2mg6SPVhkaK&#10;9l6+odKSeRusiBNmNTkLyY6AirJ45c1tRx3PWsDq4B5ND/+Pln09fPdItg2ezjAyVMPGT79+nn7/&#10;Pf35gcrFfJks6l2oAXnrABuHL3aAh/OQD5BMygfhdfqCJpTqxXJelXOMjg2uqtliMR3N5kNEDADT&#10;2efiooQ9MEBMZ9VFkQHkicn5EK+51SgFDfawzOwxPdyECFMB9AGSGht7JZXKC1XmRQKAKUOSjPO4&#10;KYrDdhi1bW17BGl75+Wug1ZZXIaD7bnR+ETSXp/fM+nTb7H+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J6phLUAAAABQEAAA8AAAAAAAAAAQAgAAAAIgAAAGRycy9kb3ducmV2LnhtbFBLAQIUABQA&#10;AAAIAIdO4kDikQ0TuwEAAF4DAAAOAAAAAAAAAAEAIAAAACMBAABkcnMvZTJvRG9jLnhtbFBLBQYA&#10;AAAABgAGAFkBAABQBQAAAAA=&#10;">
                        <v:fill on="f" focussize="0,0"/>
                        <v:stroke on="f"/>
                        <v:imagedata o:title=""/>
                        <o:lock v:ext="edit" aspectratio="f"/>
                        <v:textbox>
                          <w:txbxContent>
                            <w:p>
                              <w:pPr>
                                <w:ind w:firstLine="211" w:firstLineChars="100"/>
                                <w:rPr>
                                  <w:b/>
                                </w:rPr>
                              </w:pPr>
                              <w:r>
                                <w:rPr>
                                  <w:rFonts w:hint="eastAsia"/>
                                  <w:b/>
                                </w:rPr>
                                <w:t>图2</w:t>
                              </w:r>
                              <w:r>
                                <w:rPr>
                                  <w:b/>
                                </w:rPr>
                                <w:t xml:space="preserve"> </w:t>
                              </w:r>
                              <w:r>
                                <w:rPr>
                                  <w:rFonts w:hAnsi="宋体"/>
                                  <w:b/>
                                </w:rPr>
                                <w:t>现有</w:t>
                              </w:r>
                              <w:r>
                                <w:rPr>
                                  <w:rFonts w:hint="eastAsia" w:hAnsi="宋体"/>
                                  <w:b/>
                                </w:rPr>
                                <w:t>工程</w:t>
                              </w:r>
                              <w:r>
                                <w:rPr>
                                  <w:rFonts w:hAnsi="宋体"/>
                                  <w:b/>
                                </w:rPr>
                                <w:t>工艺流程及产排污环节图</w:t>
                              </w:r>
                            </w:p>
                            <w:p/>
                          </w:txbxContent>
                        </v:textbox>
                      </v:shape>
                      <v:rect id="矩形 185" o:spid="_x0000_s1026" o:spt="1" style="position:absolute;left:0;top:843915;height:323850;width:651510;" filled="f" stroked="f" coordsize="21600,21600" o:gfxdata="UEsDBAoAAAAAAIdO4kAAAAAAAAAAAAAAAAAEAAAAZHJzL1BLAwQUAAAACACHTuJA/qXf0NcAAAAF&#10;AQAADwAAAGRycy9kb3ducmV2LnhtbE2PQUvDQBCF70L/wzIFL2I3qSIxZtJDobRIoZhqz9vsmASz&#10;s2l2m9R/79aLXgYe7/HeN9niYloxUO8aywjxLAJBXFrdcIXwvl/dJyCcV6xVa5kQvsnBIp/cZCrV&#10;duQ3GgpfiVDCLlUItfddKqUrazLKzWxHHLxP2xvlg+wrqXs1hnLTynkUPUmjGg4LtepoWVP5VZwN&#10;wljuhsN+u5a7u8PG8mlzWhYfr4i30zh6AeHp4v/CcMUP6JAHpqM9s3aiRQiP+N8bvOfkIQZxRHic&#10;JwnIPJP/6fMfUEsDBBQAAAAIAIdO4kDm9sOfqwEAAEgDAAAOAAAAZHJzL2Uyb0RvYy54bWytU0tu&#10;2zAQ3RfoHQjuY1p2FTiC5WyMdFM0AdIegKZIiwB/GNKWfJoC2fUQPU7Ra3RIK5+mmyyyoWY4T2/m&#10;vZHW16M15Cghau9aWs3mlEgnfKfdvqXfv91crCiJibuOG+9kS08y0uvNxw/rITRy4XtvOgkESVxs&#10;htDSPqXQMBZFLy2PMx+kw6LyYHnCFPasAz4guzVsMZ9fssFDF8ALGSPebs9FOjHCWwi9UlrIrRcH&#10;K106s4I0PKGk2OsQ6aZMq5QU6VapKBMxLUWlqZzYBONdPtlmzZs98NBrMY3A3zLCK02Wa4dNn6i2&#10;PHFyAP0fldUCfPQqzYS37CykOIIqqvkrb+57HmTRglbH8GR6fD9a8fV4B0R3LV3WlDhuceN/fvz8&#10;/euBVKs62zOE2CDqPtzBlEUMs9ZRgc1PVEHGYumppatPy6uqvMgbOSYisHJZV3WFjgusLxfLVV18&#10;Z88MAWL6LL0lOWgp4NqKm/z4JSbsitBHSG7o/I02pqzOuH8uEJhvWB76PGaO0rgbp9l3vjuh4EMA&#10;ve+xVZUlFjgaXBpNH0Pe4Mu8oJ5/gM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Xf0NcAAAAF&#10;AQAADwAAAAAAAAABACAAAAAiAAAAZHJzL2Rvd25yZXYueG1sUEsBAhQAFAAAAAgAh07iQOb2w5+r&#10;AQAASAMAAA4AAAAAAAAAAQAgAAAAJgEAAGRycy9lMm9Eb2MueG1sUEsFBgAAAAAGAAYAWQEAAEMF&#10;AAAAAA==&#10;">
                        <v:fill on="f" focussize="0,0"/>
                        <v:stroke on="f"/>
                        <v:imagedata o:title=""/>
                        <o:lock v:ext="edit" aspectratio="f"/>
                        <v:textbox>
                          <w:txbxContent>
                            <w:p>
                              <w:pPr>
                                <w:jc w:val="center"/>
                              </w:pPr>
                              <w:r>
                                <w:rPr>
                                  <w:rFonts w:hint="eastAsia"/>
                                </w:rPr>
                                <w:t>原料</w:t>
                              </w:r>
                            </w:p>
                          </w:txbxContent>
                        </v:textbox>
                      </v:rect>
                      <v:shape id="自选图形 1650" o:spid="_x0000_s1026" o:spt="32" type="#_x0000_t32" style="position:absolute;left:3500120;top:973455;height:635;width:297180;" filled="f" stroked="t" coordsize="21600,21600" o:gfxdata="UEsDBAoAAAAAAIdO4kAAAAAAAAAAAAAAAAAEAAAAZHJzL1BLAwQUAAAACACHTuJAibk4tdYAAAAF&#10;AQAADwAAAGRycy9kb3ducmV2LnhtbE2PT0vEMBDF74LfIYzgzU27SunWThd0EXtRcFfEY7YZm2Az&#10;KU32n5/e6EUvA4/3eO839fLoBrGnKVjPCPksA0HceW25R3jdPFyVIEJUrNXgmRBOFGDZnJ/VqtL+&#10;wC+0X8depBIOlUIwMY6VlKEz5FSY+ZE4eR9+ciomOfVST+qQyt0g51lWSKcspwWjRro31H2udw4h&#10;rt5Ppnjr7hb2efP4VNivtm1XiJcXeXYLItIx/oXhBz+hQ5OYtn7HOogBIT0Sf2/yFuV1DmKLcDMv&#10;S5BNLf/TN99QSwMEFAAAAAgAh07iQDmzyB0MAgAA9wMAAA4AAABkcnMvZTJvRG9jLnhtbK1TzY7T&#10;MBC+I/EOlu80SUu6u1XTPbQsFwQrAQ/g2k5iyX/yeJv2xg3xDNw48g7s26wEb8HYKVtYhLQHekjH&#10;mZlvvu/LeHm5N5rsZADlbEOrSUmJtNwJZbuGvn939eycEojMCqadlQ09SKCXq6dPloNfyKnrnRYy&#10;EASxsBh8Q/sY/aIogPfSMJg4Ly0mWxcMi3gMXSECGxDd6GJalvNicEH44LgEwLebMUmPiOExgK5t&#10;FZcbx2+MtHFEDVKziJKgVx7oKrNtW8njm7YFGYluKCqN+YlDMN6mZ7FaskUXmO8VP1Jgj6HwQJNh&#10;yuLQe6gNi4zcBPUXlFE8OHBtnHBnilFIdgRVVOUDb972zMusBa0Gf286/D9Y/np3HYgSDZ3NKbHM&#10;4Bf//vHrjw+f7j7f3n37Qqp5nV0aPCyweG2vA3qWTuCvQ5K8b4NJ/yiG7BGnLstqiv4eGnpxNnte&#10;16PJch8Jx/z04qw6xzTH/HyWk8UJxAeIL6UzJAUNhRiY6vq4dtbit3Shyi6z3SuISAMbfzUkBtqS&#10;AYfW0xrhGe5mizuBofGoD2yXe8FpJa6U1qkDQrdd60B2LO1H/iW2iPtHWRqyYdCPdTk1iuolEy+s&#10;IPHg0TiLF4YmCkYKSrTE+5WivGORKX2qjEEx2+l/VON4bZHFyeUUbZ04ZPPze9yHzPO4u2nhfj/n&#10;7tN9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bk4tdYAAAAFAQAADwAAAAAAAAABACAAAAAi&#10;AAAAZHJzL2Rvd25yZXYueG1sUEsBAhQAFAAAAAgAh07iQDmzyB0MAgAA9wMAAA4AAAAAAAAAAQAg&#10;AAAAJQEAAGRycy9lMm9Eb2MueG1sUEsFBgAAAAAGAAYAWQEAAKMFAAAAAA==&#10;">
                        <v:fill on="f" focussize="0,0"/>
                        <v:stroke color="#000000" joinstyle="round" endarrow="block"/>
                        <v:imagedata o:title=""/>
                        <o:lock v:ext="edit" aspectratio="f"/>
                      </v:shape>
                      <v:shape id="文本框 1644" o:spid="_x0000_s1026" o:spt="202" type="#_x0000_t202" style="position:absolute;left:3797300;top:791845;height:328295;width:629285;" fillcolor="#FFFFFF" filled="t" stroked="t" coordsize="21600,21600" o:gfxdata="UEsDBAoAAAAAAIdO4kAAAAAAAAAAAAAAAAAEAAAAZHJzL1BLAwQUAAAACACHTuJAoUn6r9YAAAAF&#10;AQAADwAAAGRycy9kb3ducmV2LnhtbE2PQU8CMRCF7yT+h2ZMvBDoLhAo63Y5mGjkJmj0WrbD7sZ2&#10;urZlwX9v5aKXSV7ey3vflJuLNWxAHzpHEvJpBgypdrqjRsLb6+NEAAtRkVbGEUr4xgCb6mZUqkK7&#10;M+1w2MeGpRIKhZLQxtgXnIe6RavC1PVIyTs6b1VM0jdce3VO5dbwWZYtuVUdpYVW9fjQYv25P1kJ&#10;YvE8fITt/OW9Xh7NOo5Xw9OXl/LuNs/ugUW8xL8w/OIndKgS08GdSAdmJKRH4vUmby3mObCDhMVM&#10;COBVyf/TVz9QSwMEFAAAAAgAh07iQN4wHooZAgAARAQAAA4AAABkcnMvZTJvRG9jLnhtbK1Ty67T&#10;MBDdI/EPlvc0afpM1fRKUMoGAdKFD3BtJ7Hkl2y3SX8A/oAVG/Z8V7/jjp3eJyy6IAtn7BmfmXNm&#10;vL7plURH7rwwusLjUY4R19QwoZsKf/u6e7PEyAeiGZFG8wqfuMc3m9ev1p1d8cK0RjLuEIBov+ps&#10;hdsQ7CrLPG25In5kLNfgrI1TJMDWNRlzpAN0JbMiz+dZZxyzzlDuPZxuBye+ILprAE1dC8q3hh4U&#10;12FAdVySAJR8K6zHm1RtXXMaPte15wHJCgPTkFZIAvY+rtlmTVaNI7YV9FICuaaEF5wUERqSPkBt&#10;SSDo4MRfUEpQZ7ypw4galQ1EkiLAYpy/0Oa2JZYnLiC1tw+i+/8HSz8dvzgkWIUnC4w0UdDx888f&#10;519/zr+/o/F8Oo0SddavIPLWQmzo35oeBuf+3MNhZN7XTsU/cELgnyzKxSQHmU8VXpTj5XQ2aM37&#10;gCj450VZLGcYUfBPimVRJn/2iGOdDx+4USgaFXbQyqQwOX70AWqC0PuQmNYbKdhOSJk2rtm/kw4d&#10;CbR9l76YHa48C5MadRUuZ0Wsg8As1zBDYCoLenjdpHzPbvinwHn6/gUcC9sS3w4FJISBvRKBuzRz&#10;LSfsvWYonCxIruGp4ViM4gwjyeFlRitFBiLkNZHATmogGZs1NCVaod/3ABPNvWEnaODBOtG0IGlq&#10;YQqH4UrqXB5CnN6n+wT6+Pg3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FJ+q/WAAAABQEAAA8A&#10;AAAAAAAAAQAgAAAAIgAAAGRycy9kb3ducmV2LnhtbFBLAQIUABQAAAAIAIdO4kDeMB6KGQIAAEQE&#10;AAAOAAAAAAAAAAEAIAAAACUBAABkcnMvZTJvRG9jLnhtbFBLBQYAAAAABgAGAFkBAACwBQAAAAA=&#10;">
                        <v:fill on="t" focussize="0,0"/>
                        <v:stroke color="#000000" joinstyle="miter"/>
                        <v:imagedata o:title=""/>
                        <o:lock v:ext="edit" aspectratio="f"/>
                        <v:textbox>
                          <w:txbxContent>
                            <w:p>
                              <w:pPr>
                                <w:jc w:val="center"/>
                              </w:pPr>
                              <w:r>
                                <w:rPr>
                                  <w:rFonts w:hint="eastAsia"/>
                                </w:rPr>
                                <w:t>焊接</w:t>
                              </w:r>
                            </w:p>
                          </w:txbxContent>
                        </v:textbox>
                      </v:shape>
                      <v:shape id="自选图形 1650" o:spid="_x0000_s1026" o:spt="32" type="#_x0000_t32" style="position:absolute;left:4451985;top:970915;height:635;width:297180;" filled="f" stroked="t" coordsize="21600,21600" o:gfxdata="UEsDBAoAAAAAAIdO4kAAAAAAAAAAAAAAAAAEAAAAZHJzL1BLAwQUAAAACACHTuJAibk4tdYAAAAF&#10;AQAADwAAAGRycy9kb3ducmV2LnhtbE2PT0vEMBDF74LfIYzgzU27SunWThd0EXtRcFfEY7YZm2Az&#10;KU32n5/e6EUvA4/3eO839fLoBrGnKVjPCPksA0HceW25R3jdPFyVIEJUrNXgmRBOFGDZnJ/VqtL+&#10;wC+0X8depBIOlUIwMY6VlKEz5FSY+ZE4eR9+ciomOfVST+qQyt0g51lWSKcspwWjRro31H2udw4h&#10;rt5Ppnjr7hb2efP4VNivtm1XiJcXeXYLItIx/oXhBz+hQ5OYtn7HOogBIT0Sf2/yFuV1DmKLcDMv&#10;S5BNLf/TN99QSwMEFAAAAAgAh07iQLcg1KMNAgAA9wMAAA4AAABkcnMvZTJvRG9jLnhtbK1TzY7T&#10;MBC+I/EOlu80SXfbbaume2hZLggqAQ/g2k5iyX/yeJv2xg3xDNw48g7wNivBWzB2yhYWIe2BHJyx&#10;Z+ab+T6Pl9cHo8leBlDO1rQalZRIy51Qtq3pu7c3z2aUQGRWMO2srOlRAr1ePX2y7P1Cjl3ntJCB&#10;IIiFRe9r2sXoF0UBvJOGwch5adHZuGBYxG1oCxFYj+hGF+OynBa9C8IHxyUAnm4GJz0hhscAuqZR&#10;XG4cvzXSxgE1SM0iUoJOeaCr3G3TSB5fNw3ISHRNkWnMKxZBe5fWYrVkizYw3yl+aoE9poUHnAxT&#10;FoveQ21YZOQ2qL+gjOLBgWviiDtTDESyIsiiKh9o86ZjXmYuKDX4e9Hh/8HyV/ttIErU9ALv3TKD&#10;N/79w5cf7z/effp29/UzqaaTrFLvYYHBa7sNqFnagd+GRPnQBJP+SIYcanp5Oanmswklx5rOr8p5&#10;NRlElodIOPrH86tqhvJz9E8vsrM4g/gA8YV0hiSjphADU20X185avEsXqqwy27+EiG1g4q+E1IG2&#10;pMeikzFW5wxns8GZQNN45Ae2zbngtBI3SuuUAaHdrXUge5bmI3+pW8T9IywV2TDohrjsGkh1konn&#10;VpB49CicxQdDUwtGCkq0xPeVrDxjkSl9joxBMdvqf0RjeW2xi7PKydo5cczi53Och9znaXbTwP2+&#10;z9nn97r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m5OLXWAAAABQEAAA8AAAAAAAAAAQAgAAAA&#10;IgAAAGRycy9kb3ducmV2LnhtbFBLAQIUABQAAAAIAIdO4kC3INSjDQIAAPcDAAAOAAAAAAAAAAEA&#10;IAAAACUBAABkcnMvZTJvRG9jLnhtbFBLBQYAAAAABgAGAFkBAACkBQAAAAA=&#10;">
                        <v:fill on="f" focussize="0,0"/>
                        <v:stroke color="#000000" joinstyle="round" endarrow="block"/>
                        <v:imagedata o:title=""/>
                        <o:lock v:ext="edit" aspectratio="f"/>
                      </v:shape>
                      <v:shape id="文本框 1644" o:spid="_x0000_s1026" o:spt="202" type="#_x0000_t202" style="position:absolute;left:4749165;top:791845;height:328295;width:629285;" fillcolor="#FFFFFF" filled="t" stroked="t" coordsize="21600,21600" o:gfxdata="UEsDBAoAAAAAAIdO4kAAAAAAAAAAAAAAAAAEAAAAZHJzL1BLAwQUAAAACACHTuJAoUn6r9YAAAAF&#10;AQAADwAAAGRycy9kb3ducmV2LnhtbE2PQU8CMRCF7yT+h2ZMvBDoLhAo63Y5mGjkJmj0WrbD7sZ2&#10;urZlwX9v5aKXSV7ey3vflJuLNWxAHzpHEvJpBgypdrqjRsLb6+NEAAtRkVbGEUr4xgCb6mZUqkK7&#10;M+1w2MeGpRIKhZLQxtgXnIe6RavC1PVIyTs6b1VM0jdce3VO5dbwWZYtuVUdpYVW9fjQYv25P1kJ&#10;YvE8fITt/OW9Xh7NOo5Xw9OXl/LuNs/ugUW8xL8w/OIndKgS08GdSAdmJKRH4vUmby3mObCDhMVM&#10;COBVyf/TVz9QSwMEFAAAAAgAh07iQDAfhFcaAgAARAQAAA4AAABkcnMvZTJvRG9jLnhtbK1TTa7T&#10;MBDeI3EHy3uaNq/ta6qmT4JSNgiQHhzAdZzEkv/kcZv0AnADVmzYc66e442dvl9YdEEWztgz/ma+&#10;b8arm14rchAepDUlnYzGlAjDbSVNU9JvX7dvFpRAYKZiyhpR0qMAerN+/WrVuaXIbWtVJTxBEAPL&#10;zpW0DcEtswx4KzSDkXXCoLO2XrOAW99klWcdomuV5ePxPOusr5y3XADg6WZw0jOivwTQ1rXkYmP5&#10;XgsTBlQvFAtICVrpgK5TtXUtePhc1yACUSVFpiGtmATtXVyz9YotG89cK/m5BHZJCS84aSYNJn2A&#10;2rDAyN7Lv6C05N6CrcOIW50NRJIiyGIyfqHNbcucSFxQanAPosP/g+WfDl88kVVJrwpKDNPY8dPP&#10;H6dff06/v5PJfDqNEnUOlhh56zA29G9tj4Nzfw54GJn3tdfxj5wI+qfX02Iyn1FyLOl1MVlMZ4PW&#10;og+Eo3+eF/kC3Rz9V/kiL5I/e8RxHsIHYTWJRkk9tjIpzA4fIWBNGHofEtOCVbLaSqXSxje7d8qT&#10;A8O2b9MXs+OVZ2HKkK6kxSyPdTCc5RpnCE3tUA8wTcr37AY8BR6n71/AsbANg3YoICEM7LUMwqeZ&#10;awWr3puKhKNDyQ0+NRqL0aKiRAl8mdFKkYFJdUkkslMGScZmDU2JVuh3PcJEc2erIzZw77xsWpQ0&#10;tTCF43Aldc4PIU7v030CfXz86z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Sfqv1gAAAAUBAAAP&#10;AAAAAAAAAAEAIAAAACIAAABkcnMvZG93bnJldi54bWxQSwECFAAUAAAACACHTuJAMB+EVxoCAABE&#10;BAAADgAAAAAAAAABACAAAAAlAQAAZHJzL2Uyb0RvYy54bWxQSwUGAAAAAAYABgBZAQAAsQUAAAAA&#10;">
                        <v:fill on="t" focussize="0,0"/>
                        <v:stroke color="#000000" joinstyle="miter"/>
                        <v:imagedata o:title=""/>
                        <o:lock v:ext="edit" aspectratio="f"/>
                        <v:textbox>
                          <w:txbxContent>
                            <w:p>
                              <w:pPr>
                                <w:jc w:val="center"/>
                              </w:pPr>
                              <w:r>
                                <w:rPr>
                                  <w:rFonts w:hint="eastAsia"/>
                                </w:rPr>
                                <w:t>组装</w:t>
                              </w:r>
                            </w:p>
                          </w:txbxContent>
                        </v:textbox>
                      </v:shape>
                      <v:shape id="自选图形 1850" o:spid="_x0000_s1026" o:spt="32" type="#_x0000_t32" style="position:absolute;left:5087620;top:1129665;height:463550;width:635;" filled="f" stroked="t" coordsize="21600,21600" o:gfxdata="UEsDBAoAAAAAAIdO4kAAAAAAAAAAAAAAAAAEAAAAZHJzL1BLAwQUAAAACACHTuJAibk4tdYAAAAF&#10;AQAADwAAAGRycy9kb3ducmV2LnhtbE2PT0vEMBDF74LfIYzgzU27SunWThd0EXtRcFfEY7YZm2Az&#10;KU32n5/e6EUvA4/3eO839fLoBrGnKVjPCPksA0HceW25R3jdPFyVIEJUrNXgmRBOFGDZnJ/VqtL+&#10;wC+0X8depBIOlUIwMY6VlKEz5FSY+ZE4eR9+ciomOfVST+qQyt0g51lWSKcspwWjRro31H2udw4h&#10;rt5Ppnjr7hb2efP4VNivtm1XiJcXeXYLItIx/oXhBz+hQ5OYtn7HOogBIT0Sf2/yFuV1DmKLcDMv&#10;S5BNLf/TN99QSwMEFAAAAAgAh07iQKl/MEALAgAA+AMAAA4AAABkcnMvZTJvRG9jLnhtbK1TzY7T&#10;MBC+I/EOlu80admWbtV0Dy3LBUEl4AGmjpNY8p883qa9cUM8AzeOvAO8zUrwFoydsoVFSHsgB2cc&#10;z3zzfV/Gy6uD0WwvAypnKz4elZxJK1ytbFvxd2+vn8w5wwi2Bu2srPhRIr9aPX607P1CTlzndC0D&#10;IxCLi95XvIvRL4oCRScN4Mh5aemwccFApG1oizpAT+hGF5OynBW9C7UPTkhE+roZDvkJMTwE0DWN&#10;EnLjxI2RNg6oQWqIJAk75ZGvMtumkSK+bhqUkemKk9KYV2pC8S6txWoJizaA75Q4UYCHULinyYCy&#10;1PQOagMR2E1Qf0EZJYJD18SRcKYYhGRHSMW4vOfNmw68zFrIavR3puP/gxWv9tvAVF3xC7LEgqE/&#10;/v3Dlx/vP95++nb79TMbz6fZpd7jgpLXdhvIs7RDvw1J8qEJJr1JDDtUfFrOn80mBHak6RpPLmez&#10;6eCyPEQmKGH2dMqZoNMLigbw4oziA8YX0hmWgopjDKDaLq6dtfQzXRhnm2H/EiPxoMJfBYmCtqyv&#10;+OV0kjoADWdDQ0Gh8SQQbZtr0WlVXyutUwWGdrfWge0hDUh+ElvC/SMtNdkAdkNePhpEdRLq57Zm&#10;8ejJOUs3hicKRtacaUkXLEV5yCIofc6MQYFt9T+yqb22xOJsc4p2rj5m9/N3GojM8zS8aeJ+3+fq&#10;84V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uTi11gAAAAUBAAAPAAAAAAAAAAEAIAAAACIA&#10;AABkcnMvZG93bnJldi54bWxQSwECFAAUAAAACACHTuJAqX8wQAsCAAD4AwAADgAAAAAAAAABACAA&#10;AAAlAQAAZHJzL2Uyb0RvYy54bWxQSwUGAAAAAAYABgBZAQAAogUAAAAA&#10;">
                        <v:fill on="f" focussize="0,0"/>
                        <v:stroke color="#000000" joinstyle="round" endarrow="block"/>
                        <v:imagedata o:title=""/>
                        <o:lock v:ext="edit" aspectratio="f"/>
                      </v:shape>
                      <v:shape id="文本框 1644" o:spid="_x0000_s1026" o:spt="202" type="#_x0000_t202" style="position:absolute;left:4749165;top:1593215;height:328295;width:629285;" fillcolor="#FFFFFF" filled="t" stroked="t" coordsize="21600,21600" o:gfxdata="UEsDBAoAAAAAAIdO4kAAAAAAAAAAAAAAAAAEAAAAZHJzL1BLAwQUAAAACACHTuJAoUn6r9YAAAAF&#10;AQAADwAAAGRycy9kb3ducmV2LnhtbE2PQU8CMRCF7yT+h2ZMvBDoLhAo63Y5mGjkJmj0WrbD7sZ2&#10;urZlwX9v5aKXSV7ey3vflJuLNWxAHzpHEvJpBgypdrqjRsLb6+NEAAtRkVbGEUr4xgCb6mZUqkK7&#10;M+1w2MeGpRIKhZLQxtgXnIe6RavC1PVIyTs6b1VM0jdce3VO5dbwWZYtuVUdpYVW9fjQYv25P1kJ&#10;YvE8fITt/OW9Xh7NOo5Xw9OXl/LuNs/ugUW8xL8w/OIndKgS08GdSAdmJKRH4vUmby3mObCDhMVM&#10;COBVyf/TVz9QSwMEFAAAAAgAh07iQJafNYYaAgAARQQAAA4AAABkcnMvZTJvRG9jLnhtbK1Ty67T&#10;MBDdI/EPlvc0TW5b2qrplaCUDQKkCx/gOk5iyS953Cb9AfgDVmzY8139DsZO7/suuiCLZGyfnJlz&#10;Zry67rUiB+FBWlPSfDSmRBhuK2makn7/tn0zpwQCMxVT1oiSHgXQ6/XrV6vOLUVhW6sq4QmSGFh2&#10;rqRtCG6ZZcBboRmMrBMGD2vrNQu49E1WedYhu1ZZMR7Pss76ynnLBQDuboZDemb0lxDaupZcbCzf&#10;a2HCwOqFYgElQSsd0HWqtq4FD1/qGkQgqqSoNKQ3JsF4F9/ZesWWjWeulfxcArukhCeaNJMGk95R&#10;bVhgZO/lMyotubdg6zDiVmeDkOQIqsjHT7y5aZkTSQtaDe7OdPh/tPzz4asnsirpJKfEMI0dP/36&#10;efr99/TnB8lnk0m0qHOwROSNQ2zo39keB+d2H3AzKu9rr+MXNRE8n7ydLPLZlJIjYqeLqyKfDmaL&#10;PhCOgFmxKOZ4zhFwVcyLRTrP7omch/BRWE1iUFKPvUwWs8MnCFgUQm8hMS9YJautVCotfLN7rzw5&#10;MOz7Nj0xO/7yCKYM6Uq6mBaxDobDXOMQYagdGgKmSfke/QEPicfpeYk4FrZh0A4FJIZBvZZB+DR0&#10;rWDVB1ORcHToucG7RmMxWlSUKIFXM0YJGZhUlyBRnTIoMnZr6EqMQr/rkSaGO1sdsYN752XToqWp&#10;hwmO05XcOd+EOL4P14n0/va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Sfqv1gAAAAUBAAAP&#10;AAAAAAAAAAEAIAAAACIAAABkcnMvZG93bnJldi54bWxQSwECFAAUAAAACACHTuJAlp81hhoCAABF&#10;BAAADgAAAAAAAAABACAAAAAlAQAAZHJzL2Uyb0RvYy54bWxQSwUGAAAAAAYABgBZAQAAsQUAAAAA&#10;">
                        <v:fill on="t" focussize="0,0"/>
                        <v:stroke color="#000000" joinstyle="miter"/>
                        <v:imagedata o:title=""/>
                        <o:lock v:ext="edit" aspectratio="f"/>
                        <v:textbox>
                          <w:txbxContent>
                            <w:p>
                              <w:r>
                                <w:rPr>
                                  <w:rFonts w:hint="eastAsia"/>
                                </w:rPr>
                                <w:t>喷漆</w:t>
                              </w:r>
                            </w:p>
                          </w:txbxContent>
                        </v:textbox>
                      </v:shape>
                      <v:shape id="自选图形 1852" o:spid="_x0000_s1026" o:spt="32" type="#_x0000_t32" style="position:absolute;left:4252595;top:1745615;flip:x;height:635;width:488315;" filled="f" stroked="t" coordsize="21600,21600" o:gfxdata="UEsDBAoAAAAAAIdO4kAAAAAAAAAAAAAAAAAEAAAAZHJzL1BLAwQUAAAACACHTuJAuSUQy9YAAAAF&#10;AQAADwAAAGRycy9kb3ducmV2LnhtbE2PzU7DMBCE70i8g7VIXBB1En5kQjY9AIVTVRHK3Y2XJGq8&#10;jmK3Td4ewwUuK41mNPNtsZxsL440+s4xQrpIQBDXznTcIGw/VtcKhA+aje4dE8JMHpbl+Vmhc+NO&#10;/E7HKjQilrDPNUIbwpBL6euWrPYLNxBH78uNVocox0aaUZ9iue1lliT30uqO40KrB3pqqd5XB4vw&#10;XG3uVp9X2ymb67d19ar2G55fEC8v0uQRRKAp/IXhBz+iQxmZdu7AxoseIT4Sfm/0HtRNCmKHcJsp&#10;BbIs5H/68htQSwMEFAAAAAgAh07iQHRPszMUAgAAAgQAAA4AAABkcnMvZTJvRG9jLnhtbK1TS44T&#10;MRDdI3EHy3vSSWYSMq10ZpEwsEAQCThAxe3utuSfXJ50smOHOAM7ltwBbjMS3IKyO8zAIKRZ0IuW&#10;7ap69d5zeXl5MJrtZUDlbMUnozFn0gpXK9tW/N3bqycLzjCCrUE7Kyt+lMgvV48fLXtfyqnrnK5l&#10;YARisex9xbsYfVkUKDppAEfOS0vBxgUDkbahLeoAPaEbXUzH43nRu1D74IREpNPNEOQnxPAQQNc0&#10;SsiNE9dG2jigBqkhkiTslEe+ymybRor4umlQRqYrTkpj/lMTWu/Sv1gtoWwD+E6JEwV4CIV7mgwo&#10;S01voTYQgV0H9ReUUSI4dE0cCWeKQUh2hFRMxve8edOBl1kLWY3+1nT8f7Di1X4bmKorfj7lzIKh&#10;G//+4cuP9x9vPn27+fqZTRazaXKp91hS8tpuw2mHfhuS5EMTDGu08i9onLIJJIsdEuJsOruYcXak&#10;wNPz2XwyG/yWh8hESlgszuiMCUqYn+VgMeAlXB8wPpfOsLSoOMYAqu3i2llL1+rC0Av2LzESIyr8&#10;VZCKtWV9xS+IAMEDjWlD40FL40kq2jbzRKdVfaW0ThUY2t1aB7aHNCr5S2wJ94+01GQD2A15OTSI&#10;6iTUz2zN4tGTh5beDk8UjKw505KeWloRIJQRlL7LjEGBbfU/sqm9tsQi2T8YnlY7Vx/zPeRzGo3M&#10;8zTGafZ+3+fqu6e7+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5JRDL1gAAAAUBAAAPAAAAAAAA&#10;AAEAIAAAACIAAABkcnMvZG93bnJldi54bWxQSwECFAAUAAAACACHTuJAdE+zMxQCAAACBAAADgAA&#10;AAAAAAABACAAAAAlAQAAZHJzL2Uyb0RvYy54bWxQSwUGAAAAAAYABgBZAQAAqwUAAAAA&#10;">
                        <v:fill on="f" focussize="0,0"/>
                        <v:stroke color="#000000" joinstyle="round" endarrow="block"/>
                        <v:imagedata o:title=""/>
                        <o:lock v:ext="edit" aspectratio="f"/>
                      </v:shape>
                      <v:shape id="文本框 1644" o:spid="_x0000_s1026" o:spt="202" type="#_x0000_t202" style="position:absolute;left:3623310;top:1593215;height:328295;width:629285;" fillcolor="#FFFFFF" filled="t" stroked="t" coordsize="21600,21600" o:gfxdata="UEsDBAoAAAAAAIdO4kAAAAAAAAAAAAAAAAAEAAAAZHJzL1BLAwQUAAAACACHTuJAoUn6r9YAAAAF&#10;AQAADwAAAGRycy9kb3ducmV2LnhtbE2PQU8CMRCF7yT+h2ZMvBDoLhAo63Y5mGjkJmj0WrbD7sZ2&#10;urZlwX9v5aKXSV7ey3vflJuLNWxAHzpHEvJpBgypdrqjRsLb6+NEAAtRkVbGEUr4xgCb6mZUqkK7&#10;M+1w2MeGpRIKhZLQxtgXnIe6RavC1PVIyTs6b1VM0jdce3VO5dbwWZYtuVUdpYVW9fjQYv25P1kJ&#10;YvE8fITt/OW9Xh7NOo5Xw9OXl/LuNs/ugUW8xL8w/OIndKgS08GdSAdmJKRH4vUmby3mObCDhMVM&#10;COBVyf/TVz9QSwMEFAAAAAgAh07iQEFn9ZgaAgAARQQAAA4AAABkcnMvZTJvRG9jLnhtbK1Ty67T&#10;MBDdI/EPlvc0bdJWbdX0SlDKBgHShQ9wHSex5Jc8bpP+APwBKzbs+a5+xx07vU9YdEEWydg+OTPn&#10;zHh902tFjsKDtKakk9GYEmG4raRpSvrt6+7NghIIzFRMWSNKehJAbzavX607txK5ba2qhCdIYmDV&#10;uZK2IbhVlgFvhWYwsk4YPKyt1yzg0jdZ5VmH7Fpl+Xg8zzrrK+ctFwC4ux0O6YXRX0No61pysbX8&#10;oIUJA6sXigWUBK10QDep2roWPHyuaxCBqJKi0pDemATjfXxnmzVbNZ65VvJLCeyaEl5o0kwaTPpA&#10;tWWBkYOXf1Fpyb0FW4cRtzobhCRHUMVk/MKb25Y5kbSg1eAeTIf/R8s/Hb94IquSTgtKDNPY8fPP&#10;H+dff86/v5PJfDqNFnUOVoi8dYgN/Vvb4+Dc7wNuRuV97XX8oiaC58U8L4oJ2nxC7GxZ5JPZYLbo&#10;A+EImOfLfDGjhCOgyBf5Mp1nj0TOQ/ggrCYxKKnHXiaL2fEjBCwKofeQmBesktVOKpUWvtm/U54c&#10;GfZ9l56YHX95BlOGdCVdzvJYB8NhrnGIMNQODQHTpHzP/oCnxOP0/Is4FrZl0A4FJIZBvZZB+DR0&#10;rWDVe1ORcHLoucG7RmMxWlSUKIFXM0YJGZhU1yBRnTIoMnZr6EqMQr/vkSaGe1udsIMH52XToqWp&#10;hwmO05XcudyEOL5P14n08fZv7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Sfqv1gAAAAUBAAAP&#10;AAAAAAAAAAEAIAAAACIAAABkcnMvZG93bnJldi54bWxQSwECFAAUAAAACACHTuJAQWf1mBoCAABF&#10;BAAADgAAAAAAAAABACAAAAAlAQAAZHJzL2Uyb0RvYy54bWxQSwUGAAAAAAYABgBZAQAAsQUAAAAA&#10;">
                        <v:fill on="t" focussize="0,0"/>
                        <v:stroke color="#000000" joinstyle="miter"/>
                        <v:imagedata o:title=""/>
                        <o:lock v:ext="edit" aspectratio="f"/>
                        <v:textbox>
                          <w:txbxContent>
                            <w:p>
                              <w:pPr>
                                <w:jc w:val="center"/>
                              </w:pPr>
                              <w:r>
                                <w:rPr>
                                  <w:rFonts w:hint="eastAsia"/>
                                </w:rPr>
                                <w:t>调试</w:t>
                              </w:r>
                            </w:p>
                          </w:txbxContent>
                        </v:textbox>
                      </v:shape>
                      <v:shape id="自选图形 1854" o:spid="_x0000_s1026" o:spt="32" type="#_x0000_t32" style="position:absolute;left:3134995;top:1746250;flip:x;height:635;width:488315;" filled="f" stroked="t" coordsize="21600,21600" o:gfxdata="UEsDBAoAAAAAAIdO4kAAAAAAAAAAAAAAAAAEAAAAZHJzL1BLAwQUAAAACACHTuJAuSUQy9YAAAAF&#10;AQAADwAAAGRycy9kb3ducmV2LnhtbE2PzU7DMBCE70i8g7VIXBB1En5kQjY9AIVTVRHK3Y2XJGq8&#10;jmK3Td4ewwUuK41mNPNtsZxsL440+s4xQrpIQBDXznTcIGw/VtcKhA+aje4dE8JMHpbl+Vmhc+NO&#10;/E7HKjQilrDPNUIbwpBL6euWrPYLNxBH78uNVocox0aaUZ9iue1lliT30uqO40KrB3pqqd5XB4vw&#10;XG3uVp9X2ymb67d19ar2G55fEC8v0uQRRKAp/IXhBz+iQxmZdu7AxoseIT4Sfm/0HtRNCmKHcJsp&#10;BbIs5H/68htQSwMEFAAAAAgAh07iQMxnt20UAgAAAgQAAA4AAABkcnMvZTJvRG9jLnhtbK1TzY7T&#10;MBC+I/EOlu80/UlLGzXdQ8vCAUEldh/AdZzEkv/k8TbtjRviGbhx5B3gbVaCt2DshF1YhLQHcohs&#10;zzffzPd5vL44aUWOwoO0pqST0ZgSYbitpGlKen11+WxJCQRmKqasESU9C6AXm6dP1p0rxNS2VlXC&#10;EyQxUHSupG0Irsgy4K3QDEbWCYPB2nrNAm59k1WedciuVTYdjxdZZ33lvOUCAE93fZAOjP4xhLau&#10;JRc7y2+0MKFn9UKxgJKglQ7oJnVb14KHt3UNIhBVUlQa0h+L4PoQ/9lmzYrGM9dKPrTAHtPCA02a&#10;SYNF76h2LDBy4+VfVFpyb8HWYcStznohyRFUMRk/8OZdy5xIWtBqcHemw/+j5W+Oe09kVdI8p8Qw&#10;jTf+/cOXH+8/3n76dvv1M5ks53l0qXNQIHhr9n7Ygdv7KPlUe01qJd0rHKdkAsoip5LOJrN8tZpT&#10;csbA83wxnQ9+i1MgHAH5cjmbYJwjYDGbxzJZzxd5nYfwUlhN4qKkEDyTTRu21hi8Vuv7Wuz4GkKf&#10;+CshJitDupKu5tNIz3BMaxwPXGqHUsE0qU+wSlaXUqmYAb45bJUnRxZHJX1DQ3/AYpEdg7bHpVCE&#10;saIVrHphKhLODj00+HZobEGLihIl8KnFVUIGJtU9MnjJTKP+gUY/lEFbov294XF1sNU53UM6x9FI&#10;xg1jHGfv933Kvn+6m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5JRDL1gAAAAUBAAAPAAAAAAAA&#10;AAEAIAAAACIAAABkcnMvZG93bnJldi54bWxQSwECFAAUAAAACACHTuJAzGe3bRQCAAACBAAADgAA&#10;AAAAAAABACAAAAAlAQAAZHJzL2Uyb0RvYy54bWxQSwUGAAAAAAYABgBZAQAAqwUAAAAA&#10;">
                        <v:fill on="f" focussize="0,0"/>
                        <v:stroke color="#000000" joinstyle="round" endarrow="block"/>
                        <v:imagedata o:title=""/>
                        <o:lock v:ext="edit" aspectratio="f"/>
                      </v:shape>
                      <v:shape id="文本框 1644" o:spid="_x0000_s1026" o:spt="202" type="#_x0000_t202" style="position:absolute;left:2505710;top:1593215;height:328295;width:629285;" fillcolor="#FFFFFF" filled="t" stroked="t" coordsize="21600,21600" o:gfxdata="UEsDBAoAAAAAAIdO4kAAAAAAAAAAAAAAAAAEAAAAZHJzL1BLAwQUAAAACACHTuJAoUn6r9YAAAAF&#10;AQAADwAAAGRycy9kb3ducmV2LnhtbE2PQU8CMRCF7yT+h2ZMvBDoLhAo63Y5mGjkJmj0WrbD7sZ2&#10;urZlwX9v5aKXSV7ey3vflJuLNWxAHzpHEvJpBgypdrqjRsLb6+NEAAtRkVbGEUr4xgCb6mZUqkK7&#10;M+1w2MeGpRIKhZLQxtgXnIe6RavC1PVIyTs6b1VM0jdce3VO5dbwWZYtuVUdpYVW9fjQYv25P1kJ&#10;YvE8fITt/OW9Xh7NOo5Xw9OXl/LuNs/ugUW8xL8w/OIndKgS08GdSAdmJKRH4vUmby3mObCDhMVM&#10;COBVyf/TVz9QSwMEFAAAAAgAh07iQBS4OQsZAgAARQQAAA4AAABkcnMvZTJvRG9jLnhtbK1Ty67T&#10;MBDdI/EPlvc0aW5T2qrplaCUDQKkCx/gOk5iyS953Cb9AfgDVmzY8133Oxg7vU9YdEEWydg+OTPn&#10;zHh9PWhFjsKDtKai00lOiTDc1tK0Ff36ZfdqQQkEZmqmrBEVPQmg15uXL9a9W4nCdlbVwhMkMbDq&#10;XUW7ENwqy4B3QjOYWCcMHjbWaxZw6dus9qxHdq2yIs/nWW997bzlAgB3t+MhPTP6Swht00gutpYf&#10;tDBhZPVCsYCSoJMO6CZV2zSCh09NAyIQVVFUGtIbk2C8j+9ss2ar1jPXSX4ugV1SwjNNmkmDSe+p&#10;tiwwcvDyLyotubdgmzDhVmejkOQIqpjmz7y56ZgTSQtaDe7edPh/tPzj8bMnsq7orKTEMI0dv/3x&#10;/fbn79tf38h0PptFi3oHK0TeOMSG4Y0dcHDu9gE3o/Kh8Tp+URPB86LMy9dTtPmE2HJ5VUzL0Wwx&#10;BMIRMC+WxQJzcgRcFYtimc6zByLnIbwXVpMYVNRjL5PF7PgBAhaF0DtIzAtWyXonlUoL3+7fKk+O&#10;DPu+S0/Mjr88gSlD+oouyyLWwXCYGxwiDLVDQ8C0Kd+TP+AxcZ6efxHHwrYMurGAxDCq1zIIn4au&#10;E6x+Z2oSTg49N3jXaCxGi5oSJfBqxighA5PqEiSqUwZFxm6NXYlRGPYD0sRwb+sTdvDgvGw7tDT1&#10;MMFxupI755sQx/fxOpE+3P7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FJ+q/WAAAABQEAAA8A&#10;AAAAAAAAAQAgAAAAIgAAAGRycy9kb3ducmV2LnhtbFBLAQIUABQAAAAIAIdO4kAUuDkLGQIAAEUE&#10;AAAOAAAAAAAAAAEAIAAAACUBAABkcnMvZTJvRG9jLnhtbFBLBQYAAAAABgAGAFkBAACwBQAAAAA=&#10;">
                        <v:fill on="t" focussize="0,0"/>
                        <v:stroke color="#000000" joinstyle="miter"/>
                        <v:imagedata o:title=""/>
                        <o:lock v:ext="edit" aspectratio="f"/>
                        <v:textbox>
                          <w:txbxContent>
                            <w:p>
                              <w:pPr>
                                <w:jc w:val="center"/>
                              </w:pPr>
                              <w:r>
                                <w:rPr>
                                  <w:rFonts w:hint="eastAsia"/>
                                </w:rPr>
                                <w:t>成品</w:t>
                              </w:r>
                            </w:p>
                          </w:txbxContent>
                        </v:textbox>
                      </v:shape>
                      <v:shape id="自选图形 1655" o:spid="_x0000_s1026" o:spt="32" type="#_x0000_t32" style="position:absolute;left:2067560;top:372745;flip:y;height:419100;width:635;" filled="f" stroked="t" coordsize="21600,21600" o:gfxdata="UEsDBAoAAAAAAIdO4kAAAAAAAAAAAAAAAAAEAAAAZHJzL1BLAwQUAAAACACHTuJA0vBbLNMAAAAF&#10;AQAADwAAAGRycy9kb3ducmV2LnhtbE2PwU7DMBBE70j9B2srcaN2CmrTEKcHJA4cm+QDnHgbR8Tr&#10;yHabwtfjcoHLSqMZzbwtjzc7sSv6MDqSkG0EMKTe6ZEGCW3z/pQDC1GRVpMjlPCFAY7V6qFUhXYL&#10;nfBax4GlEgqFkmBinAvOQ2/QqrBxM1Lyzs5bFZP0A9deLancTnwrxI5bNVJaMGrGN4P9Z32xEnhn&#10;yH+fm3a3iI+5XWq9b6yW8nGdiVdgEW/xLwx3/IQOVWLq3IV0YJOE9Ej8vck75M8ZsE7CyzbPgVcl&#10;/09f/QBQSwMEFAAAAAgAh07iQLX9UpoYAgAAAAQAAA4AAABkcnMvZTJvRG9jLnhtbK1TzY7TMBC+&#10;I/EOlu80abdN2ajpHlqWC4KV+LlPbSex5D/Z3qa9cUM8AzeOvAO8zUrwFoydsguLkPZADtHYM/PN&#10;fN+MVxcHrche+CCtaeh0UlIiDLNcmq6hb99cPnlKSYhgOChrREOPItCL9eNHq8HVYmZ7q7jwBEFM&#10;qAfX0D5GVxdFYL3QECbWCYPO1noNEY++K7iHAdG1KmZlWRWD9dx5y0QIeLsdnfSE6B8CaNtWMrG1&#10;7FoLE0dULxREpBR66QJd527bVrD4qm2DiEQ1FJnG/MciaO/Sv1ivoO48uF6yUwvwkBbucdIgDRa9&#10;hdpCBHLt5V9QWjJvg23jhFldjESyIshiWt7T5nUPTmQuKHVwt6KH/wfLXu6vPJG8ofOKEgMaJ/79&#10;w5cf7z/efPp28/UzmVaLRVJpcKHG4I258qdTcFc+UT60XpNWSfcO1ymLgLTIoaGzslouKlT62NCz&#10;5Ww5z0BQi0MkDP3V2YIShs759Hxa5lkUI1yCdT7E58JqkoyGhuhBdn3cWGNwqtaPpWD/IkRsCBN/&#10;JaRkZcjQ0PPFLFUA3NIWtwNN7ZBpMF1uM1gl+aVUKmUE3+02ypM9pE3JX6KNuH+EpSJbCP0Yx9Ea&#10;V6gXwJ8ZTuLRoYIGXw5NHWjBKVECH1qyEA/qCFLdRUYvwXTqH9FYXRlsIok/yp2sneXHPIV8j4uR&#10;2zwtcdq83885++7hr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vBbLNMAAAAFAQAADwAAAAAA&#10;AAABACAAAAAiAAAAZHJzL2Rvd25yZXYueG1sUEsBAhQAFAAAAAgAh07iQLX9UpoYAgAAAAQAAA4A&#10;AAAAAAAAAQAgAAAAIgEAAGRycy9lMm9Eb2MueG1sUEsFBgAAAAAGAAYAWQEAAKwFAAAAAA==&#10;">
                        <v:fill on="f" focussize="0,0"/>
                        <v:stroke color="#000000" joinstyle="round" dashstyle="dash" endarrow="block"/>
                        <v:imagedata o:title=""/>
                        <o:lock v:ext="edit" aspectratio="f"/>
                      </v:shape>
                      <v:rect id="矩形 187" o:spid="_x0000_s1026" o:spt="1" style="position:absolute;left:1587500;top:164465;height:323850;width:1035050;" filled="f" stroked="f" coordsize="21600,21600" o:gfxdata="UEsDBAoAAAAAAIdO4kAAAAAAAAAAAAAAAAAEAAAAZHJzL1BLAwQUAAAACACHTuJA/qXf0NcAAAAF&#10;AQAADwAAAGRycy9kb3ducmV2LnhtbE2PQUvDQBCF70L/wzIFL2I3qSIxZtJDobRIoZhqz9vsmASz&#10;s2l2m9R/79aLXgYe7/HeN9niYloxUO8aywjxLAJBXFrdcIXwvl/dJyCcV6xVa5kQvsnBIp/cZCrV&#10;duQ3GgpfiVDCLlUItfddKqUrazLKzWxHHLxP2xvlg+wrqXs1hnLTynkUPUmjGg4LtepoWVP5VZwN&#10;wljuhsN+u5a7u8PG8mlzWhYfr4i30zh6AeHp4v/CcMUP6JAHpqM9s3aiRQiP+N8bvOfkIQZxRHic&#10;JwnIPJP/6fMfUEsDBBQAAAAIAIdO4kCiZ+AlrwEAAE8DAAAOAAAAZHJzL2Uyb0RvYy54bWytU0tu&#10;2zAU3BfoHQjua8of2YZgORsj3RRtgLQHoCnSIsAfHmlLPk2B7nqIHqfoNfooKUmbbLLIhno/zJsZ&#10;Urub3hpykRC1dzWdzwpKpBO+0e5U029fbz9sKYmJu4Yb72RNrzLSm/37d7suVHLhW28aCQRBXKy6&#10;UNM2pVAxFkUrLY8zH6TDpvJgecIUTqwB3iG6NWxRFGvWeWgCeCFjxOphbNIJEV4D6JXSQh68OFvp&#10;0ogK0vCEkmKrQ6T7ga1SUqQvSkWZiKkpKk3DiUswPuaT7Xe8OgEPrRYTBf4aCs80Wa4dLn2EOvDE&#10;yRn0CyirBfjoVZoJb9koZHAEVcyLZ97ctzzIQQtaHcOj6fHtYMXnyx0Q3dR0taHEcYs3/uf7z9+/&#10;fpD5dpPt6UKscOo+3MGURQyz1l6BzV9UQXp8SuV2UxZo7BXj9Wq1Lkd3ZZ+IyP1iWRYl9gUOLBfL&#10;LcaIyJ6AAsT0UXpLclBTwNsbTOWXTzGNow8jea/zt9oYrPPKuP8KiJkrLHMf2eYo9cd+knD0zRV1&#10;nwPoU4ur5gOTPIQ+D5ymN5Ev8t98AH36D/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6l39DX&#10;AAAABQEAAA8AAAAAAAAAAQAgAAAAIgAAAGRycy9kb3ducmV2LnhtbFBLAQIUABQAAAAIAIdO4kCi&#10;Z+AlrwEAAE8DAAAOAAAAAAAAAAEAIAAAACYBAABkcnMvZTJvRG9jLnhtbFBLBQYAAAAABgAGAFkB&#10;AABHBQAAAAA=&#10;">
                        <v:fill on="f" focussize="0,0"/>
                        <v:stroke on="f"/>
                        <v:imagedata o:title=""/>
                        <o:lock v:ext="edit" aspectratio="f"/>
                        <v:textbox>
                          <w:txbxContent>
                            <w:p>
                              <w:pPr>
                                <w:jc w:val="center"/>
                              </w:pPr>
                              <w:r>
                                <w:rPr>
                                  <w:rFonts w:hint="eastAsia"/>
                                </w:rPr>
                                <w:t>噪声</w:t>
                              </w:r>
                            </w:p>
                          </w:txbxContent>
                        </v:textbox>
                      </v:rect>
                      <v:shape id="自选图形 1655" o:spid="_x0000_s1026" o:spt="32" type="#_x0000_t32" style="position:absolute;left:3045460;top:374015;flip:y;height:419100;width:635;" filled="f" stroked="t" coordsize="21600,21600" o:gfxdata="UEsDBAoAAAAAAIdO4kAAAAAAAAAAAAAAAAAEAAAAZHJzL1BLAwQUAAAACACHTuJA0vBbLNMAAAAF&#10;AQAADwAAAGRycy9kb3ducmV2LnhtbE2PwU7DMBBE70j9B2srcaN2CmrTEKcHJA4cm+QDnHgbR8Tr&#10;yHabwtfjcoHLSqMZzbwtjzc7sSv6MDqSkG0EMKTe6ZEGCW3z/pQDC1GRVpMjlPCFAY7V6qFUhXYL&#10;nfBax4GlEgqFkmBinAvOQ2/QqrBxM1Lyzs5bFZP0A9deLancTnwrxI5bNVJaMGrGN4P9Z32xEnhn&#10;yH+fm3a3iI+5XWq9b6yW8nGdiVdgEW/xLwx3/IQOVWLq3IV0YJOE9Ej8vck75M8ZsE7CyzbPgVcl&#10;/09f/QBQSwMEFAAAAAgAh07iQACzfsAWAgAAAAQAAA4AAABkcnMvZTJvRG9jLnhtbK1TzY7TMBC+&#10;I/EOlu80SbctbNR0Dy3LBUElfu5T20ks+U+2t2lv3BDPwI0j77C8zUrwFoydsguLkPZADtHYM/PN&#10;fN+MlxcHrche+CCtaWg1KSkRhlkuTdfQd28vnzyjJEQwHJQ1oqFHEejF6vGj5eBqMbW9VVx4giAm&#10;1INraB+jq4sisF5oCBPrhEFna72GiEffFdzDgOhaFdOyXBSD9dx5y0QIeLsZnfSE6B8CaNtWMrGx&#10;7EoLE0dULxREpBR66QJd5W7bVrD4um2DiEQ1FJnG/MciaO/Sv1gtoe48uF6yUwvwkBbucdIgDRa9&#10;hdpABHLl5V9QWjJvg23jhFldjESyIsiiKu9p86YHJzIXlDq4W9HD/4Nlr/ZbTyRv6AznbkDjxL9/&#10;/Prjw6ebz99urr+QajGfJ5UGF2oMXputP52C2/pE+dB6TVol3XtcpywC0iKHhp6Vs/lsgUof0X46&#10;K6sMBLU4RMLQvzibU8LQOavOqzLPohjhEqzzIb4QVpNkNDRED7Lr49oag1O1fiwF+5chYkOY+Csh&#10;JStDhoaez6epAuCWtrgdaGqHTIPpcpvBKskvpVIpI/hut1ae7CFtSv4SbcT9IywV2UDoxziO1rhC&#10;vQD+3HASjw4VNPhyaOpAC06JEvjQkoV4UEeQ6i4yegmmU/+IxurKYBNJ/FHuZO0sP+Yp5HtcjNzm&#10;aYnT5v1+ztl3D3f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LwWyzTAAAABQEAAA8AAAAAAAAA&#10;AQAgAAAAIgAAAGRycy9kb3ducmV2LnhtbFBLAQIUABQAAAAIAIdO4kAAs37AFgIAAAAEAAAOAAAA&#10;AAAAAAEAIAAAACIBAABkcnMvZTJvRG9jLnhtbFBLBQYAAAAABgAGAFkBAACqBQAAAAA=&#10;">
                        <v:fill on="f" focussize="0,0"/>
                        <v:stroke color="#000000" joinstyle="round" dashstyle="dash" endarrow="block"/>
                        <v:imagedata o:title=""/>
                        <o:lock v:ext="edit" aspectratio="f"/>
                      </v:shape>
                      <v:rect id="矩形 187" o:spid="_x0000_s1026" o:spt="1" style="position:absolute;left:2505710;top:164465;height:323850;width:1035050;" filled="f" stroked="f" coordsize="21600,21600" o:gfxdata="UEsDBAoAAAAAAIdO4kAAAAAAAAAAAAAAAAAEAAAAZHJzL1BLAwQUAAAACACHTuJA/qXf0NcAAAAF&#10;AQAADwAAAGRycy9kb3ducmV2LnhtbE2PQUvDQBCF70L/wzIFL2I3qSIxZtJDobRIoZhqz9vsmASz&#10;s2l2m9R/79aLXgYe7/HeN9niYloxUO8aywjxLAJBXFrdcIXwvl/dJyCcV6xVa5kQvsnBIp/cZCrV&#10;duQ3GgpfiVDCLlUItfddKqUrazLKzWxHHLxP2xvlg+wrqXs1hnLTynkUPUmjGg4LtepoWVP5VZwN&#10;wljuhsN+u5a7u8PG8mlzWhYfr4i30zh6AeHp4v/CcMUP6JAHpqM9s3aiRQiP+N8bvOfkIQZxRHic&#10;JwnIPJP/6fMfUEsDBBQAAAAIAIdO4kBoYXBQrwEAAE8DAAAOAAAAZHJzL2Uyb0RvYy54bWytU0tu&#10;2zAU3BfoHQjua0r+xRUsZ2OkmyIJkPYANEVaBPjDI23JpymQXQ7R4xS9Rh8lNWnTTRbdUO+HeTND&#10;anvdW0POEqL2rqblrKBEOuEb7Y41/frl5sOGkpi4a7jxTtb0IiO93r1/t+1CJee+9aaRQBDExaoL&#10;NW1TChVjUbTS8jjzQTpsKg+WJ0zhyBrgHaJbw+ZFsWadhyaAFzJGrO7HJp0Q4S2AXikt5N6Lk5Uu&#10;jaggDU8oKbY6RLob2ColRbpTKspETE1RaRpOXILxIZ9st+XVEXhotZgo8LdQeKXJcu1w6TPUnidO&#10;TqD/gbJagI9epZnwlo1CBkdQRVm88uah5UEOWtDqGJ5Nj/8PVtye74HopqbLj5Q4bvHGf357+vH9&#10;kZSbq2xPF2KFUw/hHqYsYpi19gps/qIK0td0vipWVyUae8FntV4u16vRXdknIrBfFgucwL7AgcV8&#10;scEYEdkLUICYPklvSQ5qCnh7g6n8/DmmcfT3SN7r/I02Buu8Mu6vAmLmCsvcR7Y5Sv2hnyQcfHNB&#10;3acA+tjiqnJgkofQ54HT9CbyRf6ZD6Av/8Hu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6l39DX&#10;AAAABQEAAA8AAAAAAAAAAQAgAAAAIgAAAGRycy9kb3ducmV2LnhtbFBLAQIUABQAAAAIAIdO4kBo&#10;YXBQrwEAAE8DAAAOAAAAAAAAAAEAIAAAACYBAABkcnMvZTJvRG9jLnhtbFBLBQYAAAAABgAGAFkB&#10;AABHBQAAAAA=&#10;">
                        <v:fill on="f" focussize="0,0"/>
                        <v:stroke on="f"/>
                        <v:imagedata o:title=""/>
                        <o:lock v:ext="edit" aspectratio="f"/>
                        <v:textbox>
                          <w:txbxContent>
                            <w:p>
                              <w:pPr>
                                <w:jc w:val="center"/>
                              </w:pPr>
                              <w:r>
                                <w:rPr>
                                  <w:rFonts w:hint="eastAsia"/>
                                </w:rPr>
                                <w:t>噪声、边角料</w:t>
                              </w:r>
                            </w:p>
                          </w:txbxContent>
                        </v:textbox>
                      </v:rect>
                      <v:shape id="自选图形 1655" o:spid="_x0000_s1026" o:spt="32" type="#_x0000_t32" style="position:absolute;left:4172585;top:386715;flip:y;height:419100;width:635;" filled="f" stroked="t" coordsize="21600,21600" o:gfxdata="UEsDBAoAAAAAAIdO4kAAAAAAAAAAAAAAAAAEAAAAZHJzL1BLAwQUAAAACACHTuJA0vBbLNMAAAAF&#10;AQAADwAAAGRycy9kb3ducmV2LnhtbE2PwU7DMBBE70j9B2srcaN2CmrTEKcHJA4cm+QDnHgbR8Tr&#10;yHabwtfjcoHLSqMZzbwtjzc7sSv6MDqSkG0EMKTe6ZEGCW3z/pQDC1GRVpMjlPCFAY7V6qFUhXYL&#10;nfBax4GlEgqFkmBinAvOQ2/QqrBxM1Lyzs5bFZP0A9deLancTnwrxI5bNVJaMGrGN4P9Z32xEnhn&#10;yH+fm3a3iI+5XWq9b6yW8nGdiVdgEW/xLwx3/IQOVWLq3IV0YJOE9Ej8vck75M8ZsE7CyzbPgVcl&#10;/09f/QBQSwMEFAAAAAgAh07iQDRGVLYXAgAAAAQAAA4AAABkcnMvZTJvRG9jLnhtbK1TzW4TMRC+&#10;I/EOlu9ks2k3TVfZ9JBQLggq8XOf2N5dS/6T7WaTGzfEM3DjyDuUt6kEb8HYG1ooQuqBPazGnplv&#10;5vtmvLzYa0V2wgdpTUPLyZQSYZjl0nQNfff28tmCkhDBcFDWiIYeRKAXq6dPloOrxcz2VnHhCYKY&#10;UA+uoX2Mri6KwHqhIUysEwadrfUaIh59V3APA6JrVcym03kxWM+dt0yEgLeb0UmPiP4xgLZtJRMb&#10;y661MHFE9UJBREqhly7QVe62bQWLr9s2iEhUQ5FpzH8sgvY2/YvVEurOg+slO7YAj2nhAScN0mDR&#10;O6gNRCDXXv4FpSXzNtg2TpjVxUgkK4IsyukDbd704ETmglIHdyd6+H+w7NXuyhPJG1qhJAY0Tvz7&#10;x68/Pny6/fzt9uYLKedVlVQaXKgxeG2u/PEU3JVPlPet16RV0r3HdcoiIC2yb+hpeTarFhUlh4ae&#10;LOZnZQaCWuwjYeifn6CPofO0PC+neRbFCJdgnQ/xhbCaJKOhIXqQXR/X1hicqvVjKdi9DBEbwsRf&#10;CSlZGTI09LyapQqAW9ridqCpHTINpsttBqskv5RKpYzgu+1aebKDtCn5S7QR94+wVGQDoR/jOFrj&#10;CvUC+HPDSTw4VNDgy6GpAy04JUrgQ0sW4kEdQar7yOglmE79IxqrK4NNJPFHuZO1tfyQp5DvcTFy&#10;m8clTpv3+zln3z/c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8Fss0wAAAAUBAAAPAAAAAAAA&#10;AAEAIAAAACIAAABkcnMvZG93bnJldi54bWxQSwECFAAUAAAACACHTuJANEZUthcCAAAABAAADgAA&#10;AAAAAAABACAAAAAiAQAAZHJzL2Uyb0RvYy54bWxQSwUGAAAAAAYABgBZAQAAqwUAAAAA&#10;">
                        <v:fill on="f" focussize="0,0"/>
                        <v:stroke color="#000000" joinstyle="round" dashstyle="dash" endarrow="block"/>
                        <v:imagedata o:title=""/>
                        <o:lock v:ext="edit" aspectratio="f"/>
                      </v:shape>
                      <v:rect id="矩形 187" o:spid="_x0000_s1026" o:spt="1" style="position:absolute;left:4773930;top:1167765;height:323850;width:1035050;" filled="f" stroked="f" coordsize="21600,21600" o:gfxdata="UEsDBAoAAAAAAIdO4kAAAAAAAAAAAAAAAAAEAAAAZHJzL1BLAwQUAAAACACHTuJA/qXf0NcAAAAF&#10;AQAADwAAAGRycy9kb3ducmV2LnhtbE2PQUvDQBCF70L/wzIFL2I3qSIxZtJDobRIoZhqz9vsmASz&#10;s2l2m9R/79aLXgYe7/HeN9niYloxUO8aywjxLAJBXFrdcIXwvl/dJyCcV6xVa5kQvsnBIp/cZCrV&#10;duQ3GgpfiVDCLlUItfddKqUrazLKzWxHHLxP2xvlg+wrqXs1hnLTynkUPUmjGg4LtepoWVP5VZwN&#10;wljuhsN+u5a7u8PG8mlzWhYfr4i30zh6AeHp4v/CcMUP6JAHpqM9s3aiRQiP+N8bvOfkIQZxRHic&#10;JwnIPJP/6fMfUEsDBBQAAAAIAIdO4kCUgfdJsgEAAFADAAAOAAAAZHJzL2Uyb0RvYy54bWytU0tu&#10;2zAU3BfoHQjua0lWbbmC5WyMdFOkAdIcgKZIiwB/4KMt+TQFsushepyi1+ijpHyabrLohnp8HMyb&#10;GVLbq8FochYBlLMNLRY5JcJy1yp7bOj9t+sPG0ogMtsy7axo6EUAvdq9f7ftfS2WrnO6FYEgiYW6&#10;9w3tYvR1lgHvhGGwcF5YPJQuGBZxG45ZG1iP7EZnyzxfZ70LrQ+OCwDs7qdDOjOGtxA6KRUXe8dP&#10;Rtg4sQahWURL0CkPdDeqlVLw+FVKEJHohqLTOK44BOtDWrPdltXHwHyn+CyBvUXCK0+GKYtDn6j2&#10;LDJyCuofKqN4cOBkXHBnssnImAi6KPJX2dx1zIvRC0YN/il0+H+0/OZ8G4hqG7oqKLHM4I3//v7j&#10;188HUmyqFE/voUbUnb8N8w6wTF4HGUz6ogsyNPRjVZWfSgz2gs+qWFfVejXFK4ZIOAKKvFzlKwRw&#10;RJTLcoM1UmbPTD5A/CycIaloaMDrG1Nl5y8QJ+gjJA227lppjX1Wa/tXAzlTJ0viJ7mpisNhmD0c&#10;XHtB4ycf1LHDUcWoJIEw6FHT/CjSTb7cj6TPP8Lu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6l&#10;39DXAAAABQEAAA8AAAAAAAAAAQAgAAAAIgAAAGRycy9kb3ducmV2LnhtbFBLAQIUABQAAAAIAIdO&#10;4kCUgfdJsgEAAFADAAAOAAAAAAAAAAEAIAAAACYBAABkcnMvZTJvRG9jLnhtbFBLBQYAAAAABgAG&#10;AFkBAABKBQAAAAA=&#10;">
                        <v:fill on="f" focussize="0,0"/>
                        <v:stroke on="f"/>
                        <v:imagedata o:title=""/>
                        <o:lock v:ext="edit" aspectratio="f"/>
                        <v:textbox>
                          <w:txbxContent>
                            <w:p>
                              <w:pPr>
                                <w:jc w:val="center"/>
                              </w:pPr>
                              <w:r>
                                <w:rPr>
                                  <w:rFonts w:hint="eastAsia"/>
                                </w:rPr>
                                <w:t>废气、固废</w:t>
                              </w:r>
                            </w:p>
                          </w:txbxContent>
                        </v:textbox>
                      </v:rect>
                      <v:shape id="自选图形 1655" o:spid="_x0000_s1026" o:spt="32" type="#_x0000_t32" style="position:absolute;left:5240655;top:1367790;flip:y;height:225425;width:635;" filled="f" stroked="t" coordsize="21600,21600" o:gfxdata="UEsDBAoAAAAAAIdO4kAAAAAAAAAAAAAAAAAEAAAAZHJzL1BLAwQUAAAACACHTuJA0vBbLNMAAAAF&#10;AQAADwAAAGRycy9kb3ducmV2LnhtbE2PwU7DMBBE70j9B2srcaN2CmrTEKcHJA4cm+QDnHgbR8Tr&#10;yHabwtfjcoHLSqMZzbwtjzc7sSv6MDqSkG0EMKTe6ZEGCW3z/pQDC1GRVpMjlPCFAY7V6qFUhXYL&#10;nfBax4GlEgqFkmBinAvOQ2/QqrBxM1Lyzs5bFZP0A9deLancTnwrxI5bNVJaMGrGN4P9Z32xEnhn&#10;yH+fm3a3iI+5XWq9b6yW8nGdiVdgEW/xLwx3/IQOVWLq3IV0YJOE9Ej8vck75M8ZsE7CyzbPgVcl&#10;/09f/QBQSwMEFAAAAAgAh07iQLYH2tkTAgAAAQQAAA4AAABkcnMvZTJvRG9jLnhtbK1TzW4TMRC+&#10;I/EOlu9kk22T0lU2PSSUC4JK/Nwd/+xa8p88bja5cUM8AzeOvAO8TSV4C8be0EIRUg/4YI09M9/M&#10;93m8vNhbQ3YygvaupbPJlBLpuBfadS19++byyVNKIDEnmPFOtvQggV6sHj9aDqGRte+9ETISBHHQ&#10;DKGlfUqhqSrgvbQMJj5Ih07lo2UJj7GrRGQDoltT1dPpohp8FCF6LgHwdjM66RExPgTQK6W53Hh+&#10;baVLI2qUhiWkBL0OQFelW6UkT6+UApmIaSkyTWXHImhv816tlqzpIgu95scW2ENauMfJMu2w6C3U&#10;hiVGrqP+C8pqHj14lSbc22okUhRBFrPpPW1e9yzIwgWlhnArOvw/WP5ydxWJFi2d15Q4ZvHFv3/4&#10;8uP9x5tP326+fiazxXyeVRoCNBi8dlfxeIJwFTPlvYqWKKPDOxynIgLSIvuMeDrN2eSAjpPF2dn5&#10;UW+5T4RjwOIEnRy9dT0/rUuZasTLuCFCei69JdloKaTIdNentXcOn9XHsRbbvYCEHWHir4ScbBwZ&#10;Wno+R1TCGY6pwvFA0wakCq4rfYI3WlxqY3IGxG67NpHsWB6VsjJvxP0jLBfZMOjHOIHWOEO9ZOKZ&#10;EyQdAkro8OvQ3IGVghIj8adlC/FYk5g2d5EpauY6849orG4cNpHVH/XO1taLQ3mGco+TUdo8TnEe&#10;vd/PJfvu56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LwWyzTAAAABQEAAA8AAAAAAAAAAQAg&#10;AAAAIgAAAGRycy9kb3ducmV2LnhtbFBLAQIUABQAAAAIAIdO4kC2B9rZEwIAAAEEAAAOAAAAAAAA&#10;AAEAIAAAACIBAABkcnMvZTJvRG9jLnhtbFBLBQYAAAAABgAGAFkBAACnBQAAAAA=&#10;">
                        <v:fill on="f" focussize="0,0"/>
                        <v:stroke color="#000000" joinstyle="round" dashstyle="dash" endarrow="block"/>
                        <v:imagedata o:title=""/>
                        <o:lock v:ext="edit" aspectratio="f"/>
                      </v:shape>
                      <w10:wrap type="none"/>
                      <w10:anchorlock/>
                    </v:group>
                  </w:pict>
                </mc:Fallback>
              </mc:AlternateContent>
            </w:r>
          </w:p>
          <w:p>
            <w:pPr>
              <w:tabs>
                <w:tab w:val="left" w:pos="5247"/>
              </w:tabs>
              <w:adjustRightInd w:val="0"/>
              <w:snapToGrid w:val="0"/>
              <w:spacing w:line="500" w:lineRule="exact"/>
              <w:ind w:firstLine="480" w:firstLineChars="200"/>
              <w:rPr>
                <w:sz w:val="24"/>
              </w:rPr>
            </w:pPr>
            <w:r>
              <w:rPr>
                <w:rFonts w:hint="eastAsia"/>
                <w:sz w:val="24"/>
              </w:rPr>
              <w:t>工艺流程</w:t>
            </w:r>
            <w:r>
              <w:rPr>
                <w:sz w:val="24"/>
              </w:rPr>
              <w:t>简述如下：</w:t>
            </w:r>
          </w:p>
          <w:p>
            <w:pPr>
              <w:tabs>
                <w:tab w:val="left" w:pos="5247"/>
              </w:tabs>
              <w:adjustRightInd w:val="0"/>
              <w:snapToGrid w:val="0"/>
              <w:spacing w:line="500" w:lineRule="exact"/>
              <w:ind w:firstLine="480" w:firstLineChars="200"/>
              <w:rPr>
                <w:sz w:val="24"/>
              </w:rPr>
            </w:pPr>
            <w:r>
              <w:rPr>
                <w:rFonts w:hint="eastAsia"/>
                <w:sz w:val="24"/>
              </w:rPr>
              <w:t>外购合格的钢材，根据不同的产品需求，利用剪板机、折弯机、车床等设备对原料进行机械加工成型得到所需形状、尺寸工件。利用焊机根据需要将不同工件焊接在一起，焊接后，将工件与相应的外购组件进行组装。根据生产需要，需喷漆的半成品经喷漆后即为半成品，再调试合格后成为成品，入库待售。</w:t>
            </w:r>
          </w:p>
          <w:p>
            <w:pPr>
              <w:tabs>
                <w:tab w:val="left" w:pos="5247"/>
              </w:tabs>
              <w:adjustRightInd w:val="0"/>
              <w:snapToGrid w:val="0"/>
              <w:spacing w:line="500" w:lineRule="exact"/>
              <w:ind w:firstLine="480" w:firstLineChars="200"/>
              <w:rPr>
                <w:sz w:val="24"/>
              </w:rPr>
            </w:pPr>
            <w:r>
              <w:rPr>
                <w:rFonts w:hint="eastAsia"/>
                <w:sz w:val="24"/>
              </w:rPr>
              <w:t>5.</w:t>
            </w:r>
            <w:r>
              <w:rPr>
                <w:sz w:val="24"/>
              </w:rPr>
              <w:t>现有工程污染物排放情况</w:t>
            </w:r>
          </w:p>
          <w:p>
            <w:pPr>
              <w:tabs>
                <w:tab w:val="left" w:pos="5247"/>
              </w:tabs>
              <w:adjustRightInd w:val="0"/>
              <w:snapToGrid w:val="0"/>
              <w:spacing w:line="500" w:lineRule="exact"/>
              <w:ind w:firstLine="480" w:firstLineChars="200"/>
              <w:rPr>
                <w:sz w:val="24"/>
              </w:rPr>
            </w:pPr>
            <w:r>
              <w:rPr>
                <w:sz w:val="24"/>
              </w:rPr>
              <w:t>（1）废</w:t>
            </w:r>
            <w:r>
              <w:rPr>
                <w:rFonts w:hint="eastAsia"/>
                <w:sz w:val="24"/>
              </w:rPr>
              <w:t>气</w:t>
            </w:r>
          </w:p>
          <w:p>
            <w:pPr>
              <w:tabs>
                <w:tab w:val="left" w:pos="5247"/>
              </w:tabs>
              <w:adjustRightInd w:val="0"/>
              <w:snapToGrid w:val="0"/>
              <w:spacing w:line="500" w:lineRule="exact"/>
              <w:ind w:firstLine="480" w:firstLineChars="200"/>
              <w:rPr>
                <w:sz w:val="24"/>
              </w:rPr>
            </w:pPr>
            <w:r>
              <w:rPr>
                <w:rFonts w:hint="eastAsia"/>
                <w:sz w:val="24"/>
              </w:rPr>
              <w:t>现有项目主要为喷漆过程产生的非甲烷总烃</w:t>
            </w:r>
            <w:r>
              <w:rPr>
                <w:sz w:val="24"/>
              </w:rPr>
              <w:t>。</w:t>
            </w:r>
          </w:p>
          <w:p>
            <w:pPr>
              <w:tabs>
                <w:tab w:val="left" w:pos="5247"/>
              </w:tabs>
              <w:adjustRightInd w:val="0"/>
              <w:snapToGrid w:val="0"/>
              <w:spacing w:line="500" w:lineRule="exact"/>
              <w:ind w:firstLine="480" w:firstLineChars="200"/>
              <w:jc w:val="left"/>
              <w:rPr>
                <w:sz w:val="24"/>
              </w:rPr>
            </w:pPr>
            <w:r>
              <w:rPr>
                <w:sz w:val="24"/>
              </w:rPr>
              <w:t>（2）</w:t>
            </w:r>
            <w:r>
              <w:rPr>
                <w:rFonts w:hint="eastAsia"/>
                <w:sz w:val="24"/>
              </w:rPr>
              <w:t>废水</w:t>
            </w:r>
          </w:p>
          <w:p>
            <w:pPr>
              <w:tabs>
                <w:tab w:val="left" w:pos="5247"/>
              </w:tabs>
              <w:adjustRightInd w:val="0"/>
              <w:snapToGrid w:val="0"/>
              <w:spacing w:line="500" w:lineRule="exact"/>
              <w:ind w:firstLine="480" w:firstLineChars="200"/>
              <w:rPr>
                <w:sz w:val="24"/>
              </w:rPr>
            </w:pPr>
            <w:r>
              <w:rPr>
                <w:rFonts w:hint="eastAsia"/>
                <w:sz w:val="24"/>
              </w:rPr>
              <w:t>现有项目营运期无生产废水产生，生活污水主要为洗漱废水。</w:t>
            </w:r>
          </w:p>
          <w:p>
            <w:pPr>
              <w:tabs>
                <w:tab w:val="left" w:pos="5247"/>
              </w:tabs>
              <w:adjustRightInd w:val="0"/>
              <w:snapToGrid w:val="0"/>
              <w:spacing w:line="500" w:lineRule="exact"/>
              <w:ind w:firstLine="480" w:firstLineChars="200"/>
              <w:rPr>
                <w:sz w:val="24"/>
              </w:rPr>
            </w:pPr>
            <w:r>
              <w:rPr>
                <w:rFonts w:hint="eastAsia"/>
                <w:sz w:val="24"/>
              </w:rPr>
              <w:t>（3）噪声</w:t>
            </w:r>
          </w:p>
          <w:p>
            <w:pPr>
              <w:tabs>
                <w:tab w:val="left" w:pos="5247"/>
              </w:tabs>
              <w:adjustRightInd w:val="0"/>
              <w:snapToGrid w:val="0"/>
              <w:spacing w:line="500" w:lineRule="exact"/>
              <w:ind w:firstLine="480" w:firstLineChars="200"/>
              <w:rPr>
                <w:sz w:val="24"/>
              </w:rPr>
            </w:pPr>
            <w:r>
              <w:rPr>
                <w:rFonts w:hint="eastAsia"/>
                <w:sz w:val="24"/>
              </w:rPr>
              <w:t>现有项目主要为机加工各种设备运行的噪声。</w:t>
            </w:r>
          </w:p>
          <w:p>
            <w:pPr>
              <w:tabs>
                <w:tab w:val="left" w:pos="5247"/>
              </w:tabs>
              <w:adjustRightInd w:val="0"/>
              <w:snapToGrid w:val="0"/>
              <w:spacing w:line="500" w:lineRule="exact"/>
              <w:ind w:firstLine="480" w:firstLineChars="200"/>
              <w:rPr>
                <w:sz w:val="24"/>
              </w:rPr>
            </w:pPr>
            <w:r>
              <w:rPr>
                <w:sz w:val="24"/>
              </w:rPr>
              <w:t>（</w:t>
            </w:r>
            <w:r>
              <w:rPr>
                <w:rFonts w:hint="eastAsia"/>
                <w:sz w:val="24"/>
              </w:rPr>
              <w:t>4</w:t>
            </w:r>
            <w:r>
              <w:rPr>
                <w:sz w:val="24"/>
              </w:rPr>
              <w:t>）固体废物</w:t>
            </w:r>
          </w:p>
          <w:p>
            <w:pPr>
              <w:tabs>
                <w:tab w:val="left" w:pos="5247"/>
              </w:tabs>
              <w:adjustRightInd w:val="0"/>
              <w:snapToGrid w:val="0"/>
              <w:spacing w:line="500" w:lineRule="exact"/>
              <w:ind w:firstLine="480" w:firstLineChars="200"/>
              <w:rPr>
                <w:sz w:val="24"/>
              </w:rPr>
            </w:pPr>
            <w:r>
              <w:rPr>
                <w:sz w:val="24"/>
              </w:rPr>
              <w:t>现有工程产生的固体废弃物主要</w:t>
            </w:r>
            <w:r>
              <w:rPr>
                <w:rFonts w:hint="eastAsia"/>
                <w:sz w:val="24"/>
              </w:rPr>
              <w:t>为边角料、生活垃圾和喷漆废气治理过程中产生的废灯管、废活性炭。</w:t>
            </w:r>
          </w:p>
          <w:p>
            <w:pPr>
              <w:adjustRightInd w:val="0"/>
              <w:snapToGrid w:val="0"/>
              <w:spacing w:line="500" w:lineRule="exact"/>
              <w:ind w:firstLine="480" w:firstLineChars="200"/>
              <w:textAlignment w:val="baseline"/>
              <w:rPr>
                <w:sz w:val="24"/>
              </w:rPr>
            </w:pPr>
            <w:r>
              <w:rPr>
                <w:rFonts w:hint="eastAsia"/>
                <w:sz w:val="24"/>
              </w:rPr>
              <w:t>6.</w:t>
            </w:r>
            <w:r>
              <w:rPr>
                <w:sz w:val="24"/>
              </w:rPr>
              <w:t>现有工程主要污染物产排情况</w:t>
            </w:r>
          </w:p>
          <w:p>
            <w:pPr>
              <w:tabs>
                <w:tab w:val="left" w:pos="5247"/>
              </w:tabs>
              <w:adjustRightInd w:val="0"/>
              <w:snapToGrid w:val="0"/>
              <w:spacing w:line="500" w:lineRule="exact"/>
              <w:ind w:firstLine="480" w:firstLineChars="200"/>
              <w:rPr>
                <w:sz w:val="24"/>
              </w:rPr>
            </w:pPr>
            <w:r>
              <w:rPr>
                <w:rFonts w:hint="eastAsia"/>
                <w:sz w:val="24"/>
              </w:rPr>
              <w:t>现有</w:t>
            </w:r>
            <w:r>
              <w:rPr>
                <w:sz w:val="24"/>
              </w:rPr>
              <w:t>项目在营运过程中产生的污染物为</w:t>
            </w:r>
            <w:r>
              <w:rPr>
                <w:rFonts w:hint="eastAsia"/>
                <w:sz w:val="24"/>
              </w:rPr>
              <w:t>废气、</w:t>
            </w:r>
            <w:r>
              <w:rPr>
                <w:sz w:val="24"/>
              </w:rPr>
              <w:t>废水、噪声及固体废物。</w:t>
            </w:r>
          </w:p>
          <w:p>
            <w:pPr>
              <w:tabs>
                <w:tab w:val="left" w:pos="5247"/>
              </w:tabs>
              <w:adjustRightInd w:val="0"/>
              <w:snapToGrid w:val="0"/>
              <w:spacing w:line="500" w:lineRule="exact"/>
              <w:ind w:firstLine="480" w:firstLineChars="200"/>
              <w:rPr>
                <w:sz w:val="24"/>
              </w:rPr>
            </w:pPr>
            <w:r>
              <w:rPr>
                <w:rFonts w:hint="eastAsia"/>
                <w:sz w:val="24"/>
              </w:rPr>
              <w:t>6</w:t>
            </w:r>
            <w:r>
              <w:rPr>
                <w:sz w:val="24"/>
              </w:rPr>
              <w:t>.1</w:t>
            </w:r>
            <w:r>
              <w:rPr>
                <w:rFonts w:hint="eastAsia"/>
                <w:sz w:val="24"/>
              </w:rPr>
              <w:t>废气</w:t>
            </w:r>
          </w:p>
          <w:p>
            <w:pPr>
              <w:tabs>
                <w:tab w:val="left" w:pos="5247"/>
              </w:tabs>
              <w:adjustRightInd w:val="0"/>
              <w:snapToGrid w:val="0"/>
              <w:spacing w:line="500" w:lineRule="exact"/>
              <w:ind w:firstLine="480" w:firstLineChars="200"/>
              <w:rPr>
                <w:sz w:val="24"/>
                <w:u w:val="single"/>
              </w:rPr>
            </w:pPr>
            <w:r>
              <w:rPr>
                <w:rFonts w:hint="eastAsia"/>
                <w:sz w:val="24"/>
                <w:u w:val="single"/>
              </w:rPr>
              <w:t>现有项目运营期大气污染物主要为喷漆过程产生的非甲烷总烃。</w:t>
            </w:r>
          </w:p>
          <w:p>
            <w:pPr>
              <w:tabs>
                <w:tab w:val="left" w:pos="5247"/>
              </w:tabs>
              <w:adjustRightInd w:val="0"/>
              <w:snapToGrid w:val="0"/>
              <w:spacing w:line="500" w:lineRule="exact"/>
              <w:ind w:firstLine="480" w:firstLineChars="200"/>
              <w:rPr>
                <w:sz w:val="24"/>
                <w:u w:val="single"/>
              </w:rPr>
            </w:pPr>
            <w:r>
              <w:rPr>
                <w:rFonts w:hint="eastAsia"/>
                <w:sz w:val="24"/>
                <w:u w:val="single"/>
              </w:rPr>
              <w:t>水性漆调配在密闭的喷漆房内进行，喷漆时必须使用无苯水性漆料，喷漆工段要在专门的喷漆房内进行，喷漆过程中有少量的非甲烷总烃挥发，挥发量为0.025kg/h，在喷漆工段上方加装集气罩，使含有非甲烷总烃的废气经不低于15米高的排气筒排放，非甲烷总烃的排放浓度和速率分别为25mg/m</w:t>
            </w:r>
            <w:r>
              <w:rPr>
                <w:rFonts w:hint="eastAsia"/>
                <w:sz w:val="24"/>
                <w:u w:val="single"/>
                <w:vertAlign w:val="superscript"/>
              </w:rPr>
              <w:t>3</w:t>
            </w:r>
            <w:r>
              <w:rPr>
                <w:rFonts w:hint="eastAsia"/>
                <w:sz w:val="24"/>
                <w:u w:val="single"/>
              </w:rPr>
              <w:t>，0.025kg/h，满足GB16297—96《大气污染物综合排放标准》表2二级120mg/m</w:t>
            </w:r>
            <w:r>
              <w:rPr>
                <w:rFonts w:hint="eastAsia"/>
                <w:sz w:val="24"/>
                <w:u w:val="single"/>
                <w:vertAlign w:val="superscript"/>
              </w:rPr>
              <w:t>3</w:t>
            </w:r>
            <w:r>
              <w:rPr>
                <w:rFonts w:hint="eastAsia"/>
                <w:sz w:val="24"/>
                <w:u w:val="single"/>
              </w:rPr>
              <w:t>、10kg/h（15米高排气筒）的标准要求。非甲烷总烃排放总量控制为0.06t/a。</w:t>
            </w:r>
          </w:p>
          <w:p>
            <w:pPr>
              <w:tabs>
                <w:tab w:val="left" w:pos="5247"/>
              </w:tabs>
              <w:adjustRightInd w:val="0"/>
              <w:snapToGrid w:val="0"/>
              <w:spacing w:line="500" w:lineRule="exact"/>
              <w:ind w:firstLine="480" w:firstLineChars="200"/>
              <w:rPr>
                <w:sz w:val="24"/>
                <w:u w:val="single"/>
              </w:rPr>
            </w:pPr>
            <w:r>
              <w:rPr>
                <w:rFonts w:hint="eastAsia"/>
                <w:sz w:val="24"/>
                <w:u w:val="single"/>
              </w:rPr>
              <w:t>2019年7月企业对挥发性有机物进行提标改造，现有喷漆工序产生的有机废气建设为密闭喷漆房，采用喷淋塔+UV光解+活性炭吸附工艺进行治理，治理后废气经15米排气筒排放，废甲烷总烃排气筒非甲烷总烃排放浓度均值分别为15.9mg/m</w:t>
            </w:r>
            <w:r>
              <w:rPr>
                <w:rFonts w:hint="eastAsia"/>
                <w:sz w:val="24"/>
                <w:u w:val="single"/>
                <w:vertAlign w:val="superscript"/>
              </w:rPr>
              <w:t>3</w:t>
            </w:r>
            <w:r>
              <w:rPr>
                <w:rFonts w:hint="eastAsia"/>
                <w:sz w:val="24"/>
                <w:u w:val="single"/>
              </w:rPr>
              <w:t>、15.5mg/m</w:t>
            </w:r>
            <w:r>
              <w:rPr>
                <w:rFonts w:hint="eastAsia"/>
                <w:sz w:val="24"/>
                <w:u w:val="single"/>
                <w:vertAlign w:val="superscript"/>
              </w:rPr>
              <w:t>3</w:t>
            </w:r>
            <w:r>
              <w:rPr>
                <w:rFonts w:hint="eastAsia"/>
                <w:sz w:val="24"/>
                <w:u w:val="single"/>
              </w:rPr>
              <w:t>，非甲烷总烃排放速率分别为0.0960kg/h、0.0924kg/h，非甲烷总烃去除速率分别为76.5%、76.7%，均符合《大气污染物综合排放标准》（GB16297-1996）表2标准限值要求，同时满足《关于全省开展工业企业挥发性有机物专项治理工作中排放建议值的通知》（豫环攻坚办〔2017〕162号）表面涂装业限值要求。</w:t>
            </w:r>
          </w:p>
          <w:p>
            <w:pPr>
              <w:tabs>
                <w:tab w:val="left" w:pos="5247"/>
              </w:tabs>
              <w:adjustRightInd w:val="0"/>
              <w:snapToGrid w:val="0"/>
              <w:spacing w:line="500" w:lineRule="exact"/>
              <w:ind w:firstLine="480" w:firstLineChars="200"/>
              <w:rPr>
                <w:sz w:val="24"/>
              </w:rPr>
            </w:pPr>
            <w:r>
              <w:rPr>
                <w:rFonts w:hint="eastAsia"/>
                <w:sz w:val="24"/>
              </w:rPr>
              <w:t>6.2</w:t>
            </w:r>
            <w:r>
              <w:rPr>
                <w:sz w:val="24"/>
              </w:rPr>
              <w:t>废水</w:t>
            </w:r>
          </w:p>
          <w:p>
            <w:pPr>
              <w:tabs>
                <w:tab w:val="left" w:pos="5247"/>
              </w:tabs>
              <w:adjustRightInd w:val="0"/>
              <w:snapToGrid w:val="0"/>
              <w:spacing w:line="500" w:lineRule="exact"/>
              <w:ind w:firstLine="480" w:firstLineChars="200"/>
              <w:rPr>
                <w:sz w:val="24"/>
              </w:rPr>
            </w:pPr>
            <w:r>
              <w:rPr>
                <w:rFonts w:hint="eastAsia"/>
                <w:sz w:val="24"/>
              </w:rPr>
              <w:t>现有项目营运期不产生生产废水，生活污水主要为员工洗漱废水，用于厂区绿化保湿不外排。</w:t>
            </w:r>
          </w:p>
          <w:p>
            <w:pPr>
              <w:tabs>
                <w:tab w:val="left" w:pos="5247"/>
              </w:tabs>
              <w:adjustRightInd w:val="0"/>
              <w:snapToGrid w:val="0"/>
              <w:spacing w:line="500" w:lineRule="exact"/>
              <w:ind w:firstLine="480" w:firstLineChars="200"/>
              <w:rPr>
                <w:sz w:val="24"/>
              </w:rPr>
            </w:pPr>
            <w:r>
              <w:rPr>
                <w:rFonts w:hint="eastAsia"/>
                <w:sz w:val="24"/>
              </w:rPr>
              <w:t>6</w:t>
            </w:r>
            <w:r>
              <w:rPr>
                <w:sz w:val="24"/>
              </w:rPr>
              <w:t>.</w:t>
            </w:r>
            <w:r>
              <w:rPr>
                <w:rFonts w:hint="eastAsia"/>
                <w:sz w:val="24"/>
              </w:rPr>
              <w:t>3 噪声</w:t>
            </w:r>
          </w:p>
          <w:p>
            <w:pPr>
              <w:tabs>
                <w:tab w:val="left" w:pos="5247"/>
              </w:tabs>
              <w:adjustRightInd w:val="0"/>
              <w:snapToGrid w:val="0"/>
              <w:spacing w:line="500" w:lineRule="exact"/>
              <w:ind w:firstLine="480" w:firstLineChars="200"/>
              <w:rPr>
                <w:sz w:val="24"/>
              </w:rPr>
            </w:pPr>
            <w:r>
              <w:rPr>
                <w:rFonts w:hint="eastAsia"/>
                <w:sz w:val="24"/>
              </w:rPr>
              <w:t>现有项目噪声源主要是加工设备，声级值在80—85dB(A)之间；均布置在车间内，采取基础减振、车间隔声等措施后，厂界噪声能够满足《工业企业厂界环境噪声排放标准》（GB12348-2008）2类标准的要求。</w:t>
            </w:r>
          </w:p>
          <w:p>
            <w:pPr>
              <w:tabs>
                <w:tab w:val="left" w:pos="5247"/>
              </w:tabs>
              <w:adjustRightInd w:val="0"/>
              <w:snapToGrid w:val="0"/>
              <w:spacing w:line="500" w:lineRule="exact"/>
              <w:ind w:firstLine="480" w:firstLineChars="200"/>
              <w:rPr>
                <w:sz w:val="24"/>
              </w:rPr>
            </w:pPr>
            <w:r>
              <w:rPr>
                <w:rFonts w:hint="eastAsia"/>
                <w:sz w:val="24"/>
              </w:rPr>
              <w:t>6.4固体废物</w:t>
            </w:r>
          </w:p>
          <w:p>
            <w:pPr>
              <w:tabs>
                <w:tab w:val="left" w:pos="5247"/>
              </w:tabs>
              <w:adjustRightInd w:val="0"/>
              <w:snapToGrid w:val="0"/>
              <w:spacing w:line="500" w:lineRule="exact"/>
              <w:ind w:firstLine="480" w:firstLineChars="200"/>
              <w:rPr>
                <w:sz w:val="24"/>
              </w:rPr>
            </w:pPr>
            <w:r>
              <w:rPr>
                <w:rFonts w:hint="eastAsia"/>
                <w:sz w:val="24"/>
              </w:rPr>
              <w:t>现有项目固体废物主要为边角料及职工生活垃圾和喷漆废气治理过程中产生的废灯管、废活性炭。</w:t>
            </w:r>
          </w:p>
          <w:p>
            <w:pPr>
              <w:tabs>
                <w:tab w:val="left" w:pos="5247"/>
              </w:tabs>
              <w:adjustRightInd w:val="0"/>
              <w:snapToGrid w:val="0"/>
              <w:spacing w:line="500" w:lineRule="exact"/>
              <w:ind w:firstLine="480" w:firstLineChars="200"/>
              <w:rPr>
                <w:sz w:val="24"/>
              </w:rPr>
            </w:pPr>
            <w:r>
              <w:rPr>
                <w:rFonts w:hint="eastAsia"/>
                <w:sz w:val="24"/>
              </w:rPr>
              <w:t>生活垃圾：本项目有员工18人，生活垃圾产生量按平均每人每天0.25kg计算，全年工作日约300天，则生活垃圾产生量约1.35t/a，生活垃圾全部由环卫部门统一处理。</w:t>
            </w:r>
          </w:p>
          <w:p>
            <w:pPr>
              <w:tabs>
                <w:tab w:val="left" w:pos="5247"/>
              </w:tabs>
              <w:adjustRightInd w:val="0"/>
              <w:snapToGrid w:val="0"/>
              <w:spacing w:line="500" w:lineRule="exact"/>
              <w:ind w:firstLine="480" w:firstLineChars="200"/>
              <w:rPr>
                <w:sz w:val="24"/>
                <w:u w:val="single"/>
              </w:rPr>
            </w:pPr>
            <w:r>
              <w:rPr>
                <w:rFonts w:hint="eastAsia"/>
                <w:sz w:val="24"/>
                <w:u w:val="single"/>
              </w:rPr>
              <w:t>废边角料根据企业提供的数据，废边角料的年产生量3t/a，收集后在暂存于一间10m</w:t>
            </w:r>
            <w:r>
              <w:rPr>
                <w:rFonts w:hint="eastAsia"/>
                <w:sz w:val="24"/>
                <w:u w:val="single"/>
                <w:vertAlign w:val="superscript"/>
              </w:rPr>
              <w:t>2</w:t>
            </w:r>
            <w:r>
              <w:rPr>
                <w:rFonts w:hint="eastAsia"/>
                <w:sz w:val="24"/>
                <w:u w:val="single"/>
              </w:rPr>
              <w:t>的一般固废暂存间暂存，定期外售。一般固废暂存间，严格按照《一般工业固体废物贮存、处置场污染控制标准》（GB18599-2001）及2013年修改单的相关要求建设，做到防风、防雨、防扬散、防流失、防渗漏等措施，防渗层渗透系数＜10</w:t>
            </w:r>
            <w:r>
              <w:rPr>
                <w:rFonts w:hint="eastAsia"/>
                <w:sz w:val="24"/>
                <w:u w:val="single"/>
                <w:vertAlign w:val="superscript"/>
              </w:rPr>
              <w:t>-7</w:t>
            </w:r>
            <w:r>
              <w:rPr>
                <w:rFonts w:hint="eastAsia"/>
                <w:sz w:val="24"/>
                <w:u w:val="single"/>
              </w:rPr>
              <w:t>cm/s，并进行场地硬化。</w:t>
            </w:r>
          </w:p>
          <w:p>
            <w:pPr>
              <w:adjustRightInd w:val="0"/>
              <w:snapToGrid w:val="0"/>
              <w:spacing w:line="500" w:lineRule="exact"/>
              <w:ind w:firstLine="480" w:firstLineChars="200"/>
              <w:rPr>
                <w:sz w:val="24"/>
              </w:rPr>
            </w:pPr>
            <w:r>
              <w:rPr>
                <w:rFonts w:hint="eastAsia"/>
                <w:sz w:val="24"/>
              </w:rPr>
              <w:t>根据《建设项目危险废物环境影响评价指南》（环境保护部公告2017年第43号，2017年10月1日起施行）的要求对项目危险废物环境影响进行分析。</w:t>
            </w:r>
          </w:p>
          <w:p>
            <w:pPr>
              <w:adjustRightInd w:val="0"/>
              <w:snapToGrid w:val="0"/>
              <w:spacing w:line="500" w:lineRule="exact"/>
              <w:ind w:firstLine="480" w:firstLineChars="200"/>
              <w:rPr>
                <w:sz w:val="24"/>
              </w:rPr>
            </w:pPr>
            <w:r>
              <w:rPr>
                <w:rFonts w:hint="eastAsia"/>
                <w:sz w:val="24"/>
              </w:rPr>
              <w:t>①危险废物产生及处置情况</w:t>
            </w:r>
          </w:p>
          <w:p>
            <w:pPr>
              <w:adjustRightInd w:val="0"/>
              <w:snapToGrid w:val="0"/>
              <w:spacing w:line="500" w:lineRule="exact"/>
              <w:ind w:firstLine="480" w:firstLineChars="200"/>
              <w:rPr>
                <w:sz w:val="24"/>
              </w:rPr>
            </w:pPr>
            <w:r>
              <w:rPr>
                <w:rFonts w:hint="eastAsia"/>
                <w:sz w:val="24"/>
              </w:rPr>
              <w:t>根据工程分析，本项目危险废物主要为废活性炭和废灯管。</w:t>
            </w:r>
          </w:p>
          <w:p>
            <w:pPr>
              <w:autoSpaceDE w:val="0"/>
              <w:autoSpaceDN w:val="0"/>
              <w:adjustRightInd w:val="0"/>
              <w:snapToGrid w:val="0"/>
              <w:spacing w:line="400" w:lineRule="exact"/>
              <w:ind w:left="420" w:leftChars="200" w:firstLine="103" w:firstLineChars="49"/>
              <w:rPr>
                <w:b/>
                <w:szCs w:val="21"/>
              </w:rPr>
            </w:pPr>
            <w:r>
              <w:rPr>
                <w:rFonts w:hAnsi="宋体"/>
                <w:b/>
                <w:szCs w:val="21"/>
              </w:rPr>
              <w:t>表</w:t>
            </w:r>
            <w:r>
              <w:rPr>
                <w:rFonts w:hint="eastAsia"/>
                <w:b/>
                <w:szCs w:val="21"/>
              </w:rPr>
              <w:t>14</w:t>
            </w:r>
            <w:r>
              <w:rPr>
                <w:b/>
                <w:szCs w:val="21"/>
              </w:rPr>
              <w:t xml:space="preserve">             </w:t>
            </w:r>
            <w:r>
              <w:rPr>
                <w:rFonts w:hint="eastAsia" w:hAnsi="宋体"/>
                <w:b/>
                <w:szCs w:val="21"/>
              </w:rPr>
              <w:t>项目危险废物产生及处置情况一览</w:t>
            </w:r>
            <w:r>
              <w:rPr>
                <w:rFonts w:hAnsi="宋体"/>
                <w:b/>
                <w:szCs w:val="21"/>
              </w:rPr>
              <w:t>表</w:t>
            </w:r>
          </w:p>
          <w:tbl>
            <w:tblPr>
              <w:tblStyle w:val="27"/>
              <w:tblW w:w="977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690"/>
              <w:gridCol w:w="776"/>
              <w:gridCol w:w="1196"/>
              <w:gridCol w:w="960"/>
              <w:gridCol w:w="707"/>
              <w:gridCol w:w="567"/>
              <w:gridCol w:w="850"/>
              <w:gridCol w:w="709"/>
              <w:gridCol w:w="707"/>
              <w:gridCol w:w="706"/>
              <w:gridCol w:w="14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jc w:val="center"/>
              </w:trPr>
              <w:tc>
                <w:tcPr>
                  <w:tcW w:w="222" w:type="pct"/>
                  <w:vAlign w:val="center"/>
                </w:tcPr>
                <w:p>
                  <w:pPr>
                    <w:topLinePunct/>
                    <w:adjustRightInd w:val="0"/>
                    <w:snapToGrid w:val="0"/>
                    <w:spacing w:line="320" w:lineRule="exact"/>
                    <w:jc w:val="center"/>
                    <w:rPr>
                      <w:b/>
                      <w:kern w:val="0"/>
                      <w:szCs w:val="21"/>
                    </w:rPr>
                  </w:pPr>
                  <w:r>
                    <w:rPr>
                      <w:rFonts w:hAnsi="宋体"/>
                      <w:b/>
                      <w:kern w:val="0"/>
                      <w:szCs w:val="21"/>
                    </w:rPr>
                    <w:t>序号</w:t>
                  </w:r>
                </w:p>
              </w:tc>
              <w:tc>
                <w:tcPr>
                  <w:tcW w:w="353" w:type="pct"/>
                  <w:vAlign w:val="center"/>
                </w:tcPr>
                <w:p>
                  <w:pPr>
                    <w:topLinePunct/>
                    <w:adjustRightInd w:val="0"/>
                    <w:snapToGrid w:val="0"/>
                    <w:spacing w:line="320" w:lineRule="exact"/>
                    <w:jc w:val="center"/>
                    <w:rPr>
                      <w:b/>
                      <w:kern w:val="0"/>
                      <w:szCs w:val="21"/>
                    </w:rPr>
                  </w:pPr>
                  <w:r>
                    <w:rPr>
                      <w:rFonts w:hAnsi="宋体"/>
                      <w:b/>
                      <w:kern w:val="0"/>
                      <w:szCs w:val="21"/>
                    </w:rPr>
                    <w:t>危废名称</w:t>
                  </w:r>
                </w:p>
              </w:tc>
              <w:tc>
                <w:tcPr>
                  <w:tcW w:w="397" w:type="pct"/>
                  <w:vAlign w:val="center"/>
                </w:tcPr>
                <w:p>
                  <w:pPr>
                    <w:topLinePunct/>
                    <w:adjustRightInd w:val="0"/>
                    <w:snapToGrid w:val="0"/>
                    <w:spacing w:line="320" w:lineRule="exact"/>
                    <w:jc w:val="center"/>
                    <w:rPr>
                      <w:b/>
                      <w:kern w:val="0"/>
                      <w:szCs w:val="21"/>
                    </w:rPr>
                  </w:pPr>
                  <w:r>
                    <w:rPr>
                      <w:rFonts w:hAnsi="宋体"/>
                      <w:b/>
                      <w:kern w:val="0"/>
                      <w:szCs w:val="21"/>
                    </w:rPr>
                    <w:t>危险废物类别</w:t>
                  </w:r>
                </w:p>
              </w:tc>
              <w:tc>
                <w:tcPr>
                  <w:tcW w:w="612" w:type="pct"/>
                  <w:vAlign w:val="center"/>
                </w:tcPr>
                <w:p>
                  <w:pPr>
                    <w:topLinePunct/>
                    <w:adjustRightInd w:val="0"/>
                    <w:snapToGrid w:val="0"/>
                    <w:spacing w:line="320" w:lineRule="exact"/>
                    <w:jc w:val="center"/>
                    <w:rPr>
                      <w:b/>
                      <w:kern w:val="0"/>
                      <w:szCs w:val="21"/>
                    </w:rPr>
                  </w:pPr>
                  <w:r>
                    <w:rPr>
                      <w:rFonts w:hAnsi="宋体"/>
                      <w:b/>
                      <w:kern w:val="0"/>
                      <w:szCs w:val="21"/>
                    </w:rPr>
                    <w:t>危险废物</w:t>
                  </w:r>
                </w:p>
                <w:p>
                  <w:pPr>
                    <w:topLinePunct/>
                    <w:adjustRightInd w:val="0"/>
                    <w:snapToGrid w:val="0"/>
                    <w:spacing w:line="320" w:lineRule="exact"/>
                    <w:jc w:val="center"/>
                    <w:rPr>
                      <w:b/>
                      <w:kern w:val="0"/>
                      <w:szCs w:val="21"/>
                    </w:rPr>
                  </w:pPr>
                  <w:r>
                    <w:rPr>
                      <w:rFonts w:hAnsi="宋体"/>
                      <w:b/>
                      <w:kern w:val="0"/>
                      <w:szCs w:val="21"/>
                    </w:rPr>
                    <w:t>代码</w:t>
                  </w:r>
                </w:p>
              </w:tc>
              <w:tc>
                <w:tcPr>
                  <w:tcW w:w="491" w:type="pct"/>
                  <w:vAlign w:val="center"/>
                </w:tcPr>
                <w:p>
                  <w:pPr>
                    <w:topLinePunct/>
                    <w:adjustRightInd w:val="0"/>
                    <w:snapToGrid w:val="0"/>
                    <w:spacing w:line="320" w:lineRule="exact"/>
                    <w:jc w:val="center"/>
                    <w:rPr>
                      <w:b/>
                      <w:kern w:val="0"/>
                      <w:szCs w:val="21"/>
                    </w:rPr>
                  </w:pPr>
                  <w:r>
                    <w:rPr>
                      <w:rFonts w:hAnsi="宋体"/>
                      <w:b/>
                      <w:kern w:val="0"/>
                      <w:szCs w:val="21"/>
                    </w:rPr>
                    <w:t>产生量</w:t>
                  </w:r>
                </w:p>
                <w:p>
                  <w:pPr>
                    <w:topLinePunct/>
                    <w:adjustRightInd w:val="0"/>
                    <w:snapToGrid w:val="0"/>
                    <w:spacing w:line="320" w:lineRule="exact"/>
                    <w:jc w:val="center"/>
                    <w:rPr>
                      <w:b/>
                      <w:kern w:val="0"/>
                      <w:szCs w:val="21"/>
                    </w:rPr>
                  </w:pPr>
                  <w:r>
                    <w:rPr>
                      <w:rFonts w:hAnsi="宋体"/>
                      <w:b/>
                      <w:kern w:val="0"/>
                      <w:szCs w:val="21"/>
                    </w:rPr>
                    <w:t>（吨</w:t>
                  </w:r>
                  <w:r>
                    <w:rPr>
                      <w:b/>
                      <w:kern w:val="0"/>
                      <w:szCs w:val="21"/>
                    </w:rPr>
                    <w:t>/</w:t>
                  </w:r>
                  <w:r>
                    <w:rPr>
                      <w:rFonts w:hAnsi="宋体"/>
                      <w:b/>
                      <w:kern w:val="0"/>
                      <w:szCs w:val="21"/>
                    </w:rPr>
                    <w:t>年）</w:t>
                  </w:r>
                </w:p>
              </w:tc>
              <w:tc>
                <w:tcPr>
                  <w:tcW w:w="362" w:type="pct"/>
                  <w:vAlign w:val="center"/>
                </w:tcPr>
                <w:p>
                  <w:pPr>
                    <w:topLinePunct/>
                    <w:adjustRightInd w:val="0"/>
                    <w:snapToGrid w:val="0"/>
                    <w:spacing w:line="320" w:lineRule="exact"/>
                    <w:jc w:val="center"/>
                    <w:rPr>
                      <w:b/>
                      <w:kern w:val="0"/>
                      <w:szCs w:val="21"/>
                    </w:rPr>
                  </w:pPr>
                  <w:r>
                    <w:rPr>
                      <w:rFonts w:hAnsi="宋体"/>
                      <w:b/>
                      <w:kern w:val="0"/>
                      <w:szCs w:val="21"/>
                    </w:rPr>
                    <w:t>产生工序</w:t>
                  </w:r>
                </w:p>
              </w:tc>
              <w:tc>
                <w:tcPr>
                  <w:tcW w:w="290" w:type="pct"/>
                  <w:vAlign w:val="center"/>
                </w:tcPr>
                <w:p>
                  <w:pPr>
                    <w:topLinePunct/>
                    <w:adjustRightInd w:val="0"/>
                    <w:snapToGrid w:val="0"/>
                    <w:spacing w:line="320" w:lineRule="exact"/>
                    <w:jc w:val="center"/>
                    <w:rPr>
                      <w:b/>
                      <w:kern w:val="0"/>
                      <w:szCs w:val="21"/>
                    </w:rPr>
                  </w:pPr>
                  <w:r>
                    <w:rPr>
                      <w:rFonts w:hAnsi="宋体"/>
                      <w:b/>
                      <w:kern w:val="0"/>
                      <w:szCs w:val="21"/>
                    </w:rPr>
                    <w:t>形态</w:t>
                  </w:r>
                </w:p>
              </w:tc>
              <w:tc>
                <w:tcPr>
                  <w:tcW w:w="435" w:type="pct"/>
                  <w:vAlign w:val="center"/>
                </w:tcPr>
                <w:p>
                  <w:pPr>
                    <w:topLinePunct/>
                    <w:adjustRightInd w:val="0"/>
                    <w:snapToGrid w:val="0"/>
                    <w:spacing w:line="320" w:lineRule="exact"/>
                    <w:jc w:val="center"/>
                    <w:rPr>
                      <w:rFonts w:hAnsi="宋体"/>
                      <w:b/>
                      <w:kern w:val="0"/>
                      <w:szCs w:val="21"/>
                    </w:rPr>
                  </w:pPr>
                  <w:r>
                    <w:rPr>
                      <w:rFonts w:hint="eastAsia" w:hAnsi="宋体"/>
                      <w:b/>
                      <w:kern w:val="0"/>
                      <w:szCs w:val="21"/>
                    </w:rPr>
                    <w:t>主要成份</w:t>
                  </w:r>
                </w:p>
              </w:tc>
              <w:tc>
                <w:tcPr>
                  <w:tcW w:w="363" w:type="pct"/>
                  <w:vAlign w:val="center"/>
                </w:tcPr>
                <w:p>
                  <w:pPr>
                    <w:topLinePunct/>
                    <w:adjustRightInd w:val="0"/>
                    <w:snapToGrid w:val="0"/>
                    <w:spacing w:line="320" w:lineRule="exact"/>
                    <w:jc w:val="center"/>
                    <w:rPr>
                      <w:rFonts w:hAnsi="宋体"/>
                      <w:b/>
                      <w:kern w:val="0"/>
                      <w:szCs w:val="21"/>
                    </w:rPr>
                  </w:pPr>
                  <w:r>
                    <w:rPr>
                      <w:rFonts w:hint="eastAsia" w:hAnsi="宋体"/>
                      <w:b/>
                      <w:kern w:val="0"/>
                      <w:szCs w:val="21"/>
                    </w:rPr>
                    <w:t>有害成分</w:t>
                  </w:r>
                </w:p>
              </w:tc>
              <w:tc>
                <w:tcPr>
                  <w:tcW w:w="362" w:type="pct"/>
                  <w:vAlign w:val="center"/>
                </w:tcPr>
                <w:p>
                  <w:pPr>
                    <w:topLinePunct/>
                    <w:adjustRightInd w:val="0"/>
                    <w:snapToGrid w:val="0"/>
                    <w:spacing w:line="320" w:lineRule="exact"/>
                    <w:jc w:val="center"/>
                    <w:rPr>
                      <w:rFonts w:hAnsi="宋体"/>
                      <w:b/>
                      <w:kern w:val="0"/>
                      <w:szCs w:val="21"/>
                    </w:rPr>
                  </w:pPr>
                  <w:r>
                    <w:rPr>
                      <w:rFonts w:hint="eastAsia" w:hAnsi="宋体"/>
                      <w:b/>
                      <w:kern w:val="0"/>
                      <w:szCs w:val="21"/>
                    </w:rPr>
                    <w:t>产生周期</w:t>
                  </w:r>
                </w:p>
              </w:tc>
              <w:tc>
                <w:tcPr>
                  <w:tcW w:w="361" w:type="pct"/>
                  <w:vAlign w:val="center"/>
                </w:tcPr>
                <w:p>
                  <w:pPr>
                    <w:topLinePunct/>
                    <w:adjustRightInd w:val="0"/>
                    <w:snapToGrid w:val="0"/>
                    <w:spacing w:line="320" w:lineRule="exact"/>
                    <w:jc w:val="center"/>
                    <w:rPr>
                      <w:b/>
                      <w:kern w:val="0"/>
                      <w:szCs w:val="21"/>
                    </w:rPr>
                  </w:pPr>
                  <w:r>
                    <w:rPr>
                      <w:rFonts w:hAnsi="宋体"/>
                      <w:b/>
                      <w:kern w:val="0"/>
                      <w:szCs w:val="21"/>
                    </w:rPr>
                    <w:t>危险</w:t>
                  </w:r>
                </w:p>
                <w:p>
                  <w:pPr>
                    <w:topLinePunct/>
                    <w:adjustRightInd w:val="0"/>
                    <w:snapToGrid w:val="0"/>
                    <w:spacing w:line="320" w:lineRule="exact"/>
                    <w:jc w:val="center"/>
                    <w:rPr>
                      <w:b/>
                      <w:kern w:val="0"/>
                      <w:szCs w:val="21"/>
                    </w:rPr>
                  </w:pPr>
                  <w:r>
                    <w:rPr>
                      <w:rFonts w:hAnsi="宋体"/>
                      <w:b/>
                      <w:kern w:val="0"/>
                      <w:szCs w:val="21"/>
                    </w:rPr>
                    <w:t>特性</w:t>
                  </w:r>
                </w:p>
              </w:tc>
              <w:tc>
                <w:tcPr>
                  <w:tcW w:w="753" w:type="pct"/>
                  <w:vAlign w:val="center"/>
                </w:tcPr>
                <w:p>
                  <w:pPr>
                    <w:topLinePunct/>
                    <w:adjustRightInd w:val="0"/>
                    <w:snapToGrid w:val="0"/>
                    <w:spacing w:line="320" w:lineRule="exact"/>
                    <w:jc w:val="center"/>
                    <w:rPr>
                      <w:b/>
                      <w:kern w:val="0"/>
                      <w:szCs w:val="21"/>
                    </w:rPr>
                  </w:pPr>
                  <w:r>
                    <w:rPr>
                      <w:rFonts w:hAnsi="宋体"/>
                      <w:b/>
                      <w:kern w:val="0"/>
                      <w:szCs w:val="21"/>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 w:type="pct"/>
                  <w:vAlign w:val="center"/>
                </w:tcPr>
                <w:p>
                  <w:pPr>
                    <w:topLinePunct/>
                    <w:adjustRightInd w:val="0"/>
                    <w:snapToGrid w:val="0"/>
                    <w:spacing w:line="320" w:lineRule="exact"/>
                    <w:jc w:val="center"/>
                    <w:rPr>
                      <w:kern w:val="0"/>
                      <w:szCs w:val="21"/>
                    </w:rPr>
                  </w:pPr>
                  <w:r>
                    <w:rPr>
                      <w:kern w:val="0"/>
                      <w:szCs w:val="21"/>
                    </w:rPr>
                    <w:t>1</w:t>
                  </w:r>
                </w:p>
              </w:tc>
              <w:tc>
                <w:tcPr>
                  <w:tcW w:w="353" w:type="pct"/>
                  <w:vAlign w:val="center"/>
                </w:tcPr>
                <w:p>
                  <w:pPr>
                    <w:topLinePunct/>
                    <w:adjustRightInd w:val="0"/>
                    <w:snapToGrid w:val="0"/>
                    <w:spacing w:line="320" w:lineRule="exact"/>
                    <w:jc w:val="center"/>
                    <w:rPr>
                      <w:rFonts w:hAnsi="宋体"/>
                      <w:kern w:val="0"/>
                      <w:szCs w:val="21"/>
                    </w:rPr>
                  </w:pPr>
                  <w:r>
                    <w:rPr>
                      <w:rFonts w:hint="eastAsia" w:hAnsi="宋体"/>
                      <w:kern w:val="0"/>
                      <w:szCs w:val="21"/>
                    </w:rPr>
                    <w:t>废活性炭</w:t>
                  </w:r>
                </w:p>
              </w:tc>
              <w:tc>
                <w:tcPr>
                  <w:tcW w:w="397" w:type="pct"/>
                  <w:vAlign w:val="center"/>
                </w:tcPr>
                <w:p>
                  <w:pPr>
                    <w:topLinePunct/>
                    <w:adjustRightInd w:val="0"/>
                    <w:snapToGrid w:val="0"/>
                    <w:spacing w:line="320" w:lineRule="exact"/>
                    <w:jc w:val="center"/>
                    <w:rPr>
                      <w:kern w:val="0"/>
                      <w:szCs w:val="21"/>
                    </w:rPr>
                  </w:pPr>
                  <w:r>
                    <w:rPr>
                      <w:kern w:val="0"/>
                      <w:szCs w:val="21"/>
                    </w:rPr>
                    <w:t>HW49</w:t>
                  </w:r>
                  <w:r>
                    <w:rPr>
                      <w:rFonts w:hint="eastAsia"/>
                      <w:kern w:val="0"/>
                      <w:szCs w:val="21"/>
                    </w:rPr>
                    <w:t>（其他废物）</w:t>
                  </w:r>
                </w:p>
              </w:tc>
              <w:tc>
                <w:tcPr>
                  <w:tcW w:w="612" w:type="pct"/>
                  <w:vAlign w:val="center"/>
                </w:tcPr>
                <w:p>
                  <w:pPr>
                    <w:topLinePunct/>
                    <w:adjustRightInd w:val="0"/>
                    <w:snapToGrid w:val="0"/>
                    <w:spacing w:line="320" w:lineRule="exact"/>
                    <w:jc w:val="center"/>
                    <w:rPr>
                      <w:kern w:val="0"/>
                      <w:szCs w:val="21"/>
                    </w:rPr>
                  </w:pPr>
                  <w:r>
                    <w:rPr>
                      <w:kern w:val="0"/>
                      <w:szCs w:val="21"/>
                    </w:rPr>
                    <w:t>900-041-49</w:t>
                  </w:r>
                </w:p>
              </w:tc>
              <w:tc>
                <w:tcPr>
                  <w:tcW w:w="491" w:type="pct"/>
                  <w:vAlign w:val="center"/>
                </w:tcPr>
                <w:p>
                  <w:pPr>
                    <w:topLinePunct/>
                    <w:adjustRightInd w:val="0"/>
                    <w:snapToGrid w:val="0"/>
                    <w:spacing w:line="320" w:lineRule="exact"/>
                    <w:jc w:val="center"/>
                    <w:rPr>
                      <w:kern w:val="0"/>
                      <w:szCs w:val="21"/>
                    </w:rPr>
                  </w:pPr>
                  <w:r>
                    <w:rPr>
                      <w:rFonts w:hint="eastAsia"/>
                      <w:kern w:val="0"/>
                      <w:szCs w:val="21"/>
                    </w:rPr>
                    <w:t>0.1</w:t>
                  </w:r>
                </w:p>
              </w:tc>
              <w:tc>
                <w:tcPr>
                  <w:tcW w:w="362" w:type="pct"/>
                  <w:vAlign w:val="center"/>
                </w:tcPr>
                <w:p>
                  <w:pPr>
                    <w:topLinePunct/>
                    <w:adjustRightInd w:val="0"/>
                    <w:snapToGrid w:val="0"/>
                    <w:spacing w:line="320" w:lineRule="exact"/>
                    <w:jc w:val="center"/>
                    <w:rPr>
                      <w:rFonts w:hAnsi="宋体"/>
                      <w:kern w:val="0"/>
                      <w:szCs w:val="21"/>
                    </w:rPr>
                  </w:pPr>
                  <w:r>
                    <w:rPr>
                      <w:rFonts w:hAnsi="宋体"/>
                      <w:kern w:val="0"/>
                      <w:szCs w:val="21"/>
                    </w:rPr>
                    <w:t>生产工序</w:t>
                  </w:r>
                </w:p>
              </w:tc>
              <w:tc>
                <w:tcPr>
                  <w:tcW w:w="290" w:type="pct"/>
                  <w:vAlign w:val="center"/>
                </w:tcPr>
                <w:p>
                  <w:pPr>
                    <w:topLinePunct/>
                    <w:adjustRightInd w:val="0"/>
                    <w:snapToGrid w:val="0"/>
                    <w:spacing w:line="320" w:lineRule="exact"/>
                    <w:jc w:val="center"/>
                    <w:rPr>
                      <w:rFonts w:hAnsi="宋体"/>
                      <w:kern w:val="0"/>
                      <w:szCs w:val="21"/>
                    </w:rPr>
                  </w:pPr>
                  <w:r>
                    <w:rPr>
                      <w:rFonts w:hint="eastAsia" w:hAnsi="宋体"/>
                      <w:kern w:val="0"/>
                      <w:szCs w:val="21"/>
                    </w:rPr>
                    <w:t>固态</w:t>
                  </w:r>
                </w:p>
              </w:tc>
              <w:tc>
                <w:tcPr>
                  <w:tcW w:w="435" w:type="pct"/>
                  <w:vAlign w:val="center"/>
                </w:tcPr>
                <w:p>
                  <w:pPr>
                    <w:topLinePunct/>
                    <w:adjustRightInd w:val="0"/>
                    <w:snapToGrid w:val="0"/>
                    <w:spacing w:line="320" w:lineRule="exact"/>
                    <w:jc w:val="center"/>
                    <w:rPr>
                      <w:rFonts w:hAnsi="宋体"/>
                      <w:kern w:val="0"/>
                      <w:szCs w:val="21"/>
                    </w:rPr>
                  </w:pPr>
                  <w:r>
                    <w:rPr>
                      <w:rFonts w:hint="eastAsia" w:hAnsi="宋体"/>
                      <w:kern w:val="0"/>
                      <w:szCs w:val="21"/>
                    </w:rPr>
                    <w:t>非甲烷总烃</w:t>
                  </w:r>
                </w:p>
              </w:tc>
              <w:tc>
                <w:tcPr>
                  <w:tcW w:w="363" w:type="pct"/>
                  <w:vAlign w:val="center"/>
                </w:tcPr>
                <w:p>
                  <w:pPr>
                    <w:topLinePunct/>
                    <w:adjustRightInd w:val="0"/>
                    <w:snapToGrid w:val="0"/>
                    <w:spacing w:line="320" w:lineRule="exact"/>
                    <w:jc w:val="center"/>
                    <w:rPr>
                      <w:rFonts w:hAnsi="宋体"/>
                      <w:kern w:val="0"/>
                      <w:szCs w:val="21"/>
                    </w:rPr>
                  </w:pPr>
                  <w:r>
                    <w:rPr>
                      <w:rFonts w:hint="eastAsia" w:hAnsi="宋体"/>
                      <w:kern w:val="0"/>
                      <w:szCs w:val="21"/>
                    </w:rPr>
                    <w:t>非甲烷总烃</w:t>
                  </w:r>
                </w:p>
              </w:tc>
              <w:tc>
                <w:tcPr>
                  <w:tcW w:w="362" w:type="pct"/>
                  <w:vAlign w:val="center"/>
                </w:tcPr>
                <w:p>
                  <w:pPr>
                    <w:topLinePunct/>
                    <w:adjustRightInd w:val="0"/>
                    <w:snapToGrid w:val="0"/>
                    <w:spacing w:line="320" w:lineRule="exact"/>
                    <w:jc w:val="center"/>
                    <w:rPr>
                      <w:rFonts w:hAnsi="宋体"/>
                      <w:kern w:val="0"/>
                      <w:szCs w:val="21"/>
                    </w:rPr>
                  </w:pPr>
                  <w:r>
                    <w:rPr>
                      <w:rFonts w:hint="eastAsia" w:hAnsi="宋体"/>
                      <w:kern w:val="0"/>
                      <w:szCs w:val="21"/>
                    </w:rPr>
                    <w:t>3个月</w:t>
                  </w:r>
                </w:p>
              </w:tc>
              <w:tc>
                <w:tcPr>
                  <w:tcW w:w="361" w:type="pct"/>
                  <w:vAlign w:val="center"/>
                </w:tcPr>
                <w:p>
                  <w:pPr>
                    <w:topLinePunct/>
                    <w:adjustRightInd w:val="0"/>
                    <w:snapToGrid w:val="0"/>
                    <w:spacing w:line="320" w:lineRule="exact"/>
                    <w:jc w:val="center"/>
                    <w:rPr>
                      <w:rFonts w:hAnsi="宋体"/>
                      <w:kern w:val="0"/>
                      <w:szCs w:val="21"/>
                    </w:rPr>
                  </w:pPr>
                  <w:r>
                    <w:rPr>
                      <w:rFonts w:hint="eastAsia" w:hAnsi="宋体"/>
                      <w:kern w:val="0"/>
                      <w:szCs w:val="21"/>
                    </w:rPr>
                    <w:t>I</w:t>
                  </w:r>
                </w:p>
              </w:tc>
              <w:tc>
                <w:tcPr>
                  <w:tcW w:w="753" w:type="pct"/>
                  <w:vMerge w:val="restart"/>
                  <w:vAlign w:val="center"/>
                </w:tcPr>
                <w:p>
                  <w:pPr>
                    <w:topLinePunct/>
                    <w:adjustRightInd w:val="0"/>
                    <w:snapToGrid w:val="0"/>
                    <w:spacing w:line="320" w:lineRule="exact"/>
                    <w:jc w:val="center"/>
                    <w:rPr>
                      <w:kern w:val="0"/>
                      <w:szCs w:val="21"/>
                    </w:rPr>
                  </w:pPr>
                  <w:r>
                    <w:rPr>
                      <w:rFonts w:hAnsi="宋体"/>
                      <w:szCs w:val="21"/>
                    </w:rPr>
                    <w:t>采用收集桶分类收集在厂区设置的危废暂存间内暂存，定期委托有资质的单位处置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 w:type="pct"/>
                  <w:vAlign w:val="center"/>
                </w:tcPr>
                <w:p>
                  <w:pPr>
                    <w:topLinePunct/>
                    <w:adjustRightInd w:val="0"/>
                    <w:snapToGrid w:val="0"/>
                    <w:spacing w:line="320" w:lineRule="exact"/>
                    <w:jc w:val="center"/>
                    <w:rPr>
                      <w:kern w:val="0"/>
                      <w:szCs w:val="21"/>
                    </w:rPr>
                  </w:pPr>
                  <w:r>
                    <w:rPr>
                      <w:rFonts w:hint="eastAsia"/>
                      <w:kern w:val="0"/>
                      <w:szCs w:val="21"/>
                    </w:rPr>
                    <w:t>2</w:t>
                  </w:r>
                </w:p>
              </w:tc>
              <w:tc>
                <w:tcPr>
                  <w:tcW w:w="353" w:type="pct"/>
                  <w:vAlign w:val="center"/>
                </w:tcPr>
                <w:p>
                  <w:pPr>
                    <w:topLinePunct/>
                    <w:adjustRightInd w:val="0"/>
                    <w:snapToGrid w:val="0"/>
                    <w:spacing w:line="320" w:lineRule="exact"/>
                    <w:jc w:val="center"/>
                    <w:rPr>
                      <w:kern w:val="0"/>
                      <w:szCs w:val="21"/>
                    </w:rPr>
                  </w:pPr>
                  <w:r>
                    <w:rPr>
                      <w:rFonts w:hAnsi="宋体"/>
                      <w:kern w:val="0"/>
                      <w:szCs w:val="21"/>
                    </w:rPr>
                    <w:t>废</w:t>
                  </w:r>
                  <w:r>
                    <w:rPr>
                      <w:rFonts w:hint="eastAsia" w:hAnsi="宋体"/>
                      <w:kern w:val="0"/>
                      <w:szCs w:val="21"/>
                    </w:rPr>
                    <w:t>灯管</w:t>
                  </w:r>
                </w:p>
              </w:tc>
              <w:tc>
                <w:tcPr>
                  <w:tcW w:w="397" w:type="pct"/>
                  <w:vAlign w:val="center"/>
                </w:tcPr>
                <w:p>
                  <w:pPr>
                    <w:topLinePunct/>
                    <w:adjustRightInd w:val="0"/>
                    <w:snapToGrid w:val="0"/>
                    <w:spacing w:line="320" w:lineRule="exact"/>
                    <w:jc w:val="center"/>
                    <w:rPr>
                      <w:kern w:val="0"/>
                      <w:szCs w:val="21"/>
                    </w:rPr>
                  </w:pPr>
                  <w:r>
                    <w:rPr>
                      <w:rFonts w:hint="eastAsia"/>
                      <w:kern w:val="0"/>
                      <w:szCs w:val="21"/>
                    </w:rPr>
                    <w:t>HW29（含汞废物）</w:t>
                  </w:r>
                </w:p>
              </w:tc>
              <w:tc>
                <w:tcPr>
                  <w:tcW w:w="612" w:type="pct"/>
                  <w:vAlign w:val="center"/>
                </w:tcPr>
                <w:p>
                  <w:pPr>
                    <w:adjustRightInd w:val="0"/>
                    <w:snapToGrid w:val="0"/>
                    <w:spacing w:line="320" w:lineRule="exact"/>
                    <w:jc w:val="center"/>
                    <w:rPr>
                      <w:szCs w:val="21"/>
                    </w:rPr>
                  </w:pPr>
                  <w:r>
                    <w:rPr>
                      <w:szCs w:val="21"/>
                    </w:rPr>
                    <w:t>900-</w:t>
                  </w:r>
                  <w:r>
                    <w:rPr>
                      <w:rFonts w:hint="eastAsia"/>
                      <w:szCs w:val="21"/>
                    </w:rPr>
                    <w:t>022</w:t>
                  </w:r>
                  <w:r>
                    <w:rPr>
                      <w:szCs w:val="21"/>
                    </w:rPr>
                    <w:t>-</w:t>
                  </w:r>
                  <w:r>
                    <w:rPr>
                      <w:rFonts w:hint="eastAsia"/>
                      <w:szCs w:val="21"/>
                    </w:rPr>
                    <w:t>29</w:t>
                  </w:r>
                </w:p>
              </w:tc>
              <w:tc>
                <w:tcPr>
                  <w:tcW w:w="491" w:type="pct"/>
                  <w:vAlign w:val="center"/>
                </w:tcPr>
                <w:p>
                  <w:pPr>
                    <w:pStyle w:val="94"/>
                    <w:spacing w:before="190" w:line="320" w:lineRule="exact"/>
                    <w:ind w:firstLine="0" w:firstLineChars="0"/>
                    <w:jc w:val="center"/>
                    <w:rPr>
                      <w:rFonts w:ascii="Times New Roman" w:hAnsi="Times New Roman"/>
                      <w:sz w:val="21"/>
                      <w:szCs w:val="21"/>
                    </w:rPr>
                  </w:pPr>
                  <w:r>
                    <w:rPr>
                      <w:rFonts w:hint="eastAsia" w:ascii="Times New Roman" w:hAnsi="Times New Roman"/>
                      <w:sz w:val="21"/>
                      <w:szCs w:val="21"/>
                    </w:rPr>
                    <w:t>30个/3年</w:t>
                  </w:r>
                </w:p>
              </w:tc>
              <w:tc>
                <w:tcPr>
                  <w:tcW w:w="362" w:type="pct"/>
                  <w:vAlign w:val="center"/>
                </w:tcPr>
                <w:p>
                  <w:pPr>
                    <w:topLinePunct/>
                    <w:adjustRightInd w:val="0"/>
                    <w:snapToGrid w:val="0"/>
                    <w:spacing w:line="320" w:lineRule="exact"/>
                    <w:jc w:val="center"/>
                    <w:rPr>
                      <w:kern w:val="0"/>
                      <w:szCs w:val="21"/>
                    </w:rPr>
                  </w:pPr>
                  <w:r>
                    <w:rPr>
                      <w:rFonts w:hint="eastAsia" w:hAnsi="宋体"/>
                      <w:kern w:val="0"/>
                      <w:szCs w:val="21"/>
                    </w:rPr>
                    <w:t>生产过程</w:t>
                  </w:r>
                </w:p>
              </w:tc>
              <w:tc>
                <w:tcPr>
                  <w:tcW w:w="290" w:type="pct"/>
                  <w:vAlign w:val="center"/>
                </w:tcPr>
                <w:p>
                  <w:pPr>
                    <w:topLinePunct/>
                    <w:adjustRightInd w:val="0"/>
                    <w:snapToGrid w:val="0"/>
                    <w:spacing w:line="320" w:lineRule="exact"/>
                    <w:jc w:val="center"/>
                    <w:rPr>
                      <w:kern w:val="0"/>
                      <w:szCs w:val="21"/>
                    </w:rPr>
                  </w:pPr>
                  <w:r>
                    <w:rPr>
                      <w:rFonts w:hint="eastAsia" w:hAnsi="宋体"/>
                      <w:kern w:val="0"/>
                      <w:szCs w:val="21"/>
                    </w:rPr>
                    <w:t>固态</w:t>
                  </w:r>
                </w:p>
              </w:tc>
              <w:tc>
                <w:tcPr>
                  <w:tcW w:w="435" w:type="pct"/>
                  <w:vAlign w:val="center"/>
                </w:tcPr>
                <w:p>
                  <w:pPr>
                    <w:topLinePunct/>
                    <w:adjustRightInd w:val="0"/>
                    <w:snapToGrid w:val="0"/>
                    <w:spacing w:line="320" w:lineRule="exact"/>
                    <w:rPr>
                      <w:rFonts w:hAnsi="宋体"/>
                      <w:kern w:val="0"/>
                      <w:szCs w:val="21"/>
                    </w:rPr>
                  </w:pPr>
                  <w:r>
                    <w:rPr>
                      <w:rFonts w:hint="eastAsia" w:hAnsi="宋体"/>
                      <w:kern w:val="0"/>
                      <w:szCs w:val="21"/>
                    </w:rPr>
                    <w:t>玻璃、汞、二极管</w:t>
                  </w:r>
                </w:p>
              </w:tc>
              <w:tc>
                <w:tcPr>
                  <w:tcW w:w="363" w:type="pct"/>
                  <w:vAlign w:val="center"/>
                </w:tcPr>
                <w:p>
                  <w:pPr>
                    <w:topLinePunct/>
                    <w:adjustRightInd w:val="0"/>
                    <w:snapToGrid w:val="0"/>
                    <w:spacing w:line="320" w:lineRule="exact"/>
                    <w:jc w:val="center"/>
                    <w:rPr>
                      <w:rFonts w:hAnsi="宋体"/>
                      <w:kern w:val="0"/>
                      <w:szCs w:val="21"/>
                    </w:rPr>
                  </w:pPr>
                  <w:r>
                    <w:rPr>
                      <w:rFonts w:hint="eastAsia" w:hAnsi="宋体"/>
                      <w:kern w:val="0"/>
                      <w:szCs w:val="21"/>
                    </w:rPr>
                    <w:t>金属汞</w:t>
                  </w:r>
                </w:p>
              </w:tc>
              <w:tc>
                <w:tcPr>
                  <w:tcW w:w="362" w:type="pct"/>
                  <w:vAlign w:val="center"/>
                </w:tcPr>
                <w:p>
                  <w:pPr>
                    <w:topLinePunct/>
                    <w:adjustRightInd w:val="0"/>
                    <w:snapToGrid w:val="0"/>
                    <w:spacing w:line="320" w:lineRule="exact"/>
                    <w:jc w:val="center"/>
                    <w:rPr>
                      <w:rFonts w:hAnsi="宋体"/>
                      <w:kern w:val="0"/>
                      <w:szCs w:val="21"/>
                    </w:rPr>
                  </w:pPr>
                  <w:r>
                    <w:rPr>
                      <w:rFonts w:hint="eastAsia" w:hAnsi="宋体"/>
                      <w:kern w:val="0"/>
                      <w:szCs w:val="21"/>
                    </w:rPr>
                    <w:t>3年</w:t>
                  </w:r>
                </w:p>
              </w:tc>
              <w:tc>
                <w:tcPr>
                  <w:tcW w:w="361" w:type="pct"/>
                  <w:vAlign w:val="center"/>
                </w:tcPr>
                <w:p>
                  <w:pPr>
                    <w:topLinePunct/>
                    <w:adjustRightInd w:val="0"/>
                    <w:snapToGrid w:val="0"/>
                    <w:spacing w:line="320" w:lineRule="exact"/>
                    <w:jc w:val="center"/>
                    <w:rPr>
                      <w:kern w:val="0"/>
                      <w:szCs w:val="21"/>
                    </w:rPr>
                  </w:pPr>
                  <w:r>
                    <w:rPr>
                      <w:rFonts w:hint="eastAsia" w:hAnsi="宋体"/>
                      <w:kern w:val="0"/>
                      <w:szCs w:val="21"/>
                    </w:rPr>
                    <w:t>T</w:t>
                  </w:r>
                </w:p>
              </w:tc>
              <w:tc>
                <w:tcPr>
                  <w:tcW w:w="753" w:type="pct"/>
                  <w:vMerge w:val="continue"/>
                  <w:vAlign w:val="center"/>
                </w:tcPr>
                <w:p>
                  <w:pPr>
                    <w:topLinePunct/>
                    <w:adjustRightInd w:val="0"/>
                    <w:snapToGrid w:val="0"/>
                    <w:spacing w:line="320" w:lineRule="exact"/>
                    <w:jc w:val="center"/>
                    <w:rPr>
                      <w:rFonts w:hAnsi="宋体"/>
                      <w:szCs w:val="21"/>
                    </w:rPr>
                  </w:pPr>
                </w:p>
              </w:tc>
            </w:tr>
          </w:tbl>
          <w:p>
            <w:pPr>
              <w:adjustRightInd w:val="0"/>
              <w:snapToGrid w:val="0"/>
              <w:spacing w:line="520" w:lineRule="exact"/>
              <w:ind w:firstLine="480" w:firstLineChars="200"/>
              <w:rPr>
                <w:rFonts w:hAnsi="宋体"/>
                <w:sz w:val="24"/>
              </w:rPr>
            </w:pPr>
            <w:r>
              <w:rPr>
                <w:rFonts w:hAnsi="宋体"/>
                <w:sz w:val="24"/>
              </w:rPr>
              <w:fldChar w:fldCharType="begin"/>
            </w:r>
            <w:r>
              <w:rPr>
                <w:rFonts w:hAnsi="宋体"/>
                <w:sz w:val="24"/>
              </w:rPr>
              <w:instrText xml:space="preserve"> </w:instrText>
            </w:r>
            <w:r>
              <w:rPr>
                <w:rFonts w:hint="eastAsia" w:hAnsi="宋体"/>
                <w:sz w:val="24"/>
              </w:rPr>
              <w:instrText xml:space="preserve">= 2 \* GB3</w:instrText>
            </w:r>
            <w:r>
              <w:rPr>
                <w:rFonts w:hAnsi="宋体"/>
                <w:sz w:val="24"/>
              </w:rPr>
              <w:instrText xml:space="preserve"> </w:instrText>
            </w:r>
            <w:r>
              <w:rPr>
                <w:rFonts w:hAnsi="宋体"/>
                <w:sz w:val="24"/>
              </w:rPr>
              <w:fldChar w:fldCharType="separate"/>
            </w:r>
            <w:r>
              <w:rPr>
                <w:rFonts w:hint="eastAsia" w:hAnsi="宋体"/>
                <w:sz w:val="24"/>
              </w:rPr>
              <w:t>②</w:t>
            </w:r>
            <w:r>
              <w:rPr>
                <w:rFonts w:hAnsi="宋体"/>
                <w:sz w:val="24"/>
              </w:rPr>
              <w:fldChar w:fldCharType="end"/>
            </w:r>
            <w:r>
              <w:rPr>
                <w:rFonts w:hint="eastAsia" w:hAnsi="宋体"/>
                <w:sz w:val="24"/>
              </w:rPr>
              <w:t>贮存场所污染防治措施</w:t>
            </w:r>
          </w:p>
          <w:p>
            <w:pPr>
              <w:pStyle w:val="87"/>
              <w:rPr>
                <w:szCs w:val="24"/>
              </w:rPr>
            </w:pPr>
            <w:r>
              <w:rPr>
                <w:rFonts w:hAnsi="宋体"/>
              </w:rPr>
              <w:t>本项</w:t>
            </w:r>
            <w:r>
              <w:rPr>
                <w:rFonts w:hAnsi="宋体"/>
                <w:color w:val="000000"/>
              </w:rPr>
              <w:t>目在生产车间内设置一间</w:t>
            </w:r>
            <w:r>
              <w:rPr>
                <w:rFonts w:hint="eastAsia"/>
                <w:color w:val="000000"/>
              </w:rPr>
              <w:t>5</w:t>
            </w:r>
            <w:r>
              <w:rPr>
                <w:color w:val="000000"/>
              </w:rPr>
              <w:t>m</w:t>
            </w:r>
            <w:r>
              <w:rPr>
                <w:color w:val="000000"/>
                <w:vertAlign w:val="superscript"/>
              </w:rPr>
              <w:t>2</w:t>
            </w:r>
            <w:r>
              <w:rPr>
                <w:rFonts w:hAnsi="宋体"/>
                <w:color w:val="000000"/>
              </w:rPr>
              <w:t>的危险</w:t>
            </w:r>
            <w:r>
              <w:rPr>
                <w:rFonts w:hAnsi="宋体"/>
              </w:rPr>
              <w:t>废物暂存间，危险废物暂存后定期交由有危废处理资质的单位进行处理。</w:t>
            </w:r>
            <w:r>
              <w:rPr>
                <w:rFonts w:hAnsi="宋体"/>
                <w:szCs w:val="24"/>
              </w:rPr>
              <w:t>项目危废暂存间须满足以下要求：</w:t>
            </w:r>
          </w:p>
          <w:p>
            <w:pPr>
              <w:pStyle w:val="87"/>
              <w:rPr>
                <w:szCs w:val="24"/>
              </w:rPr>
            </w:pPr>
            <w:r>
              <w:rPr>
                <w:szCs w:val="24"/>
              </w:rPr>
              <w:t>a</w:t>
            </w:r>
            <w:r>
              <w:rPr>
                <w:rFonts w:hAnsi="宋体"/>
                <w:szCs w:val="24"/>
              </w:rPr>
              <w:t>、危险废物暂存间须满足地面硬化并铺设有防渗层，满足</w:t>
            </w:r>
            <w:r>
              <w:rPr>
                <w:szCs w:val="24"/>
              </w:rPr>
              <w:t>“</w:t>
            </w:r>
            <w:r>
              <w:rPr>
                <w:rFonts w:hAnsi="宋体"/>
                <w:szCs w:val="24"/>
              </w:rPr>
              <w:t>四防</w:t>
            </w:r>
            <w:r>
              <w:rPr>
                <w:szCs w:val="24"/>
              </w:rPr>
              <w:t>”</w:t>
            </w:r>
            <w:r>
              <w:rPr>
                <w:rFonts w:hAnsi="宋体"/>
                <w:szCs w:val="24"/>
              </w:rPr>
              <w:t>（防风、防雨、防晒、防渗漏）要求，地面和裙脚要用坚固、防渗的材料制造，建筑材料必须与危险废物相容，应满足防渗系数</w:t>
            </w:r>
            <w:r>
              <w:rPr>
                <w:szCs w:val="24"/>
              </w:rPr>
              <w:t>≤10</w:t>
            </w:r>
            <w:r>
              <w:rPr>
                <w:szCs w:val="24"/>
                <w:vertAlign w:val="superscript"/>
              </w:rPr>
              <w:t>-10</w:t>
            </w:r>
            <w:r>
              <w:rPr>
                <w:szCs w:val="24"/>
              </w:rPr>
              <w:t>cm/s</w:t>
            </w:r>
            <w:r>
              <w:rPr>
                <w:rFonts w:hAnsi="宋体"/>
                <w:szCs w:val="24"/>
              </w:rPr>
              <w:t>。危废暂存间必须按</w:t>
            </w:r>
            <w:r>
              <w:rPr>
                <w:szCs w:val="24"/>
              </w:rPr>
              <w:t>GB15562.2</w:t>
            </w:r>
            <w:r>
              <w:rPr>
                <w:rFonts w:hAnsi="宋体"/>
                <w:szCs w:val="24"/>
              </w:rPr>
              <w:t>的规定设置警示标志。</w:t>
            </w:r>
          </w:p>
          <w:p>
            <w:pPr>
              <w:pStyle w:val="87"/>
              <w:rPr>
                <w:szCs w:val="24"/>
              </w:rPr>
            </w:pPr>
            <w:r>
              <w:rPr>
                <w:szCs w:val="24"/>
              </w:rPr>
              <w:t>b</w:t>
            </w:r>
            <w:r>
              <w:rPr>
                <w:rFonts w:hAnsi="宋体"/>
                <w:szCs w:val="24"/>
              </w:rPr>
              <w:t>、建设单位应当使用符合标准的容器盛装危险废物，本项目不同危险废物应采用专用收集桶盛装，收集桶材质和衬里应与危险废物相容（不相互反应）。不同危险废物在暂存间内分区存放，禁止将不相容（相互反应）的危险废物在同一容器内混装，盛装危险废物的容器上必须按照《危险废物贮存污染控制标准》（</w:t>
            </w:r>
            <w:r>
              <w:rPr>
                <w:szCs w:val="24"/>
              </w:rPr>
              <w:t>GB18597-2001</w:t>
            </w:r>
            <w:r>
              <w:rPr>
                <w:rFonts w:hAnsi="宋体"/>
                <w:szCs w:val="24"/>
              </w:rPr>
              <w:t>）中要求粘贴标签。项目收集桶循环使用（不同危废收集桶不得混用），建设单位应定期对盛装容器进行检查，装载危险废物的容器必须完好无损。</w:t>
            </w:r>
          </w:p>
          <w:p>
            <w:pPr>
              <w:pStyle w:val="87"/>
              <w:rPr>
                <w:szCs w:val="24"/>
              </w:rPr>
            </w:pPr>
            <w:r>
              <w:rPr>
                <w:szCs w:val="24"/>
              </w:rPr>
              <w:t>c</w:t>
            </w:r>
            <w:r>
              <w:rPr>
                <w:rFonts w:hAnsi="宋体"/>
                <w:szCs w:val="24"/>
              </w:rPr>
              <w:t>、容器应加盖密闭，不得混装，装载液体危险废物的容器内须留足够空间，容器顶部与液体表面之间保留</w:t>
            </w:r>
            <w:r>
              <w:rPr>
                <w:szCs w:val="24"/>
              </w:rPr>
              <w:t>100</w:t>
            </w:r>
            <w:r>
              <w:rPr>
                <w:rFonts w:hAnsi="宋体"/>
                <w:szCs w:val="24"/>
              </w:rPr>
              <w:t>毫米以上的空间。危险固废储存区应根据不同性质的危废进行分区堆放储存，存储区必须严格按照《危险废物贮存污染控制标准》（</w:t>
            </w:r>
            <w:r>
              <w:rPr>
                <w:szCs w:val="24"/>
              </w:rPr>
              <w:t>GB18597-2001</w:t>
            </w:r>
            <w:r>
              <w:rPr>
                <w:rFonts w:hAnsi="宋体"/>
                <w:szCs w:val="24"/>
              </w:rPr>
              <w:t>）建设和维护使用；</w:t>
            </w:r>
          </w:p>
          <w:p>
            <w:pPr>
              <w:pStyle w:val="87"/>
              <w:rPr>
                <w:szCs w:val="24"/>
              </w:rPr>
            </w:pPr>
            <w:r>
              <w:rPr>
                <w:szCs w:val="24"/>
              </w:rPr>
              <w:t>d</w:t>
            </w:r>
            <w:r>
              <w:rPr>
                <w:rFonts w:hAnsi="宋体"/>
                <w:szCs w:val="24"/>
              </w:rPr>
              <w:t>、建设单位必须严格遵守有关危险废物有关储存的规定，建立一套完整的仓库管理体制，制定危险废物管理台账制度，按照危险废物转移联单管理办法，做好申报转移纪录。应做好危废产生情况记录，详细注明危废名称、种类、数量、理化特性、入库时间、出库时间及接受单位名称，收集固废应详细列出数量和成分，并填写有关材料。禁止建设单位随意处置危废，定期交由有危废处置资质的单位处理危险废物。</w:t>
            </w:r>
          </w:p>
          <w:p>
            <w:pPr>
              <w:pStyle w:val="87"/>
              <w:rPr>
                <w:szCs w:val="24"/>
              </w:rPr>
            </w:pPr>
            <w:r>
              <w:rPr>
                <w:szCs w:val="24"/>
              </w:rPr>
              <w:t>e</w:t>
            </w:r>
            <w:r>
              <w:rPr>
                <w:rFonts w:hAnsi="宋体"/>
                <w:szCs w:val="24"/>
              </w:rPr>
              <w:t>、定期对所贮存的危险废物贮存设施进行检查，发现破损，应及时采取措施清理更换。</w:t>
            </w:r>
          </w:p>
          <w:p>
            <w:pPr>
              <w:pStyle w:val="87"/>
              <w:rPr>
                <w:szCs w:val="24"/>
              </w:rPr>
            </w:pPr>
            <w:r>
              <w:rPr>
                <w:szCs w:val="24"/>
              </w:rPr>
              <w:t>f</w:t>
            </w:r>
            <w:r>
              <w:rPr>
                <w:rFonts w:hAnsi="宋体"/>
                <w:szCs w:val="24"/>
              </w:rPr>
              <w:t>、项目危废主要为易燃物</w:t>
            </w:r>
            <w:r>
              <w:rPr>
                <w:rFonts w:hint="eastAsia" w:hAnsi="宋体"/>
                <w:szCs w:val="24"/>
              </w:rPr>
              <w:t>、腐蚀</w:t>
            </w:r>
            <w:r>
              <w:rPr>
                <w:rFonts w:hAnsi="宋体"/>
                <w:szCs w:val="24"/>
              </w:rPr>
              <w:t>品，危废暂存间周围设置灭火器，同时设置禁烟</w:t>
            </w:r>
            <w:r>
              <w:rPr>
                <w:rFonts w:hint="eastAsia" w:hAnsi="宋体"/>
                <w:szCs w:val="24"/>
              </w:rPr>
              <w:t>、腐蚀</w:t>
            </w:r>
            <w:r>
              <w:rPr>
                <w:rFonts w:hAnsi="宋体"/>
                <w:szCs w:val="24"/>
              </w:rPr>
              <w:t>标志，严禁携带火种进入危废间。</w:t>
            </w:r>
          </w:p>
          <w:p>
            <w:pPr>
              <w:adjustRightInd w:val="0"/>
              <w:snapToGrid w:val="0"/>
              <w:spacing w:line="500" w:lineRule="exact"/>
              <w:ind w:firstLine="480" w:firstLineChars="200"/>
              <w:rPr>
                <w:color w:val="000000"/>
                <w:sz w:val="24"/>
              </w:rPr>
            </w:pPr>
            <w:r>
              <w:rPr>
                <w:rFonts w:hAnsi="宋体"/>
                <w:color w:val="000000"/>
                <w:sz w:val="24"/>
              </w:rPr>
              <w:t>项目危废暂存间基本情况见表</w:t>
            </w:r>
            <w:r>
              <w:rPr>
                <w:rFonts w:hint="eastAsia"/>
                <w:color w:val="000000"/>
                <w:sz w:val="24"/>
              </w:rPr>
              <w:t>15</w:t>
            </w:r>
            <w:r>
              <w:rPr>
                <w:rFonts w:hAnsi="宋体"/>
                <w:color w:val="000000"/>
                <w:sz w:val="24"/>
              </w:rPr>
              <w:t>。</w:t>
            </w:r>
          </w:p>
          <w:p>
            <w:pPr>
              <w:autoSpaceDE w:val="0"/>
              <w:autoSpaceDN w:val="0"/>
              <w:adjustRightInd w:val="0"/>
              <w:snapToGrid w:val="0"/>
              <w:spacing w:line="400" w:lineRule="exact"/>
              <w:ind w:left="420" w:leftChars="200" w:firstLine="103" w:firstLineChars="49"/>
              <w:rPr>
                <w:b/>
                <w:szCs w:val="21"/>
              </w:rPr>
            </w:pPr>
            <w:r>
              <w:rPr>
                <w:rFonts w:hAnsi="宋体"/>
                <w:b/>
                <w:szCs w:val="21"/>
              </w:rPr>
              <w:t>表</w:t>
            </w:r>
            <w:r>
              <w:rPr>
                <w:rFonts w:hint="eastAsia"/>
                <w:b/>
                <w:szCs w:val="21"/>
              </w:rPr>
              <w:t>15</w:t>
            </w:r>
            <w:r>
              <w:rPr>
                <w:b/>
                <w:szCs w:val="21"/>
              </w:rPr>
              <w:t xml:space="preserve">             </w:t>
            </w:r>
            <w:r>
              <w:rPr>
                <w:rFonts w:hAnsi="宋体"/>
                <w:b/>
                <w:szCs w:val="21"/>
              </w:rPr>
              <w:t>危废暂存间基本情况一览表</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030"/>
              <w:gridCol w:w="1375"/>
              <w:gridCol w:w="1240"/>
              <w:gridCol w:w="1476"/>
              <w:gridCol w:w="1034"/>
              <w:gridCol w:w="848"/>
              <w:gridCol w:w="883"/>
              <w:gridCol w:w="848"/>
              <w:gridCol w:w="9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88" w:type="pct"/>
                  <w:vAlign w:val="center"/>
                </w:tcPr>
                <w:p>
                  <w:pPr>
                    <w:topLinePunct/>
                    <w:adjustRightInd w:val="0"/>
                    <w:snapToGrid w:val="0"/>
                    <w:jc w:val="center"/>
                    <w:rPr>
                      <w:kern w:val="0"/>
                      <w:szCs w:val="21"/>
                    </w:rPr>
                  </w:pPr>
                  <w:r>
                    <w:rPr>
                      <w:rFonts w:hAnsi="宋体"/>
                      <w:kern w:val="0"/>
                      <w:szCs w:val="21"/>
                    </w:rPr>
                    <w:t>序号</w:t>
                  </w:r>
                </w:p>
              </w:tc>
              <w:tc>
                <w:tcPr>
                  <w:tcW w:w="502" w:type="pct"/>
                  <w:vAlign w:val="center"/>
                </w:tcPr>
                <w:p>
                  <w:pPr>
                    <w:topLinePunct/>
                    <w:adjustRightInd w:val="0"/>
                    <w:snapToGrid w:val="0"/>
                    <w:jc w:val="center"/>
                    <w:rPr>
                      <w:kern w:val="0"/>
                      <w:szCs w:val="21"/>
                    </w:rPr>
                  </w:pPr>
                  <w:r>
                    <w:rPr>
                      <w:rFonts w:hAnsi="宋体"/>
                      <w:kern w:val="0"/>
                      <w:szCs w:val="21"/>
                    </w:rPr>
                    <w:t>贮存场所名称</w:t>
                  </w:r>
                </w:p>
              </w:tc>
              <w:tc>
                <w:tcPr>
                  <w:tcW w:w="670" w:type="pct"/>
                  <w:vAlign w:val="center"/>
                </w:tcPr>
                <w:p>
                  <w:pPr>
                    <w:topLinePunct/>
                    <w:adjustRightInd w:val="0"/>
                    <w:snapToGrid w:val="0"/>
                    <w:jc w:val="center"/>
                    <w:rPr>
                      <w:kern w:val="0"/>
                      <w:szCs w:val="21"/>
                    </w:rPr>
                  </w:pPr>
                  <w:r>
                    <w:rPr>
                      <w:rFonts w:hAnsi="宋体"/>
                      <w:kern w:val="0"/>
                      <w:szCs w:val="21"/>
                    </w:rPr>
                    <w:t>危险废物名称</w:t>
                  </w:r>
                </w:p>
              </w:tc>
              <w:tc>
                <w:tcPr>
                  <w:tcW w:w="604" w:type="pct"/>
                  <w:vAlign w:val="center"/>
                </w:tcPr>
                <w:p>
                  <w:pPr>
                    <w:topLinePunct/>
                    <w:adjustRightInd w:val="0"/>
                    <w:snapToGrid w:val="0"/>
                    <w:jc w:val="center"/>
                    <w:rPr>
                      <w:kern w:val="0"/>
                      <w:szCs w:val="21"/>
                    </w:rPr>
                  </w:pPr>
                  <w:r>
                    <w:rPr>
                      <w:rFonts w:hAnsi="宋体"/>
                      <w:kern w:val="0"/>
                      <w:szCs w:val="21"/>
                    </w:rPr>
                    <w:t>危险废物类别</w:t>
                  </w:r>
                </w:p>
              </w:tc>
              <w:tc>
                <w:tcPr>
                  <w:tcW w:w="719" w:type="pct"/>
                  <w:vAlign w:val="center"/>
                </w:tcPr>
                <w:p>
                  <w:pPr>
                    <w:topLinePunct/>
                    <w:adjustRightInd w:val="0"/>
                    <w:snapToGrid w:val="0"/>
                    <w:jc w:val="center"/>
                    <w:rPr>
                      <w:kern w:val="0"/>
                      <w:szCs w:val="21"/>
                    </w:rPr>
                  </w:pPr>
                  <w:r>
                    <w:rPr>
                      <w:rFonts w:hAnsi="宋体"/>
                      <w:kern w:val="0"/>
                      <w:szCs w:val="21"/>
                    </w:rPr>
                    <w:t>危险废物</w:t>
                  </w:r>
                </w:p>
                <w:p>
                  <w:pPr>
                    <w:topLinePunct/>
                    <w:adjustRightInd w:val="0"/>
                    <w:snapToGrid w:val="0"/>
                    <w:jc w:val="center"/>
                    <w:rPr>
                      <w:kern w:val="0"/>
                      <w:szCs w:val="21"/>
                    </w:rPr>
                  </w:pPr>
                  <w:r>
                    <w:rPr>
                      <w:rFonts w:hAnsi="宋体"/>
                      <w:kern w:val="0"/>
                      <w:szCs w:val="21"/>
                    </w:rPr>
                    <w:t>代码</w:t>
                  </w:r>
                </w:p>
              </w:tc>
              <w:tc>
                <w:tcPr>
                  <w:tcW w:w="504" w:type="pct"/>
                  <w:vAlign w:val="center"/>
                </w:tcPr>
                <w:p>
                  <w:pPr>
                    <w:topLinePunct/>
                    <w:adjustRightInd w:val="0"/>
                    <w:snapToGrid w:val="0"/>
                    <w:jc w:val="center"/>
                    <w:rPr>
                      <w:kern w:val="0"/>
                      <w:szCs w:val="21"/>
                    </w:rPr>
                  </w:pPr>
                  <w:r>
                    <w:rPr>
                      <w:rFonts w:hAnsi="宋体"/>
                      <w:kern w:val="0"/>
                      <w:szCs w:val="21"/>
                    </w:rPr>
                    <w:t>位置</w:t>
                  </w:r>
                </w:p>
              </w:tc>
              <w:tc>
                <w:tcPr>
                  <w:tcW w:w="413" w:type="pct"/>
                  <w:vAlign w:val="center"/>
                </w:tcPr>
                <w:p>
                  <w:pPr>
                    <w:topLinePunct/>
                    <w:adjustRightInd w:val="0"/>
                    <w:snapToGrid w:val="0"/>
                    <w:jc w:val="center"/>
                    <w:rPr>
                      <w:kern w:val="0"/>
                      <w:szCs w:val="21"/>
                    </w:rPr>
                  </w:pPr>
                  <w:r>
                    <w:rPr>
                      <w:rFonts w:hAnsi="宋体"/>
                      <w:kern w:val="0"/>
                      <w:szCs w:val="21"/>
                    </w:rPr>
                    <w:t>占地面积</w:t>
                  </w:r>
                </w:p>
              </w:tc>
              <w:tc>
                <w:tcPr>
                  <w:tcW w:w="430" w:type="pct"/>
                  <w:vAlign w:val="center"/>
                </w:tcPr>
                <w:p>
                  <w:pPr>
                    <w:topLinePunct/>
                    <w:adjustRightInd w:val="0"/>
                    <w:snapToGrid w:val="0"/>
                    <w:jc w:val="center"/>
                    <w:rPr>
                      <w:kern w:val="0"/>
                      <w:szCs w:val="21"/>
                    </w:rPr>
                  </w:pPr>
                  <w:r>
                    <w:rPr>
                      <w:rFonts w:hAnsi="宋体"/>
                      <w:kern w:val="0"/>
                      <w:szCs w:val="21"/>
                    </w:rPr>
                    <w:t>贮存方式</w:t>
                  </w:r>
                </w:p>
              </w:tc>
              <w:tc>
                <w:tcPr>
                  <w:tcW w:w="413" w:type="pct"/>
                  <w:vAlign w:val="center"/>
                </w:tcPr>
                <w:p>
                  <w:pPr>
                    <w:topLinePunct/>
                    <w:adjustRightInd w:val="0"/>
                    <w:snapToGrid w:val="0"/>
                    <w:jc w:val="center"/>
                    <w:rPr>
                      <w:kern w:val="0"/>
                      <w:szCs w:val="21"/>
                    </w:rPr>
                  </w:pPr>
                  <w:r>
                    <w:rPr>
                      <w:rFonts w:hAnsi="宋体"/>
                      <w:kern w:val="0"/>
                      <w:szCs w:val="21"/>
                    </w:rPr>
                    <w:t>贮存</w:t>
                  </w:r>
                </w:p>
                <w:p>
                  <w:pPr>
                    <w:topLinePunct/>
                    <w:adjustRightInd w:val="0"/>
                    <w:snapToGrid w:val="0"/>
                    <w:jc w:val="center"/>
                    <w:rPr>
                      <w:kern w:val="0"/>
                      <w:szCs w:val="21"/>
                    </w:rPr>
                  </w:pPr>
                  <w:r>
                    <w:rPr>
                      <w:rFonts w:hAnsi="宋体"/>
                      <w:kern w:val="0"/>
                      <w:szCs w:val="21"/>
                    </w:rPr>
                    <w:t>能力</w:t>
                  </w:r>
                </w:p>
              </w:tc>
              <w:tc>
                <w:tcPr>
                  <w:tcW w:w="456" w:type="pct"/>
                  <w:vAlign w:val="center"/>
                </w:tcPr>
                <w:p>
                  <w:pPr>
                    <w:topLinePunct/>
                    <w:adjustRightInd w:val="0"/>
                    <w:snapToGrid w:val="0"/>
                    <w:jc w:val="center"/>
                    <w:rPr>
                      <w:kern w:val="0"/>
                      <w:szCs w:val="21"/>
                    </w:rPr>
                  </w:pPr>
                  <w:r>
                    <w:rPr>
                      <w:rFonts w:hAnsi="宋体"/>
                      <w:kern w:val="0"/>
                      <w:szCs w:val="21"/>
                    </w:rPr>
                    <w:t>贮存</w:t>
                  </w:r>
                </w:p>
                <w:p>
                  <w:pPr>
                    <w:topLinePunct/>
                    <w:adjustRightInd w:val="0"/>
                    <w:snapToGrid w:val="0"/>
                    <w:jc w:val="center"/>
                    <w:rPr>
                      <w:kern w:val="0"/>
                      <w:szCs w:val="21"/>
                    </w:rPr>
                  </w:pPr>
                  <w:r>
                    <w:rPr>
                      <w:rFonts w:hAnsi="宋体"/>
                      <w:kern w:val="0"/>
                      <w:szCs w:val="21"/>
                    </w:rPr>
                    <w:t>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8" w:type="pct"/>
                  <w:vAlign w:val="center"/>
                </w:tcPr>
                <w:p>
                  <w:pPr>
                    <w:topLinePunct/>
                    <w:adjustRightInd w:val="0"/>
                    <w:snapToGrid w:val="0"/>
                    <w:jc w:val="center"/>
                    <w:rPr>
                      <w:kern w:val="0"/>
                      <w:szCs w:val="21"/>
                    </w:rPr>
                  </w:pPr>
                  <w:r>
                    <w:rPr>
                      <w:kern w:val="0"/>
                      <w:szCs w:val="21"/>
                    </w:rPr>
                    <w:t>1</w:t>
                  </w:r>
                </w:p>
              </w:tc>
              <w:tc>
                <w:tcPr>
                  <w:tcW w:w="502" w:type="pct"/>
                  <w:vMerge w:val="restart"/>
                  <w:vAlign w:val="center"/>
                </w:tcPr>
                <w:p>
                  <w:pPr>
                    <w:topLinePunct/>
                    <w:adjustRightInd w:val="0"/>
                    <w:snapToGrid w:val="0"/>
                    <w:jc w:val="center"/>
                    <w:rPr>
                      <w:kern w:val="0"/>
                      <w:szCs w:val="21"/>
                    </w:rPr>
                  </w:pPr>
                  <w:r>
                    <w:rPr>
                      <w:rFonts w:hAnsi="宋体"/>
                      <w:kern w:val="0"/>
                      <w:szCs w:val="21"/>
                    </w:rPr>
                    <w:t>危废暂存间</w:t>
                  </w:r>
                </w:p>
              </w:tc>
              <w:tc>
                <w:tcPr>
                  <w:tcW w:w="670" w:type="pct"/>
                  <w:vAlign w:val="center"/>
                </w:tcPr>
                <w:p>
                  <w:pPr>
                    <w:topLinePunct/>
                    <w:adjustRightInd w:val="0"/>
                    <w:snapToGrid w:val="0"/>
                    <w:jc w:val="center"/>
                    <w:rPr>
                      <w:color w:val="000000"/>
                      <w:kern w:val="0"/>
                      <w:szCs w:val="21"/>
                    </w:rPr>
                  </w:pPr>
                  <w:r>
                    <w:rPr>
                      <w:rFonts w:hAnsi="宋体"/>
                      <w:color w:val="000000"/>
                      <w:kern w:val="0"/>
                      <w:szCs w:val="21"/>
                    </w:rPr>
                    <w:t>废活性炭</w:t>
                  </w:r>
                </w:p>
              </w:tc>
              <w:tc>
                <w:tcPr>
                  <w:tcW w:w="604" w:type="pct"/>
                  <w:vAlign w:val="center"/>
                </w:tcPr>
                <w:p>
                  <w:pPr>
                    <w:topLinePunct/>
                    <w:adjustRightInd w:val="0"/>
                    <w:snapToGrid w:val="0"/>
                    <w:jc w:val="center"/>
                    <w:rPr>
                      <w:color w:val="000000"/>
                      <w:szCs w:val="21"/>
                    </w:rPr>
                  </w:pPr>
                  <w:r>
                    <w:rPr>
                      <w:color w:val="000000"/>
                      <w:szCs w:val="21"/>
                    </w:rPr>
                    <w:t>HW49</w:t>
                  </w:r>
                </w:p>
                <w:p>
                  <w:pPr>
                    <w:topLinePunct/>
                    <w:adjustRightInd w:val="0"/>
                    <w:snapToGrid w:val="0"/>
                    <w:jc w:val="center"/>
                    <w:rPr>
                      <w:color w:val="000000"/>
                      <w:szCs w:val="21"/>
                    </w:rPr>
                  </w:pPr>
                  <w:r>
                    <w:rPr>
                      <w:rFonts w:hAnsi="宋体"/>
                      <w:color w:val="000000"/>
                      <w:szCs w:val="21"/>
                    </w:rPr>
                    <w:t>其他废物</w:t>
                  </w:r>
                </w:p>
              </w:tc>
              <w:tc>
                <w:tcPr>
                  <w:tcW w:w="719" w:type="pct"/>
                  <w:vAlign w:val="center"/>
                </w:tcPr>
                <w:p>
                  <w:pPr>
                    <w:topLinePunct/>
                    <w:adjustRightInd w:val="0"/>
                    <w:snapToGrid w:val="0"/>
                    <w:jc w:val="center"/>
                    <w:rPr>
                      <w:kern w:val="0"/>
                      <w:szCs w:val="21"/>
                    </w:rPr>
                  </w:pPr>
                  <w:r>
                    <w:rPr>
                      <w:color w:val="000000"/>
                      <w:kern w:val="0"/>
                      <w:szCs w:val="21"/>
                    </w:rPr>
                    <w:t>900-041-49</w:t>
                  </w:r>
                </w:p>
              </w:tc>
              <w:tc>
                <w:tcPr>
                  <w:tcW w:w="504" w:type="pct"/>
                  <w:vMerge w:val="restart"/>
                  <w:vAlign w:val="center"/>
                </w:tcPr>
                <w:p>
                  <w:pPr>
                    <w:topLinePunct/>
                    <w:adjustRightInd w:val="0"/>
                    <w:snapToGrid w:val="0"/>
                    <w:jc w:val="center"/>
                    <w:rPr>
                      <w:kern w:val="0"/>
                      <w:szCs w:val="21"/>
                    </w:rPr>
                  </w:pPr>
                  <w:r>
                    <w:rPr>
                      <w:rFonts w:hAnsi="宋体"/>
                      <w:color w:val="000000"/>
                      <w:szCs w:val="21"/>
                    </w:rPr>
                    <w:t>生产车间内</w:t>
                  </w:r>
                </w:p>
              </w:tc>
              <w:tc>
                <w:tcPr>
                  <w:tcW w:w="413" w:type="pct"/>
                  <w:vMerge w:val="restart"/>
                  <w:vAlign w:val="center"/>
                </w:tcPr>
                <w:p>
                  <w:pPr>
                    <w:topLinePunct/>
                    <w:adjustRightInd w:val="0"/>
                    <w:snapToGrid w:val="0"/>
                    <w:jc w:val="center"/>
                    <w:rPr>
                      <w:kern w:val="0"/>
                      <w:szCs w:val="21"/>
                    </w:rPr>
                  </w:pPr>
                  <w:r>
                    <w:rPr>
                      <w:rFonts w:hint="eastAsia"/>
                      <w:kern w:val="0"/>
                      <w:szCs w:val="21"/>
                    </w:rPr>
                    <w:t>5</w:t>
                  </w:r>
                  <w:r>
                    <w:rPr>
                      <w:kern w:val="0"/>
                      <w:szCs w:val="21"/>
                    </w:rPr>
                    <w:t>m</w:t>
                  </w:r>
                  <w:r>
                    <w:rPr>
                      <w:kern w:val="0"/>
                      <w:szCs w:val="21"/>
                      <w:vertAlign w:val="superscript"/>
                    </w:rPr>
                    <w:t>2</w:t>
                  </w:r>
                </w:p>
              </w:tc>
              <w:tc>
                <w:tcPr>
                  <w:tcW w:w="430" w:type="pct"/>
                  <w:vAlign w:val="center"/>
                </w:tcPr>
                <w:p>
                  <w:pPr>
                    <w:topLinePunct/>
                    <w:adjustRightInd w:val="0"/>
                    <w:snapToGrid w:val="0"/>
                    <w:jc w:val="center"/>
                    <w:rPr>
                      <w:kern w:val="0"/>
                      <w:szCs w:val="21"/>
                    </w:rPr>
                  </w:pPr>
                  <w:r>
                    <w:rPr>
                      <w:rFonts w:hAnsi="宋体"/>
                      <w:kern w:val="0"/>
                      <w:szCs w:val="21"/>
                    </w:rPr>
                    <w:t>桶装</w:t>
                  </w:r>
                </w:p>
              </w:tc>
              <w:tc>
                <w:tcPr>
                  <w:tcW w:w="413" w:type="pct"/>
                  <w:vAlign w:val="center"/>
                </w:tcPr>
                <w:p>
                  <w:pPr>
                    <w:topLinePunct/>
                    <w:adjustRightInd w:val="0"/>
                    <w:snapToGrid w:val="0"/>
                    <w:jc w:val="center"/>
                    <w:rPr>
                      <w:kern w:val="0"/>
                      <w:szCs w:val="21"/>
                    </w:rPr>
                  </w:pPr>
                  <w:r>
                    <w:rPr>
                      <w:rFonts w:hint="eastAsia"/>
                      <w:kern w:val="0"/>
                      <w:szCs w:val="21"/>
                    </w:rPr>
                    <w:t>0.5t</w:t>
                  </w:r>
                </w:p>
              </w:tc>
              <w:tc>
                <w:tcPr>
                  <w:tcW w:w="456" w:type="pct"/>
                  <w:vAlign w:val="center"/>
                </w:tcPr>
                <w:p>
                  <w:pPr>
                    <w:topLinePunct/>
                    <w:adjustRightInd w:val="0"/>
                    <w:snapToGrid w:val="0"/>
                    <w:jc w:val="center"/>
                    <w:rPr>
                      <w:kern w:val="0"/>
                      <w:szCs w:val="21"/>
                    </w:rPr>
                  </w:pPr>
                  <w:r>
                    <w:rPr>
                      <w:rFonts w:hAnsi="宋体"/>
                      <w:kern w:val="0"/>
                      <w:szCs w:val="21"/>
                    </w:rPr>
                    <w:t>一年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8" w:type="pct"/>
                  <w:vAlign w:val="center"/>
                </w:tcPr>
                <w:p>
                  <w:pPr>
                    <w:topLinePunct/>
                    <w:adjustRightInd w:val="0"/>
                    <w:snapToGrid w:val="0"/>
                    <w:jc w:val="center"/>
                    <w:rPr>
                      <w:kern w:val="0"/>
                      <w:szCs w:val="21"/>
                    </w:rPr>
                  </w:pPr>
                  <w:r>
                    <w:rPr>
                      <w:kern w:val="0"/>
                      <w:szCs w:val="21"/>
                    </w:rPr>
                    <w:t>2</w:t>
                  </w:r>
                </w:p>
              </w:tc>
              <w:tc>
                <w:tcPr>
                  <w:tcW w:w="502" w:type="pct"/>
                  <w:vMerge w:val="continue"/>
                  <w:vAlign w:val="center"/>
                </w:tcPr>
                <w:p>
                  <w:pPr>
                    <w:topLinePunct/>
                    <w:adjustRightInd w:val="0"/>
                    <w:snapToGrid w:val="0"/>
                    <w:jc w:val="center"/>
                    <w:rPr>
                      <w:kern w:val="0"/>
                      <w:szCs w:val="21"/>
                    </w:rPr>
                  </w:pPr>
                </w:p>
              </w:tc>
              <w:tc>
                <w:tcPr>
                  <w:tcW w:w="670" w:type="pct"/>
                  <w:vAlign w:val="center"/>
                </w:tcPr>
                <w:p>
                  <w:pPr>
                    <w:topLinePunct/>
                    <w:adjustRightInd w:val="0"/>
                    <w:snapToGrid w:val="0"/>
                    <w:jc w:val="center"/>
                    <w:rPr>
                      <w:color w:val="000000"/>
                      <w:kern w:val="0"/>
                      <w:szCs w:val="21"/>
                    </w:rPr>
                  </w:pPr>
                  <w:r>
                    <w:rPr>
                      <w:rFonts w:hAnsi="宋体"/>
                      <w:color w:val="000000"/>
                      <w:kern w:val="0"/>
                      <w:szCs w:val="21"/>
                    </w:rPr>
                    <w:t>废灯管</w:t>
                  </w:r>
                </w:p>
              </w:tc>
              <w:tc>
                <w:tcPr>
                  <w:tcW w:w="604" w:type="pct"/>
                  <w:vAlign w:val="center"/>
                </w:tcPr>
                <w:p>
                  <w:pPr>
                    <w:topLinePunct/>
                    <w:adjustRightInd w:val="0"/>
                    <w:snapToGrid w:val="0"/>
                    <w:jc w:val="center"/>
                  </w:pPr>
                  <w:r>
                    <w:t>HW29</w:t>
                  </w:r>
                </w:p>
                <w:p>
                  <w:pPr>
                    <w:topLinePunct/>
                    <w:adjustRightInd w:val="0"/>
                    <w:snapToGrid w:val="0"/>
                    <w:jc w:val="center"/>
                    <w:rPr>
                      <w:color w:val="000000"/>
                      <w:szCs w:val="21"/>
                    </w:rPr>
                  </w:pPr>
                  <w:r>
                    <w:rPr>
                      <w:rFonts w:hAnsi="宋体"/>
                    </w:rPr>
                    <w:t>含汞废物</w:t>
                  </w:r>
                </w:p>
              </w:tc>
              <w:tc>
                <w:tcPr>
                  <w:tcW w:w="719" w:type="pct"/>
                  <w:vAlign w:val="center"/>
                </w:tcPr>
                <w:p>
                  <w:pPr>
                    <w:topLinePunct/>
                    <w:adjustRightInd w:val="0"/>
                    <w:snapToGrid w:val="0"/>
                    <w:jc w:val="center"/>
                    <w:rPr>
                      <w:color w:val="000000"/>
                      <w:kern w:val="0"/>
                      <w:szCs w:val="21"/>
                    </w:rPr>
                  </w:pPr>
                  <w:r>
                    <w:t>900-022-29</w:t>
                  </w:r>
                </w:p>
              </w:tc>
              <w:tc>
                <w:tcPr>
                  <w:tcW w:w="504" w:type="pct"/>
                  <w:vMerge w:val="continue"/>
                  <w:vAlign w:val="center"/>
                </w:tcPr>
                <w:p>
                  <w:pPr>
                    <w:topLinePunct/>
                    <w:adjustRightInd w:val="0"/>
                    <w:snapToGrid w:val="0"/>
                    <w:jc w:val="center"/>
                    <w:rPr>
                      <w:color w:val="000000"/>
                      <w:szCs w:val="21"/>
                    </w:rPr>
                  </w:pPr>
                </w:p>
              </w:tc>
              <w:tc>
                <w:tcPr>
                  <w:tcW w:w="413" w:type="pct"/>
                  <w:vMerge w:val="continue"/>
                  <w:vAlign w:val="center"/>
                </w:tcPr>
                <w:p>
                  <w:pPr>
                    <w:topLinePunct/>
                    <w:adjustRightInd w:val="0"/>
                    <w:snapToGrid w:val="0"/>
                    <w:jc w:val="center"/>
                    <w:rPr>
                      <w:kern w:val="0"/>
                      <w:szCs w:val="21"/>
                    </w:rPr>
                  </w:pPr>
                </w:p>
              </w:tc>
              <w:tc>
                <w:tcPr>
                  <w:tcW w:w="430" w:type="pct"/>
                  <w:vAlign w:val="center"/>
                </w:tcPr>
                <w:p>
                  <w:pPr>
                    <w:topLinePunct/>
                    <w:adjustRightInd w:val="0"/>
                    <w:snapToGrid w:val="0"/>
                    <w:jc w:val="center"/>
                    <w:rPr>
                      <w:kern w:val="0"/>
                      <w:szCs w:val="21"/>
                    </w:rPr>
                  </w:pPr>
                  <w:r>
                    <w:rPr>
                      <w:rFonts w:hAnsi="宋体"/>
                      <w:kern w:val="0"/>
                      <w:szCs w:val="21"/>
                    </w:rPr>
                    <w:t>桶装</w:t>
                  </w:r>
                </w:p>
              </w:tc>
              <w:tc>
                <w:tcPr>
                  <w:tcW w:w="413" w:type="pct"/>
                  <w:vAlign w:val="center"/>
                </w:tcPr>
                <w:p>
                  <w:pPr>
                    <w:topLinePunct/>
                    <w:adjustRightInd w:val="0"/>
                    <w:snapToGrid w:val="0"/>
                    <w:jc w:val="center"/>
                    <w:rPr>
                      <w:kern w:val="0"/>
                      <w:szCs w:val="21"/>
                    </w:rPr>
                  </w:pPr>
                  <w:r>
                    <w:rPr>
                      <w:rFonts w:hint="eastAsia"/>
                      <w:kern w:val="0"/>
                      <w:szCs w:val="21"/>
                    </w:rPr>
                    <w:t>30个</w:t>
                  </w:r>
                </w:p>
              </w:tc>
              <w:tc>
                <w:tcPr>
                  <w:tcW w:w="456" w:type="pct"/>
                  <w:vAlign w:val="center"/>
                </w:tcPr>
                <w:p>
                  <w:pPr>
                    <w:topLinePunct/>
                    <w:adjustRightInd w:val="0"/>
                    <w:snapToGrid w:val="0"/>
                    <w:jc w:val="center"/>
                    <w:rPr>
                      <w:kern w:val="0"/>
                      <w:szCs w:val="21"/>
                    </w:rPr>
                  </w:pPr>
                  <w:r>
                    <w:rPr>
                      <w:rFonts w:hAnsi="宋体"/>
                      <w:kern w:val="0"/>
                      <w:szCs w:val="21"/>
                    </w:rPr>
                    <w:t>一年</w:t>
                  </w:r>
                </w:p>
              </w:tc>
            </w:tr>
          </w:tbl>
          <w:p>
            <w:pPr>
              <w:tabs>
                <w:tab w:val="left" w:pos="5247"/>
              </w:tabs>
              <w:adjustRightInd w:val="0"/>
              <w:snapToGrid w:val="0"/>
              <w:spacing w:line="500" w:lineRule="exact"/>
              <w:ind w:firstLine="480" w:firstLineChars="200"/>
              <w:rPr>
                <w:sz w:val="24"/>
              </w:rPr>
            </w:pPr>
            <w:r>
              <w:rPr>
                <w:sz w:val="24"/>
              </w:rPr>
              <w:t>综上，本项目</w:t>
            </w:r>
            <w:r>
              <w:rPr>
                <w:rFonts w:hint="eastAsia"/>
                <w:sz w:val="24"/>
              </w:rPr>
              <w:t>运营期</w:t>
            </w:r>
            <w:r>
              <w:rPr>
                <w:sz w:val="24"/>
              </w:rPr>
              <w:t>产生的固体废物合理处置</w:t>
            </w:r>
            <w:r>
              <w:rPr>
                <w:rFonts w:hint="eastAsia"/>
                <w:sz w:val="24"/>
              </w:rPr>
              <w:t>，对当地环境影响较小</w:t>
            </w:r>
            <w:r>
              <w:rPr>
                <w:sz w:val="24"/>
              </w:rPr>
              <w:t>。</w:t>
            </w:r>
          </w:p>
          <w:p>
            <w:pPr>
              <w:adjustRightInd w:val="0"/>
              <w:snapToGrid w:val="0"/>
              <w:spacing w:line="500" w:lineRule="exact"/>
              <w:ind w:firstLine="480" w:firstLineChars="200"/>
              <w:textAlignment w:val="baseline"/>
              <w:rPr>
                <w:sz w:val="24"/>
              </w:rPr>
            </w:pPr>
            <w:r>
              <w:rPr>
                <w:rFonts w:hint="eastAsia"/>
                <w:sz w:val="24"/>
              </w:rPr>
              <w:t>7.污染物总量核算</w:t>
            </w:r>
          </w:p>
          <w:p>
            <w:pPr>
              <w:tabs>
                <w:tab w:val="left" w:pos="5247"/>
              </w:tabs>
              <w:adjustRightInd w:val="0"/>
              <w:snapToGrid w:val="0"/>
              <w:spacing w:line="500" w:lineRule="exact"/>
              <w:ind w:firstLine="480" w:firstLineChars="200"/>
              <w:rPr>
                <w:sz w:val="24"/>
              </w:rPr>
            </w:pPr>
            <w:r>
              <w:rPr>
                <w:rFonts w:hint="eastAsia"/>
                <w:sz w:val="24"/>
              </w:rPr>
              <w:t>现有工程环评批复总量指标如下：</w:t>
            </w:r>
          </w:p>
          <w:p>
            <w:pPr>
              <w:tabs>
                <w:tab w:val="left" w:pos="5247"/>
              </w:tabs>
              <w:adjustRightInd w:val="0"/>
              <w:snapToGrid w:val="0"/>
              <w:spacing w:line="500" w:lineRule="exact"/>
              <w:ind w:firstLine="480" w:firstLineChars="200"/>
              <w:rPr>
                <w:sz w:val="24"/>
              </w:rPr>
            </w:pPr>
            <w:r>
              <w:rPr>
                <w:rFonts w:hint="eastAsia"/>
                <w:sz w:val="24"/>
              </w:rPr>
              <w:t>废水污染物总量控制指标：COD：0t/a；NH</w:t>
            </w:r>
            <w:r>
              <w:rPr>
                <w:rFonts w:hint="eastAsia"/>
                <w:sz w:val="24"/>
                <w:vertAlign w:val="subscript"/>
              </w:rPr>
              <w:t>3</w:t>
            </w:r>
            <w:r>
              <w:rPr>
                <w:rFonts w:hint="eastAsia"/>
                <w:sz w:val="24"/>
              </w:rPr>
              <w:t>-N：0t/a；</w:t>
            </w:r>
          </w:p>
          <w:p>
            <w:pPr>
              <w:tabs>
                <w:tab w:val="left" w:pos="5247"/>
              </w:tabs>
              <w:adjustRightInd w:val="0"/>
              <w:snapToGrid w:val="0"/>
              <w:spacing w:line="500" w:lineRule="exact"/>
              <w:ind w:firstLine="480" w:firstLineChars="200"/>
              <w:rPr>
                <w:sz w:val="24"/>
              </w:rPr>
            </w:pPr>
            <w:r>
              <w:rPr>
                <w:rFonts w:hint="eastAsia"/>
                <w:sz w:val="24"/>
              </w:rPr>
              <w:t>废气污染物总量控制指标：SO</w:t>
            </w:r>
            <w:r>
              <w:rPr>
                <w:rFonts w:hint="eastAsia"/>
                <w:sz w:val="24"/>
                <w:vertAlign w:val="subscript"/>
              </w:rPr>
              <w:t>2</w:t>
            </w:r>
            <w:r>
              <w:rPr>
                <w:rFonts w:hint="eastAsia"/>
                <w:sz w:val="24"/>
              </w:rPr>
              <w:t>：0t/a；NO</w:t>
            </w:r>
            <w:r>
              <w:rPr>
                <w:rFonts w:hint="eastAsia"/>
                <w:sz w:val="24"/>
                <w:vertAlign w:val="subscript"/>
              </w:rPr>
              <w:t>X</w:t>
            </w:r>
            <w:r>
              <w:rPr>
                <w:rFonts w:hint="eastAsia"/>
                <w:sz w:val="24"/>
              </w:rPr>
              <w:t>：0t/a。</w:t>
            </w:r>
          </w:p>
          <w:p>
            <w:pPr>
              <w:tabs>
                <w:tab w:val="left" w:pos="5247"/>
              </w:tabs>
              <w:adjustRightInd w:val="0"/>
              <w:snapToGrid w:val="0"/>
              <w:spacing w:line="500" w:lineRule="exact"/>
              <w:ind w:firstLine="480" w:firstLineChars="200"/>
              <w:rPr>
                <w:sz w:val="24"/>
                <w:u w:val="single"/>
              </w:rPr>
            </w:pPr>
            <w:r>
              <w:rPr>
                <w:rFonts w:hint="eastAsia"/>
                <w:sz w:val="24"/>
                <w:u w:val="single"/>
              </w:rPr>
              <w:t>现有工程未提标改造前特征污染物非甲烷总烃的排放量为0.06t/a。经提标改造后非甲烷总烃的去除效率至少为76.5%，故非甲烷总烃的排放量为0.0141t/a，消减量为0.0459t/a。</w:t>
            </w:r>
          </w:p>
          <w:p>
            <w:pPr>
              <w:tabs>
                <w:tab w:val="left" w:pos="5247"/>
              </w:tabs>
              <w:adjustRightInd w:val="0"/>
              <w:snapToGrid w:val="0"/>
              <w:spacing w:line="500" w:lineRule="exact"/>
              <w:ind w:firstLine="480" w:firstLineChars="200"/>
              <w:rPr>
                <w:sz w:val="24"/>
                <w:u w:val="single"/>
              </w:rPr>
            </w:pPr>
            <w:r>
              <w:rPr>
                <w:rFonts w:hint="eastAsia"/>
                <w:sz w:val="24"/>
                <w:u w:val="single"/>
              </w:rPr>
              <w:t>故不设总量控制指标，但特征污染物非甲烷总烃的排放量为0.0141t/a。</w:t>
            </w:r>
          </w:p>
          <w:p>
            <w:pPr>
              <w:adjustRightInd w:val="0"/>
              <w:snapToGrid w:val="0"/>
              <w:spacing w:line="500" w:lineRule="exact"/>
              <w:ind w:firstLine="480" w:firstLineChars="200"/>
              <w:textAlignment w:val="baseline"/>
              <w:rPr>
                <w:sz w:val="24"/>
                <w:u w:val="single"/>
              </w:rPr>
            </w:pPr>
            <w:r>
              <w:rPr>
                <w:rFonts w:hint="eastAsia"/>
                <w:sz w:val="24"/>
                <w:u w:val="single"/>
              </w:rPr>
              <w:t>8.</w:t>
            </w:r>
            <w:r>
              <w:rPr>
                <w:sz w:val="24"/>
                <w:u w:val="single"/>
              </w:rPr>
              <w:t>现有工程存在的主要环境问题</w:t>
            </w:r>
          </w:p>
          <w:p>
            <w:pPr>
              <w:tabs>
                <w:tab w:val="left" w:pos="5247"/>
              </w:tabs>
              <w:adjustRightInd w:val="0"/>
              <w:snapToGrid w:val="0"/>
              <w:spacing w:line="500" w:lineRule="exact"/>
              <w:ind w:firstLine="480" w:firstLineChars="200"/>
              <w:rPr>
                <w:sz w:val="24"/>
                <w:u w:val="single"/>
              </w:rPr>
            </w:pPr>
            <w:r>
              <w:rPr>
                <w:rFonts w:hint="eastAsia"/>
                <w:sz w:val="24"/>
                <w:u w:val="single"/>
              </w:rPr>
              <w:t>通过现场调研，现有工程存在的环境问题为：现有焊接烟尘无组织排放，不能满足现行环保要求，需要焊接设置固定焊接区域，体积较小的工件在固定焊接区域焊接，该部分焊接烟尘设置集气罩收集，收集后经1套袋式除尘器处理后经1根15m高排气筒排放。大体积工件焊接产生的焊接烟尘设置移动式焊接烟尘净化器进行处理，共设置1台移动式焊接烟尘净化器，焊接烟尘经过处理后烟尘在车间排放；喷漆废气治理过程中产生的废灯管、废活性炭规范现有的5m</w:t>
            </w:r>
            <w:r>
              <w:rPr>
                <w:rFonts w:hint="eastAsia"/>
                <w:sz w:val="24"/>
                <w:u w:val="single"/>
                <w:vertAlign w:val="superscript"/>
              </w:rPr>
              <w:t>2</w:t>
            </w:r>
            <w:r>
              <w:rPr>
                <w:rFonts w:hint="eastAsia"/>
                <w:sz w:val="24"/>
                <w:u w:val="single"/>
              </w:rPr>
              <w:t>的危废暂存间，定期交由有资质的单位进行处理。整改措施如表16。</w:t>
            </w:r>
          </w:p>
          <w:p>
            <w:pPr>
              <w:autoSpaceDE w:val="0"/>
              <w:autoSpaceDN w:val="0"/>
              <w:adjustRightInd w:val="0"/>
              <w:snapToGrid w:val="0"/>
              <w:spacing w:line="400" w:lineRule="exact"/>
              <w:ind w:left="420"/>
              <w:rPr>
                <w:rFonts w:ascii="宋体" w:hAnsi="宋体"/>
                <w:b/>
                <w:sz w:val="24"/>
                <w:u w:val="single"/>
              </w:rPr>
            </w:pPr>
            <w:r>
              <w:rPr>
                <w:rFonts w:hAnsi="宋体"/>
                <w:b/>
                <w:sz w:val="24"/>
                <w:u w:val="single"/>
              </w:rPr>
              <w:t>表</w:t>
            </w:r>
            <w:r>
              <w:rPr>
                <w:b/>
                <w:sz w:val="24"/>
                <w:u w:val="single"/>
              </w:rPr>
              <w:t>1</w:t>
            </w:r>
            <w:r>
              <w:rPr>
                <w:rFonts w:hint="eastAsia"/>
                <w:b/>
                <w:sz w:val="24"/>
                <w:u w:val="single"/>
              </w:rPr>
              <w:t>6</w:t>
            </w:r>
            <w:r>
              <w:rPr>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现有工程整改措施</w:t>
            </w:r>
            <w:r>
              <w:rPr>
                <w:rFonts w:ascii="宋体" w:hAnsi="宋体"/>
                <w:b/>
                <w:sz w:val="24"/>
                <w:u w:val="single"/>
              </w:rPr>
              <w:t>一览表</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332"/>
              <w:gridCol w:w="2663"/>
              <w:gridCol w:w="45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pct"/>
                  <w:vAlign w:val="center"/>
                </w:tcPr>
                <w:p>
                  <w:pPr>
                    <w:pStyle w:val="48"/>
                    <w:spacing w:line="240" w:lineRule="auto"/>
                    <w:ind w:firstLine="0" w:firstLineChars="0"/>
                    <w:jc w:val="center"/>
                    <w:rPr>
                      <w:rFonts w:ascii="宋体" w:hAnsi="宋体"/>
                      <w:b/>
                      <w:kern w:val="2"/>
                      <w:sz w:val="24"/>
                      <w:szCs w:val="24"/>
                      <w:u w:val="single"/>
                    </w:rPr>
                  </w:pPr>
                  <w:r>
                    <w:rPr>
                      <w:rFonts w:hint="eastAsia" w:ascii="宋体" w:hAnsi="宋体"/>
                      <w:b/>
                      <w:kern w:val="2"/>
                      <w:sz w:val="24"/>
                      <w:szCs w:val="24"/>
                      <w:u w:val="single"/>
                    </w:rPr>
                    <w:t>污染工序</w:t>
                  </w:r>
                </w:p>
              </w:tc>
              <w:tc>
                <w:tcPr>
                  <w:tcW w:w="649" w:type="pct"/>
                  <w:vAlign w:val="center"/>
                </w:tcPr>
                <w:p>
                  <w:pPr>
                    <w:pStyle w:val="48"/>
                    <w:spacing w:line="240" w:lineRule="auto"/>
                    <w:ind w:firstLine="0" w:firstLineChars="0"/>
                    <w:jc w:val="center"/>
                    <w:rPr>
                      <w:rFonts w:ascii="宋体" w:hAnsi="宋体"/>
                      <w:b/>
                      <w:kern w:val="2"/>
                      <w:sz w:val="24"/>
                      <w:szCs w:val="24"/>
                      <w:u w:val="single"/>
                    </w:rPr>
                  </w:pPr>
                  <w:r>
                    <w:rPr>
                      <w:rFonts w:hint="eastAsia" w:ascii="宋体" w:hAnsi="宋体"/>
                      <w:b/>
                      <w:kern w:val="2"/>
                      <w:sz w:val="24"/>
                      <w:szCs w:val="24"/>
                      <w:u w:val="single"/>
                    </w:rPr>
                    <w:t>污染因子</w:t>
                  </w:r>
                </w:p>
              </w:tc>
              <w:tc>
                <w:tcPr>
                  <w:tcW w:w="1298" w:type="pct"/>
                  <w:vAlign w:val="center"/>
                </w:tcPr>
                <w:p>
                  <w:pPr>
                    <w:pStyle w:val="48"/>
                    <w:spacing w:line="240" w:lineRule="auto"/>
                    <w:ind w:firstLine="0" w:firstLineChars="0"/>
                    <w:jc w:val="center"/>
                    <w:rPr>
                      <w:rFonts w:ascii="宋体" w:hAnsi="宋体"/>
                      <w:b/>
                      <w:kern w:val="2"/>
                      <w:sz w:val="24"/>
                      <w:szCs w:val="24"/>
                      <w:u w:val="single"/>
                    </w:rPr>
                  </w:pPr>
                  <w:r>
                    <w:rPr>
                      <w:rFonts w:hint="eastAsia" w:ascii="宋体" w:hAnsi="宋体"/>
                      <w:b/>
                      <w:kern w:val="2"/>
                      <w:sz w:val="24"/>
                      <w:szCs w:val="24"/>
                      <w:u w:val="single"/>
                    </w:rPr>
                    <w:t>现有环保设施</w:t>
                  </w:r>
                </w:p>
              </w:tc>
              <w:tc>
                <w:tcPr>
                  <w:tcW w:w="2205" w:type="pct"/>
                  <w:vAlign w:val="center"/>
                </w:tcPr>
                <w:p>
                  <w:pPr>
                    <w:pStyle w:val="48"/>
                    <w:spacing w:line="240" w:lineRule="auto"/>
                    <w:ind w:firstLine="0" w:firstLineChars="0"/>
                    <w:jc w:val="center"/>
                    <w:rPr>
                      <w:rFonts w:ascii="宋体" w:hAnsi="宋体"/>
                      <w:b/>
                      <w:kern w:val="2"/>
                      <w:sz w:val="24"/>
                      <w:szCs w:val="24"/>
                      <w:u w:val="single"/>
                    </w:rPr>
                  </w:pPr>
                  <w:r>
                    <w:rPr>
                      <w:rFonts w:hint="eastAsia" w:ascii="宋体" w:hAnsi="宋体"/>
                      <w:b/>
                      <w:kern w:val="2"/>
                      <w:sz w:val="24"/>
                      <w:szCs w:val="24"/>
                      <w:u w:val="single"/>
                    </w:rPr>
                    <w:t>整改措施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pct"/>
                  <w:vAlign w:val="center"/>
                </w:tcPr>
                <w:p>
                  <w:pPr>
                    <w:pStyle w:val="48"/>
                    <w:spacing w:line="240" w:lineRule="auto"/>
                    <w:ind w:firstLine="0" w:firstLineChars="0"/>
                    <w:jc w:val="center"/>
                    <w:rPr>
                      <w:rFonts w:ascii="宋体" w:hAnsi="宋体"/>
                      <w:kern w:val="2"/>
                      <w:sz w:val="24"/>
                      <w:szCs w:val="24"/>
                      <w:u w:val="single"/>
                    </w:rPr>
                  </w:pPr>
                  <w:r>
                    <w:rPr>
                      <w:rFonts w:hint="eastAsia" w:ascii="宋体" w:hAnsi="宋体"/>
                      <w:kern w:val="2"/>
                      <w:sz w:val="24"/>
                      <w:szCs w:val="24"/>
                      <w:u w:val="single"/>
                    </w:rPr>
                    <w:t>焊接工段</w:t>
                  </w:r>
                </w:p>
              </w:tc>
              <w:tc>
                <w:tcPr>
                  <w:tcW w:w="649" w:type="pct"/>
                  <w:vAlign w:val="center"/>
                </w:tcPr>
                <w:p>
                  <w:pPr>
                    <w:pStyle w:val="48"/>
                    <w:spacing w:line="240" w:lineRule="auto"/>
                    <w:ind w:firstLine="0" w:firstLineChars="0"/>
                    <w:jc w:val="center"/>
                    <w:rPr>
                      <w:rFonts w:ascii="宋体" w:hAnsi="宋体"/>
                      <w:kern w:val="2"/>
                      <w:sz w:val="24"/>
                      <w:szCs w:val="24"/>
                      <w:u w:val="single"/>
                    </w:rPr>
                  </w:pPr>
                  <w:r>
                    <w:rPr>
                      <w:rFonts w:hint="eastAsia" w:ascii="宋体" w:hAnsi="宋体"/>
                      <w:kern w:val="2"/>
                      <w:sz w:val="24"/>
                      <w:szCs w:val="24"/>
                      <w:u w:val="single"/>
                    </w:rPr>
                    <w:t>焊接烟尘</w:t>
                  </w:r>
                </w:p>
              </w:tc>
              <w:tc>
                <w:tcPr>
                  <w:tcW w:w="1298" w:type="pct"/>
                  <w:vAlign w:val="center"/>
                </w:tcPr>
                <w:p>
                  <w:pPr>
                    <w:pStyle w:val="48"/>
                    <w:spacing w:line="240" w:lineRule="auto"/>
                    <w:ind w:firstLine="0" w:firstLineChars="0"/>
                    <w:jc w:val="center"/>
                    <w:rPr>
                      <w:rFonts w:ascii="宋体" w:hAnsi="宋体"/>
                      <w:kern w:val="2"/>
                      <w:sz w:val="24"/>
                      <w:szCs w:val="24"/>
                      <w:u w:val="single"/>
                    </w:rPr>
                  </w:pPr>
                  <w:r>
                    <w:rPr>
                      <w:rFonts w:hint="eastAsia" w:ascii="宋体" w:hAnsi="宋体"/>
                      <w:kern w:val="2"/>
                      <w:sz w:val="24"/>
                      <w:szCs w:val="24"/>
                      <w:u w:val="single"/>
                    </w:rPr>
                    <w:t>未安装治理措施，无组织排放</w:t>
                  </w:r>
                </w:p>
              </w:tc>
              <w:tc>
                <w:tcPr>
                  <w:tcW w:w="2205" w:type="pct"/>
                  <w:vAlign w:val="center"/>
                </w:tcPr>
                <w:p>
                  <w:pPr>
                    <w:pStyle w:val="48"/>
                    <w:spacing w:line="240" w:lineRule="auto"/>
                    <w:ind w:firstLine="0" w:firstLineChars="0"/>
                    <w:jc w:val="center"/>
                    <w:rPr>
                      <w:rFonts w:ascii="宋体" w:hAnsi="宋体"/>
                      <w:kern w:val="2"/>
                      <w:sz w:val="24"/>
                      <w:szCs w:val="24"/>
                      <w:u w:val="single"/>
                    </w:rPr>
                  </w:pPr>
                  <w:r>
                    <w:rPr>
                      <w:rFonts w:hint="eastAsia" w:ascii="宋体" w:hAnsi="宋体"/>
                      <w:kern w:val="2"/>
                      <w:sz w:val="24"/>
                      <w:szCs w:val="24"/>
                      <w:u w:val="single"/>
                    </w:rPr>
                    <w:t>设置固定焊接区域，焊接烟尘与扩建项目一起引至袋式除尘器处理后达标后经一根15m高的排气筒排放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pct"/>
                  <w:vAlign w:val="center"/>
                </w:tcPr>
                <w:p>
                  <w:pPr>
                    <w:pStyle w:val="48"/>
                    <w:spacing w:line="240" w:lineRule="auto"/>
                    <w:ind w:firstLine="0" w:firstLineChars="0"/>
                    <w:jc w:val="center"/>
                    <w:rPr>
                      <w:rFonts w:ascii="宋体" w:hAnsi="宋体"/>
                      <w:kern w:val="2"/>
                      <w:sz w:val="24"/>
                      <w:szCs w:val="24"/>
                      <w:u w:val="single"/>
                    </w:rPr>
                  </w:pPr>
                  <w:r>
                    <w:rPr>
                      <w:rFonts w:hint="eastAsia" w:ascii="宋体" w:hAnsi="宋体"/>
                      <w:kern w:val="2"/>
                      <w:sz w:val="24"/>
                      <w:szCs w:val="24"/>
                      <w:u w:val="single"/>
                    </w:rPr>
                    <w:t>有机废气治理过程</w:t>
                  </w:r>
                </w:p>
              </w:tc>
              <w:tc>
                <w:tcPr>
                  <w:tcW w:w="649" w:type="pct"/>
                  <w:vAlign w:val="center"/>
                </w:tcPr>
                <w:p>
                  <w:pPr>
                    <w:pStyle w:val="48"/>
                    <w:spacing w:line="240" w:lineRule="auto"/>
                    <w:ind w:firstLine="0" w:firstLineChars="0"/>
                    <w:jc w:val="center"/>
                    <w:rPr>
                      <w:rFonts w:ascii="宋体" w:hAnsi="宋体"/>
                      <w:kern w:val="2"/>
                      <w:sz w:val="24"/>
                      <w:szCs w:val="24"/>
                      <w:u w:val="single"/>
                    </w:rPr>
                  </w:pPr>
                  <w:r>
                    <w:rPr>
                      <w:rFonts w:hint="eastAsia" w:ascii="宋体" w:hAnsi="宋体"/>
                      <w:kern w:val="2"/>
                      <w:sz w:val="24"/>
                      <w:szCs w:val="24"/>
                      <w:u w:val="single"/>
                    </w:rPr>
                    <w:t>废活性炭、废灯管</w:t>
                  </w:r>
                </w:p>
              </w:tc>
              <w:tc>
                <w:tcPr>
                  <w:tcW w:w="1298" w:type="pct"/>
                  <w:vAlign w:val="center"/>
                </w:tcPr>
                <w:p>
                  <w:pPr>
                    <w:pStyle w:val="48"/>
                    <w:spacing w:line="240" w:lineRule="auto"/>
                    <w:ind w:firstLine="0" w:firstLineChars="0"/>
                    <w:jc w:val="center"/>
                    <w:rPr>
                      <w:rFonts w:ascii="宋体" w:hAnsi="宋体"/>
                      <w:kern w:val="2"/>
                      <w:sz w:val="24"/>
                      <w:szCs w:val="24"/>
                      <w:u w:val="single"/>
                    </w:rPr>
                  </w:pPr>
                  <w:r>
                    <w:rPr>
                      <w:rFonts w:hint="eastAsia" w:ascii="宋体" w:hAnsi="宋体"/>
                      <w:kern w:val="2"/>
                      <w:sz w:val="24"/>
                      <w:szCs w:val="24"/>
                      <w:u w:val="single"/>
                    </w:rPr>
                    <w:t>无</w:t>
                  </w:r>
                </w:p>
              </w:tc>
              <w:tc>
                <w:tcPr>
                  <w:tcW w:w="2205" w:type="pct"/>
                  <w:vAlign w:val="center"/>
                </w:tcPr>
                <w:p>
                  <w:pPr>
                    <w:pStyle w:val="48"/>
                    <w:spacing w:line="240" w:lineRule="auto"/>
                    <w:ind w:firstLine="0" w:firstLineChars="0"/>
                    <w:jc w:val="center"/>
                    <w:rPr>
                      <w:kern w:val="2"/>
                      <w:sz w:val="24"/>
                      <w:szCs w:val="24"/>
                      <w:u w:val="single"/>
                    </w:rPr>
                  </w:pPr>
                  <w:r>
                    <w:rPr>
                      <w:rFonts w:hint="eastAsia" w:hAnsi="宋体"/>
                      <w:kern w:val="2"/>
                      <w:sz w:val="24"/>
                      <w:szCs w:val="24"/>
                      <w:u w:val="single"/>
                    </w:rPr>
                    <w:t>规范</w:t>
                  </w:r>
                  <w:r>
                    <w:rPr>
                      <w:kern w:val="2"/>
                      <w:sz w:val="24"/>
                      <w:szCs w:val="24"/>
                      <w:u w:val="single"/>
                    </w:rPr>
                    <w:t>5m</w:t>
                  </w:r>
                  <w:r>
                    <w:rPr>
                      <w:kern w:val="2"/>
                      <w:sz w:val="24"/>
                      <w:szCs w:val="24"/>
                      <w:u w:val="single"/>
                      <w:vertAlign w:val="superscript"/>
                    </w:rPr>
                    <w:t>2</w:t>
                  </w:r>
                  <w:r>
                    <w:rPr>
                      <w:rFonts w:hAnsi="宋体"/>
                      <w:kern w:val="2"/>
                      <w:sz w:val="24"/>
                      <w:szCs w:val="24"/>
                      <w:u w:val="single"/>
                    </w:rPr>
                    <w:t>危废暂存间</w:t>
                  </w:r>
                </w:p>
              </w:tc>
            </w:tr>
          </w:tbl>
          <w:p>
            <w:pPr>
              <w:pStyle w:val="2"/>
              <w:adjustRightInd w:val="0"/>
              <w:snapToGrid w:val="0"/>
              <w:spacing w:line="500" w:lineRule="exact"/>
              <w:ind w:firstLine="480" w:firstLineChars="200"/>
              <w:jc w:val="left"/>
              <w:rPr>
                <w:b w:val="0"/>
                <w:u w:val="single"/>
              </w:rPr>
            </w:pPr>
            <w:r>
              <w:rPr>
                <w:rFonts w:hint="eastAsia"/>
                <w:b w:val="0"/>
                <w:u w:val="single"/>
              </w:rPr>
              <w:t>现有项目整改内容纳入扩建项目一起进行环保验收。依据本次扩建项目工程分析，焊接烟尘排放量为0.019t/a，非甲烷总烃的排放量为0.0141t/a。</w:t>
            </w:r>
          </w:p>
          <w:p>
            <w:pPr>
              <w:pStyle w:val="2"/>
              <w:adjustRightInd w:val="0"/>
              <w:snapToGrid w:val="0"/>
              <w:spacing w:line="500" w:lineRule="exact"/>
              <w:ind w:firstLine="480" w:firstLineChars="200"/>
              <w:jc w:val="left"/>
              <w:rPr>
                <w:b w:val="0"/>
                <w:bCs w:val="0"/>
              </w:rPr>
            </w:pPr>
          </w:p>
        </w:tc>
      </w:tr>
    </w:tbl>
    <w:p>
      <w:pPr>
        <w:snapToGrid w:val="0"/>
        <w:rPr>
          <w:rFonts w:eastAsia="黑体"/>
          <w:sz w:val="32"/>
        </w:rPr>
        <w:sectPr>
          <w:footerReference r:id="rId3" w:type="default"/>
          <w:pgSz w:w="11907" w:h="16840"/>
          <w:pgMar w:top="1440" w:right="1134" w:bottom="1134" w:left="1440" w:header="851" w:footer="567" w:gutter="0"/>
          <w:pgNumType w:start="1"/>
          <w:cols w:space="720" w:num="1"/>
          <w:docGrid w:type="lines" w:linePitch="312" w:charSpace="0"/>
        </w:sectPr>
      </w:pPr>
    </w:p>
    <w:p>
      <w:pPr>
        <w:snapToGrid w:val="0"/>
        <w:rPr>
          <w:rFonts w:ascii="宋体" w:hAnsi="宋体"/>
          <w:b/>
          <w:sz w:val="32"/>
        </w:rPr>
      </w:pPr>
      <w:r>
        <w:rPr>
          <w:rFonts w:ascii="宋体" w:hAnsi="宋体"/>
          <w:b/>
          <w:sz w:val="32"/>
        </w:rPr>
        <w:t>建设项目所在地自然环境</w:t>
      </w:r>
      <w:r>
        <w:rPr>
          <w:rFonts w:hint="eastAsia" w:ascii="宋体" w:hAnsi="宋体"/>
          <w:b/>
          <w:sz w:val="32"/>
        </w:rPr>
        <w:t>现状调查与评价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3" w:hRule="atLeast"/>
          <w:jc w:val="center"/>
        </w:trPr>
        <w:tc>
          <w:tcPr>
            <w:tcW w:w="9558" w:type="dxa"/>
          </w:tcPr>
          <w:p>
            <w:pPr>
              <w:adjustRightInd w:val="0"/>
              <w:snapToGrid w:val="0"/>
              <w:spacing w:line="500" w:lineRule="exact"/>
              <w:rPr>
                <w:b/>
                <w:sz w:val="24"/>
              </w:rPr>
            </w:pPr>
            <w:r>
              <w:rPr>
                <w:rFonts w:hAnsi="宋体"/>
                <w:b/>
                <w:sz w:val="24"/>
              </w:rPr>
              <w:t>自然环境简况（地形、地貌、地质、气候、气象、水文、植被、生物多样性等）</w:t>
            </w:r>
          </w:p>
          <w:p>
            <w:pPr>
              <w:adjustRightInd w:val="0"/>
              <w:snapToGrid w:val="0"/>
              <w:spacing w:line="500" w:lineRule="exact"/>
              <w:rPr>
                <w:b/>
                <w:bCs/>
                <w:sz w:val="24"/>
              </w:rPr>
            </w:pPr>
            <w:r>
              <w:rPr>
                <w:rFonts w:hAnsi="宋体"/>
                <w:b/>
                <w:bCs/>
                <w:sz w:val="24"/>
              </w:rPr>
              <w:t>一、自然环境简况</w:t>
            </w:r>
          </w:p>
          <w:p>
            <w:pPr>
              <w:adjustRightInd w:val="0"/>
              <w:snapToGrid w:val="0"/>
              <w:spacing w:line="500" w:lineRule="exact"/>
              <w:rPr>
                <w:b/>
                <w:sz w:val="24"/>
              </w:rPr>
            </w:pPr>
            <w:r>
              <w:rPr>
                <w:b/>
                <w:sz w:val="24"/>
              </w:rPr>
              <w:t>1、地理位置</w:t>
            </w:r>
          </w:p>
          <w:p>
            <w:pPr>
              <w:adjustRightInd w:val="0"/>
              <w:snapToGrid w:val="0"/>
              <w:spacing w:line="500" w:lineRule="exact"/>
              <w:ind w:firstLine="480" w:firstLineChars="200"/>
              <w:outlineLvl w:val="0"/>
              <w:rPr>
                <w:kern w:val="0"/>
                <w:sz w:val="24"/>
                <w:lang w:val="zh-CN"/>
              </w:rPr>
            </w:pPr>
            <w:r>
              <w:rPr>
                <w:rFonts w:hint="eastAsia" w:hAnsi="宋体"/>
                <w:kern w:val="0"/>
                <w:sz w:val="24"/>
                <w:lang w:val="zh-CN"/>
              </w:rPr>
              <w:t>新乡县位于河南省中北部，属新乡市管辖。地处东经113°42′~114°04′，北纬35°05′~35°24′。全境环绕新乡市市区东、西、南三面，县境东西最大距离为32.7 km，南北最大距离34.5 km，总面积523.6 km</w:t>
            </w:r>
            <w:r>
              <w:rPr>
                <w:rFonts w:hint="eastAsia" w:hAnsi="宋体"/>
                <w:kern w:val="0"/>
                <w:sz w:val="24"/>
                <w:vertAlign w:val="superscript"/>
                <w:lang w:val="zh-CN"/>
              </w:rPr>
              <w:t>2</w:t>
            </w:r>
            <w:r>
              <w:rPr>
                <w:rFonts w:hint="eastAsia" w:hAnsi="宋体"/>
                <w:kern w:val="0"/>
                <w:sz w:val="24"/>
                <w:lang w:val="zh-CN"/>
              </w:rPr>
              <w:t>。</w:t>
            </w:r>
          </w:p>
          <w:p>
            <w:pPr>
              <w:adjustRightInd w:val="0"/>
              <w:snapToGrid w:val="0"/>
              <w:spacing w:line="500" w:lineRule="exact"/>
              <w:ind w:firstLine="480" w:firstLineChars="200"/>
              <w:outlineLvl w:val="0"/>
              <w:rPr>
                <w:sz w:val="24"/>
              </w:rPr>
            </w:pPr>
            <w:r>
              <w:rPr>
                <w:rFonts w:hAnsi="宋体"/>
                <w:kern w:val="0"/>
                <w:sz w:val="24"/>
                <w:lang w:val="zh-CN"/>
              </w:rPr>
              <w:t>本项目位于</w:t>
            </w:r>
            <w:r>
              <w:rPr>
                <w:rFonts w:hAnsi="宋体"/>
                <w:bCs/>
                <w:sz w:val="24"/>
              </w:rPr>
              <w:t>新乡市新乡县朗公庙镇曲水村北，地理位置图见附图一。</w:t>
            </w:r>
          </w:p>
          <w:p>
            <w:pPr>
              <w:spacing w:line="500" w:lineRule="exact"/>
              <w:rPr>
                <w:b/>
                <w:sz w:val="24"/>
              </w:rPr>
            </w:pPr>
            <w:r>
              <w:rPr>
                <w:b/>
                <w:sz w:val="24"/>
              </w:rPr>
              <w:t>2、</w:t>
            </w:r>
            <w:r>
              <w:rPr>
                <w:rFonts w:hint="eastAsia"/>
                <w:b/>
                <w:sz w:val="24"/>
              </w:rPr>
              <w:t>地形</w:t>
            </w:r>
            <w:r>
              <w:rPr>
                <w:b/>
                <w:sz w:val="24"/>
              </w:rPr>
              <w:t>地貌</w:t>
            </w:r>
          </w:p>
          <w:p>
            <w:pPr>
              <w:adjustRightInd w:val="0"/>
              <w:snapToGrid w:val="0"/>
              <w:spacing w:line="500" w:lineRule="exact"/>
              <w:ind w:firstLine="480" w:firstLineChars="200"/>
              <w:rPr>
                <w:rFonts w:hAnsi="宋体"/>
                <w:sz w:val="24"/>
              </w:rPr>
            </w:pPr>
            <w:r>
              <w:rPr>
                <w:rFonts w:hint="eastAsia" w:hAnsi="宋体"/>
                <w:sz w:val="24"/>
              </w:rPr>
              <w:t>新乡县属黄河冲积平原，南部多沙，中部低洼，地形低平，便于引黄灌溉和机械化操作。总的地势是西北高、东南低。自然坡降为1/4000，海拔高度70~80m。</w:t>
            </w:r>
          </w:p>
          <w:p>
            <w:pPr>
              <w:spacing w:line="500" w:lineRule="exact"/>
              <w:rPr>
                <w:rFonts w:hAnsi="宋体"/>
                <w:sz w:val="24"/>
              </w:rPr>
            </w:pPr>
            <w:r>
              <w:rPr>
                <w:rFonts w:hint="eastAsia" w:hAnsi="宋体"/>
                <w:sz w:val="24"/>
              </w:rPr>
              <w:t>本项目所在地属平原地带，地势平坦。</w:t>
            </w:r>
          </w:p>
          <w:p>
            <w:pPr>
              <w:spacing w:line="500" w:lineRule="exact"/>
              <w:rPr>
                <w:b/>
                <w:sz w:val="24"/>
              </w:rPr>
            </w:pPr>
            <w:r>
              <w:rPr>
                <w:rFonts w:hint="eastAsia"/>
                <w:b/>
                <w:sz w:val="24"/>
              </w:rPr>
              <w:t>3、</w:t>
            </w:r>
            <w:r>
              <w:rPr>
                <w:b/>
                <w:sz w:val="24"/>
              </w:rPr>
              <w:t>气候气象</w:t>
            </w:r>
          </w:p>
          <w:p>
            <w:pPr>
              <w:spacing w:line="500" w:lineRule="exact"/>
              <w:ind w:firstLine="480" w:firstLineChars="200"/>
              <w:rPr>
                <w:sz w:val="24"/>
              </w:rPr>
            </w:pPr>
            <w:r>
              <w:rPr>
                <w:rFonts w:hint="eastAsia"/>
                <w:sz w:val="24"/>
              </w:rPr>
              <w:t>该地区属暖温带大陆性季风气候，季节变化明显，春季干燥少雨；夏季炎热高温，降雨集中；秋季天高气爽，气候宜人；冬季寒冷寡照少雨雪。年平均气温14℃，历年极端最低气温-21.3℃,历年极端最高气温42.7℃,年均降雨量为617.8mm。常年主导风向为东北风，次主导风向为西南风，历年平均风速为2.4m/s。</w:t>
            </w:r>
          </w:p>
          <w:p>
            <w:pPr>
              <w:spacing w:line="500" w:lineRule="exact"/>
              <w:rPr>
                <w:b/>
                <w:sz w:val="24"/>
              </w:rPr>
            </w:pPr>
            <w:r>
              <w:rPr>
                <w:rFonts w:hint="eastAsia"/>
                <w:b/>
                <w:sz w:val="24"/>
              </w:rPr>
              <w:t>4</w:t>
            </w:r>
            <w:r>
              <w:rPr>
                <w:b/>
                <w:sz w:val="24"/>
              </w:rPr>
              <w:t>、</w:t>
            </w:r>
            <w:r>
              <w:rPr>
                <w:rFonts w:hint="eastAsia"/>
                <w:b/>
                <w:sz w:val="24"/>
              </w:rPr>
              <w:t>河流水系</w:t>
            </w:r>
          </w:p>
          <w:p>
            <w:pPr>
              <w:pStyle w:val="2"/>
              <w:adjustRightInd w:val="0"/>
              <w:snapToGrid w:val="0"/>
              <w:spacing w:line="500" w:lineRule="exact"/>
              <w:ind w:firstLine="480" w:firstLineChars="200"/>
              <w:jc w:val="left"/>
              <w:rPr>
                <w:rFonts w:hAnsi="宋体"/>
                <w:b w:val="0"/>
              </w:rPr>
            </w:pPr>
            <w:r>
              <w:rPr>
                <w:rFonts w:hint="eastAsia" w:hAnsi="宋体"/>
                <w:b w:val="0"/>
              </w:rPr>
              <w:t>新乡县境内地表水有东孟姜女河、西孟姜女河等。东孟姜女河是卫河的支流，全长50.5km，流经新乡县、延津县、卫辉市，由于在上游接纳了大量的生产、生活废水，水质已超过地面水Ⅴ类水质标准。东孟姜女河有三个支流：一支排、二支排和大泉排，三个支流均为纳污河道，无天然径流，目前水质均已超过地面水Ⅴ类水质标准。根据新乡市地面水功能区划分，对东孟姜女河的水质要求是达到地面水Ⅴ类水质标准，规划功能为自然水域及输水沟渠。</w:t>
            </w:r>
          </w:p>
          <w:p>
            <w:pPr>
              <w:pStyle w:val="2"/>
              <w:adjustRightInd w:val="0"/>
              <w:snapToGrid w:val="0"/>
              <w:spacing w:line="500" w:lineRule="exact"/>
              <w:ind w:firstLine="480" w:firstLineChars="200"/>
              <w:jc w:val="left"/>
              <w:rPr>
                <w:rFonts w:hAnsi="宋体"/>
                <w:b w:val="0"/>
              </w:rPr>
            </w:pPr>
            <w:r>
              <w:rPr>
                <w:rFonts w:hint="eastAsia" w:hAnsi="宋体"/>
                <w:b w:val="0"/>
              </w:rPr>
              <w:t>西孟姜女河为卫河的支流，全长36.5公里，新乡市境内长4公里，流经小宋佛、东营、任小营至络丝谭村东南入新乡市，河口宽22米，底宽2至5米，深3至5米，比降为1/4000。根据新乡市地面水功能区划分，对西孟姜女河的水质要求达到地面水Ⅴ类水质标准，规划功能为自然水域及输水沟渠。</w:t>
            </w:r>
          </w:p>
          <w:p>
            <w:pPr>
              <w:pStyle w:val="2"/>
              <w:adjustRightInd w:val="0"/>
              <w:snapToGrid w:val="0"/>
              <w:spacing w:line="500" w:lineRule="exact"/>
              <w:ind w:firstLine="480" w:firstLineChars="200"/>
              <w:jc w:val="left"/>
              <w:rPr>
                <w:b w:val="0"/>
              </w:rPr>
            </w:pPr>
            <w:r>
              <w:rPr>
                <w:rFonts w:hAnsi="宋体"/>
                <w:b w:val="0"/>
              </w:rPr>
              <w:t>根据现场勘查，距离项目最近的地表水体为</w:t>
            </w:r>
            <w:r>
              <w:rPr>
                <w:rFonts w:hint="eastAsia" w:hAnsi="宋体"/>
                <w:b w:val="0"/>
              </w:rPr>
              <w:t>东</w:t>
            </w:r>
            <w:r>
              <w:rPr>
                <w:rFonts w:hAnsi="宋体"/>
                <w:b w:val="0"/>
              </w:rPr>
              <w:t>侧</w:t>
            </w:r>
            <w:r>
              <w:rPr>
                <w:rFonts w:hint="eastAsia" w:hAnsi="宋体"/>
                <w:b w:val="0"/>
              </w:rPr>
              <w:t>1</w:t>
            </w:r>
            <w:r>
              <w:rPr>
                <w:rFonts w:hint="eastAsia"/>
                <w:b w:val="0"/>
              </w:rPr>
              <w:t>540</w:t>
            </w:r>
            <w:r>
              <w:rPr>
                <w:b w:val="0"/>
              </w:rPr>
              <w:t>m</w:t>
            </w:r>
            <w:r>
              <w:rPr>
                <w:rFonts w:hAnsi="宋体"/>
                <w:b w:val="0"/>
              </w:rPr>
              <w:t>的共产主义渠，属于海河水系。</w:t>
            </w:r>
          </w:p>
          <w:p>
            <w:pPr>
              <w:tabs>
                <w:tab w:val="left" w:pos="3373"/>
              </w:tabs>
              <w:spacing w:line="500" w:lineRule="exact"/>
              <w:rPr>
                <w:b/>
                <w:sz w:val="24"/>
              </w:rPr>
            </w:pPr>
            <w:r>
              <w:rPr>
                <w:rFonts w:hint="eastAsia"/>
                <w:b/>
                <w:sz w:val="24"/>
              </w:rPr>
              <w:t>5、地下水</w:t>
            </w:r>
          </w:p>
          <w:p>
            <w:pPr>
              <w:pStyle w:val="2"/>
              <w:adjustRightInd w:val="0"/>
              <w:snapToGrid w:val="0"/>
              <w:spacing w:line="500" w:lineRule="exact"/>
              <w:ind w:firstLine="480" w:firstLineChars="200"/>
              <w:jc w:val="left"/>
              <w:rPr>
                <w:rFonts w:hAnsi="宋体"/>
                <w:b w:val="0"/>
              </w:rPr>
            </w:pPr>
            <w:r>
              <w:rPr>
                <w:rFonts w:hint="eastAsia" w:hAnsi="宋体"/>
                <w:b w:val="0"/>
              </w:rPr>
              <w:t>新乡县地下水流向总体上为从西南至东北。浅层水顶板埋深4~8m，底板埋深71~87m，以中砂为主；中层水顶板埋深73~97m，底板埋深124~137m，以中细砂为主。地下水矿化度小于0.7g/L。</w:t>
            </w:r>
          </w:p>
          <w:p>
            <w:pPr>
              <w:tabs>
                <w:tab w:val="left" w:pos="3373"/>
              </w:tabs>
              <w:spacing w:line="500" w:lineRule="exact"/>
              <w:rPr>
                <w:b/>
                <w:sz w:val="24"/>
              </w:rPr>
            </w:pPr>
            <w:r>
              <w:rPr>
                <w:rFonts w:hint="eastAsia"/>
                <w:b/>
                <w:sz w:val="24"/>
              </w:rPr>
              <w:t>6、自然资源</w:t>
            </w:r>
          </w:p>
          <w:p>
            <w:pPr>
              <w:pStyle w:val="2"/>
              <w:adjustRightInd w:val="0"/>
              <w:snapToGrid w:val="0"/>
              <w:spacing w:line="500" w:lineRule="exact"/>
              <w:ind w:firstLine="480" w:firstLineChars="200"/>
              <w:jc w:val="left"/>
            </w:pPr>
            <w:r>
              <w:rPr>
                <w:rFonts w:hint="eastAsia" w:hAnsi="宋体"/>
                <w:b w:val="0"/>
              </w:rPr>
              <w:t>新乡市自然资源丰富。已发现和开采矿藏20余种，其中，水泥灰岩和煤炭储量分别达到100亿吨和84亿吨。南水北调、西气东输工程穿境而过，获嘉县地下煤层气储量丰富。主要矿产资源为非金属建筑材料泥灰岩、白垩土、石灰岩。其储量大，质量好，此外有铁、铜、铝、重晶石、白云岩、煤等。</w:t>
            </w:r>
          </w:p>
          <w:p>
            <w:pPr>
              <w:tabs>
                <w:tab w:val="left" w:pos="3373"/>
              </w:tabs>
              <w:spacing w:line="500" w:lineRule="exact"/>
              <w:rPr>
                <w:b/>
                <w:sz w:val="24"/>
              </w:rPr>
            </w:pPr>
            <w:r>
              <w:rPr>
                <w:rFonts w:hint="eastAsia"/>
                <w:b/>
                <w:sz w:val="24"/>
              </w:rPr>
              <w:t>7、土壤状况</w:t>
            </w:r>
          </w:p>
          <w:p>
            <w:pPr>
              <w:pStyle w:val="2"/>
              <w:adjustRightInd w:val="0"/>
              <w:snapToGrid w:val="0"/>
              <w:spacing w:line="500" w:lineRule="exact"/>
              <w:ind w:firstLine="480" w:firstLineChars="200"/>
              <w:jc w:val="left"/>
              <w:rPr>
                <w:rFonts w:hAnsi="宋体"/>
                <w:b w:val="0"/>
              </w:rPr>
            </w:pPr>
            <w:r>
              <w:rPr>
                <w:rFonts w:hint="eastAsia" w:hAnsi="宋体"/>
                <w:b w:val="0"/>
              </w:rPr>
              <w:t>全县境地处华北平原，为燕山运动以后下沉的地区。土壤母质系新生界第四系，为太行山前冲洪积物与黄河、沁河冲积物沉积而成。形成县境内砂质、壤质、粘质三级土壤。0~8m为粘土，中间有淤泥亚粘土，属新近沉积物粘土；8~12m为粉砂、细粉砂；12~80m为细砂，均为全新河流冲积粉层。</w:t>
            </w:r>
          </w:p>
          <w:p>
            <w:pPr>
              <w:pStyle w:val="2"/>
              <w:adjustRightInd w:val="0"/>
              <w:snapToGrid w:val="0"/>
              <w:spacing w:line="500" w:lineRule="exact"/>
              <w:ind w:firstLine="480" w:firstLineChars="200"/>
              <w:jc w:val="left"/>
              <w:rPr>
                <w:rFonts w:hAnsi="宋体"/>
                <w:b w:val="0"/>
              </w:rPr>
            </w:pPr>
            <w:r>
              <w:rPr>
                <w:rFonts w:hint="eastAsia" w:hAnsi="宋体"/>
                <w:b w:val="0"/>
              </w:rPr>
              <w:t>该区工程地质条件较好，地壳总体稳定性好，土地允许承载力为15~20t/m2，项目所在地未有重大断层。</w:t>
            </w:r>
          </w:p>
          <w:p>
            <w:pPr>
              <w:tabs>
                <w:tab w:val="left" w:pos="3373"/>
              </w:tabs>
              <w:spacing w:line="500" w:lineRule="exact"/>
              <w:rPr>
                <w:b/>
                <w:sz w:val="24"/>
              </w:rPr>
            </w:pPr>
            <w:r>
              <w:rPr>
                <w:rFonts w:hint="eastAsia"/>
                <w:b/>
                <w:sz w:val="24"/>
              </w:rPr>
              <w:t>8、动植物概况</w:t>
            </w:r>
          </w:p>
          <w:p>
            <w:pPr>
              <w:pStyle w:val="2"/>
              <w:adjustRightInd w:val="0"/>
              <w:snapToGrid w:val="0"/>
              <w:spacing w:line="500" w:lineRule="exact"/>
              <w:ind w:firstLine="480" w:firstLineChars="200"/>
              <w:jc w:val="left"/>
              <w:rPr>
                <w:rFonts w:hAnsi="宋体"/>
                <w:b w:val="0"/>
              </w:rPr>
            </w:pPr>
            <w:r>
              <w:rPr>
                <w:rFonts w:hint="eastAsia" w:hAnsi="宋体"/>
                <w:b w:val="0"/>
              </w:rPr>
              <w:t>新乡县境内植物有粮食作物、经济作物、蔬菜作物以及林果、自然植被等。野生动物有兽类、鸟类、爬行类、两栖类、鱼类、昆虫等。</w:t>
            </w:r>
          </w:p>
          <w:p>
            <w:pPr>
              <w:pStyle w:val="2"/>
              <w:adjustRightInd w:val="0"/>
              <w:snapToGrid w:val="0"/>
              <w:spacing w:line="500" w:lineRule="exact"/>
              <w:ind w:firstLine="480" w:firstLineChars="200"/>
              <w:jc w:val="left"/>
              <w:rPr>
                <w:rFonts w:hAnsi="宋体"/>
                <w:b w:val="0"/>
              </w:rPr>
            </w:pPr>
            <w:r>
              <w:rPr>
                <w:rFonts w:hint="eastAsia" w:hAnsi="宋体"/>
                <w:b w:val="0"/>
              </w:rPr>
              <w:t>根据现场勘查，项目周边500m范围内无列入《国家重点保护野生植物名录》和的动植物。</w:t>
            </w:r>
          </w:p>
          <w:p>
            <w:pPr>
              <w:spacing w:line="500" w:lineRule="exact"/>
              <w:rPr>
                <w:b/>
                <w:sz w:val="24"/>
              </w:rPr>
            </w:pPr>
            <w:r>
              <mc:AlternateContent>
                <mc:Choice Requires="wps">
                  <w:drawing>
                    <wp:anchor distT="0" distB="0" distL="114300" distR="114300" simplePos="0" relativeHeight="251656192" behindDoc="0" locked="0" layoutInCell="1" allowOverlap="1">
                      <wp:simplePos x="0" y="0"/>
                      <wp:positionH relativeFrom="column">
                        <wp:posOffset>-51435</wp:posOffset>
                      </wp:positionH>
                      <wp:positionV relativeFrom="paragraph">
                        <wp:posOffset>-3810</wp:posOffset>
                      </wp:positionV>
                      <wp:extent cx="6025515" cy="0"/>
                      <wp:effectExtent l="0" t="7620" r="6985" b="11430"/>
                      <wp:wrapNone/>
                      <wp:docPr id="4" name="自选图形 1727"/>
                      <wp:cNvGraphicFramePr/>
                      <a:graphic xmlns:a="http://schemas.openxmlformats.org/drawingml/2006/main">
                        <a:graphicData uri="http://schemas.microsoft.com/office/word/2010/wordprocessingShape">
                          <wps:wsp>
                            <wps:cNvCnPr/>
                            <wps:spPr>
                              <a:xfrm>
                                <a:off x="0" y="0"/>
                                <a:ext cx="6025515"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1727" o:spid="_x0000_s1026" o:spt="32" type="#_x0000_t32" style="position:absolute;left:0pt;margin-left:-4.05pt;margin-top:-0.3pt;height:0pt;width:474.45pt;z-index:251656192;mso-width-relative:page;mso-height-relative:page;" filled="f" stroked="t" coordsize="21600,21600" o:gfxdata="UEsDBAoAAAAAAIdO4kAAAAAAAAAAAAAAAAAEAAAAZHJzL1BLAwQUAAAACACHTuJAmRjI1NQAAAAG&#10;AQAADwAAAGRycy9kb3ducmV2LnhtbE2PS0/DMBCE70j8B2uRuLXrAKpKiNMDjx4QRaJUnN14iSPi&#10;dRS7D/j1LFzgtBrNaPabanEMvdrTmLrIBoqpBkXcRNdxa2Dz+jCZg0rZsrN9ZDLwSQkW9elJZUsX&#10;D/xC+3VulZRwKq0Bn/NQIqbGU7BpGgdi8d7jGGwWObboRnuQ8tDjhdYzDLZj+eDtQLeemo/1Lhj4&#10;Qk9Iz/nNry6Xm3tcPS3vHpMx52eFvgGV6Zj/wvCDL+hQC9M27tgl1RuYzAtJyp2BEvv6SsuS7a/G&#10;usL/+PU3UEsDBBQAAAAIAIdO4kDWNz0z+AEAAOcDAAAOAAAAZHJzL2Uyb0RvYy54bWytU81uEzEQ&#10;viPxDpbvZJOINNUqmx4SygVBJOABJl7vriX/yeNmkxs3xDNw48g7wNtUKm/B2JumtL3kwB68Y8/M&#10;N/N9Hi+u9kaznQyonK34ZDTmTFrhamXbin/+dP3qkjOMYGvQzsqKHyTyq+XLF4vel3LqOqdrGRiB&#10;WCx7X/EuRl8WBYpOGsCR89KSs3HBQKRtaIs6QE/oRhfT8fii6F2ofXBCItLpenDyI2I4B9A1jRJy&#10;7cSNkTYOqEFqiEQJO+WRL3O3TSNF/NA0KCPTFSemMa9UhOxtWovlAso2gO+UOLYA57TwhJMBZano&#10;CWoNEdhNUM+gjBLBoWviSDhTDESyIsRiMn6izccOvMxcSGr0J9Hx/8GK97tNYKqu+GvOLBi68Luv&#10;P/98+Xb7/fftrx9sMp/Ok0i9x5JiV3YTjjv0m5AY75tg0p+4sH0W9nASVu4jE3R4MZ7OZpMZZ+Le&#10;Vzwk+oDxrXSGJaPiGAOotosrZy1dnwuTLCzs3mGk0pR4n5Cqast6muLZ5TyhA81jQ3NApvHECW2b&#10;k9FpVV8rrVMKhna70oHtIM1E/hJDAn4UlqqsAbshLruGaekk1G9szeLBk1qWHglPPRhZc6Ylvalk&#10;ESCUEZQ+J5JKa0sdJJEHWZO1dfUhq53P6f5zj8dZTQP27z5nP7zP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GMjU1AAAAAYBAAAPAAAAAAAAAAEAIAAAACIAAABkcnMvZG93bnJldi54bWxQSwEC&#10;FAAUAAAACACHTuJA1jc9M/gBAADnAwAADgAAAAAAAAABACAAAAAjAQAAZHJzL2Uyb0RvYy54bWxQ&#10;SwUGAAAAAAYABgBZAQAAjQUAAAAA&#10;">
                      <v:fill on="f" focussize="0,0"/>
                      <v:stroke weight="1.25pt" color="#000000" joinstyle="round"/>
                      <v:imagedata o:title=""/>
                      <o:lock v:ext="edit" aspectratio="f"/>
                    </v:shape>
                  </w:pict>
                </mc:Fallback>
              </mc:AlternateContent>
            </w:r>
            <w:r>
              <w:rPr>
                <w:rFonts w:hint="eastAsia"/>
                <w:b/>
                <w:sz w:val="24"/>
              </w:rPr>
              <w:t>二、项目所在区域相关规划概括</w:t>
            </w:r>
          </w:p>
          <w:p>
            <w:pPr>
              <w:spacing w:line="500" w:lineRule="exact"/>
              <w:rPr>
                <w:b/>
                <w:bCs/>
                <w:sz w:val="24"/>
              </w:rPr>
            </w:pPr>
            <w:r>
              <w:rPr>
                <w:b/>
                <w:sz w:val="24"/>
              </w:rPr>
              <w:t>1</w:t>
            </w:r>
            <w:r>
              <w:rPr>
                <w:rFonts w:hint="eastAsia"/>
                <w:b/>
                <w:sz w:val="24"/>
              </w:rPr>
              <w:t>.</w:t>
            </w:r>
            <w:r>
              <w:rPr>
                <w:rFonts w:hint="eastAsia"/>
                <w:b/>
                <w:bCs/>
                <w:sz w:val="24"/>
              </w:rPr>
              <w:t>与《新乡市环境保护局关于印发深化建设项目环境影响评价审批制度改革实施细则的通知》新环［</w:t>
            </w:r>
            <w:r>
              <w:rPr>
                <w:b/>
                <w:bCs/>
                <w:sz w:val="24"/>
              </w:rPr>
              <w:t>2015</w:t>
            </w:r>
            <w:r>
              <w:rPr>
                <w:rFonts w:hint="eastAsia"/>
                <w:b/>
                <w:bCs/>
                <w:sz w:val="24"/>
              </w:rPr>
              <w:t>］</w:t>
            </w:r>
            <w:r>
              <w:rPr>
                <w:b/>
                <w:bCs/>
                <w:sz w:val="24"/>
              </w:rPr>
              <w:t>342</w:t>
            </w:r>
            <w:r>
              <w:rPr>
                <w:rFonts w:hint="eastAsia"/>
                <w:b/>
                <w:bCs/>
                <w:sz w:val="24"/>
              </w:rPr>
              <w:t>号相符性分析</w:t>
            </w:r>
          </w:p>
          <w:p>
            <w:pPr>
              <w:adjustRightInd w:val="0"/>
              <w:snapToGrid w:val="0"/>
              <w:spacing w:line="500" w:lineRule="exact"/>
              <w:ind w:firstLine="480" w:firstLineChars="200"/>
              <w:rPr>
                <w:sz w:val="24"/>
              </w:rPr>
            </w:pPr>
            <w:r>
              <w:rPr>
                <w:rFonts w:hint="eastAsia"/>
                <w:sz w:val="24"/>
              </w:rPr>
              <w:t>本项目与《新乡市环境保护局关于印发深化建设项目环境影响评价审批制度改革实施细则的通知》新环</w:t>
            </w:r>
            <w:r>
              <w:rPr>
                <w:sz w:val="24"/>
              </w:rPr>
              <w:t>[2015]342</w:t>
            </w:r>
            <w:r>
              <w:rPr>
                <w:rFonts w:hint="eastAsia"/>
                <w:sz w:val="24"/>
              </w:rPr>
              <w:t>号（以下简称《通知》）的对比分析见表17。</w:t>
            </w:r>
          </w:p>
          <w:p>
            <w:pPr>
              <w:autoSpaceDE w:val="0"/>
              <w:autoSpaceDN w:val="0"/>
              <w:adjustRightInd w:val="0"/>
              <w:snapToGrid w:val="0"/>
              <w:spacing w:line="400" w:lineRule="exact"/>
              <w:ind w:left="420"/>
              <w:rPr>
                <w:rFonts w:hAnsi="宋体"/>
                <w:b/>
                <w:sz w:val="24"/>
              </w:rPr>
            </w:pPr>
          </w:p>
          <w:p>
            <w:pPr>
              <w:autoSpaceDE w:val="0"/>
              <w:autoSpaceDN w:val="0"/>
              <w:adjustRightInd w:val="0"/>
              <w:snapToGrid w:val="0"/>
              <w:spacing w:line="400" w:lineRule="exact"/>
              <w:ind w:left="420"/>
              <w:rPr>
                <w:rFonts w:hAnsi="宋体"/>
                <w:b/>
                <w:sz w:val="24"/>
              </w:rPr>
            </w:pPr>
            <w:r>
              <w:rPr>
                <w:rFonts w:hint="eastAsia" w:hAnsi="宋体"/>
                <w:b/>
                <w:sz w:val="24"/>
              </w:rPr>
              <w:t>表17                 项目与新环</w:t>
            </w:r>
            <w:r>
              <w:rPr>
                <w:rFonts w:hAnsi="宋体"/>
                <w:b/>
                <w:sz w:val="24"/>
              </w:rPr>
              <w:t>[2015]342</w:t>
            </w:r>
            <w:r>
              <w:rPr>
                <w:rFonts w:hint="eastAsia" w:hAnsi="宋体"/>
                <w:b/>
                <w:sz w:val="24"/>
              </w:rPr>
              <w:t>号文对比分析一览表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61"/>
              <w:gridCol w:w="1269"/>
              <w:gridCol w:w="4400"/>
              <w:gridCol w:w="1644"/>
              <w:gridCol w:w="116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1" w:type="pct"/>
                  <w:tcBorders>
                    <w:top w:val="single" w:color="auto" w:sz="12" w:space="0"/>
                    <w:left w:val="nil"/>
                    <w:bottom w:val="single" w:color="auto" w:sz="6" w:space="0"/>
                    <w:right w:val="single" w:color="auto" w:sz="6" w:space="0"/>
                  </w:tcBorders>
                  <w:vAlign w:val="center"/>
                </w:tcPr>
                <w:p>
                  <w:pPr>
                    <w:adjustRightInd w:val="0"/>
                    <w:snapToGrid w:val="0"/>
                    <w:jc w:val="center"/>
                    <w:rPr>
                      <w:b/>
                      <w:szCs w:val="21"/>
                    </w:rPr>
                  </w:pPr>
                  <w:r>
                    <w:rPr>
                      <w:rFonts w:hAnsi="宋体"/>
                      <w:b/>
                      <w:szCs w:val="21"/>
                    </w:rPr>
                    <w:t>项目</w:t>
                  </w:r>
                </w:p>
              </w:tc>
              <w:tc>
                <w:tcPr>
                  <w:tcW w:w="3034" w:type="pct"/>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b/>
                      <w:szCs w:val="21"/>
                    </w:rPr>
                  </w:pPr>
                  <w:r>
                    <w:rPr>
                      <w:rFonts w:hAnsi="宋体"/>
                      <w:b/>
                      <w:szCs w:val="21"/>
                    </w:rPr>
                    <w:t>与本项目相关条文</w:t>
                  </w:r>
                </w:p>
              </w:tc>
              <w:tc>
                <w:tcPr>
                  <w:tcW w:w="880" w:type="pct"/>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b/>
                      <w:szCs w:val="21"/>
                    </w:rPr>
                  </w:pPr>
                  <w:r>
                    <w:rPr>
                      <w:rFonts w:hAnsi="宋体"/>
                      <w:b/>
                      <w:szCs w:val="21"/>
                    </w:rPr>
                    <w:t>本项目情况</w:t>
                  </w:r>
                </w:p>
              </w:tc>
              <w:tc>
                <w:tcPr>
                  <w:tcW w:w="625" w:type="pct"/>
                  <w:tcBorders>
                    <w:top w:val="single" w:color="auto" w:sz="12" w:space="0"/>
                    <w:left w:val="single" w:color="auto" w:sz="6" w:space="0"/>
                    <w:bottom w:val="single" w:color="auto" w:sz="6" w:space="0"/>
                    <w:right w:val="nil"/>
                  </w:tcBorders>
                  <w:vAlign w:val="center"/>
                </w:tcPr>
                <w:p>
                  <w:pPr>
                    <w:adjustRightInd w:val="0"/>
                    <w:snapToGrid w:val="0"/>
                    <w:jc w:val="center"/>
                    <w:rPr>
                      <w:b/>
                      <w:szCs w:val="21"/>
                    </w:rPr>
                  </w:pPr>
                  <w:r>
                    <w:rPr>
                      <w:rFonts w:hAnsi="宋体"/>
                      <w:b/>
                      <w:szCs w:val="21"/>
                    </w:rPr>
                    <w:t>对比结果</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1" w:type="pct"/>
                  <w:vMerge w:val="restart"/>
                  <w:tcBorders>
                    <w:top w:val="single" w:color="auto" w:sz="6" w:space="0"/>
                    <w:left w:val="nil"/>
                    <w:right w:val="single" w:color="auto" w:sz="6" w:space="0"/>
                  </w:tcBorders>
                  <w:vAlign w:val="center"/>
                </w:tcPr>
                <w:p>
                  <w:pPr>
                    <w:adjustRightInd w:val="0"/>
                    <w:snapToGrid w:val="0"/>
                    <w:jc w:val="center"/>
                    <w:rPr>
                      <w:szCs w:val="21"/>
                    </w:rPr>
                  </w:pPr>
                  <w:r>
                    <w:rPr>
                      <w:rFonts w:hAnsi="宋体"/>
                      <w:szCs w:val="21"/>
                    </w:rPr>
                    <w:t>新乡市主体功能区分</w:t>
                  </w:r>
                </w:p>
              </w:tc>
              <w:tc>
                <w:tcPr>
                  <w:tcW w:w="67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rPr>
                      <w:szCs w:val="21"/>
                    </w:rPr>
                  </w:pPr>
                  <w:r>
                    <w:rPr>
                      <w:rFonts w:hAnsi="宋体"/>
                      <w:szCs w:val="21"/>
                    </w:rPr>
                    <w:t>重点开发区域</w:t>
                  </w:r>
                </w:p>
              </w:tc>
              <w:tc>
                <w:tcPr>
                  <w:tcW w:w="2355" w:type="pct"/>
                  <w:tcBorders>
                    <w:top w:val="single" w:color="auto" w:sz="6" w:space="0"/>
                    <w:left w:val="single" w:color="auto" w:sz="6" w:space="0"/>
                    <w:bottom w:val="single" w:color="auto" w:sz="6" w:space="0"/>
                    <w:right w:val="single" w:color="auto" w:sz="6" w:space="0"/>
                  </w:tcBorders>
                  <w:vAlign w:val="center"/>
                </w:tcPr>
                <w:p>
                  <w:pPr>
                    <w:adjustRightInd w:val="0"/>
                    <w:snapToGrid w:val="0"/>
                    <w:rPr>
                      <w:szCs w:val="21"/>
                    </w:rPr>
                  </w:pPr>
                  <w:r>
                    <w:rPr>
                      <w:rFonts w:hAnsi="宋体"/>
                      <w:szCs w:val="21"/>
                    </w:rPr>
                    <w:t>城市人居功能区：新乡市市区（含平原城乡一体示范区）、县城建成区、规划区中以居住、商贸、文教科研为主的区域。</w:t>
                  </w:r>
                </w:p>
              </w:tc>
              <w:tc>
                <w:tcPr>
                  <w:tcW w:w="880" w:type="pct"/>
                  <w:vMerge w:val="restart"/>
                  <w:tcBorders>
                    <w:top w:val="single" w:color="auto" w:sz="6" w:space="0"/>
                    <w:left w:val="single" w:color="auto" w:sz="6" w:space="0"/>
                    <w:right w:val="single" w:color="auto" w:sz="6" w:space="0"/>
                  </w:tcBorders>
                  <w:vAlign w:val="center"/>
                </w:tcPr>
                <w:p>
                  <w:pPr>
                    <w:adjustRightInd w:val="0"/>
                    <w:snapToGrid w:val="0"/>
                    <w:rPr>
                      <w:szCs w:val="21"/>
                    </w:rPr>
                  </w:pPr>
                  <w:r>
                    <w:rPr>
                      <w:rFonts w:hAnsi="宋体"/>
                      <w:szCs w:val="21"/>
                    </w:rPr>
                    <w:t>本项目位于</w:t>
                  </w:r>
                  <w:r>
                    <w:rPr>
                      <w:rFonts w:hint="eastAsia" w:hAnsi="宋体"/>
                      <w:szCs w:val="21"/>
                    </w:rPr>
                    <w:t>新乡市新乡县朗公庙镇曲水村北</w:t>
                  </w:r>
                </w:p>
              </w:tc>
              <w:tc>
                <w:tcPr>
                  <w:tcW w:w="625" w:type="pct"/>
                  <w:tcBorders>
                    <w:top w:val="single" w:color="auto" w:sz="6" w:space="0"/>
                    <w:left w:val="single" w:color="auto" w:sz="6" w:space="0"/>
                    <w:bottom w:val="single" w:color="auto" w:sz="6" w:space="0"/>
                    <w:right w:val="nil"/>
                  </w:tcBorders>
                  <w:vAlign w:val="center"/>
                </w:tcPr>
                <w:p>
                  <w:pPr>
                    <w:adjustRightInd w:val="0"/>
                    <w:snapToGrid w:val="0"/>
                    <w:jc w:val="center"/>
                    <w:rPr>
                      <w:szCs w:val="21"/>
                    </w:rPr>
                  </w:pPr>
                  <w:r>
                    <w:rPr>
                      <w:rFonts w:hint="eastAsia" w:hAnsi="宋体"/>
                      <w:szCs w:val="21"/>
                    </w:rPr>
                    <w:t>不</w:t>
                  </w:r>
                  <w:r>
                    <w:rPr>
                      <w:rFonts w:hAnsi="宋体"/>
                      <w:szCs w:val="21"/>
                    </w:rPr>
                    <w:t>属于</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1" w:type="pct"/>
                  <w:vMerge w:val="continue"/>
                  <w:tcBorders>
                    <w:left w:val="nil"/>
                    <w:right w:val="single" w:color="auto" w:sz="6" w:space="0"/>
                  </w:tcBorders>
                  <w:vAlign w:val="center"/>
                </w:tcPr>
                <w:p>
                  <w:pPr>
                    <w:widowControl/>
                    <w:adjustRightInd w:val="0"/>
                    <w:snapToGrid w:val="0"/>
                    <w:jc w:val="left"/>
                    <w:rPr>
                      <w:szCs w:val="21"/>
                    </w:rPr>
                  </w:pPr>
                </w:p>
              </w:tc>
              <w:tc>
                <w:tcPr>
                  <w:tcW w:w="679" w:type="pct"/>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szCs w:val="21"/>
                    </w:rPr>
                  </w:pPr>
                </w:p>
              </w:tc>
              <w:tc>
                <w:tcPr>
                  <w:tcW w:w="2355" w:type="pct"/>
                  <w:tcBorders>
                    <w:top w:val="single" w:color="auto" w:sz="6" w:space="0"/>
                    <w:left w:val="single" w:color="auto" w:sz="6" w:space="0"/>
                    <w:bottom w:val="single" w:color="auto" w:sz="6" w:space="0"/>
                    <w:right w:val="single" w:color="auto" w:sz="6" w:space="0"/>
                  </w:tcBorders>
                  <w:vAlign w:val="center"/>
                </w:tcPr>
                <w:p>
                  <w:pPr>
                    <w:adjustRightInd w:val="0"/>
                    <w:snapToGrid w:val="0"/>
                    <w:rPr>
                      <w:szCs w:val="21"/>
                    </w:rPr>
                  </w:pPr>
                  <w:r>
                    <w:rPr>
                      <w:rFonts w:hAnsi="宋体"/>
                      <w:szCs w:val="21"/>
                    </w:rPr>
                    <w:t>工业准入优先区：农产品主产区的县城关镇、少数建制镇以及产业集聚区。</w:t>
                  </w:r>
                </w:p>
              </w:tc>
              <w:tc>
                <w:tcPr>
                  <w:tcW w:w="880" w:type="pct"/>
                  <w:vMerge w:val="continue"/>
                  <w:tcBorders>
                    <w:left w:val="single" w:color="auto" w:sz="6" w:space="0"/>
                    <w:right w:val="single" w:color="auto" w:sz="6" w:space="0"/>
                  </w:tcBorders>
                  <w:vAlign w:val="center"/>
                </w:tcPr>
                <w:p>
                  <w:pPr>
                    <w:widowControl/>
                    <w:adjustRightInd w:val="0"/>
                    <w:snapToGrid w:val="0"/>
                    <w:jc w:val="left"/>
                    <w:rPr>
                      <w:szCs w:val="21"/>
                    </w:rPr>
                  </w:pPr>
                </w:p>
              </w:tc>
              <w:tc>
                <w:tcPr>
                  <w:tcW w:w="625" w:type="pct"/>
                  <w:tcBorders>
                    <w:top w:val="single" w:color="auto" w:sz="6" w:space="0"/>
                    <w:left w:val="single" w:color="auto" w:sz="6" w:space="0"/>
                    <w:bottom w:val="single" w:color="auto" w:sz="6" w:space="0"/>
                    <w:right w:val="nil"/>
                  </w:tcBorders>
                  <w:vAlign w:val="center"/>
                </w:tcPr>
                <w:p>
                  <w:pPr>
                    <w:adjustRightInd w:val="0"/>
                    <w:snapToGrid w:val="0"/>
                    <w:jc w:val="center"/>
                    <w:rPr>
                      <w:szCs w:val="21"/>
                    </w:rPr>
                  </w:pPr>
                  <w:r>
                    <w:rPr>
                      <w:rFonts w:hint="eastAsia" w:hAnsi="宋体"/>
                      <w:szCs w:val="21"/>
                    </w:rPr>
                    <w:t>不</w:t>
                  </w:r>
                  <w:r>
                    <w:rPr>
                      <w:rFonts w:hAnsi="宋体"/>
                      <w:szCs w:val="21"/>
                    </w:rPr>
                    <w:t>属于</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1" w:type="pct"/>
                  <w:vMerge w:val="continue"/>
                  <w:tcBorders>
                    <w:left w:val="nil"/>
                    <w:right w:val="single" w:color="auto" w:sz="6" w:space="0"/>
                  </w:tcBorders>
                  <w:vAlign w:val="center"/>
                </w:tcPr>
                <w:p>
                  <w:pPr>
                    <w:widowControl/>
                    <w:adjustRightInd w:val="0"/>
                    <w:snapToGrid w:val="0"/>
                    <w:jc w:val="left"/>
                    <w:rPr>
                      <w:szCs w:val="21"/>
                    </w:rPr>
                  </w:pPr>
                </w:p>
              </w:tc>
              <w:tc>
                <w:tcPr>
                  <w:tcW w:w="679" w:type="pct"/>
                  <w:tcBorders>
                    <w:top w:val="single" w:color="auto" w:sz="6" w:space="0"/>
                    <w:left w:val="single" w:color="auto" w:sz="6" w:space="0"/>
                    <w:bottom w:val="single" w:color="auto" w:sz="6" w:space="0"/>
                    <w:right w:val="single" w:color="auto" w:sz="6" w:space="0"/>
                  </w:tcBorders>
                  <w:vAlign w:val="center"/>
                </w:tcPr>
                <w:p>
                  <w:pPr>
                    <w:adjustRightInd w:val="0"/>
                    <w:snapToGrid w:val="0"/>
                    <w:rPr>
                      <w:szCs w:val="21"/>
                    </w:rPr>
                  </w:pPr>
                  <w:r>
                    <w:rPr>
                      <w:rFonts w:hAnsi="宋体"/>
                      <w:szCs w:val="21"/>
                    </w:rPr>
                    <w:t>限制开发区</w:t>
                  </w:r>
                </w:p>
              </w:tc>
              <w:tc>
                <w:tcPr>
                  <w:tcW w:w="2355" w:type="pct"/>
                  <w:tcBorders>
                    <w:top w:val="single" w:color="auto" w:sz="6" w:space="0"/>
                    <w:left w:val="single" w:color="auto" w:sz="6" w:space="0"/>
                    <w:bottom w:val="single" w:color="auto" w:sz="6" w:space="0"/>
                    <w:right w:val="single" w:color="auto" w:sz="6" w:space="0"/>
                  </w:tcBorders>
                  <w:vAlign w:val="center"/>
                </w:tcPr>
                <w:p>
                  <w:pPr>
                    <w:adjustRightInd w:val="0"/>
                    <w:snapToGrid w:val="0"/>
                    <w:rPr>
                      <w:szCs w:val="21"/>
                    </w:rPr>
                  </w:pPr>
                  <w:r>
                    <w:rPr>
                      <w:rFonts w:hAnsi="宋体"/>
                      <w:szCs w:val="21"/>
                    </w:rPr>
                    <w:t>农产品主产区：辉县市、获嘉县、原阳县、延津县、封丘县。（不含产业集聚区、专业园区和县城建成区以及规划区中以居住、商贸、文教科研为主的区域）</w:t>
                  </w:r>
                </w:p>
              </w:tc>
              <w:tc>
                <w:tcPr>
                  <w:tcW w:w="880" w:type="pct"/>
                  <w:vMerge w:val="continue"/>
                  <w:tcBorders>
                    <w:left w:val="single" w:color="auto" w:sz="6" w:space="0"/>
                    <w:right w:val="single" w:color="auto" w:sz="6" w:space="0"/>
                  </w:tcBorders>
                  <w:vAlign w:val="center"/>
                </w:tcPr>
                <w:p>
                  <w:pPr>
                    <w:widowControl/>
                    <w:adjustRightInd w:val="0"/>
                    <w:snapToGrid w:val="0"/>
                    <w:jc w:val="left"/>
                    <w:rPr>
                      <w:szCs w:val="21"/>
                    </w:rPr>
                  </w:pPr>
                </w:p>
              </w:tc>
              <w:tc>
                <w:tcPr>
                  <w:tcW w:w="625" w:type="pct"/>
                  <w:tcBorders>
                    <w:top w:val="single" w:color="auto" w:sz="6" w:space="0"/>
                    <w:left w:val="single" w:color="auto" w:sz="6" w:space="0"/>
                    <w:bottom w:val="single" w:color="auto" w:sz="6" w:space="0"/>
                    <w:right w:val="nil"/>
                  </w:tcBorders>
                  <w:vAlign w:val="center"/>
                </w:tcPr>
                <w:p>
                  <w:pPr>
                    <w:adjustRightInd w:val="0"/>
                    <w:snapToGrid w:val="0"/>
                    <w:jc w:val="center"/>
                    <w:rPr>
                      <w:szCs w:val="21"/>
                    </w:rPr>
                  </w:pPr>
                  <w:r>
                    <w:rPr>
                      <w:rFonts w:hint="eastAsia" w:hAnsi="宋体"/>
                      <w:szCs w:val="21"/>
                    </w:rPr>
                    <w:t>不</w:t>
                  </w:r>
                  <w:r>
                    <w:rPr>
                      <w:rFonts w:hAnsi="宋体"/>
                      <w:szCs w:val="21"/>
                    </w:rPr>
                    <w:t>属于</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61" w:type="pct"/>
                  <w:vMerge w:val="continue"/>
                  <w:tcBorders>
                    <w:left w:val="nil"/>
                    <w:right w:val="single" w:color="auto" w:sz="6" w:space="0"/>
                  </w:tcBorders>
                  <w:vAlign w:val="center"/>
                </w:tcPr>
                <w:p>
                  <w:pPr>
                    <w:widowControl/>
                    <w:adjustRightInd w:val="0"/>
                    <w:snapToGrid w:val="0"/>
                    <w:jc w:val="left"/>
                    <w:rPr>
                      <w:szCs w:val="21"/>
                    </w:rPr>
                  </w:pPr>
                </w:p>
              </w:tc>
              <w:tc>
                <w:tcPr>
                  <w:tcW w:w="679" w:type="pct"/>
                  <w:vMerge w:val="restart"/>
                  <w:tcBorders>
                    <w:top w:val="single" w:color="auto" w:sz="6" w:space="0"/>
                    <w:left w:val="single" w:color="auto" w:sz="6" w:space="0"/>
                    <w:right w:val="single" w:color="auto" w:sz="6" w:space="0"/>
                  </w:tcBorders>
                  <w:vAlign w:val="center"/>
                </w:tcPr>
                <w:p>
                  <w:pPr>
                    <w:adjustRightInd w:val="0"/>
                    <w:snapToGrid w:val="0"/>
                    <w:jc w:val="center"/>
                    <w:rPr>
                      <w:szCs w:val="21"/>
                    </w:rPr>
                  </w:pPr>
                  <w:r>
                    <w:rPr>
                      <w:rFonts w:hAnsi="宋体"/>
                      <w:szCs w:val="21"/>
                    </w:rPr>
                    <w:t>禁止</w:t>
                  </w:r>
                </w:p>
                <w:p>
                  <w:pPr>
                    <w:adjustRightInd w:val="0"/>
                    <w:snapToGrid w:val="0"/>
                    <w:jc w:val="center"/>
                    <w:rPr>
                      <w:szCs w:val="21"/>
                    </w:rPr>
                  </w:pPr>
                  <w:r>
                    <w:rPr>
                      <w:rFonts w:hAnsi="宋体"/>
                      <w:szCs w:val="21"/>
                    </w:rPr>
                    <w:t>开发区</w:t>
                  </w:r>
                </w:p>
              </w:tc>
              <w:tc>
                <w:tcPr>
                  <w:tcW w:w="2355" w:type="pct"/>
                  <w:tcBorders>
                    <w:top w:val="single" w:color="auto" w:sz="6" w:space="0"/>
                    <w:left w:val="single" w:color="auto" w:sz="6" w:space="0"/>
                    <w:right w:val="single" w:color="auto" w:sz="6" w:space="0"/>
                  </w:tcBorders>
                  <w:vAlign w:val="center"/>
                </w:tcPr>
                <w:p>
                  <w:pPr>
                    <w:adjustRightInd w:val="0"/>
                    <w:snapToGrid w:val="0"/>
                    <w:jc w:val="center"/>
                    <w:rPr>
                      <w:color w:val="000000"/>
                      <w:szCs w:val="21"/>
                    </w:rPr>
                  </w:pPr>
                  <w:r>
                    <w:rPr>
                      <w:color w:val="000000"/>
                      <w:szCs w:val="21"/>
                    </w:rPr>
                    <w:t>太行山猕猴自然保护区</w:t>
                  </w:r>
                </w:p>
              </w:tc>
              <w:tc>
                <w:tcPr>
                  <w:tcW w:w="880" w:type="pct"/>
                  <w:vMerge w:val="continue"/>
                  <w:tcBorders>
                    <w:left w:val="single" w:color="auto" w:sz="6" w:space="0"/>
                    <w:right w:val="single" w:color="auto" w:sz="6" w:space="0"/>
                  </w:tcBorders>
                  <w:vAlign w:val="center"/>
                </w:tcPr>
                <w:p>
                  <w:pPr>
                    <w:widowControl/>
                    <w:adjustRightInd w:val="0"/>
                    <w:snapToGrid w:val="0"/>
                    <w:jc w:val="left"/>
                    <w:rPr>
                      <w:szCs w:val="21"/>
                    </w:rPr>
                  </w:pPr>
                </w:p>
              </w:tc>
              <w:tc>
                <w:tcPr>
                  <w:tcW w:w="625" w:type="pct"/>
                  <w:vMerge w:val="restart"/>
                  <w:tcBorders>
                    <w:top w:val="single" w:color="auto" w:sz="6" w:space="0"/>
                    <w:left w:val="single" w:color="auto" w:sz="6" w:space="0"/>
                    <w:right w:val="nil"/>
                  </w:tcBorders>
                  <w:vAlign w:val="center"/>
                </w:tcPr>
                <w:p>
                  <w:pPr>
                    <w:adjustRightInd w:val="0"/>
                    <w:snapToGrid w:val="0"/>
                    <w:jc w:val="center"/>
                    <w:rPr>
                      <w:szCs w:val="21"/>
                    </w:rPr>
                  </w:pPr>
                  <w:r>
                    <w:rPr>
                      <w:rFonts w:hAnsi="宋体"/>
                      <w:szCs w:val="21"/>
                    </w:rPr>
                    <w:t>不属于</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461" w:type="pct"/>
                  <w:vMerge w:val="continue"/>
                  <w:tcBorders>
                    <w:left w:val="nil"/>
                    <w:right w:val="single" w:color="auto" w:sz="6" w:space="0"/>
                  </w:tcBorders>
                  <w:vAlign w:val="center"/>
                </w:tcPr>
                <w:p>
                  <w:pPr>
                    <w:widowControl/>
                    <w:adjustRightInd w:val="0"/>
                    <w:snapToGrid w:val="0"/>
                    <w:jc w:val="left"/>
                    <w:rPr>
                      <w:szCs w:val="21"/>
                    </w:rPr>
                  </w:pPr>
                </w:p>
              </w:tc>
              <w:tc>
                <w:tcPr>
                  <w:tcW w:w="679" w:type="pct"/>
                  <w:vMerge w:val="continue"/>
                  <w:tcBorders>
                    <w:left w:val="single" w:color="auto" w:sz="6" w:space="0"/>
                    <w:right w:val="single" w:color="auto" w:sz="6" w:space="0"/>
                  </w:tcBorders>
                  <w:vAlign w:val="center"/>
                </w:tcPr>
                <w:p>
                  <w:pPr>
                    <w:adjustRightInd w:val="0"/>
                    <w:snapToGrid w:val="0"/>
                    <w:jc w:val="center"/>
                    <w:rPr>
                      <w:rFonts w:hAnsi="宋体"/>
                      <w:szCs w:val="21"/>
                    </w:rPr>
                  </w:pPr>
                </w:p>
              </w:tc>
              <w:tc>
                <w:tcPr>
                  <w:tcW w:w="2355" w:type="pct"/>
                  <w:tcBorders>
                    <w:top w:val="single" w:color="auto" w:sz="6" w:space="0"/>
                    <w:left w:val="single" w:color="auto" w:sz="6" w:space="0"/>
                    <w:right w:val="single" w:color="auto" w:sz="6" w:space="0"/>
                  </w:tcBorders>
                  <w:vAlign w:val="center"/>
                </w:tcPr>
                <w:p>
                  <w:pPr>
                    <w:adjustRightInd w:val="0"/>
                    <w:snapToGrid w:val="0"/>
                    <w:jc w:val="center"/>
                    <w:rPr>
                      <w:color w:val="000000"/>
                      <w:szCs w:val="21"/>
                    </w:rPr>
                  </w:pPr>
                  <w:r>
                    <w:rPr>
                      <w:color w:val="000000"/>
                      <w:szCs w:val="21"/>
                    </w:rPr>
                    <w:t>河南新乡黄河湿地鸟类国家级自然保护区</w:t>
                  </w:r>
                </w:p>
              </w:tc>
              <w:tc>
                <w:tcPr>
                  <w:tcW w:w="880" w:type="pct"/>
                  <w:vMerge w:val="continue"/>
                  <w:tcBorders>
                    <w:left w:val="single" w:color="auto" w:sz="6" w:space="0"/>
                    <w:right w:val="single" w:color="auto" w:sz="6" w:space="0"/>
                  </w:tcBorders>
                  <w:vAlign w:val="center"/>
                </w:tcPr>
                <w:p>
                  <w:pPr>
                    <w:widowControl/>
                    <w:adjustRightInd w:val="0"/>
                    <w:snapToGrid w:val="0"/>
                    <w:jc w:val="left"/>
                    <w:rPr>
                      <w:szCs w:val="21"/>
                    </w:rPr>
                  </w:pPr>
                </w:p>
              </w:tc>
              <w:tc>
                <w:tcPr>
                  <w:tcW w:w="625" w:type="pct"/>
                  <w:vMerge w:val="continue"/>
                  <w:tcBorders>
                    <w:left w:val="single" w:color="auto" w:sz="6" w:space="0"/>
                    <w:right w:val="nil"/>
                  </w:tcBorders>
                  <w:vAlign w:val="center"/>
                </w:tcPr>
                <w:p>
                  <w:pPr>
                    <w:adjustRightInd w:val="0"/>
                    <w:snapToGrid w:val="0"/>
                    <w:jc w:val="center"/>
                    <w:rPr>
                      <w:rFonts w:hAnsi="宋体"/>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461" w:type="pct"/>
                  <w:vMerge w:val="continue"/>
                  <w:tcBorders>
                    <w:left w:val="nil"/>
                    <w:bottom w:val="single" w:color="auto" w:sz="6" w:space="0"/>
                    <w:right w:val="single" w:color="auto" w:sz="6" w:space="0"/>
                  </w:tcBorders>
                  <w:vAlign w:val="center"/>
                </w:tcPr>
                <w:p>
                  <w:pPr>
                    <w:widowControl/>
                    <w:adjustRightInd w:val="0"/>
                    <w:snapToGrid w:val="0"/>
                    <w:jc w:val="left"/>
                    <w:rPr>
                      <w:szCs w:val="21"/>
                    </w:rPr>
                  </w:pPr>
                </w:p>
              </w:tc>
              <w:tc>
                <w:tcPr>
                  <w:tcW w:w="679" w:type="pct"/>
                  <w:vMerge w:val="continue"/>
                  <w:tcBorders>
                    <w:left w:val="single" w:color="auto" w:sz="6" w:space="0"/>
                    <w:bottom w:val="single" w:color="auto" w:sz="6" w:space="0"/>
                    <w:right w:val="single" w:color="auto" w:sz="6" w:space="0"/>
                  </w:tcBorders>
                  <w:vAlign w:val="center"/>
                </w:tcPr>
                <w:p>
                  <w:pPr>
                    <w:adjustRightInd w:val="0"/>
                    <w:snapToGrid w:val="0"/>
                    <w:jc w:val="center"/>
                    <w:rPr>
                      <w:rFonts w:hAnsi="宋体"/>
                      <w:szCs w:val="21"/>
                    </w:rPr>
                  </w:pPr>
                </w:p>
              </w:tc>
              <w:tc>
                <w:tcPr>
                  <w:tcW w:w="2355" w:type="pct"/>
                  <w:tcBorders>
                    <w:top w:val="single" w:color="auto" w:sz="6" w:space="0"/>
                    <w:left w:val="single" w:color="auto" w:sz="6" w:space="0"/>
                    <w:right w:val="single" w:color="auto" w:sz="6" w:space="0"/>
                  </w:tcBorders>
                  <w:vAlign w:val="center"/>
                </w:tcPr>
                <w:p>
                  <w:pPr>
                    <w:adjustRightInd w:val="0"/>
                    <w:snapToGrid w:val="0"/>
                    <w:jc w:val="center"/>
                    <w:rPr>
                      <w:color w:val="000000"/>
                      <w:szCs w:val="21"/>
                    </w:rPr>
                  </w:pPr>
                  <w:r>
                    <w:rPr>
                      <w:color w:val="000000"/>
                      <w:szCs w:val="21"/>
                    </w:rPr>
                    <w:t>博浪沙省级森林公园</w:t>
                  </w:r>
                </w:p>
              </w:tc>
              <w:tc>
                <w:tcPr>
                  <w:tcW w:w="880" w:type="pct"/>
                  <w:vMerge w:val="continue"/>
                  <w:tcBorders>
                    <w:left w:val="single" w:color="auto" w:sz="6" w:space="0"/>
                    <w:bottom w:val="single" w:color="auto" w:sz="6" w:space="0"/>
                    <w:right w:val="single" w:color="auto" w:sz="6" w:space="0"/>
                  </w:tcBorders>
                  <w:vAlign w:val="center"/>
                </w:tcPr>
                <w:p>
                  <w:pPr>
                    <w:widowControl/>
                    <w:adjustRightInd w:val="0"/>
                    <w:snapToGrid w:val="0"/>
                    <w:jc w:val="left"/>
                    <w:rPr>
                      <w:szCs w:val="21"/>
                    </w:rPr>
                  </w:pPr>
                </w:p>
              </w:tc>
              <w:tc>
                <w:tcPr>
                  <w:tcW w:w="625" w:type="pct"/>
                  <w:vMerge w:val="continue"/>
                  <w:tcBorders>
                    <w:left w:val="single" w:color="auto" w:sz="6" w:space="0"/>
                    <w:bottom w:val="single" w:color="auto" w:sz="6" w:space="0"/>
                    <w:right w:val="nil"/>
                  </w:tcBorders>
                  <w:vAlign w:val="center"/>
                </w:tcPr>
                <w:p>
                  <w:pPr>
                    <w:adjustRightInd w:val="0"/>
                    <w:snapToGrid w:val="0"/>
                    <w:jc w:val="center"/>
                    <w:rPr>
                      <w:rFonts w:hAnsi="宋体"/>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1" w:type="pct"/>
                  <w:vMerge w:val="restart"/>
                  <w:tcBorders>
                    <w:top w:val="single" w:color="auto" w:sz="6" w:space="0"/>
                    <w:left w:val="nil"/>
                    <w:bottom w:val="single" w:color="auto" w:sz="12" w:space="0"/>
                    <w:right w:val="single" w:color="auto" w:sz="6" w:space="0"/>
                  </w:tcBorders>
                  <w:vAlign w:val="center"/>
                </w:tcPr>
                <w:p>
                  <w:pPr>
                    <w:adjustRightInd w:val="0"/>
                    <w:snapToGrid w:val="0"/>
                    <w:jc w:val="center"/>
                    <w:rPr>
                      <w:szCs w:val="21"/>
                    </w:rPr>
                  </w:pPr>
                  <w:r>
                    <w:rPr>
                      <w:rFonts w:hAnsi="宋体"/>
                      <w:szCs w:val="21"/>
                    </w:rPr>
                    <w:t>污染防治（控）重点单元</w:t>
                  </w:r>
                </w:p>
              </w:tc>
              <w:tc>
                <w:tcPr>
                  <w:tcW w:w="67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Ansi="宋体"/>
                      <w:szCs w:val="21"/>
                    </w:rPr>
                    <w:t>水污染</w:t>
                  </w:r>
                </w:p>
              </w:tc>
              <w:tc>
                <w:tcPr>
                  <w:tcW w:w="2355" w:type="pct"/>
                  <w:tcBorders>
                    <w:top w:val="single" w:color="auto" w:sz="6" w:space="0"/>
                    <w:left w:val="single" w:color="auto" w:sz="6" w:space="0"/>
                    <w:bottom w:val="single" w:color="auto" w:sz="6" w:space="0"/>
                    <w:right w:val="single" w:color="auto" w:sz="6" w:space="0"/>
                  </w:tcBorders>
                  <w:vAlign w:val="center"/>
                </w:tcPr>
                <w:p>
                  <w:pPr>
                    <w:adjustRightInd w:val="0"/>
                    <w:snapToGrid w:val="0"/>
                    <w:rPr>
                      <w:szCs w:val="21"/>
                    </w:rPr>
                  </w:pPr>
                  <w:r>
                    <w:rPr>
                      <w:rFonts w:hAnsi="宋体"/>
                      <w:szCs w:val="21"/>
                    </w:rPr>
                    <w:t>卫河流域：新乡市区、新乡县、卫辉市、辉县市、获嘉县</w:t>
                  </w:r>
                </w:p>
              </w:tc>
              <w:tc>
                <w:tcPr>
                  <w:tcW w:w="880" w:type="pct"/>
                  <w:vMerge w:val="restart"/>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szCs w:val="21"/>
                    </w:rPr>
                  </w:pPr>
                  <w:r>
                    <w:rPr>
                      <w:rFonts w:hint="eastAsia" w:hAnsi="宋体"/>
                      <w:szCs w:val="21"/>
                    </w:rPr>
                    <w:t>本项目位于新乡市新乡县朗公庙镇曲水村北</w:t>
                  </w:r>
                </w:p>
              </w:tc>
              <w:tc>
                <w:tcPr>
                  <w:tcW w:w="625" w:type="pct"/>
                  <w:tcBorders>
                    <w:top w:val="single" w:color="auto" w:sz="6" w:space="0"/>
                    <w:left w:val="single" w:color="auto" w:sz="6" w:space="0"/>
                    <w:bottom w:val="single" w:color="auto" w:sz="6" w:space="0"/>
                    <w:right w:val="nil"/>
                  </w:tcBorders>
                  <w:vAlign w:val="center"/>
                </w:tcPr>
                <w:p>
                  <w:pPr>
                    <w:adjustRightInd w:val="0"/>
                    <w:snapToGrid w:val="0"/>
                    <w:jc w:val="center"/>
                    <w:rPr>
                      <w:szCs w:val="21"/>
                    </w:rPr>
                  </w:pPr>
                  <w:r>
                    <w:rPr>
                      <w:rFonts w:hAnsi="宋体"/>
                      <w:szCs w:val="21"/>
                    </w:rPr>
                    <w:t>属于</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1" w:type="pct"/>
                  <w:vMerge w:val="continue"/>
                  <w:tcBorders>
                    <w:top w:val="single" w:color="auto" w:sz="6" w:space="0"/>
                    <w:left w:val="nil"/>
                    <w:bottom w:val="single" w:color="auto" w:sz="12" w:space="0"/>
                    <w:right w:val="single" w:color="auto" w:sz="6" w:space="0"/>
                  </w:tcBorders>
                  <w:vAlign w:val="center"/>
                </w:tcPr>
                <w:p>
                  <w:pPr>
                    <w:widowControl/>
                    <w:adjustRightInd w:val="0"/>
                    <w:snapToGrid w:val="0"/>
                    <w:jc w:val="left"/>
                    <w:rPr>
                      <w:szCs w:val="21"/>
                    </w:rPr>
                  </w:pPr>
                </w:p>
              </w:tc>
              <w:tc>
                <w:tcPr>
                  <w:tcW w:w="67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Ansi="宋体"/>
                      <w:szCs w:val="21"/>
                    </w:rPr>
                    <w:t>大气污染</w:t>
                  </w:r>
                </w:p>
              </w:tc>
              <w:tc>
                <w:tcPr>
                  <w:tcW w:w="2355"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Ansi="宋体"/>
                      <w:szCs w:val="21"/>
                    </w:rPr>
                    <w:t>新乡市域全部</w:t>
                  </w:r>
                </w:p>
              </w:tc>
              <w:tc>
                <w:tcPr>
                  <w:tcW w:w="880" w:type="pct"/>
                  <w:vMerge w:val="continue"/>
                  <w:tcBorders>
                    <w:top w:val="single" w:color="auto" w:sz="6" w:space="0"/>
                    <w:left w:val="single" w:color="auto" w:sz="6" w:space="0"/>
                    <w:bottom w:val="single" w:color="auto" w:sz="12" w:space="0"/>
                    <w:right w:val="single" w:color="auto" w:sz="6" w:space="0"/>
                  </w:tcBorders>
                  <w:vAlign w:val="center"/>
                </w:tcPr>
                <w:p>
                  <w:pPr>
                    <w:widowControl/>
                    <w:adjustRightInd w:val="0"/>
                    <w:snapToGrid w:val="0"/>
                    <w:jc w:val="left"/>
                    <w:rPr>
                      <w:szCs w:val="21"/>
                    </w:rPr>
                  </w:pPr>
                </w:p>
              </w:tc>
              <w:tc>
                <w:tcPr>
                  <w:tcW w:w="625" w:type="pct"/>
                  <w:tcBorders>
                    <w:top w:val="single" w:color="auto" w:sz="6" w:space="0"/>
                    <w:left w:val="single" w:color="auto" w:sz="6" w:space="0"/>
                    <w:bottom w:val="single" w:color="auto" w:sz="6" w:space="0"/>
                    <w:right w:val="nil"/>
                  </w:tcBorders>
                  <w:vAlign w:val="center"/>
                </w:tcPr>
                <w:p>
                  <w:pPr>
                    <w:adjustRightInd w:val="0"/>
                    <w:snapToGrid w:val="0"/>
                    <w:jc w:val="center"/>
                    <w:rPr>
                      <w:szCs w:val="21"/>
                    </w:rPr>
                  </w:pPr>
                  <w:r>
                    <w:rPr>
                      <w:rFonts w:hAnsi="宋体"/>
                      <w:szCs w:val="21"/>
                    </w:rPr>
                    <w:t>属于</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1" w:type="pct"/>
                  <w:vMerge w:val="continue"/>
                  <w:tcBorders>
                    <w:top w:val="single" w:color="auto" w:sz="6" w:space="0"/>
                    <w:left w:val="nil"/>
                    <w:bottom w:val="single" w:color="auto" w:sz="6" w:space="0"/>
                    <w:right w:val="single" w:color="auto" w:sz="6" w:space="0"/>
                  </w:tcBorders>
                  <w:vAlign w:val="center"/>
                </w:tcPr>
                <w:p>
                  <w:pPr>
                    <w:widowControl/>
                    <w:adjustRightInd w:val="0"/>
                    <w:snapToGrid w:val="0"/>
                    <w:jc w:val="left"/>
                    <w:rPr>
                      <w:szCs w:val="21"/>
                    </w:rPr>
                  </w:pPr>
                </w:p>
              </w:tc>
              <w:tc>
                <w:tcPr>
                  <w:tcW w:w="67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Ansi="宋体"/>
                      <w:szCs w:val="21"/>
                    </w:rPr>
                    <w:t>重金属</w:t>
                  </w:r>
                </w:p>
                <w:p>
                  <w:pPr>
                    <w:adjustRightInd w:val="0"/>
                    <w:snapToGrid w:val="0"/>
                    <w:jc w:val="center"/>
                    <w:rPr>
                      <w:szCs w:val="21"/>
                    </w:rPr>
                  </w:pPr>
                  <w:r>
                    <w:rPr>
                      <w:rFonts w:hAnsi="宋体"/>
                      <w:szCs w:val="21"/>
                    </w:rPr>
                    <w:t>污染</w:t>
                  </w:r>
                </w:p>
              </w:tc>
              <w:tc>
                <w:tcPr>
                  <w:tcW w:w="2355"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Ansi="宋体"/>
                      <w:szCs w:val="21"/>
                    </w:rPr>
                    <w:t>新乡县、凤泉区</w:t>
                  </w:r>
                </w:p>
                <w:p>
                  <w:pPr>
                    <w:adjustRightInd w:val="0"/>
                    <w:snapToGrid w:val="0"/>
                    <w:jc w:val="center"/>
                    <w:rPr>
                      <w:szCs w:val="21"/>
                    </w:rPr>
                  </w:pPr>
                  <w:r>
                    <w:rPr>
                      <w:rFonts w:hAnsi="宋体"/>
                      <w:szCs w:val="21"/>
                    </w:rPr>
                    <w:t>（铅镉污染控制区）</w:t>
                  </w:r>
                </w:p>
              </w:tc>
              <w:tc>
                <w:tcPr>
                  <w:tcW w:w="880" w:type="pct"/>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szCs w:val="21"/>
                    </w:rPr>
                  </w:pPr>
                </w:p>
              </w:tc>
              <w:tc>
                <w:tcPr>
                  <w:tcW w:w="625" w:type="pct"/>
                  <w:tcBorders>
                    <w:top w:val="single" w:color="auto" w:sz="6" w:space="0"/>
                    <w:left w:val="single" w:color="auto" w:sz="6" w:space="0"/>
                    <w:bottom w:val="single" w:color="auto" w:sz="6" w:space="0"/>
                    <w:right w:val="nil"/>
                  </w:tcBorders>
                  <w:vAlign w:val="center"/>
                </w:tcPr>
                <w:p>
                  <w:pPr>
                    <w:adjustRightInd w:val="0"/>
                    <w:snapToGrid w:val="0"/>
                    <w:jc w:val="center"/>
                    <w:rPr>
                      <w:szCs w:val="21"/>
                    </w:rPr>
                  </w:pPr>
                  <w:r>
                    <w:rPr>
                      <w:rFonts w:hAnsi="宋体"/>
                      <w:szCs w:val="21"/>
                    </w:rPr>
                    <w:t>属于</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1" w:type="pct"/>
                  <w:tcBorders>
                    <w:top w:val="single" w:color="auto" w:sz="6" w:space="0"/>
                    <w:left w:val="nil"/>
                    <w:bottom w:val="single" w:color="auto" w:sz="12" w:space="0"/>
                    <w:right w:val="single" w:color="auto" w:sz="6" w:space="0"/>
                  </w:tcBorders>
                  <w:vAlign w:val="center"/>
                </w:tcPr>
                <w:p>
                  <w:pPr>
                    <w:adjustRightInd w:val="0"/>
                    <w:snapToGrid w:val="0"/>
                    <w:jc w:val="center"/>
                    <w:rPr>
                      <w:color w:val="000000"/>
                      <w:szCs w:val="21"/>
                    </w:rPr>
                  </w:pPr>
                  <w:r>
                    <w:rPr>
                      <w:rFonts w:hAnsi="宋体"/>
                      <w:color w:val="000000"/>
                      <w:szCs w:val="21"/>
                    </w:rPr>
                    <w:t>工业项目分类</w:t>
                  </w:r>
                </w:p>
              </w:tc>
              <w:tc>
                <w:tcPr>
                  <w:tcW w:w="3034" w:type="pct"/>
                  <w:gridSpan w:val="2"/>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color w:val="000000"/>
                      <w:szCs w:val="21"/>
                    </w:rPr>
                  </w:pPr>
                  <w:r>
                    <w:rPr>
                      <w:rFonts w:hint="eastAsia" w:hAnsi="宋体"/>
                      <w:color w:val="000000"/>
                      <w:szCs w:val="21"/>
                    </w:rPr>
                    <w:t>一</w:t>
                  </w:r>
                  <w:r>
                    <w:rPr>
                      <w:rFonts w:hAnsi="宋体"/>
                      <w:color w:val="000000"/>
                      <w:szCs w:val="21"/>
                    </w:rPr>
                    <w:t>类工业项目：</w:t>
                  </w:r>
                  <w:r>
                    <w:rPr>
                      <w:rFonts w:hint="eastAsia" w:hAnsi="宋体"/>
                      <w:color w:val="000000"/>
                      <w:szCs w:val="21"/>
                    </w:rPr>
                    <w:t>机械、电子（不含电镀、喷涂工艺的机械制造；不含分割、焊接、有机溶剂清洗工艺的电子元件、集成电路等生产）</w:t>
                  </w:r>
                </w:p>
              </w:tc>
              <w:tc>
                <w:tcPr>
                  <w:tcW w:w="880" w:type="pct"/>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color w:val="000000"/>
                      <w:szCs w:val="21"/>
                    </w:rPr>
                  </w:pPr>
                  <w:r>
                    <w:rPr>
                      <w:rFonts w:hAnsi="宋体"/>
                      <w:color w:val="000000"/>
                      <w:szCs w:val="21"/>
                    </w:rPr>
                    <w:t>本项目产品</w:t>
                  </w:r>
                  <w:r>
                    <w:rPr>
                      <w:rFonts w:hint="eastAsia" w:hAnsi="宋体"/>
                      <w:color w:val="000000"/>
                      <w:szCs w:val="21"/>
                    </w:rPr>
                    <w:t>振动筛，属于不含电镀、喷涂工艺的金属制品制造</w:t>
                  </w:r>
                </w:p>
              </w:tc>
              <w:tc>
                <w:tcPr>
                  <w:tcW w:w="625" w:type="pct"/>
                  <w:tcBorders>
                    <w:top w:val="single" w:color="auto" w:sz="6" w:space="0"/>
                    <w:left w:val="single" w:color="auto" w:sz="6" w:space="0"/>
                    <w:bottom w:val="single" w:color="auto" w:sz="12" w:space="0"/>
                    <w:right w:val="nil"/>
                  </w:tcBorders>
                  <w:vAlign w:val="center"/>
                </w:tcPr>
                <w:p>
                  <w:pPr>
                    <w:jc w:val="center"/>
                    <w:rPr>
                      <w:color w:val="000000"/>
                      <w:szCs w:val="21"/>
                    </w:rPr>
                  </w:pPr>
                  <w:r>
                    <w:rPr>
                      <w:color w:val="000000"/>
                      <w:szCs w:val="21"/>
                    </w:rPr>
                    <w:t>属于</w:t>
                  </w:r>
                  <w:r>
                    <w:rPr>
                      <w:rFonts w:hint="eastAsia"/>
                      <w:color w:val="000000"/>
                      <w:szCs w:val="21"/>
                    </w:rPr>
                    <w:t>一</w:t>
                  </w:r>
                  <w:r>
                    <w:rPr>
                      <w:color w:val="000000"/>
                      <w:szCs w:val="21"/>
                    </w:rPr>
                    <w:t>类工业项目</w:t>
                  </w:r>
                </w:p>
              </w:tc>
            </w:tr>
          </w:tbl>
          <w:p>
            <w:pPr>
              <w:adjustRightInd w:val="0"/>
              <w:snapToGrid w:val="0"/>
              <w:spacing w:line="500" w:lineRule="exact"/>
              <w:ind w:firstLine="480" w:firstLineChars="200"/>
              <w:rPr>
                <w:sz w:val="24"/>
              </w:rPr>
            </w:pPr>
            <w:r>
              <w:rPr>
                <w:rFonts w:hint="eastAsia"/>
                <w:sz w:val="24"/>
                <w:szCs w:val="20"/>
              </w:rPr>
              <w:t>由上表可知，</w:t>
            </w:r>
            <w:r>
              <w:rPr>
                <w:rFonts w:hint="eastAsia"/>
                <w:bCs/>
                <w:sz w:val="24"/>
              </w:rPr>
              <w:t>本项目位于新乡市新乡县朗公庙镇曲水村北</w:t>
            </w:r>
            <w:r>
              <w:rPr>
                <w:rFonts w:hint="eastAsia"/>
                <w:sz w:val="24"/>
                <w:szCs w:val="20"/>
              </w:rPr>
              <w:t>，本项目不属于《通知》内划定的新乡市主体功能分区，根据《通知》规定，本项目与工业准入优先区的环境准入政策要求相符性分析见表</w:t>
            </w:r>
            <w:r>
              <w:rPr>
                <w:rFonts w:hint="eastAsia"/>
                <w:sz w:val="24"/>
              </w:rPr>
              <w:t>18。</w:t>
            </w:r>
          </w:p>
          <w:p>
            <w:pPr>
              <w:autoSpaceDE w:val="0"/>
              <w:autoSpaceDN w:val="0"/>
              <w:adjustRightInd w:val="0"/>
              <w:snapToGrid w:val="0"/>
              <w:spacing w:line="400" w:lineRule="exact"/>
              <w:ind w:left="420"/>
              <w:rPr>
                <w:rFonts w:hAnsi="宋体"/>
                <w:b/>
                <w:sz w:val="24"/>
              </w:rPr>
            </w:pPr>
            <w:r>
              <w:rPr>
                <w:rFonts w:hint="eastAsia" w:hAnsi="宋体"/>
                <w:b/>
                <w:sz w:val="24"/>
              </w:rPr>
              <w:t>表18          项目与工业准入优先区的环境准入政策要求相符性分析</w:t>
            </w:r>
          </w:p>
          <w:tbl>
            <w:tblPr>
              <w:tblStyle w:val="27"/>
              <w:tblW w:w="485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86"/>
              <w:gridCol w:w="6084"/>
              <w:gridCol w:w="1705"/>
              <w:gridCol w:w="68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 w:hRule="atLeast"/>
                <w:jc w:val="center"/>
              </w:trPr>
              <w:tc>
                <w:tcPr>
                  <w:tcW w:w="323" w:type="pct"/>
                  <w:tcBorders>
                    <w:top w:val="single" w:color="auto" w:sz="12" w:space="0"/>
                    <w:left w:val="nil"/>
                    <w:bottom w:val="single" w:color="auto" w:sz="6" w:space="0"/>
                    <w:right w:val="single" w:color="auto" w:sz="6" w:space="0"/>
                  </w:tcBorders>
                  <w:vAlign w:val="center"/>
                </w:tcPr>
                <w:p>
                  <w:pPr>
                    <w:adjustRightInd w:val="0"/>
                    <w:snapToGrid w:val="0"/>
                    <w:jc w:val="center"/>
                    <w:rPr>
                      <w:b/>
                      <w:szCs w:val="20"/>
                    </w:rPr>
                  </w:pPr>
                  <w:r>
                    <w:rPr>
                      <w:rFonts w:hAnsi="宋体"/>
                      <w:b/>
                      <w:szCs w:val="20"/>
                    </w:rPr>
                    <w:t>项目</w:t>
                  </w:r>
                </w:p>
              </w:tc>
              <w:tc>
                <w:tcPr>
                  <w:tcW w:w="3357" w:type="pct"/>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b/>
                      <w:szCs w:val="20"/>
                    </w:rPr>
                  </w:pPr>
                  <w:r>
                    <w:rPr>
                      <w:rFonts w:hAnsi="宋体"/>
                      <w:b/>
                      <w:szCs w:val="20"/>
                    </w:rPr>
                    <w:t>与本项目相关条文</w:t>
                  </w:r>
                </w:p>
              </w:tc>
              <w:tc>
                <w:tcPr>
                  <w:tcW w:w="941" w:type="pct"/>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b/>
                      <w:szCs w:val="20"/>
                    </w:rPr>
                  </w:pPr>
                  <w:r>
                    <w:rPr>
                      <w:rFonts w:hAnsi="宋体"/>
                      <w:b/>
                      <w:szCs w:val="20"/>
                    </w:rPr>
                    <w:t>本项目情况</w:t>
                  </w:r>
                </w:p>
              </w:tc>
              <w:tc>
                <w:tcPr>
                  <w:tcW w:w="379" w:type="pct"/>
                  <w:tcBorders>
                    <w:top w:val="single" w:color="auto" w:sz="12" w:space="0"/>
                    <w:left w:val="single" w:color="auto" w:sz="6" w:space="0"/>
                    <w:bottom w:val="single" w:color="auto" w:sz="6" w:space="0"/>
                    <w:right w:val="nil"/>
                  </w:tcBorders>
                  <w:vAlign w:val="center"/>
                </w:tcPr>
                <w:p>
                  <w:pPr>
                    <w:adjustRightInd w:val="0"/>
                    <w:snapToGrid w:val="0"/>
                    <w:jc w:val="center"/>
                    <w:rPr>
                      <w:b/>
                      <w:szCs w:val="20"/>
                    </w:rPr>
                  </w:pPr>
                  <w:r>
                    <w:rPr>
                      <w:rFonts w:hAnsi="宋体"/>
                      <w:b/>
                      <w:szCs w:val="20"/>
                    </w:rPr>
                    <w:t>对比结果</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 w:hRule="atLeast"/>
                <w:jc w:val="center"/>
              </w:trPr>
              <w:tc>
                <w:tcPr>
                  <w:tcW w:w="323" w:type="pct"/>
                  <w:vMerge w:val="restart"/>
                  <w:tcBorders>
                    <w:top w:val="single" w:color="auto" w:sz="6" w:space="0"/>
                    <w:left w:val="nil"/>
                    <w:bottom w:val="single" w:color="auto" w:sz="12" w:space="0"/>
                    <w:right w:val="single" w:color="auto" w:sz="6" w:space="0"/>
                  </w:tcBorders>
                  <w:vAlign w:val="center"/>
                </w:tcPr>
                <w:p>
                  <w:pPr>
                    <w:adjustRightInd w:val="0"/>
                    <w:snapToGrid w:val="0"/>
                    <w:jc w:val="center"/>
                    <w:rPr>
                      <w:szCs w:val="20"/>
                    </w:rPr>
                  </w:pPr>
                  <w:r>
                    <w:rPr>
                      <w:rFonts w:hint="eastAsia" w:hAnsi="宋体"/>
                      <w:szCs w:val="20"/>
                    </w:rPr>
                    <w:t>新乡市工业准入优先区</w:t>
                  </w:r>
                </w:p>
              </w:tc>
              <w:tc>
                <w:tcPr>
                  <w:tcW w:w="3357" w:type="pct"/>
                  <w:tcBorders>
                    <w:top w:val="single" w:color="auto" w:sz="6" w:space="0"/>
                    <w:left w:val="single" w:color="auto" w:sz="6" w:space="0"/>
                    <w:bottom w:val="single" w:color="auto" w:sz="6" w:space="0"/>
                    <w:right w:val="single" w:color="auto" w:sz="6" w:space="0"/>
                  </w:tcBorders>
                  <w:vAlign w:val="center"/>
                </w:tcPr>
                <w:p>
                  <w:pPr>
                    <w:adjustRightInd w:val="0"/>
                    <w:snapToGrid w:val="0"/>
                    <w:rPr>
                      <w:rFonts w:hAnsi="宋体"/>
                      <w:szCs w:val="20"/>
                    </w:rPr>
                  </w:pPr>
                  <w:r>
                    <w:rPr>
                      <w:rFonts w:hint="eastAsia" w:hAnsi="宋体"/>
                      <w:szCs w:val="20"/>
                    </w:rPr>
                    <w:t>功能区范围：我市范围内的省级产业集聚区、市级人民政府规范设立的专业园区。</w:t>
                  </w:r>
                </w:p>
                <w:p>
                  <w:pPr>
                    <w:adjustRightInd w:val="0"/>
                    <w:snapToGrid w:val="0"/>
                    <w:rPr>
                      <w:szCs w:val="20"/>
                    </w:rPr>
                  </w:pPr>
                  <w:r>
                    <w:rPr>
                      <w:rFonts w:hint="eastAsia" w:hAnsi="宋体"/>
                      <w:szCs w:val="20"/>
                    </w:rPr>
                    <w:t>功能区目标：以实现环境资源优化配置为目标，引导工业项目向园区集聚，科学高效利用环境容量，推动产业转型升级。</w:t>
                  </w:r>
                </w:p>
              </w:tc>
              <w:tc>
                <w:tcPr>
                  <w:tcW w:w="941"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0"/>
                    </w:rPr>
                  </w:pPr>
                  <w:r>
                    <w:rPr>
                      <w:rFonts w:hint="eastAsia" w:hAnsi="宋体"/>
                      <w:szCs w:val="20"/>
                    </w:rPr>
                    <w:t>本项目位于新乡市新乡县朗公庙镇曲水村北</w:t>
                  </w:r>
                </w:p>
              </w:tc>
              <w:tc>
                <w:tcPr>
                  <w:tcW w:w="379" w:type="pct"/>
                  <w:tcBorders>
                    <w:top w:val="single" w:color="auto" w:sz="6" w:space="0"/>
                    <w:left w:val="single" w:color="auto" w:sz="6" w:space="0"/>
                    <w:bottom w:val="single" w:color="auto" w:sz="6" w:space="0"/>
                    <w:right w:val="nil"/>
                  </w:tcBorders>
                  <w:vAlign w:val="center"/>
                </w:tcPr>
                <w:p>
                  <w:pPr>
                    <w:adjustRightInd w:val="0"/>
                    <w:snapToGrid w:val="0"/>
                    <w:jc w:val="center"/>
                    <w:rPr>
                      <w:szCs w:val="20"/>
                    </w:rPr>
                  </w:pPr>
                  <w:r>
                    <w:rPr>
                      <w:rFonts w:hint="eastAsia" w:hAnsi="宋体"/>
                      <w:szCs w:val="20"/>
                    </w:rPr>
                    <w:t>不</w:t>
                  </w:r>
                  <w:r>
                    <w:rPr>
                      <w:rFonts w:hAnsi="宋体"/>
                      <w:szCs w:val="20"/>
                    </w:rPr>
                    <w:t>属于</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 w:hRule="atLeast"/>
                <w:jc w:val="center"/>
              </w:trPr>
              <w:tc>
                <w:tcPr>
                  <w:tcW w:w="323" w:type="pct"/>
                  <w:vMerge w:val="continue"/>
                  <w:tcBorders>
                    <w:top w:val="single" w:color="auto" w:sz="6" w:space="0"/>
                    <w:left w:val="nil"/>
                    <w:bottom w:val="single" w:color="auto" w:sz="12" w:space="0"/>
                    <w:right w:val="single" w:color="auto" w:sz="6" w:space="0"/>
                  </w:tcBorders>
                  <w:vAlign w:val="center"/>
                </w:tcPr>
                <w:p>
                  <w:pPr>
                    <w:widowControl/>
                    <w:adjustRightInd w:val="0"/>
                    <w:snapToGrid w:val="0"/>
                    <w:jc w:val="left"/>
                    <w:rPr>
                      <w:szCs w:val="20"/>
                    </w:rPr>
                  </w:pPr>
                </w:p>
              </w:tc>
              <w:tc>
                <w:tcPr>
                  <w:tcW w:w="3357" w:type="pct"/>
                  <w:tcBorders>
                    <w:top w:val="single" w:color="auto" w:sz="6" w:space="0"/>
                    <w:left w:val="single" w:color="auto" w:sz="6" w:space="0"/>
                    <w:bottom w:val="single" w:color="auto" w:sz="12" w:space="0"/>
                    <w:right w:val="single" w:color="auto" w:sz="6" w:space="0"/>
                  </w:tcBorders>
                  <w:vAlign w:val="center"/>
                </w:tcPr>
                <w:p>
                  <w:pPr>
                    <w:adjustRightInd w:val="0"/>
                    <w:snapToGrid w:val="0"/>
                    <w:rPr>
                      <w:szCs w:val="20"/>
                    </w:rPr>
                  </w:pPr>
                  <w:r>
                    <w:rPr>
                      <w:rFonts w:hint="eastAsia"/>
                      <w:szCs w:val="20"/>
                    </w:rPr>
                    <w:t>环境准入政策：</w:t>
                  </w:r>
                </w:p>
                <w:p>
                  <w:pPr>
                    <w:adjustRightInd w:val="0"/>
                    <w:snapToGrid w:val="0"/>
                    <w:rPr>
                      <w:szCs w:val="20"/>
                    </w:rPr>
                  </w:pPr>
                  <w:r>
                    <w:rPr>
                      <w:rFonts w:hint="eastAsia"/>
                      <w:szCs w:val="20"/>
                    </w:rPr>
                    <w:t>1.取消部分审批事项。对《建设项目环境影响评价豁免管理名录（修订）》内的所有项目，不需办理环评手续。</w:t>
                  </w:r>
                </w:p>
                <w:p>
                  <w:pPr>
                    <w:adjustRightInd w:val="0"/>
                    <w:snapToGrid w:val="0"/>
                    <w:rPr>
                      <w:szCs w:val="20"/>
                    </w:rPr>
                  </w:pPr>
                  <w:r>
                    <w:rPr>
                      <w:rFonts w:hint="eastAsia"/>
                      <w:szCs w:val="20"/>
                    </w:rPr>
                    <w:t>2.简化部分审批程序。依据环保部《建设项目环境影响评价分类管理名录》规定，对填报环境影响登记表的项目，环评文件由审批制改为备案制，即报即受理，2个工作日内办结；对编制环境影响报告表的项目，简化审批程序，即报即受理。</w:t>
                  </w:r>
                </w:p>
                <w:p>
                  <w:pPr>
                    <w:adjustRightInd w:val="0"/>
                    <w:snapToGrid w:val="0"/>
                    <w:rPr>
                      <w:szCs w:val="20"/>
                    </w:rPr>
                  </w:pPr>
                  <w:r>
                    <w:rPr>
                      <w:rFonts w:hint="eastAsia"/>
                      <w:szCs w:val="20"/>
                    </w:rPr>
                    <w:t>3.下放部分审批权限。对属于市环保局审批的《工业项目分类清单》中的一类工业项目，其环评文件的审批权限，下放至具有审批权限的各县（市）、区环保部门。</w:t>
                  </w:r>
                </w:p>
                <w:p>
                  <w:pPr>
                    <w:adjustRightInd w:val="0"/>
                    <w:snapToGrid w:val="0"/>
                    <w:rPr>
                      <w:szCs w:val="20"/>
                    </w:rPr>
                  </w:pPr>
                  <w:r>
                    <w:rPr>
                      <w:rFonts w:hint="eastAsia"/>
                      <w:szCs w:val="20"/>
                    </w:rPr>
                    <w:t>4.放宽部分审批条件。对规划环评已经过审查的产业集聚区或专业园区，符合主导产业的入驻建设项目的环评文件可适当简化；对污水集中处理设施完善的产业集聚区或专业园区，入驻建设项目的污水排放标准可执行间接排放标准，无间接排放标准的以环评审批的排放要求为准。</w:t>
                  </w:r>
                </w:p>
                <w:p>
                  <w:pPr>
                    <w:adjustRightInd w:val="0"/>
                    <w:snapToGrid w:val="0"/>
                    <w:rPr>
                      <w:szCs w:val="20"/>
                    </w:rPr>
                  </w:pPr>
                  <w:r>
                    <w:rPr>
                      <w:rFonts w:hint="eastAsia"/>
                      <w:szCs w:val="20"/>
                    </w:rPr>
                    <w:t>5.严控部分区域重污染项目。在《水污染防治重点单元》内的我市市区、新乡县、卫辉市、辉县市、获嘉县等区域内，不予审批煤化工、化学合成药以及生物发酵制药、制浆造纸、制革及毛皮鞣制、印染等行业单纯新建和单纯扩大产能的项目；在《大气污染防治重点单元》内的我市全部区域，严格燃煤火电项目审批，不予审批煤化工、冶金、钢铁、铁合金等行业单纯新建和单纯扩大产能的项目；在《重金属污染防控单元》内的新乡县、凤泉区铅镉污染防控区区域内，涉及铅、铬、镉、汞、砷等重金属污染物排放的相关项目以“减量替代”为原则，不予审批新增重金属污染物排放的相应项目。（符合省、市重大产业布局的项目除外）</w:t>
                  </w:r>
                </w:p>
              </w:tc>
              <w:tc>
                <w:tcPr>
                  <w:tcW w:w="941" w:type="pct"/>
                  <w:tcBorders>
                    <w:top w:val="single" w:color="auto" w:sz="6" w:space="0"/>
                    <w:left w:val="single" w:color="auto" w:sz="6" w:space="0"/>
                    <w:bottom w:val="single" w:color="auto" w:sz="12" w:space="0"/>
                    <w:right w:val="single" w:color="auto" w:sz="6" w:space="0"/>
                  </w:tcBorders>
                  <w:vAlign w:val="center"/>
                </w:tcPr>
                <w:p>
                  <w:pPr>
                    <w:adjustRightInd w:val="0"/>
                    <w:snapToGrid w:val="0"/>
                    <w:rPr>
                      <w:szCs w:val="20"/>
                    </w:rPr>
                  </w:pPr>
                  <w:r>
                    <w:rPr>
                      <w:rFonts w:hint="eastAsia"/>
                      <w:szCs w:val="20"/>
                    </w:rPr>
                    <w:t>1、本项目不在豁免名录内。</w:t>
                  </w:r>
                </w:p>
                <w:p>
                  <w:pPr>
                    <w:adjustRightInd w:val="0"/>
                    <w:snapToGrid w:val="0"/>
                    <w:rPr>
                      <w:szCs w:val="20"/>
                    </w:rPr>
                  </w:pPr>
                  <w:r>
                    <w:rPr>
                      <w:rFonts w:hint="eastAsia"/>
                      <w:szCs w:val="20"/>
                    </w:rPr>
                    <w:t>2、本项目应编制环境影响报告表。</w:t>
                  </w:r>
                </w:p>
                <w:p>
                  <w:pPr>
                    <w:adjustRightInd w:val="0"/>
                    <w:snapToGrid w:val="0"/>
                    <w:rPr>
                      <w:szCs w:val="20"/>
                    </w:rPr>
                  </w:pPr>
                  <w:r>
                    <w:rPr>
                      <w:rFonts w:hint="eastAsia"/>
                      <w:szCs w:val="20"/>
                    </w:rPr>
                    <w:t>3、本项目位于新乡市新乡县朗公庙镇曲水村北，符合大新庄乡规划。</w:t>
                  </w:r>
                </w:p>
                <w:p>
                  <w:pPr>
                    <w:adjustRightInd w:val="0"/>
                    <w:snapToGrid w:val="0"/>
                    <w:rPr>
                      <w:szCs w:val="20"/>
                    </w:rPr>
                  </w:pPr>
                  <w:r>
                    <w:rPr>
                      <w:rFonts w:hint="eastAsia"/>
                      <w:szCs w:val="20"/>
                    </w:rPr>
                    <w:t>4、本项目生活污水排入厂内化粪池处理后，定期清运。</w:t>
                  </w:r>
                </w:p>
                <w:p>
                  <w:pPr>
                    <w:adjustRightInd w:val="0"/>
                    <w:snapToGrid w:val="0"/>
                    <w:rPr>
                      <w:szCs w:val="20"/>
                    </w:rPr>
                  </w:pPr>
                  <w:r>
                    <w:rPr>
                      <w:rFonts w:hint="eastAsia"/>
                      <w:szCs w:val="20"/>
                    </w:rPr>
                    <w:t>5、本项目位于《水污染防治重点单元》内，不属于煤化工、化学合成药以及生物发酵制药、制浆造纸、制革及毛皮鞣制、印染等行业单纯新建和单纯扩大产能的项目。</w:t>
                  </w:r>
                </w:p>
              </w:tc>
              <w:tc>
                <w:tcPr>
                  <w:tcW w:w="379" w:type="pct"/>
                  <w:tcBorders>
                    <w:top w:val="single" w:color="auto" w:sz="6" w:space="0"/>
                    <w:left w:val="single" w:color="auto" w:sz="6" w:space="0"/>
                    <w:bottom w:val="single" w:color="auto" w:sz="12" w:space="0"/>
                    <w:right w:val="nil"/>
                  </w:tcBorders>
                  <w:vAlign w:val="center"/>
                </w:tcPr>
                <w:p>
                  <w:pPr>
                    <w:adjustRightInd w:val="0"/>
                    <w:snapToGrid w:val="0"/>
                    <w:jc w:val="center"/>
                    <w:rPr>
                      <w:szCs w:val="20"/>
                    </w:rPr>
                  </w:pPr>
                  <w:r>
                    <w:rPr>
                      <w:rFonts w:hAnsi="宋体"/>
                      <w:szCs w:val="20"/>
                    </w:rPr>
                    <w:t>符合环境准入条件</w:t>
                  </w:r>
                </w:p>
              </w:tc>
            </w:tr>
          </w:tbl>
          <w:p>
            <w:pPr>
              <w:adjustRightInd w:val="0"/>
              <w:snapToGrid w:val="0"/>
              <w:spacing w:line="500" w:lineRule="exact"/>
              <w:ind w:firstLine="480" w:firstLineChars="200"/>
              <w:rPr>
                <w:sz w:val="24"/>
              </w:rPr>
            </w:pPr>
            <w:r>
              <w:rPr>
                <w:rFonts w:hint="eastAsia" w:hAnsi="宋体"/>
                <w:sz w:val="24"/>
                <w:szCs w:val="20"/>
              </w:rPr>
              <w:t>由上表可知，本项目</w:t>
            </w:r>
            <w:r>
              <w:rPr>
                <w:rFonts w:hint="eastAsia"/>
                <w:sz w:val="24"/>
              </w:rPr>
              <w:t>不属于《通知》中所列不予审批的项目，符合审批条件。</w:t>
            </w:r>
          </w:p>
          <w:p>
            <w:pPr>
              <w:adjustRightInd w:val="0"/>
              <w:snapToGrid w:val="0"/>
              <w:spacing w:line="500" w:lineRule="exact"/>
              <w:outlineLvl w:val="0"/>
              <w:rPr>
                <w:b/>
                <w:bCs/>
                <w:sz w:val="24"/>
                <w:szCs w:val="20"/>
              </w:rPr>
            </w:pPr>
            <w:r>
              <w:rPr>
                <w:b/>
                <w:bCs/>
                <w:sz w:val="24"/>
                <w:szCs w:val="20"/>
              </w:rPr>
              <w:t>2</w:t>
            </w:r>
            <w:r>
              <w:rPr>
                <w:rFonts w:hint="eastAsia"/>
                <w:b/>
                <w:bCs/>
                <w:sz w:val="24"/>
                <w:szCs w:val="20"/>
              </w:rPr>
              <w:t>.本项目与饮用水源保护区规划的相符性</w:t>
            </w:r>
          </w:p>
          <w:p>
            <w:pPr>
              <w:pStyle w:val="77"/>
              <w:tabs>
                <w:tab w:val="left" w:pos="0"/>
              </w:tabs>
              <w:adjustRightInd w:val="0"/>
              <w:snapToGrid w:val="0"/>
              <w:spacing w:after="0" w:line="500" w:lineRule="exact"/>
              <w:ind w:left="0" w:leftChars="0" w:firstLine="480"/>
              <w:rPr>
                <w:kern w:val="0"/>
                <w:sz w:val="24"/>
              </w:rPr>
            </w:pPr>
            <w:r>
              <w:rPr>
                <w:rFonts w:hAnsi="宋体"/>
                <w:kern w:val="0"/>
                <w:sz w:val="24"/>
              </w:rPr>
              <w:t>（一）</w:t>
            </w:r>
            <w:r>
              <w:rPr>
                <w:rFonts w:hint="eastAsia" w:hAnsi="宋体"/>
                <w:kern w:val="0"/>
                <w:sz w:val="24"/>
              </w:rPr>
              <w:t>市</w:t>
            </w:r>
            <w:r>
              <w:rPr>
                <w:rFonts w:hAnsi="宋体"/>
                <w:kern w:val="0"/>
                <w:sz w:val="24"/>
              </w:rPr>
              <w:t>级饮用水源</w:t>
            </w:r>
          </w:p>
          <w:p>
            <w:pPr>
              <w:pStyle w:val="87"/>
            </w:pPr>
            <w:r>
              <w:rPr>
                <w:rFonts w:hAnsi="宋体"/>
                <w:kern w:val="0"/>
              </w:rPr>
              <w:t>根据河南省人民政府办公厅《关于印发河南省城市集中式饮用水源保护区划的通知》豫政办【</w:t>
            </w:r>
            <w:r>
              <w:rPr>
                <w:kern w:val="0"/>
              </w:rPr>
              <w:t>2007</w:t>
            </w:r>
            <w:r>
              <w:rPr>
                <w:rFonts w:hAnsi="宋体"/>
                <w:kern w:val="0"/>
              </w:rPr>
              <w:t>】</w:t>
            </w:r>
            <w:r>
              <w:rPr>
                <w:kern w:val="0"/>
              </w:rPr>
              <w:t>125</w:t>
            </w:r>
            <w:r>
              <w:rPr>
                <w:rFonts w:hAnsi="宋体"/>
                <w:kern w:val="0"/>
              </w:rPr>
              <w:t>号，</w:t>
            </w:r>
            <w:r>
              <w:t>新乡县涉及的饮用水源保护区如下：</w:t>
            </w:r>
          </w:p>
          <w:p>
            <w:pPr>
              <w:pStyle w:val="87"/>
            </w:pPr>
            <w:r>
              <w:rPr>
                <w:rFonts w:hint="eastAsia"/>
              </w:rPr>
              <w:t>（1）</w:t>
            </w:r>
            <w:r>
              <w:t>黄河贾太湖地表水饮用水源保护区</w:t>
            </w:r>
          </w:p>
          <w:p>
            <w:pPr>
              <w:pStyle w:val="87"/>
            </w:pPr>
            <w:r>
              <w:t>一级保护区：田庄至寺王东二干渠和四水厂引水渠道等输水渠道堤外50米沿岸的陆域；牧野区平原乡三支渠两侧30米的陆域；贾太湖蓄水池、沉沙池、西郊沉沙池水域及其截渗沟外10米范围的区域；贾太湖蓄水池、西郊沉沙池至四水厂和一水厂之间的输水暗管两侧10米的陆域。</w:t>
            </w:r>
          </w:p>
          <w:p>
            <w:pPr>
              <w:pStyle w:val="87"/>
            </w:pPr>
            <w:r>
              <w:t>二级保护区：一级保护区外，京珠高速公路桥至桃花峪的黄河水域和黄河南岸大堤以内、黄河北岸生产堤以内的滩区；人民胜利渠渠首至田庄的水域及堤外50米沿岸的陆域。</w:t>
            </w:r>
          </w:p>
          <w:p>
            <w:pPr>
              <w:pStyle w:val="87"/>
            </w:pPr>
            <w:r>
              <w:rPr>
                <w:rFonts w:hint="eastAsia"/>
              </w:rPr>
              <w:t>（</w:t>
            </w:r>
            <w:r>
              <w:t>2</w:t>
            </w:r>
            <w:r>
              <w:rPr>
                <w:rFonts w:hint="eastAsia"/>
              </w:rPr>
              <w:t>）</w:t>
            </w:r>
            <w:r>
              <w:t>四水厂地下水饮用水源保护区(共21眼井)</w:t>
            </w:r>
          </w:p>
          <w:p>
            <w:pPr>
              <w:pStyle w:val="87"/>
            </w:pPr>
            <w:r>
              <w:t>一级保护区：西曹和东曹村北以北，2号井和11号井连线向北150米以南，22号井向东150米以西，12—1号井西150米以东以及输水管线两侧10米的区域。</w:t>
            </w:r>
          </w:p>
          <w:p>
            <w:pPr>
              <w:pStyle w:val="87"/>
            </w:pPr>
            <w:r>
              <w:t>二级保护区：西曹、中曹村和余庄南及七里营村北以北，西石碑和</w:t>
            </w:r>
            <w:r>
              <w:rPr>
                <w:rFonts w:hint="eastAsia"/>
              </w:rPr>
              <w:t>东石</w:t>
            </w:r>
            <w:r>
              <w:t>碑村南及高村和西贾城村北以南，21号桥以西，敦留店村西以东的区域。</w:t>
            </w:r>
          </w:p>
          <w:p>
            <w:pPr>
              <w:tabs>
                <w:tab w:val="left" w:pos="0"/>
              </w:tabs>
              <w:adjustRightInd w:val="0"/>
              <w:snapToGrid w:val="0"/>
              <w:spacing w:line="500" w:lineRule="exact"/>
              <w:ind w:firstLine="480" w:firstLineChars="200"/>
              <w:rPr>
                <w:kern w:val="0"/>
                <w:sz w:val="24"/>
              </w:rPr>
            </w:pPr>
            <w:r>
              <w:rPr>
                <w:rFonts w:hAnsi="宋体"/>
                <w:kern w:val="0"/>
                <w:sz w:val="24"/>
              </w:rPr>
              <w:t>（二）乡镇级饮用水源</w:t>
            </w:r>
          </w:p>
          <w:p>
            <w:pPr>
              <w:pStyle w:val="77"/>
              <w:tabs>
                <w:tab w:val="left" w:pos="0"/>
              </w:tabs>
              <w:adjustRightInd w:val="0"/>
              <w:snapToGrid w:val="0"/>
              <w:spacing w:after="0" w:line="500" w:lineRule="exact"/>
              <w:ind w:left="0" w:leftChars="0" w:firstLine="480"/>
              <w:rPr>
                <w:rFonts w:hAnsi="宋体"/>
                <w:kern w:val="0"/>
                <w:sz w:val="24"/>
              </w:rPr>
            </w:pPr>
            <w:r>
              <w:rPr>
                <w:rFonts w:hAnsi="宋体"/>
                <w:kern w:val="0"/>
                <w:sz w:val="24"/>
              </w:rPr>
              <w:t>根据河南省人民政府办公厅《关于印发河南省乡镇集中式饮用水源保护区划的通知》豫政办【</w:t>
            </w:r>
            <w:r>
              <w:rPr>
                <w:kern w:val="0"/>
                <w:sz w:val="24"/>
              </w:rPr>
              <w:t>2016</w:t>
            </w:r>
            <w:r>
              <w:rPr>
                <w:rFonts w:hAnsi="宋体"/>
                <w:kern w:val="0"/>
                <w:sz w:val="24"/>
              </w:rPr>
              <w:t>】</w:t>
            </w:r>
            <w:r>
              <w:rPr>
                <w:kern w:val="0"/>
                <w:sz w:val="24"/>
              </w:rPr>
              <w:t>23</w:t>
            </w:r>
            <w:r>
              <w:rPr>
                <w:rFonts w:hAnsi="宋体"/>
                <w:kern w:val="0"/>
                <w:sz w:val="24"/>
              </w:rPr>
              <w:t>号，</w:t>
            </w:r>
            <w:r>
              <w:rPr>
                <w:rFonts w:hint="eastAsia" w:hAnsi="宋体"/>
                <w:kern w:val="0"/>
                <w:sz w:val="24"/>
              </w:rPr>
              <w:t>新乡县郎公庙镇水厂地下水井群(共3眼井)范围如下：</w:t>
            </w:r>
          </w:p>
          <w:p>
            <w:pPr>
              <w:pStyle w:val="77"/>
              <w:tabs>
                <w:tab w:val="left" w:pos="0"/>
              </w:tabs>
              <w:adjustRightInd w:val="0"/>
              <w:snapToGrid w:val="0"/>
              <w:spacing w:after="0" w:line="500" w:lineRule="exact"/>
              <w:ind w:left="0" w:leftChars="0" w:firstLine="480"/>
              <w:rPr>
                <w:rFonts w:hAnsi="宋体"/>
                <w:kern w:val="0"/>
                <w:sz w:val="24"/>
              </w:rPr>
            </w:pPr>
            <w:r>
              <w:rPr>
                <w:rFonts w:hint="eastAsia" w:hAnsi="宋体"/>
                <w:kern w:val="0"/>
                <w:sz w:val="24"/>
              </w:rPr>
              <w:t>一级保护区范围:水厂厂区及外围东45米、西8米、南8米、北45米的区域(1号取水井),2、3号取水井外围50米至229省道的区域。</w:t>
            </w:r>
          </w:p>
          <w:p>
            <w:pPr>
              <w:tabs>
                <w:tab w:val="left" w:pos="0"/>
              </w:tabs>
              <w:adjustRightInd w:val="0"/>
              <w:snapToGrid w:val="0"/>
              <w:spacing w:line="500" w:lineRule="exact"/>
              <w:ind w:firstLine="480" w:firstLineChars="200"/>
              <w:rPr>
                <w:color w:val="000000"/>
                <w:kern w:val="0"/>
                <w:sz w:val="24"/>
              </w:rPr>
            </w:pPr>
            <w:r>
              <w:rPr>
                <w:rFonts w:hint="eastAsia" w:hAnsi="宋体"/>
                <w:kern w:val="0"/>
                <w:sz w:val="24"/>
              </w:rPr>
              <w:t>本项目位于新乡市新乡市新乡县朗公庙镇曲水村北，距离项目最近的水源地保护区为新乡县朗公庙镇水厂地下水井群，距离其一级保护区约4km，不在饮用水源保护区范围内</w:t>
            </w:r>
            <w:r>
              <w:rPr>
                <w:rFonts w:hint="eastAsia" w:hAnsi="宋体"/>
                <w:color w:val="000000"/>
                <w:kern w:val="0"/>
                <w:sz w:val="24"/>
              </w:rPr>
              <w:t>。</w:t>
            </w:r>
          </w:p>
          <w:p>
            <w:pPr>
              <w:adjustRightInd w:val="0"/>
              <w:snapToGrid w:val="0"/>
              <w:spacing w:line="500" w:lineRule="exact"/>
              <w:outlineLvl w:val="0"/>
              <w:rPr>
                <w:b/>
              </w:rPr>
            </w:pPr>
            <w:r>
              <w:rPr>
                <w:rFonts w:hint="eastAsia"/>
                <w:b/>
                <w:bCs/>
                <w:sz w:val="24"/>
                <w:szCs w:val="20"/>
              </w:rPr>
              <w:t>3.</w:t>
            </w:r>
            <w:r>
              <w:rPr>
                <w:rFonts w:hint="eastAsia"/>
              </w:rPr>
              <w:t xml:space="preserve"> </w:t>
            </w:r>
            <w:r>
              <w:rPr>
                <w:rFonts w:hAnsi="宋体"/>
                <w:b/>
                <w:bCs/>
                <w:sz w:val="24"/>
                <w:szCs w:val="20"/>
              </w:rPr>
              <w:t>与其他文件相符性</w:t>
            </w:r>
          </w:p>
          <w:p>
            <w:pPr>
              <w:adjustRightInd w:val="0"/>
              <w:snapToGrid w:val="0"/>
              <w:spacing w:line="500" w:lineRule="exact"/>
              <w:ind w:firstLine="480" w:firstLineChars="200"/>
              <w:rPr>
                <w:sz w:val="24"/>
                <w:szCs w:val="20"/>
              </w:rPr>
            </w:pPr>
            <w:r>
              <w:rPr>
                <w:rFonts w:hAnsi="宋体"/>
                <w:sz w:val="24"/>
                <w:szCs w:val="20"/>
              </w:rPr>
              <w:t>根据《河南省污染防治攻坚战领导小组办公室关于印发河南省</w:t>
            </w:r>
            <w:r>
              <w:rPr>
                <w:sz w:val="24"/>
                <w:szCs w:val="20"/>
              </w:rPr>
              <w:t>2020</w:t>
            </w:r>
            <w:r>
              <w:rPr>
                <w:rFonts w:hAnsi="宋体"/>
                <w:sz w:val="24"/>
                <w:szCs w:val="20"/>
              </w:rPr>
              <w:t>年大气、水、土壤污染防治攻坚战实施方案的通知》（豫环攻坚办〔</w:t>
            </w:r>
            <w:r>
              <w:rPr>
                <w:sz w:val="24"/>
                <w:szCs w:val="20"/>
              </w:rPr>
              <w:t>2020</w:t>
            </w:r>
            <w:r>
              <w:rPr>
                <w:rFonts w:hAnsi="宋体"/>
                <w:sz w:val="24"/>
                <w:szCs w:val="20"/>
              </w:rPr>
              <w:t>〕</w:t>
            </w:r>
            <w:r>
              <w:rPr>
                <w:sz w:val="24"/>
                <w:szCs w:val="20"/>
              </w:rPr>
              <w:t>7</w:t>
            </w:r>
            <w:r>
              <w:rPr>
                <w:rFonts w:hAnsi="宋体"/>
                <w:sz w:val="24"/>
                <w:szCs w:val="20"/>
              </w:rPr>
              <w:t>号）、</w:t>
            </w:r>
            <w:r>
              <w:rPr>
                <w:rFonts w:hint="eastAsia" w:hAnsi="宋体"/>
                <w:sz w:val="24"/>
                <w:szCs w:val="20"/>
              </w:rPr>
              <w:t>《新乡市环境污染防治攻坚战三年行动实施方案（2018-2020年）》</w:t>
            </w:r>
            <w:r>
              <w:rPr>
                <w:rFonts w:hAnsi="宋体"/>
                <w:sz w:val="24"/>
                <w:szCs w:val="20"/>
              </w:rPr>
              <w:t>、</w:t>
            </w:r>
            <w:r>
              <w:rPr>
                <w:rFonts w:hint="eastAsia" w:hAnsi="宋体"/>
                <w:sz w:val="24"/>
                <w:szCs w:val="20"/>
              </w:rPr>
              <w:t>《河南省生态环境厅关于印发河南省工业大气污染防治6个专项方案的通知》（豫环文[2019]84号）—《河南省2019年工业企业无组织排放治理方案》和《新乡市生态环境局关于部署安装工业企业用电量监控系统的通知》（新环 [2019]154号文）</w:t>
            </w:r>
            <w:r>
              <w:rPr>
                <w:rFonts w:hAnsi="宋体"/>
                <w:sz w:val="24"/>
                <w:szCs w:val="20"/>
              </w:rPr>
              <w:t>等，本项目与上述文件相符性见下表</w:t>
            </w:r>
            <w:r>
              <w:rPr>
                <w:sz w:val="24"/>
                <w:szCs w:val="20"/>
              </w:rPr>
              <w:t>1</w:t>
            </w:r>
            <w:r>
              <w:rPr>
                <w:rFonts w:hint="eastAsia"/>
                <w:sz w:val="24"/>
                <w:szCs w:val="20"/>
              </w:rPr>
              <w:t>9</w:t>
            </w:r>
            <w:r>
              <w:rPr>
                <w:rFonts w:hAnsi="宋体"/>
                <w:sz w:val="24"/>
                <w:szCs w:val="20"/>
              </w:rPr>
              <w:t>。</w:t>
            </w:r>
          </w:p>
          <w:p>
            <w:pPr>
              <w:autoSpaceDE w:val="0"/>
              <w:autoSpaceDN w:val="0"/>
              <w:adjustRightInd w:val="0"/>
              <w:snapToGrid w:val="0"/>
              <w:spacing w:line="400" w:lineRule="exact"/>
              <w:ind w:left="420"/>
              <w:rPr>
                <w:rFonts w:hAnsi="宋体"/>
                <w:b/>
                <w:sz w:val="24"/>
              </w:rPr>
            </w:pPr>
            <w:r>
              <w:rPr>
                <w:rFonts w:hint="eastAsia" w:hAnsi="宋体"/>
                <w:b/>
                <w:sz w:val="24"/>
              </w:rPr>
              <w:t>表19                本项目与上述文件相符性分析一览表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12"/>
              <w:gridCol w:w="732"/>
              <w:gridCol w:w="4370"/>
              <w:gridCol w:w="2126"/>
              <w:gridCol w:w="40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47" w:type="pct"/>
                  <w:gridSpan w:val="3"/>
                  <w:tcBorders>
                    <w:top w:val="single" w:color="auto" w:sz="12" w:space="0"/>
                    <w:left w:val="nil"/>
                    <w:bottom w:val="single" w:color="auto" w:sz="6" w:space="0"/>
                    <w:right w:val="single" w:color="auto" w:sz="6" w:space="0"/>
                  </w:tcBorders>
                  <w:vAlign w:val="center"/>
                </w:tcPr>
                <w:p>
                  <w:pPr>
                    <w:adjustRightInd w:val="0"/>
                    <w:snapToGrid w:val="0"/>
                    <w:jc w:val="center"/>
                    <w:rPr>
                      <w:b/>
                      <w:bCs/>
                      <w:szCs w:val="21"/>
                    </w:rPr>
                  </w:pPr>
                  <w:r>
                    <w:rPr>
                      <w:rFonts w:hAnsi="宋体"/>
                      <w:b/>
                      <w:bCs/>
                      <w:szCs w:val="21"/>
                    </w:rPr>
                    <w:t>项目</w:t>
                  </w:r>
                </w:p>
              </w:tc>
              <w:tc>
                <w:tcPr>
                  <w:tcW w:w="1138" w:type="pct"/>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b/>
                      <w:bCs/>
                      <w:szCs w:val="21"/>
                    </w:rPr>
                  </w:pPr>
                  <w:r>
                    <w:rPr>
                      <w:rFonts w:hAnsi="宋体"/>
                      <w:b/>
                      <w:bCs/>
                      <w:szCs w:val="21"/>
                    </w:rPr>
                    <w:t>本项目情况</w:t>
                  </w:r>
                </w:p>
              </w:tc>
              <w:tc>
                <w:tcPr>
                  <w:tcW w:w="215" w:type="pct"/>
                  <w:tcBorders>
                    <w:top w:val="single" w:color="auto" w:sz="12" w:space="0"/>
                    <w:left w:val="single" w:color="auto" w:sz="6" w:space="0"/>
                    <w:bottom w:val="single" w:color="auto" w:sz="6" w:space="0"/>
                    <w:right w:val="nil"/>
                  </w:tcBorders>
                  <w:vAlign w:val="center"/>
                </w:tcPr>
                <w:p>
                  <w:pPr>
                    <w:adjustRightInd w:val="0"/>
                    <w:snapToGrid w:val="0"/>
                    <w:jc w:val="center"/>
                    <w:rPr>
                      <w:b/>
                      <w:bCs/>
                      <w:szCs w:val="21"/>
                    </w:rPr>
                  </w:pPr>
                  <w:r>
                    <w:rPr>
                      <w:rFonts w:hAnsi="宋体"/>
                      <w:b/>
                      <w:bCs/>
                      <w:szCs w:val="21"/>
                    </w:rPr>
                    <w:t>相符性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16" w:type="pct"/>
                  <w:tcBorders>
                    <w:top w:val="single" w:color="auto" w:sz="6" w:space="0"/>
                    <w:left w:val="nil"/>
                    <w:bottom w:val="single" w:color="auto" w:sz="6" w:space="0"/>
                    <w:right w:val="single" w:color="auto" w:sz="6" w:space="0"/>
                  </w:tcBorders>
                  <w:vAlign w:val="center"/>
                </w:tcPr>
                <w:p>
                  <w:pPr>
                    <w:adjustRightInd w:val="0"/>
                    <w:snapToGrid w:val="0"/>
                    <w:jc w:val="center"/>
                    <w:rPr>
                      <w:szCs w:val="21"/>
                    </w:rPr>
                  </w:pPr>
                  <w:r>
                    <w:rPr>
                      <w:rFonts w:hAnsi="宋体"/>
                      <w:szCs w:val="21"/>
                    </w:rPr>
                    <w:t>《河南省污染防治攻坚战领导小组办公室关于印发河南省</w:t>
                  </w:r>
                  <w:r>
                    <w:rPr>
                      <w:szCs w:val="21"/>
                    </w:rPr>
                    <w:t>2020</w:t>
                  </w:r>
                  <w:r>
                    <w:rPr>
                      <w:rFonts w:hAnsi="宋体"/>
                      <w:szCs w:val="21"/>
                    </w:rPr>
                    <w:t>年大气、水、土壤污染防治攻坚战实施方案的通知》（豫环攻坚办〔</w:t>
                  </w:r>
                  <w:r>
                    <w:rPr>
                      <w:szCs w:val="21"/>
                    </w:rPr>
                    <w:t>2020</w:t>
                  </w:r>
                  <w:r>
                    <w:rPr>
                      <w:rFonts w:hAnsi="宋体"/>
                      <w:szCs w:val="21"/>
                    </w:rPr>
                    <w:t>〕</w:t>
                  </w:r>
                  <w:r>
                    <w:rPr>
                      <w:szCs w:val="21"/>
                    </w:rPr>
                    <w:t>7</w:t>
                  </w:r>
                  <w:r>
                    <w:rPr>
                      <w:rFonts w:hAnsi="宋体"/>
                      <w:szCs w:val="21"/>
                    </w:rPr>
                    <w:t>号）</w:t>
                  </w:r>
                </w:p>
              </w:tc>
              <w:tc>
                <w:tcPr>
                  <w:tcW w:w="39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hAnsi="宋体"/>
                      <w:szCs w:val="21"/>
                    </w:rPr>
                    <w:t>1.着力调整产业布局。</w:t>
                  </w:r>
                </w:p>
              </w:tc>
              <w:tc>
                <w:tcPr>
                  <w:tcW w:w="2339" w:type="pct"/>
                  <w:tcBorders>
                    <w:top w:val="single" w:color="auto" w:sz="6" w:space="0"/>
                    <w:left w:val="single" w:color="auto" w:sz="6" w:space="0"/>
                    <w:bottom w:val="single" w:color="auto" w:sz="6" w:space="0"/>
                    <w:right w:val="single" w:color="auto" w:sz="6" w:space="0"/>
                  </w:tcBorders>
                  <w:vAlign w:val="center"/>
                </w:tcPr>
                <w:p>
                  <w:pPr>
                    <w:tabs>
                      <w:tab w:val="left" w:pos="1260"/>
                    </w:tabs>
                    <w:adjustRightInd w:val="0"/>
                    <w:snapToGrid w:val="0"/>
                    <w:jc w:val="center"/>
                    <w:rPr>
                      <w:szCs w:val="21"/>
                    </w:rPr>
                  </w:pPr>
                  <w:r>
                    <w:rPr>
                      <w:rFonts w:hint="eastAsia"/>
                      <w:szCs w:val="21"/>
                    </w:rPr>
                    <w:t>加快调整不符合生态环境功能定位的产业布局、产业规模和产业结构，按照《产业结构调整指导目录（2019年本）》和《河南省部分工业行业淘汰落后生产工艺装备和产品目录》，明确禁止和限制发展的行业、生产工艺和产业目录，2020年4月底前排查建立淘汰类工业产能和装备清单台账，年底前关停淘汰完毕。对于限制类工业产能和装备，按照省相关要求因地制宜采取资金奖补、产能置换等政策措施，鼓励提前淘汰。</w:t>
                  </w:r>
                </w:p>
              </w:tc>
              <w:tc>
                <w:tcPr>
                  <w:tcW w:w="1138" w:type="pct"/>
                  <w:tcBorders>
                    <w:top w:val="single" w:color="auto" w:sz="6" w:space="0"/>
                    <w:left w:val="single" w:color="auto" w:sz="6" w:space="0"/>
                    <w:bottom w:val="single" w:color="auto" w:sz="6" w:space="0"/>
                    <w:right w:val="single" w:color="auto" w:sz="6" w:space="0"/>
                  </w:tcBorders>
                  <w:vAlign w:val="center"/>
                </w:tcPr>
                <w:p>
                  <w:pPr>
                    <w:tabs>
                      <w:tab w:val="left" w:pos="1260"/>
                    </w:tabs>
                    <w:adjustRightInd w:val="0"/>
                    <w:snapToGrid w:val="0"/>
                    <w:jc w:val="center"/>
                    <w:rPr>
                      <w:szCs w:val="21"/>
                    </w:rPr>
                  </w:pPr>
                  <w:r>
                    <w:rPr>
                      <w:rFonts w:hint="eastAsia" w:hAnsi="宋体"/>
                      <w:szCs w:val="21"/>
                    </w:rPr>
                    <w:t>本项目产品为振动筛，属于允许类项目。</w:t>
                  </w:r>
                </w:p>
              </w:tc>
              <w:tc>
                <w:tcPr>
                  <w:tcW w:w="215" w:type="pct"/>
                  <w:tcBorders>
                    <w:top w:val="single" w:color="auto" w:sz="6" w:space="0"/>
                    <w:left w:val="single" w:color="auto" w:sz="6" w:space="0"/>
                    <w:bottom w:val="single" w:color="auto" w:sz="6" w:space="0"/>
                    <w:right w:val="nil"/>
                  </w:tcBorders>
                  <w:vAlign w:val="center"/>
                </w:tcPr>
                <w:p>
                  <w:pPr>
                    <w:adjustRightInd w:val="0"/>
                    <w:snapToGrid w:val="0"/>
                    <w:jc w:val="center"/>
                    <w:rPr>
                      <w:szCs w:val="21"/>
                    </w:rPr>
                  </w:pPr>
                  <w:r>
                    <w:rPr>
                      <w:rFonts w:hAnsi="宋体"/>
                      <w:szCs w:val="21"/>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16" w:type="pct"/>
                  <w:vMerge w:val="restart"/>
                  <w:tcBorders>
                    <w:top w:val="single" w:color="auto" w:sz="6" w:space="0"/>
                    <w:left w:val="nil"/>
                    <w:right w:val="single" w:color="auto" w:sz="6" w:space="0"/>
                  </w:tcBorders>
                  <w:vAlign w:val="center"/>
                </w:tcPr>
                <w:p>
                  <w:pPr>
                    <w:adjustRightInd w:val="0"/>
                    <w:snapToGrid w:val="0"/>
                    <w:jc w:val="center"/>
                    <w:rPr>
                      <w:szCs w:val="21"/>
                    </w:rPr>
                  </w:pPr>
                  <w:r>
                    <w:rPr>
                      <w:rFonts w:hAnsi="宋体"/>
                      <w:szCs w:val="21"/>
                    </w:rPr>
                    <w:t>《新乡市环境污染防治攻坚战三年行动实施方案（</w:t>
                  </w:r>
                  <w:r>
                    <w:rPr>
                      <w:szCs w:val="21"/>
                    </w:rPr>
                    <w:t>2018-2020</w:t>
                  </w:r>
                  <w:r>
                    <w:rPr>
                      <w:rFonts w:hAnsi="宋体"/>
                      <w:szCs w:val="21"/>
                    </w:rPr>
                    <w:t>年）》</w:t>
                  </w:r>
                </w:p>
              </w:tc>
              <w:tc>
                <w:tcPr>
                  <w:tcW w:w="39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textAlignment w:val="baseline"/>
                    <w:rPr>
                      <w:szCs w:val="21"/>
                    </w:rPr>
                  </w:pPr>
                  <w:r>
                    <w:rPr>
                      <w:rFonts w:hint="eastAsia"/>
                      <w:szCs w:val="21"/>
                    </w:rPr>
                    <w:t>严格环境准入门槛</w:t>
                  </w:r>
                </w:p>
              </w:tc>
              <w:tc>
                <w:tcPr>
                  <w:tcW w:w="2339"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禁止火电、焦化、铸造、传统煤化工（甲醇、合成氨）、电解铝、水泥和平板玻璃等行业新建、扩建单纯新增产能（搬迁升级改造项目除外）以及耐火材料、陶瓷等行业新建、扩建以煤炭为燃料的项目和企业，积极推行区域、规划环境影响评价，对搬迁升级改造石化、化工、建材、有色等项目的环境影响评价，应满足区域、规划环评要求。禁止建设生产和使用高 VOCs 含量的溶剂型涂料、油墨、胶黏剂项目。其他新、改、扩建排放 VOCs 的项目，应从源头加强控制，使用低（无）VOCs 含量的原辅材料，配套安装高效收集、治理设施，其中新建涉 VOCs 排放的工业企业要入园区，实行区域内 VOCs 排放总量倍量消减替代。</w:t>
                  </w:r>
                </w:p>
              </w:tc>
              <w:tc>
                <w:tcPr>
                  <w:tcW w:w="1138"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本项目属于扩建项目，属于专用设备制造业，位于新乡市新乡县朗公庙镇曲水村北，不属于禁止行业，不涉及燃煤锅炉，不涉及生产和使用高VOCs含量的溶剂涂料、油墨、胶黏剂。</w:t>
                  </w:r>
                </w:p>
              </w:tc>
              <w:tc>
                <w:tcPr>
                  <w:tcW w:w="215" w:type="pct"/>
                  <w:tcBorders>
                    <w:top w:val="single" w:color="auto" w:sz="6" w:space="0"/>
                    <w:left w:val="single" w:color="auto" w:sz="6" w:space="0"/>
                    <w:bottom w:val="single" w:color="auto" w:sz="6" w:space="0"/>
                    <w:right w:val="nil"/>
                  </w:tcBorders>
                  <w:vAlign w:val="center"/>
                </w:tcPr>
                <w:p>
                  <w:pPr>
                    <w:jc w:val="center"/>
                  </w:pPr>
                  <w:r>
                    <w:rPr>
                      <w:rFonts w:hint="eastAsia"/>
                    </w:rPr>
                    <w:t>不涉及</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16" w:type="pct"/>
                  <w:vMerge w:val="continue"/>
                  <w:tcBorders>
                    <w:top w:val="single" w:color="auto" w:sz="6" w:space="0"/>
                    <w:left w:val="nil"/>
                    <w:right w:val="single" w:color="auto" w:sz="6" w:space="0"/>
                  </w:tcBorders>
                  <w:vAlign w:val="center"/>
                </w:tcPr>
                <w:p>
                  <w:pPr>
                    <w:adjustRightInd w:val="0"/>
                    <w:snapToGrid w:val="0"/>
                    <w:jc w:val="center"/>
                    <w:rPr>
                      <w:rFonts w:hAnsi="宋体"/>
                      <w:szCs w:val="21"/>
                    </w:rPr>
                  </w:pPr>
                </w:p>
              </w:tc>
              <w:tc>
                <w:tcPr>
                  <w:tcW w:w="392"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加快化解过剩产能</w:t>
                  </w:r>
                </w:p>
              </w:tc>
              <w:tc>
                <w:tcPr>
                  <w:tcW w:w="2339"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加大落后产能淘汰和过剩产能压减力度。全面贯彻落实国家、省更新的《产业结构调整指导目录》和过剩产能淘汰标准，严格执行质量、环保、能耗、安全等法规标准，全面淘汰不达标的落后、过剩产能和企业，以水泥、砖瓦、耐火材料、化工、炭素等行业为重点加大落后产能淘汰和过剩产能压减力度。严防“地条钢”等已完成淘汰的行业企业死灰复燃。</w:t>
                  </w:r>
                </w:p>
              </w:tc>
              <w:tc>
                <w:tcPr>
                  <w:tcW w:w="1138"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本项目属于专用设备制造业，不属于不达标的落后、过剩产能和企业，符合国家产业政策。</w:t>
                  </w:r>
                </w:p>
              </w:tc>
              <w:tc>
                <w:tcPr>
                  <w:tcW w:w="215" w:type="pct"/>
                  <w:tcBorders>
                    <w:top w:val="single" w:color="auto" w:sz="6" w:space="0"/>
                    <w:left w:val="single" w:color="auto" w:sz="6" w:space="0"/>
                    <w:bottom w:val="single" w:color="auto" w:sz="6" w:space="0"/>
                    <w:right w:val="nil"/>
                  </w:tcBorders>
                  <w:vAlign w:val="center"/>
                </w:tcPr>
                <w:p>
                  <w:pPr>
                    <w:jc w:val="center"/>
                  </w:pPr>
                  <w:r>
                    <w:rPr>
                      <w:rFonts w:hint="eastAsia"/>
                    </w:rPr>
                    <w:t>不涉及</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16" w:type="pct"/>
                  <w:vMerge w:val="continue"/>
                  <w:tcBorders>
                    <w:top w:val="single" w:color="auto" w:sz="6" w:space="0"/>
                    <w:left w:val="nil"/>
                    <w:right w:val="single" w:color="auto" w:sz="6" w:space="0"/>
                  </w:tcBorders>
                  <w:vAlign w:val="center"/>
                </w:tcPr>
                <w:p>
                  <w:pPr>
                    <w:adjustRightInd w:val="0"/>
                    <w:snapToGrid w:val="0"/>
                    <w:jc w:val="center"/>
                    <w:rPr>
                      <w:rFonts w:hAnsi="宋体"/>
                      <w:szCs w:val="21"/>
                    </w:rPr>
                  </w:pPr>
                </w:p>
              </w:tc>
              <w:tc>
                <w:tcPr>
                  <w:tcW w:w="392"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推进重点行业提标治理</w:t>
                  </w:r>
                </w:p>
              </w:tc>
              <w:tc>
                <w:tcPr>
                  <w:tcW w:w="2339"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2018 年 10 月底前，鼓励炭素、水泥熟料企业试点开展超低排放改造。2019 年底前，全市钢铁、铝用炭素、水泥完成超低排放改造。重点行业二氧化硫、氮氧化物、颗粒物、挥发性有机物（VOCs）全面执行大气污染物特别排放限值。对易产生粉尘的粉状、粒状物料及燃料实现密闭储存，开展有色金属冶炼及再生铅、铅酸蓄电池等行业企业含重金属无组织废气排放污染治理，确保废气中重金属污染物持续、稳定达标排放。</w:t>
                  </w:r>
                </w:p>
              </w:tc>
              <w:tc>
                <w:tcPr>
                  <w:tcW w:w="1138"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本项目属于专用设备制造业，不属于钢铁、炭素、水泥、有色金属冶炼及再生铅、铅酸蓄电池等重点行业。</w:t>
                  </w:r>
                </w:p>
              </w:tc>
              <w:tc>
                <w:tcPr>
                  <w:tcW w:w="215" w:type="pct"/>
                  <w:tcBorders>
                    <w:top w:val="single" w:color="auto" w:sz="6" w:space="0"/>
                    <w:left w:val="single" w:color="auto" w:sz="6" w:space="0"/>
                    <w:bottom w:val="single" w:color="auto" w:sz="6" w:space="0"/>
                    <w:right w:val="nil"/>
                  </w:tcBorders>
                  <w:vAlign w:val="center"/>
                </w:tcPr>
                <w:p>
                  <w:pPr>
                    <w:jc w:val="center"/>
                  </w:pPr>
                  <w:r>
                    <w:rPr>
                      <w:rFonts w:hint="eastAsia"/>
                    </w:rPr>
                    <w:t>不涉及</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16" w:type="pct"/>
                  <w:vMerge w:val="continue"/>
                  <w:tcBorders>
                    <w:top w:val="single" w:color="auto" w:sz="6" w:space="0"/>
                    <w:left w:val="nil"/>
                    <w:right w:val="single" w:color="auto" w:sz="6" w:space="0"/>
                  </w:tcBorders>
                  <w:vAlign w:val="center"/>
                </w:tcPr>
                <w:p>
                  <w:pPr>
                    <w:adjustRightInd w:val="0"/>
                    <w:snapToGrid w:val="0"/>
                    <w:jc w:val="center"/>
                    <w:rPr>
                      <w:rFonts w:hAnsi="宋体"/>
                      <w:szCs w:val="21"/>
                    </w:rPr>
                  </w:pPr>
                </w:p>
              </w:tc>
              <w:tc>
                <w:tcPr>
                  <w:tcW w:w="392"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强化工业料堆场扬尘整治</w:t>
                  </w:r>
                </w:p>
              </w:tc>
              <w:tc>
                <w:tcPr>
                  <w:tcW w:w="2339"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加大各工业企业料场堆场监督检查力度，督促企业严格落实各项抑尘措施。火电、钢铁、建材、有色等行业和锅炉等企业料堆场无组织实现规范管理，按照“场地硬化、流体进库、密闭传输、湿法装卸、车辆冲洗”的标准，对煤炭、煤矸石、煤渣、煤灰、水泥、石灰、石膏、砂土、废渣等易产生粉尘的粉状、粒状物料及燃料实现密闭储存，实现“空中防扬散、地面防流失、地下防渗漏”。</w:t>
                  </w:r>
                </w:p>
              </w:tc>
              <w:tc>
                <w:tcPr>
                  <w:tcW w:w="1138"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本项目属于专用设备制造业，不涉及扬尘的料堆场。</w:t>
                  </w:r>
                </w:p>
              </w:tc>
              <w:tc>
                <w:tcPr>
                  <w:tcW w:w="215" w:type="pct"/>
                  <w:tcBorders>
                    <w:top w:val="single" w:color="auto" w:sz="6" w:space="0"/>
                    <w:left w:val="single" w:color="auto" w:sz="6" w:space="0"/>
                    <w:bottom w:val="single" w:color="auto" w:sz="6" w:space="0"/>
                    <w:right w:val="nil"/>
                  </w:tcBorders>
                  <w:vAlign w:val="center"/>
                </w:tcPr>
                <w:p>
                  <w:pPr>
                    <w:jc w:val="center"/>
                  </w:pPr>
                  <w:r>
                    <w:rPr>
                      <w:rFonts w:hint="eastAsia"/>
                    </w:rPr>
                    <w:t>不涉及</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16" w:type="pct"/>
                  <w:vMerge w:val="continue"/>
                  <w:tcBorders>
                    <w:left w:val="nil"/>
                    <w:bottom w:val="single" w:color="auto" w:sz="6" w:space="0"/>
                    <w:right w:val="single" w:color="auto" w:sz="6" w:space="0"/>
                  </w:tcBorders>
                  <w:vAlign w:val="center"/>
                </w:tcPr>
                <w:p>
                  <w:pPr>
                    <w:adjustRightInd w:val="0"/>
                    <w:snapToGrid w:val="0"/>
                    <w:jc w:val="center"/>
                    <w:rPr>
                      <w:rFonts w:hAnsi="宋体"/>
                      <w:szCs w:val="21"/>
                    </w:rPr>
                  </w:pPr>
                </w:p>
              </w:tc>
              <w:tc>
                <w:tcPr>
                  <w:tcW w:w="39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textAlignment w:val="baseline"/>
                    <w:rPr>
                      <w:szCs w:val="21"/>
                    </w:rPr>
                  </w:pPr>
                  <w:r>
                    <w:rPr>
                      <w:rFonts w:hint="eastAsia"/>
                      <w:szCs w:val="21"/>
                    </w:rPr>
                    <w:t>加大工业涂装 VOCs 治理力度</w:t>
                  </w:r>
                </w:p>
              </w:tc>
              <w:tc>
                <w:tcPr>
                  <w:tcW w:w="2339"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工程机械制造行业。推广使用高固体分、粉末涂料，到2020年底前，使用比例达到 50%以上；试点推行水性涂料。积极采用自动喷涂、静电喷涂等先进涂装技术。加强有机废气收集与治理，有机废气收集率不低于 80%，建设吸附燃烧高效治理设施，实现稳定达标排放。</w:t>
                  </w:r>
                </w:p>
              </w:tc>
              <w:tc>
                <w:tcPr>
                  <w:tcW w:w="1138"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本项目属于专用设备制造业，不涉及工业表面涂装，不涉及生产和使用高VOCs含量的溶剂涂料、油墨、胶黏剂。</w:t>
                  </w:r>
                </w:p>
              </w:tc>
              <w:tc>
                <w:tcPr>
                  <w:tcW w:w="215" w:type="pct"/>
                  <w:tcBorders>
                    <w:top w:val="single" w:color="auto" w:sz="6" w:space="0"/>
                    <w:left w:val="single" w:color="auto" w:sz="6" w:space="0"/>
                    <w:bottom w:val="single" w:color="auto" w:sz="6" w:space="0"/>
                    <w:right w:val="nil"/>
                  </w:tcBorders>
                  <w:vAlign w:val="center"/>
                </w:tcPr>
                <w:p>
                  <w:pPr>
                    <w:jc w:val="center"/>
                  </w:pPr>
                  <w:r>
                    <w:rPr>
                      <w:rFonts w:hint="eastAsia"/>
                    </w:rPr>
                    <w:t>不涉及</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16" w:type="pct"/>
                  <w:tcBorders>
                    <w:top w:val="single" w:color="auto" w:sz="6" w:space="0"/>
                    <w:left w:val="nil"/>
                    <w:bottom w:val="single" w:color="auto" w:sz="6" w:space="0"/>
                    <w:right w:val="single" w:color="auto" w:sz="6" w:space="0"/>
                  </w:tcBorders>
                  <w:vAlign w:val="center"/>
                </w:tcPr>
                <w:p>
                  <w:pPr>
                    <w:adjustRightInd w:val="0"/>
                    <w:snapToGrid w:val="0"/>
                    <w:jc w:val="center"/>
                    <w:rPr>
                      <w:szCs w:val="21"/>
                    </w:rPr>
                  </w:pPr>
                  <w:r>
                    <w:rPr>
                      <w:rFonts w:hAnsi="宋体"/>
                      <w:szCs w:val="21"/>
                    </w:rPr>
                    <w:t>《河南省生态环境厅关于印发河南省工业大气污染防治</w:t>
                  </w:r>
                  <w:r>
                    <w:rPr>
                      <w:szCs w:val="21"/>
                    </w:rPr>
                    <w:t>6</w:t>
                  </w:r>
                  <w:r>
                    <w:rPr>
                      <w:rFonts w:hAnsi="宋体"/>
                      <w:szCs w:val="21"/>
                    </w:rPr>
                    <w:t>个专项方案的通知》（豫环文</w:t>
                  </w:r>
                  <w:r>
                    <w:rPr>
                      <w:szCs w:val="21"/>
                    </w:rPr>
                    <w:t>[2019]84</w:t>
                  </w:r>
                  <w:r>
                    <w:rPr>
                      <w:rFonts w:hAnsi="宋体"/>
                      <w:szCs w:val="21"/>
                    </w:rPr>
                    <w:t>号）</w:t>
                  </w:r>
                  <w:r>
                    <w:rPr>
                      <w:szCs w:val="21"/>
                    </w:rPr>
                    <w:t>---</w:t>
                  </w:r>
                  <w:r>
                    <w:rPr>
                      <w:rFonts w:hAnsi="宋体"/>
                      <w:szCs w:val="21"/>
                    </w:rPr>
                    <w:t>《河南省</w:t>
                  </w:r>
                  <w:r>
                    <w:rPr>
                      <w:szCs w:val="21"/>
                    </w:rPr>
                    <w:t>2019</w:t>
                  </w:r>
                  <w:r>
                    <w:rPr>
                      <w:rFonts w:hAnsi="宋体"/>
                      <w:szCs w:val="21"/>
                    </w:rPr>
                    <w:t>年工业企业无组织排放治理方案》</w:t>
                  </w:r>
                </w:p>
              </w:tc>
              <w:tc>
                <w:tcPr>
                  <w:tcW w:w="39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int="eastAsia" w:hAnsi="宋体"/>
                      <w:szCs w:val="21"/>
                    </w:rPr>
                    <w:t>各类无组织排放污染物控制措施</w:t>
                  </w:r>
                </w:p>
              </w:tc>
              <w:tc>
                <w:tcPr>
                  <w:tcW w:w="233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szCs w:val="21"/>
                    </w:rPr>
                  </w:pPr>
                  <w:r>
                    <w:rPr>
                      <w:szCs w:val="21"/>
                    </w:rPr>
                    <w:t>6.2气态污染物无组织排放控制措施</w:t>
                  </w:r>
                </w:p>
                <w:p>
                  <w:pPr>
                    <w:adjustRightInd w:val="0"/>
                    <w:snapToGrid w:val="0"/>
                    <w:jc w:val="left"/>
                    <w:rPr>
                      <w:szCs w:val="21"/>
                    </w:rPr>
                  </w:pPr>
                  <w:r>
                    <w:rPr>
                      <w:szCs w:val="21"/>
                    </w:rPr>
                    <w:t>6.2.3电焊烟气，等离子、火焰切割烟气</w:t>
                  </w:r>
                </w:p>
                <w:p>
                  <w:pPr>
                    <w:adjustRightInd w:val="0"/>
                    <w:snapToGrid w:val="0"/>
                    <w:jc w:val="center"/>
                    <w:rPr>
                      <w:szCs w:val="21"/>
                    </w:rPr>
                  </w:pPr>
                  <w:r>
                    <w:rPr>
                      <w:szCs w:val="21"/>
                    </w:rPr>
                    <w:t>机械生产企业电焊工位必须固定，不得随意变更。电焊烟气采用顶吸式或侧吸式集气罩收集，经袋式除尘器处理。维修使用的电焊设施可使用简易移动式烟气处理设备。</w:t>
                  </w:r>
                </w:p>
                <w:p>
                  <w:pPr>
                    <w:adjustRightInd w:val="0"/>
                    <w:snapToGrid w:val="0"/>
                    <w:jc w:val="center"/>
                    <w:rPr>
                      <w:szCs w:val="21"/>
                    </w:rPr>
                  </w:pPr>
                  <w:r>
                    <w:rPr>
                      <w:szCs w:val="21"/>
                    </w:rPr>
                    <w:t>钢材等离子、火焰切割烟气优先采用底部烟气收集，无法安装底部烟气收集设施的必须配套移动式集气罩收集烟气，并进行除尘处理</w:t>
                  </w: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zCs w:val="21"/>
                    </w:rPr>
                    <w:t>1</w:t>
                  </w:r>
                  <w:r>
                    <w:rPr>
                      <w:rFonts w:hAnsi="宋体"/>
                      <w:szCs w:val="21"/>
                    </w:rPr>
                    <w:t>、本项目所有原料均在车间内存放，无露天存放；</w:t>
                  </w:r>
                  <w:r>
                    <w:rPr>
                      <w:szCs w:val="21"/>
                    </w:rPr>
                    <w:t>2</w:t>
                  </w:r>
                  <w:r>
                    <w:rPr>
                      <w:rFonts w:hAnsi="宋体"/>
                      <w:szCs w:val="21"/>
                    </w:rPr>
                    <w:t>、项目生产于密闭车间内进行</w:t>
                  </w:r>
                  <w:r>
                    <w:t>3</w:t>
                  </w:r>
                  <w:r>
                    <w:rPr>
                      <w:rFonts w:hAnsi="宋体"/>
                    </w:rPr>
                    <w:t>、项目厂区道路均硬化，定期洒水；</w:t>
                  </w:r>
                </w:p>
              </w:tc>
              <w:tc>
                <w:tcPr>
                  <w:tcW w:w="215" w:type="pct"/>
                  <w:tcBorders>
                    <w:top w:val="single" w:color="auto" w:sz="6" w:space="0"/>
                    <w:left w:val="single" w:color="auto" w:sz="6" w:space="0"/>
                    <w:bottom w:val="single" w:color="auto" w:sz="6" w:space="0"/>
                    <w:right w:val="nil"/>
                  </w:tcBorders>
                  <w:vAlign w:val="center"/>
                </w:tcPr>
                <w:p>
                  <w:pPr>
                    <w:adjustRightInd w:val="0"/>
                    <w:snapToGrid w:val="0"/>
                    <w:jc w:val="center"/>
                    <w:rPr>
                      <w:szCs w:val="21"/>
                    </w:rPr>
                  </w:pPr>
                  <w:r>
                    <w:rPr>
                      <w:rFonts w:hAnsi="宋体"/>
                      <w:szCs w:val="21"/>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16" w:type="pct"/>
                  <w:tcBorders>
                    <w:top w:val="single" w:color="auto" w:sz="6" w:space="0"/>
                    <w:left w:val="nil"/>
                    <w:bottom w:val="single" w:color="auto" w:sz="6" w:space="0"/>
                    <w:right w:val="single" w:color="auto" w:sz="6" w:space="0"/>
                  </w:tcBorders>
                  <w:vAlign w:val="center"/>
                </w:tcPr>
                <w:p>
                  <w:pPr>
                    <w:adjustRightInd w:val="0"/>
                    <w:snapToGrid w:val="0"/>
                    <w:jc w:val="center"/>
                    <w:rPr>
                      <w:szCs w:val="21"/>
                    </w:rPr>
                  </w:pPr>
                  <w:r>
                    <w:rPr>
                      <w:rFonts w:hAnsi="宋体"/>
                      <w:szCs w:val="21"/>
                    </w:rPr>
                    <w:t>《新乡市生态环境局关于部署安装工业企业用电量监控系统的通知》（新环</w:t>
                  </w:r>
                  <w:r>
                    <w:rPr>
                      <w:szCs w:val="21"/>
                    </w:rPr>
                    <w:t xml:space="preserve"> [2019]154</w:t>
                  </w:r>
                  <w:r>
                    <w:rPr>
                      <w:rFonts w:hAnsi="宋体"/>
                      <w:szCs w:val="21"/>
                    </w:rPr>
                    <w:t>号文）</w:t>
                  </w:r>
                </w:p>
              </w:tc>
              <w:tc>
                <w:tcPr>
                  <w:tcW w:w="39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Ansi="宋体"/>
                      <w:szCs w:val="21"/>
                    </w:rPr>
                    <w:t>安装范围</w:t>
                  </w:r>
                </w:p>
              </w:tc>
              <w:tc>
                <w:tcPr>
                  <w:tcW w:w="233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Ansi="宋体"/>
                      <w:szCs w:val="21"/>
                    </w:rPr>
                    <w:t>所有排污企业的总用电控制位置、主要生产设施和污染治理设施必须安装用电量监控系统终端。</w:t>
                  </w: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rFonts w:hAnsi="宋体"/>
                      <w:szCs w:val="21"/>
                    </w:rPr>
                    <w:t>本项目将严格按照要求在总用电控制位置、主要生产设施和污染治理设置安装用电量监控系统终端</w:t>
                  </w:r>
                </w:p>
              </w:tc>
              <w:tc>
                <w:tcPr>
                  <w:tcW w:w="215" w:type="pct"/>
                  <w:tcBorders>
                    <w:top w:val="single" w:color="auto" w:sz="6" w:space="0"/>
                    <w:left w:val="single" w:color="auto" w:sz="6" w:space="0"/>
                    <w:bottom w:val="single" w:color="auto" w:sz="6" w:space="0"/>
                    <w:right w:val="nil"/>
                  </w:tcBorders>
                  <w:vAlign w:val="center"/>
                </w:tcPr>
                <w:p>
                  <w:pPr>
                    <w:adjustRightInd w:val="0"/>
                    <w:snapToGrid w:val="0"/>
                    <w:jc w:val="center"/>
                    <w:rPr>
                      <w:szCs w:val="21"/>
                    </w:rPr>
                  </w:pPr>
                  <w:r>
                    <w:rPr>
                      <w:rFonts w:hAnsi="宋体"/>
                      <w:szCs w:val="21"/>
                    </w:rPr>
                    <w:t>相符</w:t>
                  </w:r>
                </w:p>
              </w:tc>
            </w:tr>
          </w:tbl>
          <w:p>
            <w:pPr>
              <w:spacing w:line="360" w:lineRule="auto"/>
              <w:rPr>
                <w:sz w:val="24"/>
              </w:rPr>
            </w:pPr>
          </w:p>
        </w:tc>
      </w:tr>
    </w:tbl>
    <w:p>
      <w:pPr>
        <w:snapToGrid w:val="0"/>
        <w:rPr>
          <w:rFonts w:ascii="宋体" w:hAnsi="宋体"/>
          <w:b/>
          <w:sz w:val="32"/>
        </w:rPr>
      </w:pPr>
      <w:r>
        <w:rPr>
          <w:sz w:val="28"/>
        </w:rPr>
        <w:br w:type="page"/>
      </w:r>
      <w:r>
        <w:rPr>
          <w:rFonts w:ascii="宋体" w:hAnsi="宋体"/>
          <w:b/>
          <w:sz w:val="32"/>
        </w:rPr>
        <w:t>环境质量</w:t>
      </w:r>
      <w:r>
        <w:rPr>
          <w:rFonts w:hint="eastAsia" w:ascii="宋体" w:hAnsi="宋体"/>
          <w:b/>
          <w:sz w:val="32"/>
        </w:rPr>
        <w:t>现状调查与评价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5" w:hRule="atLeast"/>
          <w:jc w:val="center"/>
        </w:trPr>
        <w:tc>
          <w:tcPr>
            <w:tcW w:w="9558" w:type="dxa"/>
          </w:tcPr>
          <w:p>
            <w:pPr>
              <w:spacing w:line="360" w:lineRule="auto"/>
              <w:rPr>
                <w:b/>
                <w:sz w:val="24"/>
              </w:rPr>
            </w:pPr>
            <w:r>
              <w:rPr>
                <w:rFonts w:hAnsi="宋体"/>
                <w:b/>
                <w:sz w:val="24"/>
              </w:rPr>
              <w:t>建设项目所在地区域环境质量现状及主要环境问题（环境空气、地面水、地下水、声环境、生态环境等）</w:t>
            </w:r>
          </w:p>
          <w:p>
            <w:pPr>
              <w:adjustRightInd w:val="0"/>
              <w:snapToGrid w:val="0"/>
              <w:spacing w:line="500" w:lineRule="exact"/>
              <w:rPr>
                <w:b/>
                <w:bCs/>
                <w:sz w:val="24"/>
              </w:rPr>
            </w:pPr>
            <w:r>
              <w:rPr>
                <w:b/>
                <w:bCs/>
                <w:sz w:val="24"/>
              </w:rPr>
              <w:t>1</w:t>
            </w:r>
            <w:r>
              <w:rPr>
                <w:rFonts w:hint="eastAsia" w:hAnsi="宋体"/>
                <w:b/>
                <w:bCs/>
                <w:sz w:val="24"/>
              </w:rPr>
              <w:t>.</w:t>
            </w:r>
            <w:r>
              <w:rPr>
                <w:rFonts w:hAnsi="宋体"/>
                <w:b/>
                <w:bCs/>
                <w:sz w:val="24"/>
              </w:rPr>
              <w:t>环境空气质量现状</w:t>
            </w:r>
          </w:p>
          <w:p>
            <w:pPr>
              <w:adjustRightInd w:val="0"/>
              <w:snapToGrid w:val="0"/>
              <w:spacing w:line="500" w:lineRule="exact"/>
              <w:ind w:firstLine="480" w:firstLineChars="200"/>
              <w:rPr>
                <w:sz w:val="24"/>
              </w:rPr>
            </w:pPr>
            <w:r>
              <w:rPr>
                <w:rFonts w:hAnsi="宋体"/>
                <w:sz w:val="24"/>
              </w:rPr>
              <w:t>该项目位于</w:t>
            </w:r>
            <w:r>
              <w:rPr>
                <w:rFonts w:hint="eastAsia" w:hAnsi="宋体"/>
                <w:sz w:val="24"/>
              </w:rPr>
              <w:t>新乡市新乡县朗公庙镇曲水村北</w:t>
            </w:r>
            <w:r>
              <w:rPr>
                <w:rFonts w:hAnsi="宋体"/>
                <w:sz w:val="24"/>
              </w:rPr>
              <w:t>，根据环境空气质量功能分区，项目所在区域属于二类功能区，应执行《环境空气质量标准》</w:t>
            </w:r>
            <w:r>
              <w:rPr>
                <w:sz w:val="24"/>
              </w:rPr>
              <w:t>(GB3095-2012)</w:t>
            </w:r>
            <w:r>
              <w:rPr>
                <w:rFonts w:hAnsi="宋体"/>
                <w:sz w:val="24"/>
              </w:rPr>
              <w:t>表</w:t>
            </w:r>
            <w:r>
              <w:rPr>
                <w:sz w:val="24"/>
              </w:rPr>
              <w:t>1</w:t>
            </w:r>
            <w:r>
              <w:rPr>
                <w:rFonts w:hAnsi="宋体"/>
                <w:sz w:val="24"/>
              </w:rPr>
              <w:t>二级标准。</w:t>
            </w:r>
            <w:r>
              <w:rPr>
                <w:rFonts w:hint="eastAsia" w:hAnsi="宋体"/>
                <w:sz w:val="24"/>
              </w:rPr>
              <w:t>根据新乡市环保局发布的《新乡市2019年环境质量年报》，</w:t>
            </w:r>
            <w:r>
              <w:rPr>
                <w:rFonts w:hAnsi="宋体"/>
                <w:sz w:val="24"/>
              </w:rPr>
              <w:t>环境空气质量数据</w:t>
            </w:r>
            <w:r>
              <w:rPr>
                <w:rFonts w:hint="eastAsia" w:hAnsi="宋体"/>
                <w:sz w:val="24"/>
              </w:rPr>
              <w:t>统计数据</w:t>
            </w:r>
            <w:r>
              <w:rPr>
                <w:rFonts w:hAnsi="宋体"/>
                <w:sz w:val="24"/>
              </w:rPr>
              <w:t>详见表</w:t>
            </w:r>
            <w:r>
              <w:rPr>
                <w:rFonts w:hint="eastAsia" w:hAnsi="宋体"/>
                <w:sz w:val="24"/>
              </w:rPr>
              <w:t>20。</w:t>
            </w:r>
          </w:p>
          <w:p>
            <w:pPr>
              <w:autoSpaceDE w:val="0"/>
              <w:autoSpaceDN w:val="0"/>
              <w:adjustRightInd w:val="0"/>
              <w:snapToGrid w:val="0"/>
              <w:spacing w:line="400" w:lineRule="exact"/>
              <w:ind w:left="420"/>
              <w:rPr>
                <w:rFonts w:hAnsi="宋体"/>
                <w:b/>
                <w:sz w:val="24"/>
              </w:rPr>
            </w:pPr>
            <w:r>
              <w:rPr>
                <w:rFonts w:hAnsi="宋体"/>
                <w:b/>
                <w:sz w:val="24"/>
              </w:rPr>
              <w:t>表</w:t>
            </w:r>
            <w:r>
              <w:rPr>
                <w:rFonts w:hint="eastAsia" w:hAnsi="宋体"/>
                <w:b/>
                <w:sz w:val="24"/>
              </w:rPr>
              <w:t>20</w:t>
            </w:r>
            <w:r>
              <w:rPr>
                <w:rFonts w:hAnsi="宋体"/>
                <w:b/>
                <w:sz w:val="24"/>
              </w:rPr>
              <w:t xml:space="preserve">   </w:t>
            </w:r>
            <w:r>
              <w:rPr>
                <w:rFonts w:hint="eastAsia" w:hAnsi="宋体"/>
                <w:b/>
                <w:sz w:val="24"/>
              </w:rPr>
              <w:t xml:space="preserve">         </w:t>
            </w:r>
            <w:r>
              <w:rPr>
                <w:rFonts w:hAnsi="宋体"/>
                <w:b/>
                <w:sz w:val="24"/>
              </w:rPr>
              <w:t xml:space="preserve">             环境质量浓度现状评价表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57" w:type="dxa"/>
                <w:left w:w="108" w:type="dxa"/>
                <w:bottom w:w="57" w:type="dxa"/>
                <w:right w:w="108" w:type="dxa"/>
              </w:tblCellMar>
            </w:tblPr>
            <w:tblGrid>
              <w:gridCol w:w="1437"/>
              <w:gridCol w:w="1934"/>
              <w:gridCol w:w="1603"/>
              <w:gridCol w:w="1742"/>
              <w:gridCol w:w="1310"/>
              <w:gridCol w:w="130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cantSplit/>
                <w:trHeight w:val="397" w:hRule="atLeast"/>
                <w:jc w:val="center"/>
              </w:trPr>
              <w:tc>
                <w:tcPr>
                  <w:tcW w:w="770" w:type="pct"/>
                  <w:tcBorders>
                    <w:top w:val="single" w:color="auto" w:sz="12" w:space="0"/>
                    <w:left w:val="nil"/>
                    <w:bottom w:val="single" w:color="auto" w:sz="6" w:space="0"/>
                    <w:right w:val="single" w:color="auto" w:sz="6" w:space="0"/>
                  </w:tcBorders>
                  <w:tcMar>
                    <w:top w:w="57" w:type="dxa"/>
                    <w:left w:w="85" w:type="dxa"/>
                    <w:bottom w:w="57" w:type="dxa"/>
                    <w:right w:w="85" w:type="dxa"/>
                  </w:tcMar>
                  <w:vAlign w:val="center"/>
                </w:tcPr>
                <w:p>
                  <w:pPr>
                    <w:pStyle w:val="78"/>
                    <w:spacing w:line="240" w:lineRule="auto"/>
                    <w:rPr>
                      <w:rFonts w:ascii="Times New Roman" w:hAnsi="Times New Roman"/>
                      <w:b/>
                      <w:color w:val="auto"/>
                    </w:rPr>
                  </w:pPr>
                  <w:r>
                    <w:rPr>
                      <w:rFonts w:ascii="Times New Roman" w:hAnsi="宋体"/>
                      <w:b/>
                      <w:color w:val="auto"/>
                    </w:rPr>
                    <w:t>污染物</w:t>
                  </w:r>
                </w:p>
              </w:tc>
              <w:tc>
                <w:tcPr>
                  <w:tcW w:w="1036" w:type="pct"/>
                  <w:tcBorders>
                    <w:top w:val="single" w:color="auto" w:sz="12" w:space="0"/>
                    <w:left w:val="single" w:color="auto" w:sz="6" w:space="0"/>
                    <w:bottom w:val="single" w:color="auto" w:sz="6" w:space="0"/>
                    <w:right w:val="single" w:color="auto" w:sz="6" w:space="0"/>
                  </w:tcBorders>
                  <w:tcMar>
                    <w:top w:w="57" w:type="dxa"/>
                    <w:left w:w="85" w:type="dxa"/>
                    <w:bottom w:w="57" w:type="dxa"/>
                    <w:right w:w="85" w:type="dxa"/>
                  </w:tcMar>
                  <w:vAlign w:val="center"/>
                </w:tcPr>
                <w:p>
                  <w:pPr>
                    <w:pStyle w:val="78"/>
                    <w:spacing w:line="240" w:lineRule="auto"/>
                    <w:rPr>
                      <w:rFonts w:ascii="Times New Roman" w:hAnsi="Times New Roman"/>
                      <w:b/>
                      <w:color w:val="auto"/>
                    </w:rPr>
                  </w:pPr>
                  <w:r>
                    <w:rPr>
                      <w:rFonts w:ascii="Times New Roman" w:hAnsi="宋体"/>
                      <w:b/>
                      <w:color w:val="auto"/>
                    </w:rPr>
                    <w:t>年评价指标</w:t>
                  </w:r>
                </w:p>
              </w:tc>
              <w:tc>
                <w:tcPr>
                  <w:tcW w:w="859" w:type="pct"/>
                  <w:tcBorders>
                    <w:top w:val="single" w:color="auto" w:sz="12" w:space="0"/>
                    <w:left w:val="single" w:color="auto" w:sz="6" w:space="0"/>
                    <w:bottom w:val="single" w:color="auto" w:sz="6" w:space="0"/>
                    <w:right w:val="single" w:color="auto" w:sz="6" w:space="0"/>
                  </w:tcBorders>
                  <w:tcMar>
                    <w:top w:w="57" w:type="dxa"/>
                    <w:left w:w="85" w:type="dxa"/>
                    <w:bottom w:w="57" w:type="dxa"/>
                    <w:right w:w="85" w:type="dxa"/>
                  </w:tcMar>
                  <w:vAlign w:val="center"/>
                </w:tcPr>
                <w:p>
                  <w:pPr>
                    <w:pStyle w:val="78"/>
                    <w:spacing w:line="240" w:lineRule="auto"/>
                    <w:rPr>
                      <w:rFonts w:ascii="Times New Roman" w:hAnsi="Times New Roman"/>
                      <w:b/>
                      <w:color w:val="auto"/>
                    </w:rPr>
                  </w:pPr>
                  <w:r>
                    <w:rPr>
                      <w:rFonts w:ascii="Times New Roman" w:hAnsi="宋体"/>
                      <w:b/>
                      <w:color w:val="auto"/>
                    </w:rPr>
                    <w:t>现状浓度</w:t>
                  </w:r>
                  <w:r>
                    <w:rPr>
                      <w:rFonts w:ascii="Times New Roman" w:hAnsi="Times New Roman"/>
                      <w:b/>
                      <w:color w:val="auto"/>
                    </w:rPr>
                    <w:t>/</w:t>
                  </w:r>
                  <w:r>
                    <w:rPr>
                      <w:rFonts w:ascii="Times New Roman" w:hAnsi="宋体"/>
                      <w:b/>
                      <w:color w:val="auto"/>
                    </w:rPr>
                    <w:t>（</w:t>
                  </w:r>
                  <w:r>
                    <w:rPr>
                      <w:rFonts w:ascii="Times New Roman" w:hAnsi="Times New Roman"/>
                      <w:b/>
                      <w:color w:val="auto"/>
                    </w:rPr>
                    <w:t>μg/m</w:t>
                  </w:r>
                  <w:r>
                    <w:rPr>
                      <w:rFonts w:ascii="Times New Roman" w:hAnsi="Times New Roman"/>
                      <w:b/>
                      <w:color w:val="auto"/>
                      <w:vertAlign w:val="superscript"/>
                    </w:rPr>
                    <w:t>3</w:t>
                  </w:r>
                  <w:r>
                    <w:rPr>
                      <w:rFonts w:ascii="Times New Roman" w:hAnsi="宋体"/>
                      <w:b/>
                      <w:color w:val="auto"/>
                    </w:rPr>
                    <w:t>）</w:t>
                  </w:r>
                </w:p>
              </w:tc>
              <w:tc>
                <w:tcPr>
                  <w:tcW w:w="933" w:type="pct"/>
                  <w:tcBorders>
                    <w:top w:val="single" w:color="auto" w:sz="12" w:space="0"/>
                    <w:left w:val="single" w:color="auto" w:sz="6" w:space="0"/>
                    <w:bottom w:val="single" w:color="auto" w:sz="6" w:space="0"/>
                    <w:right w:val="single" w:color="auto" w:sz="6" w:space="0"/>
                  </w:tcBorders>
                  <w:tcMar>
                    <w:top w:w="57" w:type="dxa"/>
                    <w:left w:w="85" w:type="dxa"/>
                    <w:bottom w:w="57" w:type="dxa"/>
                    <w:right w:w="85" w:type="dxa"/>
                  </w:tcMar>
                  <w:vAlign w:val="center"/>
                </w:tcPr>
                <w:p>
                  <w:pPr>
                    <w:pStyle w:val="78"/>
                    <w:spacing w:line="240" w:lineRule="auto"/>
                    <w:rPr>
                      <w:rFonts w:ascii="Times New Roman" w:hAnsi="Times New Roman"/>
                      <w:b/>
                      <w:color w:val="auto"/>
                    </w:rPr>
                  </w:pPr>
                  <w:r>
                    <w:rPr>
                      <w:rFonts w:ascii="Times New Roman" w:hAnsi="宋体"/>
                      <w:b/>
                      <w:color w:val="auto"/>
                    </w:rPr>
                    <w:t>标准值</w:t>
                  </w:r>
                  <w:r>
                    <w:rPr>
                      <w:rFonts w:ascii="Times New Roman" w:hAnsi="Times New Roman"/>
                      <w:b/>
                      <w:color w:val="auto"/>
                    </w:rPr>
                    <w:t>/</w:t>
                  </w:r>
                  <w:r>
                    <w:rPr>
                      <w:rFonts w:ascii="Times New Roman" w:hAnsi="宋体"/>
                      <w:b/>
                      <w:color w:val="auto"/>
                    </w:rPr>
                    <w:t>（</w:t>
                  </w:r>
                  <w:r>
                    <w:rPr>
                      <w:rFonts w:ascii="Times New Roman" w:hAnsi="Times New Roman"/>
                      <w:b/>
                      <w:color w:val="auto"/>
                    </w:rPr>
                    <w:t>μg/m</w:t>
                  </w:r>
                  <w:r>
                    <w:rPr>
                      <w:rFonts w:ascii="Times New Roman" w:hAnsi="Times New Roman"/>
                      <w:b/>
                      <w:color w:val="auto"/>
                      <w:vertAlign w:val="superscript"/>
                    </w:rPr>
                    <w:t>3</w:t>
                  </w:r>
                  <w:r>
                    <w:rPr>
                      <w:rFonts w:ascii="Times New Roman" w:hAnsi="宋体"/>
                      <w:b/>
                      <w:color w:val="auto"/>
                    </w:rPr>
                    <w:t>）</w:t>
                  </w:r>
                </w:p>
              </w:tc>
              <w:tc>
                <w:tcPr>
                  <w:tcW w:w="702" w:type="pct"/>
                  <w:tcBorders>
                    <w:top w:val="single" w:color="auto" w:sz="12" w:space="0"/>
                    <w:left w:val="single" w:color="auto" w:sz="6" w:space="0"/>
                    <w:bottom w:val="single" w:color="auto" w:sz="6" w:space="0"/>
                    <w:right w:val="single" w:color="auto" w:sz="6" w:space="0"/>
                  </w:tcBorders>
                  <w:tcMar>
                    <w:top w:w="57" w:type="dxa"/>
                    <w:left w:w="85" w:type="dxa"/>
                    <w:bottom w:w="57" w:type="dxa"/>
                    <w:right w:w="85" w:type="dxa"/>
                  </w:tcMar>
                  <w:vAlign w:val="center"/>
                </w:tcPr>
                <w:p>
                  <w:pPr>
                    <w:pStyle w:val="78"/>
                    <w:spacing w:line="240" w:lineRule="auto"/>
                    <w:rPr>
                      <w:rFonts w:ascii="Times New Roman" w:hAnsi="Times New Roman"/>
                      <w:b/>
                      <w:color w:val="auto"/>
                    </w:rPr>
                  </w:pPr>
                  <w:r>
                    <w:rPr>
                      <w:rFonts w:ascii="Times New Roman" w:hAnsi="宋体"/>
                      <w:b/>
                      <w:color w:val="auto"/>
                    </w:rPr>
                    <w:t>占标率</w:t>
                  </w:r>
                  <w:r>
                    <w:rPr>
                      <w:rFonts w:ascii="Times New Roman" w:hAnsi="Times New Roman"/>
                      <w:b/>
                      <w:color w:val="auto"/>
                    </w:rPr>
                    <w:t>/</w:t>
                  </w:r>
                </w:p>
                <w:p>
                  <w:pPr>
                    <w:pStyle w:val="78"/>
                    <w:spacing w:line="240" w:lineRule="auto"/>
                    <w:rPr>
                      <w:rFonts w:ascii="Times New Roman" w:hAnsi="Times New Roman"/>
                      <w:b/>
                      <w:color w:val="auto"/>
                    </w:rPr>
                  </w:pPr>
                  <w:r>
                    <w:rPr>
                      <w:rFonts w:ascii="Times New Roman" w:hAnsi="Times New Roman"/>
                      <w:b/>
                      <w:color w:val="auto"/>
                    </w:rPr>
                    <w:t>%</w:t>
                  </w:r>
                </w:p>
              </w:tc>
              <w:tc>
                <w:tcPr>
                  <w:tcW w:w="700" w:type="pct"/>
                  <w:tcBorders>
                    <w:top w:val="single" w:color="auto" w:sz="12" w:space="0"/>
                    <w:left w:val="single" w:color="auto" w:sz="6" w:space="0"/>
                    <w:bottom w:val="single" w:color="auto" w:sz="6" w:space="0"/>
                    <w:right w:val="nil"/>
                  </w:tcBorders>
                  <w:tcMar>
                    <w:top w:w="57" w:type="dxa"/>
                    <w:left w:w="85" w:type="dxa"/>
                    <w:bottom w:w="57" w:type="dxa"/>
                    <w:right w:w="85" w:type="dxa"/>
                  </w:tcMar>
                  <w:vAlign w:val="center"/>
                </w:tcPr>
                <w:p>
                  <w:pPr>
                    <w:pStyle w:val="78"/>
                    <w:spacing w:line="240" w:lineRule="auto"/>
                    <w:rPr>
                      <w:rFonts w:ascii="Times New Roman" w:hAnsi="Times New Roman"/>
                      <w:b/>
                      <w:color w:val="auto"/>
                    </w:rPr>
                  </w:pPr>
                  <w:r>
                    <w:rPr>
                      <w:rFonts w:ascii="Times New Roman" w:hAnsi="宋体"/>
                      <w:b/>
                      <w:color w:val="auto"/>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cantSplit/>
                <w:trHeight w:val="397" w:hRule="atLeast"/>
                <w:jc w:val="center"/>
              </w:trPr>
              <w:tc>
                <w:tcPr>
                  <w:tcW w:w="770" w:type="pct"/>
                  <w:tcBorders>
                    <w:top w:val="single" w:color="auto" w:sz="6" w:space="0"/>
                    <w:left w:val="nil"/>
                    <w:bottom w:val="single" w:color="auto" w:sz="6" w:space="0"/>
                    <w:right w:val="single" w:color="auto" w:sz="6" w:space="0"/>
                  </w:tcBorders>
                  <w:tcMar>
                    <w:top w:w="57" w:type="dxa"/>
                    <w:left w:w="85" w:type="dxa"/>
                    <w:bottom w:w="57" w:type="dxa"/>
                    <w:right w:w="85" w:type="dxa"/>
                  </w:tcMar>
                  <w:vAlign w:val="center"/>
                </w:tcPr>
                <w:p>
                  <w:pPr>
                    <w:pStyle w:val="78"/>
                    <w:spacing w:line="240" w:lineRule="auto"/>
                    <w:rPr>
                      <w:rFonts w:ascii="Times New Roman" w:hAnsi="Times New Roman"/>
                      <w:color w:val="auto"/>
                    </w:rPr>
                  </w:pPr>
                  <w:r>
                    <w:rPr>
                      <w:rFonts w:ascii="Times New Roman" w:hAnsi="Times New Roman"/>
                      <w:color w:val="auto"/>
                    </w:rPr>
                    <w:t>PM</w:t>
                  </w:r>
                  <w:r>
                    <w:rPr>
                      <w:rFonts w:ascii="Times New Roman" w:hAnsi="Times New Roman"/>
                      <w:color w:val="auto"/>
                      <w:vertAlign w:val="subscript"/>
                    </w:rPr>
                    <w:t>10</w:t>
                  </w:r>
                </w:p>
              </w:tc>
              <w:tc>
                <w:tcPr>
                  <w:tcW w:w="1036"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pStyle w:val="78"/>
                    <w:spacing w:line="240" w:lineRule="auto"/>
                    <w:rPr>
                      <w:rFonts w:ascii="Times New Roman" w:hAnsi="Times New Roman"/>
                      <w:color w:val="auto"/>
                    </w:rPr>
                  </w:pPr>
                  <w:r>
                    <w:rPr>
                      <w:rFonts w:ascii="Times New Roman" w:hAnsi="宋体"/>
                      <w:color w:val="auto"/>
                    </w:rPr>
                    <w:t>年平均质量浓度</w:t>
                  </w:r>
                </w:p>
              </w:tc>
              <w:tc>
                <w:tcPr>
                  <w:tcW w:w="859"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autoSpaceDE w:val="0"/>
                    <w:autoSpaceDN w:val="0"/>
                    <w:adjustRightInd w:val="0"/>
                    <w:snapToGrid w:val="0"/>
                    <w:jc w:val="center"/>
                    <w:rPr>
                      <w:szCs w:val="21"/>
                    </w:rPr>
                  </w:pPr>
                  <w:r>
                    <w:rPr>
                      <w:szCs w:val="21"/>
                    </w:rPr>
                    <w:t>101</w:t>
                  </w:r>
                </w:p>
              </w:tc>
              <w:tc>
                <w:tcPr>
                  <w:tcW w:w="933"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autoSpaceDE w:val="0"/>
                    <w:autoSpaceDN w:val="0"/>
                    <w:adjustRightInd w:val="0"/>
                    <w:snapToGrid w:val="0"/>
                    <w:jc w:val="center"/>
                    <w:rPr>
                      <w:szCs w:val="21"/>
                    </w:rPr>
                  </w:pPr>
                  <w:r>
                    <w:rPr>
                      <w:szCs w:val="21"/>
                    </w:rPr>
                    <w:t>70</w:t>
                  </w:r>
                </w:p>
              </w:tc>
              <w:tc>
                <w:tcPr>
                  <w:tcW w:w="702"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pStyle w:val="80"/>
                    <w:adjustRightInd w:val="0"/>
                    <w:snapToGrid w:val="0"/>
                    <w:spacing w:line="240" w:lineRule="auto"/>
                    <w:rPr>
                      <w:rFonts w:ascii="Times New Roman" w:hAnsi="Times New Roman"/>
                      <w:color w:val="auto"/>
                    </w:rPr>
                  </w:pPr>
                  <w:r>
                    <w:rPr>
                      <w:rFonts w:ascii="Times New Roman" w:hAnsi="Times New Roman"/>
                      <w:color w:val="auto"/>
                    </w:rPr>
                    <w:t>144</w:t>
                  </w:r>
                </w:p>
              </w:tc>
              <w:tc>
                <w:tcPr>
                  <w:tcW w:w="700" w:type="pct"/>
                  <w:tcBorders>
                    <w:top w:val="single" w:color="auto" w:sz="6" w:space="0"/>
                    <w:left w:val="single" w:color="auto" w:sz="6" w:space="0"/>
                    <w:bottom w:val="single" w:color="auto" w:sz="6" w:space="0"/>
                    <w:right w:val="nil"/>
                  </w:tcBorders>
                  <w:tcMar>
                    <w:top w:w="57" w:type="dxa"/>
                    <w:left w:w="85" w:type="dxa"/>
                    <w:bottom w:w="57" w:type="dxa"/>
                    <w:right w:w="85" w:type="dxa"/>
                  </w:tcMar>
                  <w:vAlign w:val="center"/>
                </w:tcPr>
                <w:p>
                  <w:pPr>
                    <w:autoSpaceDE w:val="0"/>
                    <w:autoSpaceDN w:val="0"/>
                    <w:adjustRightInd w:val="0"/>
                    <w:snapToGrid w:val="0"/>
                    <w:jc w:val="center"/>
                    <w:rPr>
                      <w:szCs w:val="21"/>
                    </w:rPr>
                  </w:pPr>
                  <w:r>
                    <w:rPr>
                      <w:rFonts w:hAnsi="宋体"/>
                      <w:szCs w:val="21"/>
                    </w:rPr>
                    <w:t>超标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cantSplit/>
                <w:trHeight w:val="397" w:hRule="atLeast"/>
                <w:jc w:val="center"/>
              </w:trPr>
              <w:tc>
                <w:tcPr>
                  <w:tcW w:w="770" w:type="pct"/>
                  <w:tcBorders>
                    <w:top w:val="single" w:color="auto" w:sz="6" w:space="0"/>
                    <w:left w:val="nil"/>
                    <w:bottom w:val="single" w:color="auto" w:sz="6" w:space="0"/>
                    <w:right w:val="single" w:color="auto" w:sz="6" w:space="0"/>
                  </w:tcBorders>
                  <w:tcMar>
                    <w:top w:w="57" w:type="dxa"/>
                    <w:left w:w="85" w:type="dxa"/>
                    <w:bottom w:w="57" w:type="dxa"/>
                    <w:right w:w="85" w:type="dxa"/>
                  </w:tcMar>
                  <w:vAlign w:val="center"/>
                </w:tcPr>
                <w:p>
                  <w:pPr>
                    <w:pStyle w:val="78"/>
                    <w:spacing w:line="240" w:lineRule="auto"/>
                    <w:rPr>
                      <w:rFonts w:ascii="Times New Roman" w:hAnsi="Times New Roman"/>
                      <w:color w:val="auto"/>
                    </w:rPr>
                  </w:pPr>
                  <w:r>
                    <w:rPr>
                      <w:rFonts w:ascii="Times New Roman" w:hAnsi="Times New Roman"/>
                      <w:color w:val="auto"/>
                    </w:rPr>
                    <w:t>PM</w:t>
                  </w:r>
                  <w:r>
                    <w:rPr>
                      <w:rFonts w:ascii="Times New Roman" w:hAnsi="Times New Roman"/>
                      <w:color w:val="auto"/>
                      <w:vertAlign w:val="subscript"/>
                    </w:rPr>
                    <w:t>2.5</w:t>
                  </w:r>
                </w:p>
              </w:tc>
              <w:tc>
                <w:tcPr>
                  <w:tcW w:w="1036"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tcPr>
                <w:p>
                  <w:pPr>
                    <w:pStyle w:val="78"/>
                    <w:spacing w:line="240" w:lineRule="auto"/>
                    <w:rPr>
                      <w:rFonts w:ascii="Times New Roman" w:hAnsi="Times New Roman"/>
                      <w:color w:val="auto"/>
                    </w:rPr>
                  </w:pPr>
                  <w:r>
                    <w:rPr>
                      <w:rFonts w:ascii="Times New Roman" w:hAnsi="宋体"/>
                      <w:color w:val="auto"/>
                    </w:rPr>
                    <w:t>年平均质量浓度</w:t>
                  </w:r>
                </w:p>
              </w:tc>
              <w:tc>
                <w:tcPr>
                  <w:tcW w:w="859"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autoSpaceDE w:val="0"/>
                    <w:autoSpaceDN w:val="0"/>
                    <w:adjustRightInd w:val="0"/>
                    <w:snapToGrid w:val="0"/>
                    <w:jc w:val="center"/>
                    <w:rPr>
                      <w:szCs w:val="21"/>
                    </w:rPr>
                  </w:pPr>
                  <w:r>
                    <w:rPr>
                      <w:szCs w:val="21"/>
                    </w:rPr>
                    <w:t>56</w:t>
                  </w:r>
                </w:p>
              </w:tc>
              <w:tc>
                <w:tcPr>
                  <w:tcW w:w="933"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autoSpaceDE w:val="0"/>
                    <w:autoSpaceDN w:val="0"/>
                    <w:adjustRightInd w:val="0"/>
                    <w:snapToGrid w:val="0"/>
                    <w:jc w:val="center"/>
                    <w:rPr>
                      <w:szCs w:val="21"/>
                    </w:rPr>
                  </w:pPr>
                  <w:r>
                    <w:rPr>
                      <w:szCs w:val="21"/>
                    </w:rPr>
                    <w:t>35</w:t>
                  </w:r>
                </w:p>
              </w:tc>
              <w:tc>
                <w:tcPr>
                  <w:tcW w:w="702"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pStyle w:val="80"/>
                    <w:adjustRightInd w:val="0"/>
                    <w:snapToGrid w:val="0"/>
                    <w:spacing w:line="240" w:lineRule="auto"/>
                    <w:rPr>
                      <w:rFonts w:ascii="Times New Roman" w:hAnsi="Times New Roman"/>
                      <w:color w:val="auto"/>
                    </w:rPr>
                  </w:pPr>
                  <w:r>
                    <w:rPr>
                      <w:rFonts w:ascii="Times New Roman" w:hAnsi="Times New Roman"/>
                      <w:color w:val="auto"/>
                    </w:rPr>
                    <w:t>160</w:t>
                  </w:r>
                </w:p>
              </w:tc>
              <w:tc>
                <w:tcPr>
                  <w:tcW w:w="700" w:type="pct"/>
                  <w:tcBorders>
                    <w:top w:val="single" w:color="auto" w:sz="6" w:space="0"/>
                    <w:left w:val="single" w:color="auto" w:sz="6" w:space="0"/>
                    <w:bottom w:val="single" w:color="auto" w:sz="6" w:space="0"/>
                    <w:right w:val="nil"/>
                  </w:tcBorders>
                  <w:tcMar>
                    <w:top w:w="57" w:type="dxa"/>
                    <w:left w:w="85" w:type="dxa"/>
                    <w:bottom w:w="57" w:type="dxa"/>
                    <w:right w:w="85" w:type="dxa"/>
                  </w:tcMar>
                  <w:vAlign w:val="center"/>
                </w:tcPr>
                <w:p>
                  <w:pPr>
                    <w:autoSpaceDE w:val="0"/>
                    <w:autoSpaceDN w:val="0"/>
                    <w:adjustRightInd w:val="0"/>
                    <w:snapToGrid w:val="0"/>
                    <w:jc w:val="center"/>
                    <w:rPr>
                      <w:szCs w:val="21"/>
                    </w:rPr>
                  </w:pPr>
                  <w:r>
                    <w:rPr>
                      <w:rFonts w:hAnsi="宋体"/>
                      <w:szCs w:val="21"/>
                    </w:rPr>
                    <w:t>超标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cantSplit/>
                <w:trHeight w:val="397" w:hRule="atLeast"/>
                <w:jc w:val="center"/>
              </w:trPr>
              <w:tc>
                <w:tcPr>
                  <w:tcW w:w="770" w:type="pct"/>
                  <w:tcBorders>
                    <w:top w:val="single" w:color="auto" w:sz="6" w:space="0"/>
                    <w:left w:val="nil"/>
                    <w:bottom w:val="single" w:color="auto" w:sz="6" w:space="0"/>
                    <w:right w:val="single" w:color="auto" w:sz="6" w:space="0"/>
                  </w:tcBorders>
                  <w:tcMar>
                    <w:top w:w="57" w:type="dxa"/>
                    <w:left w:w="85" w:type="dxa"/>
                    <w:bottom w:w="57" w:type="dxa"/>
                    <w:right w:w="85" w:type="dxa"/>
                  </w:tcMar>
                  <w:vAlign w:val="center"/>
                </w:tcPr>
                <w:p>
                  <w:pPr>
                    <w:pStyle w:val="78"/>
                    <w:spacing w:line="240" w:lineRule="auto"/>
                    <w:rPr>
                      <w:rFonts w:ascii="Times New Roman" w:hAnsi="Times New Roman"/>
                      <w:color w:val="auto"/>
                    </w:rPr>
                  </w:pPr>
                  <w:r>
                    <w:rPr>
                      <w:rFonts w:ascii="Times New Roman" w:hAnsi="Times New Roman"/>
                      <w:color w:val="auto"/>
                    </w:rPr>
                    <w:t>SO</w:t>
                  </w:r>
                  <w:r>
                    <w:rPr>
                      <w:rFonts w:ascii="Times New Roman" w:hAnsi="Times New Roman"/>
                      <w:color w:val="auto"/>
                      <w:vertAlign w:val="subscript"/>
                    </w:rPr>
                    <w:t>2</w:t>
                  </w:r>
                </w:p>
              </w:tc>
              <w:tc>
                <w:tcPr>
                  <w:tcW w:w="1036"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tcPr>
                <w:p>
                  <w:pPr>
                    <w:pStyle w:val="78"/>
                    <w:spacing w:line="240" w:lineRule="auto"/>
                    <w:rPr>
                      <w:rFonts w:ascii="Times New Roman" w:hAnsi="Times New Roman"/>
                      <w:color w:val="auto"/>
                    </w:rPr>
                  </w:pPr>
                  <w:r>
                    <w:rPr>
                      <w:rFonts w:ascii="Times New Roman" w:hAnsi="宋体"/>
                      <w:color w:val="auto"/>
                    </w:rPr>
                    <w:t>年平均质量浓度</w:t>
                  </w:r>
                </w:p>
              </w:tc>
              <w:tc>
                <w:tcPr>
                  <w:tcW w:w="859"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autoSpaceDE w:val="0"/>
                    <w:autoSpaceDN w:val="0"/>
                    <w:adjustRightInd w:val="0"/>
                    <w:snapToGrid w:val="0"/>
                    <w:jc w:val="center"/>
                    <w:rPr>
                      <w:szCs w:val="21"/>
                    </w:rPr>
                  </w:pPr>
                  <w:r>
                    <w:rPr>
                      <w:szCs w:val="21"/>
                    </w:rPr>
                    <w:t>16</w:t>
                  </w:r>
                </w:p>
              </w:tc>
              <w:tc>
                <w:tcPr>
                  <w:tcW w:w="933"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autoSpaceDE w:val="0"/>
                    <w:autoSpaceDN w:val="0"/>
                    <w:adjustRightInd w:val="0"/>
                    <w:snapToGrid w:val="0"/>
                    <w:jc w:val="center"/>
                    <w:rPr>
                      <w:szCs w:val="21"/>
                    </w:rPr>
                  </w:pPr>
                  <w:r>
                    <w:rPr>
                      <w:szCs w:val="21"/>
                    </w:rPr>
                    <w:t>60</w:t>
                  </w:r>
                </w:p>
              </w:tc>
              <w:tc>
                <w:tcPr>
                  <w:tcW w:w="702"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pStyle w:val="80"/>
                    <w:adjustRightInd w:val="0"/>
                    <w:snapToGrid w:val="0"/>
                    <w:spacing w:line="240" w:lineRule="auto"/>
                    <w:rPr>
                      <w:rFonts w:ascii="Times New Roman" w:hAnsi="Times New Roman"/>
                      <w:color w:val="auto"/>
                    </w:rPr>
                  </w:pPr>
                  <w:r>
                    <w:rPr>
                      <w:rFonts w:ascii="Times New Roman" w:hAnsi="Times New Roman"/>
                      <w:color w:val="auto"/>
                    </w:rPr>
                    <w:t>27</w:t>
                  </w:r>
                </w:p>
              </w:tc>
              <w:tc>
                <w:tcPr>
                  <w:tcW w:w="700" w:type="pct"/>
                  <w:tcBorders>
                    <w:top w:val="single" w:color="auto" w:sz="6" w:space="0"/>
                    <w:left w:val="single" w:color="auto" w:sz="6" w:space="0"/>
                    <w:bottom w:val="single" w:color="auto" w:sz="6" w:space="0"/>
                    <w:right w:val="nil"/>
                  </w:tcBorders>
                  <w:tcMar>
                    <w:top w:w="57" w:type="dxa"/>
                    <w:left w:w="85" w:type="dxa"/>
                    <w:bottom w:w="57" w:type="dxa"/>
                    <w:right w:w="85" w:type="dxa"/>
                  </w:tcMar>
                  <w:vAlign w:val="center"/>
                </w:tcPr>
                <w:p>
                  <w:pPr>
                    <w:autoSpaceDE w:val="0"/>
                    <w:autoSpaceDN w:val="0"/>
                    <w:adjustRightInd w:val="0"/>
                    <w:snapToGrid w:val="0"/>
                    <w:jc w:val="center"/>
                    <w:rPr>
                      <w:szCs w:val="21"/>
                    </w:rPr>
                  </w:pPr>
                  <w:r>
                    <w:rPr>
                      <w:rFonts w:hAnsi="宋体"/>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cantSplit/>
                <w:trHeight w:val="397" w:hRule="atLeast"/>
                <w:jc w:val="center"/>
              </w:trPr>
              <w:tc>
                <w:tcPr>
                  <w:tcW w:w="770" w:type="pct"/>
                  <w:tcBorders>
                    <w:top w:val="single" w:color="auto" w:sz="6" w:space="0"/>
                    <w:left w:val="nil"/>
                    <w:bottom w:val="single" w:color="auto" w:sz="6" w:space="0"/>
                    <w:right w:val="single" w:color="auto" w:sz="6" w:space="0"/>
                  </w:tcBorders>
                  <w:tcMar>
                    <w:top w:w="57" w:type="dxa"/>
                    <w:left w:w="85" w:type="dxa"/>
                    <w:bottom w:w="57" w:type="dxa"/>
                    <w:right w:w="85" w:type="dxa"/>
                  </w:tcMar>
                  <w:vAlign w:val="center"/>
                </w:tcPr>
                <w:p>
                  <w:pPr>
                    <w:pStyle w:val="78"/>
                    <w:spacing w:line="240" w:lineRule="auto"/>
                    <w:rPr>
                      <w:rFonts w:ascii="Times New Roman" w:hAnsi="Times New Roman"/>
                      <w:color w:val="auto"/>
                    </w:rPr>
                  </w:pPr>
                  <w:r>
                    <w:rPr>
                      <w:rFonts w:ascii="Times New Roman" w:hAnsi="Times New Roman"/>
                      <w:color w:val="auto"/>
                    </w:rPr>
                    <w:t>NO</w:t>
                  </w:r>
                  <w:r>
                    <w:rPr>
                      <w:rFonts w:ascii="Times New Roman" w:hAnsi="Times New Roman"/>
                      <w:color w:val="auto"/>
                      <w:vertAlign w:val="subscript"/>
                    </w:rPr>
                    <w:t>2</w:t>
                  </w:r>
                </w:p>
              </w:tc>
              <w:tc>
                <w:tcPr>
                  <w:tcW w:w="1036"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tcPr>
                <w:p>
                  <w:pPr>
                    <w:pStyle w:val="78"/>
                    <w:spacing w:line="240" w:lineRule="auto"/>
                    <w:rPr>
                      <w:rFonts w:ascii="Times New Roman" w:hAnsi="Times New Roman"/>
                      <w:color w:val="auto"/>
                    </w:rPr>
                  </w:pPr>
                  <w:r>
                    <w:rPr>
                      <w:rFonts w:ascii="Times New Roman" w:hAnsi="宋体"/>
                      <w:color w:val="auto"/>
                    </w:rPr>
                    <w:t>年平均质量浓度</w:t>
                  </w:r>
                </w:p>
              </w:tc>
              <w:tc>
                <w:tcPr>
                  <w:tcW w:w="859"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autoSpaceDE w:val="0"/>
                    <w:autoSpaceDN w:val="0"/>
                    <w:adjustRightInd w:val="0"/>
                    <w:snapToGrid w:val="0"/>
                    <w:jc w:val="center"/>
                    <w:rPr>
                      <w:szCs w:val="21"/>
                    </w:rPr>
                  </w:pPr>
                  <w:r>
                    <w:rPr>
                      <w:szCs w:val="21"/>
                    </w:rPr>
                    <w:t>44</w:t>
                  </w:r>
                </w:p>
              </w:tc>
              <w:tc>
                <w:tcPr>
                  <w:tcW w:w="933"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autoSpaceDE w:val="0"/>
                    <w:autoSpaceDN w:val="0"/>
                    <w:adjustRightInd w:val="0"/>
                    <w:snapToGrid w:val="0"/>
                    <w:jc w:val="center"/>
                    <w:rPr>
                      <w:szCs w:val="21"/>
                    </w:rPr>
                  </w:pPr>
                  <w:r>
                    <w:rPr>
                      <w:szCs w:val="21"/>
                    </w:rPr>
                    <w:t>40</w:t>
                  </w:r>
                </w:p>
              </w:tc>
              <w:tc>
                <w:tcPr>
                  <w:tcW w:w="702"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pStyle w:val="80"/>
                    <w:adjustRightInd w:val="0"/>
                    <w:snapToGrid w:val="0"/>
                    <w:spacing w:line="240" w:lineRule="auto"/>
                    <w:rPr>
                      <w:rFonts w:ascii="Times New Roman" w:hAnsi="Times New Roman"/>
                      <w:color w:val="auto"/>
                    </w:rPr>
                  </w:pPr>
                  <w:r>
                    <w:rPr>
                      <w:rFonts w:ascii="Times New Roman" w:hAnsi="Times New Roman"/>
                      <w:color w:val="auto"/>
                    </w:rPr>
                    <w:t>110</w:t>
                  </w:r>
                </w:p>
              </w:tc>
              <w:tc>
                <w:tcPr>
                  <w:tcW w:w="700" w:type="pct"/>
                  <w:tcBorders>
                    <w:top w:val="single" w:color="auto" w:sz="6" w:space="0"/>
                    <w:left w:val="single" w:color="auto" w:sz="6" w:space="0"/>
                    <w:bottom w:val="single" w:color="auto" w:sz="6" w:space="0"/>
                    <w:right w:val="nil"/>
                  </w:tcBorders>
                  <w:tcMar>
                    <w:top w:w="57" w:type="dxa"/>
                    <w:left w:w="85" w:type="dxa"/>
                    <w:bottom w:w="57" w:type="dxa"/>
                    <w:right w:w="85" w:type="dxa"/>
                  </w:tcMar>
                  <w:vAlign w:val="center"/>
                </w:tcPr>
                <w:p>
                  <w:pPr>
                    <w:autoSpaceDE w:val="0"/>
                    <w:autoSpaceDN w:val="0"/>
                    <w:adjustRightInd w:val="0"/>
                    <w:snapToGrid w:val="0"/>
                    <w:jc w:val="center"/>
                    <w:rPr>
                      <w:szCs w:val="21"/>
                    </w:rPr>
                  </w:pPr>
                  <w:r>
                    <w:rPr>
                      <w:rFonts w:hAnsi="宋体"/>
                      <w:szCs w:val="21"/>
                    </w:rPr>
                    <w:t>超标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cantSplit/>
                <w:trHeight w:val="397" w:hRule="atLeast"/>
                <w:jc w:val="center"/>
              </w:trPr>
              <w:tc>
                <w:tcPr>
                  <w:tcW w:w="770" w:type="pct"/>
                  <w:tcBorders>
                    <w:top w:val="single" w:color="auto" w:sz="6" w:space="0"/>
                    <w:left w:val="nil"/>
                    <w:bottom w:val="single" w:color="auto" w:sz="6" w:space="0"/>
                    <w:right w:val="single" w:color="auto" w:sz="6" w:space="0"/>
                  </w:tcBorders>
                  <w:tcMar>
                    <w:top w:w="57" w:type="dxa"/>
                    <w:left w:w="85" w:type="dxa"/>
                    <w:bottom w:w="57" w:type="dxa"/>
                    <w:right w:w="85" w:type="dxa"/>
                  </w:tcMar>
                  <w:vAlign w:val="center"/>
                </w:tcPr>
                <w:p>
                  <w:pPr>
                    <w:pStyle w:val="78"/>
                    <w:spacing w:line="240" w:lineRule="auto"/>
                    <w:rPr>
                      <w:rFonts w:ascii="Times New Roman" w:hAnsi="Times New Roman"/>
                      <w:color w:val="auto"/>
                    </w:rPr>
                  </w:pPr>
                  <w:r>
                    <w:rPr>
                      <w:rFonts w:ascii="Times New Roman" w:hAnsi="Times New Roman"/>
                      <w:color w:val="auto"/>
                    </w:rPr>
                    <w:t>CO</w:t>
                  </w:r>
                </w:p>
              </w:tc>
              <w:tc>
                <w:tcPr>
                  <w:tcW w:w="1036"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pStyle w:val="78"/>
                    <w:spacing w:line="240" w:lineRule="auto"/>
                    <w:rPr>
                      <w:rFonts w:ascii="Times New Roman" w:hAnsi="Times New Roman"/>
                      <w:color w:val="auto"/>
                    </w:rPr>
                  </w:pPr>
                  <w:r>
                    <w:rPr>
                      <w:rFonts w:ascii="Times New Roman" w:hAnsi="宋体"/>
                      <w:color w:val="auto"/>
                    </w:rPr>
                    <w:t>第</w:t>
                  </w:r>
                  <w:r>
                    <w:rPr>
                      <w:rFonts w:ascii="Times New Roman" w:hAnsi="Times New Roman"/>
                      <w:color w:val="auto"/>
                    </w:rPr>
                    <w:t>95</w:t>
                  </w:r>
                  <w:r>
                    <w:rPr>
                      <w:rFonts w:ascii="Times New Roman" w:hAnsi="宋体"/>
                      <w:color w:val="auto"/>
                    </w:rPr>
                    <w:t>百分位浓度</w:t>
                  </w:r>
                </w:p>
              </w:tc>
              <w:tc>
                <w:tcPr>
                  <w:tcW w:w="859"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autoSpaceDE w:val="0"/>
                    <w:autoSpaceDN w:val="0"/>
                    <w:adjustRightInd w:val="0"/>
                    <w:snapToGrid w:val="0"/>
                    <w:jc w:val="center"/>
                    <w:rPr>
                      <w:szCs w:val="21"/>
                    </w:rPr>
                  </w:pPr>
                  <w:r>
                    <w:rPr>
                      <w:szCs w:val="21"/>
                    </w:rPr>
                    <w:t>2.08mg/m</w:t>
                  </w:r>
                  <w:r>
                    <w:rPr>
                      <w:szCs w:val="21"/>
                      <w:vertAlign w:val="superscript"/>
                    </w:rPr>
                    <w:t>3</w:t>
                  </w:r>
                </w:p>
              </w:tc>
              <w:tc>
                <w:tcPr>
                  <w:tcW w:w="933"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autoSpaceDE w:val="0"/>
                    <w:autoSpaceDN w:val="0"/>
                    <w:adjustRightInd w:val="0"/>
                    <w:snapToGrid w:val="0"/>
                    <w:jc w:val="center"/>
                    <w:rPr>
                      <w:szCs w:val="21"/>
                    </w:rPr>
                  </w:pPr>
                  <w:r>
                    <w:rPr>
                      <w:szCs w:val="21"/>
                    </w:rPr>
                    <w:t>4mg/m</w:t>
                  </w:r>
                  <w:r>
                    <w:rPr>
                      <w:szCs w:val="21"/>
                      <w:vertAlign w:val="superscript"/>
                    </w:rPr>
                    <w:t>3</w:t>
                  </w:r>
                </w:p>
              </w:tc>
              <w:tc>
                <w:tcPr>
                  <w:tcW w:w="702" w:type="pct"/>
                  <w:tcBorders>
                    <w:top w:val="single" w:color="auto" w:sz="6" w:space="0"/>
                    <w:left w:val="single" w:color="auto" w:sz="6" w:space="0"/>
                    <w:bottom w:val="single" w:color="auto" w:sz="6" w:space="0"/>
                    <w:right w:val="single" w:color="auto" w:sz="6" w:space="0"/>
                  </w:tcBorders>
                  <w:tcMar>
                    <w:top w:w="57" w:type="dxa"/>
                    <w:left w:w="85" w:type="dxa"/>
                    <w:bottom w:w="57" w:type="dxa"/>
                    <w:right w:w="85" w:type="dxa"/>
                  </w:tcMar>
                  <w:vAlign w:val="center"/>
                </w:tcPr>
                <w:p>
                  <w:pPr>
                    <w:pStyle w:val="80"/>
                    <w:adjustRightInd w:val="0"/>
                    <w:snapToGrid w:val="0"/>
                    <w:spacing w:line="240" w:lineRule="auto"/>
                    <w:rPr>
                      <w:rFonts w:ascii="Times New Roman" w:hAnsi="Times New Roman"/>
                      <w:color w:val="auto"/>
                    </w:rPr>
                  </w:pPr>
                  <w:r>
                    <w:rPr>
                      <w:rFonts w:ascii="Times New Roman" w:hAnsi="Times New Roman"/>
                      <w:color w:val="auto"/>
                    </w:rPr>
                    <w:t>52</w:t>
                  </w:r>
                </w:p>
              </w:tc>
              <w:tc>
                <w:tcPr>
                  <w:tcW w:w="700" w:type="pct"/>
                  <w:tcBorders>
                    <w:top w:val="single" w:color="auto" w:sz="6" w:space="0"/>
                    <w:left w:val="single" w:color="auto" w:sz="6" w:space="0"/>
                    <w:bottom w:val="single" w:color="auto" w:sz="6" w:space="0"/>
                    <w:right w:val="nil"/>
                  </w:tcBorders>
                  <w:tcMar>
                    <w:top w:w="57" w:type="dxa"/>
                    <w:left w:w="85" w:type="dxa"/>
                    <w:bottom w:w="57" w:type="dxa"/>
                    <w:right w:w="85" w:type="dxa"/>
                  </w:tcMar>
                  <w:vAlign w:val="center"/>
                </w:tcPr>
                <w:p>
                  <w:pPr>
                    <w:autoSpaceDE w:val="0"/>
                    <w:autoSpaceDN w:val="0"/>
                    <w:adjustRightInd w:val="0"/>
                    <w:snapToGrid w:val="0"/>
                    <w:jc w:val="center"/>
                    <w:rPr>
                      <w:szCs w:val="21"/>
                    </w:rPr>
                  </w:pPr>
                  <w:r>
                    <w:rPr>
                      <w:rFonts w:hAnsi="宋体"/>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cantSplit/>
                <w:trHeight w:val="397" w:hRule="atLeast"/>
                <w:jc w:val="center"/>
              </w:trPr>
              <w:tc>
                <w:tcPr>
                  <w:tcW w:w="770" w:type="pct"/>
                  <w:tcBorders>
                    <w:top w:val="single" w:color="auto" w:sz="6" w:space="0"/>
                    <w:left w:val="nil"/>
                    <w:bottom w:val="single" w:color="auto" w:sz="12" w:space="0"/>
                    <w:right w:val="single" w:color="auto" w:sz="6" w:space="0"/>
                  </w:tcBorders>
                  <w:tcMar>
                    <w:top w:w="57" w:type="dxa"/>
                    <w:left w:w="85" w:type="dxa"/>
                    <w:bottom w:w="57" w:type="dxa"/>
                    <w:right w:w="85" w:type="dxa"/>
                  </w:tcMar>
                  <w:vAlign w:val="center"/>
                </w:tcPr>
                <w:p>
                  <w:pPr>
                    <w:pStyle w:val="78"/>
                    <w:spacing w:line="240" w:lineRule="auto"/>
                    <w:rPr>
                      <w:rFonts w:ascii="Times New Roman" w:hAnsi="Times New Roman"/>
                      <w:color w:val="auto"/>
                    </w:rPr>
                  </w:pPr>
                  <w:r>
                    <w:rPr>
                      <w:rFonts w:ascii="Times New Roman" w:hAnsi="Times New Roman"/>
                      <w:color w:val="auto"/>
                    </w:rPr>
                    <w:t>O</w:t>
                  </w:r>
                  <w:r>
                    <w:rPr>
                      <w:rFonts w:ascii="Times New Roman" w:hAnsi="Times New Roman"/>
                      <w:color w:val="auto"/>
                      <w:vertAlign w:val="subscript"/>
                    </w:rPr>
                    <w:t>3</w:t>
                  </w:r>
                </w:p>
              </w:tc>
              <w:tc>
                <w:tcPr>
                  <w:tcW w:w="1036" w:type="pct"/>
                  <w:tcBorders>
                    <w:top w:val="single" w:color="auto" w:sz="6" w:space="0"/>
                    <w:left w:val="single" w:color="auto" w:sz="6" w:space="0"/>
                    <w:bottom w:val="single" w:color="auto" w:sz="12" w:space="0"/>
                    <w:right w:val="single" w:color="auto" w:sz="6" w:space="0"/>
                  </w:tcBorders>
                  <w:tcMar>
                    <w:top w:w="57" w:type="dxa"/>
                    <w:left w:w="85" w:type="dxa"/>
                    <w:bottom w:w="57" w:type="dxa"/>
                    <w:right w:w="85" w:type="dxa"/>
                  </w:tcMar>
                  <w:vAlign w:val="center"/>
                </w:tcPr>
                <w:p>
                  <w:pPr>
                    <w:pStyle w:val="78"/>
                    <w:spacing w:line="240" w:lineRule="auto"/>
                    <w:rPr>
                      <w:rFonts w:ascii="Times New Roman" w:hAnsi="Times New Roman"/>
                      <w:color w:val="auto"/>
                    </w:rPr>
                  </w:pPr>
                  <w:r>
                    <w:rPr>
                      <w:rFonts w:ascii="Times New Roman" w:hAnsi="宋体"/>
                      <w:color w:val="auto"/>
                    </w:rPr>
                    <w:t>第</w:t>
                  </w:r>
                  <w:r>
                    <w:rPr>
                      <w:rFonts w:ascii="Times New Roman" w:hAnsi="Times New Roman"/>
                      <w:color w:val="auto"/>
                    </w:rPr>
                    <w:t>90</w:t>
                  </w:r>
                  <w:r>
                    <w:rPr>
                      <w:rFonts w:ascii="Times New Roman" w:hAnsi="宋体"/>
                      <w:color w:val="auto"/>
                    </w:rPr>
                    <w:t>百分位浓度</w:t>
                  </w:r>
                </w:p>
              </w:tc>
              <w:tc>
                <w:tcPr>
                  <w:tcW w:w="859" w:type="pct"/>
                  <w:tcBorders>
                    <w:top w:val="single" w:color="auto" w:sz="6" w:space="0"/>
                    <w:left w:val="single" w:color="auto" w:sz="6" w:space="0"/>
                    <w:bottom w:val="single" w:color="auto" w:sz="12" w:space="0"/>
                    <w:right w:val="single" w:color="auto" w:sz="6" w:space="0"/>
                  </w:tcBorders>
                  <w:tcMar>
                    <w:top w:w="57" w:type="dxa"/>
                    <w:left w:w="85" w:type="dxa"/>
                    <w:bottom w:w="57" w:type="dxa"/>
                    <w:right w:w="85" w:type="dxa"/>
                  </w:tcMar>
                  <w:vAlign w:val="center"/>
                </w:tcPr>
                <w:p>
                  <w:pPr>
                    <w:autoSpaceDE w:val="0"/>
                    <w:autoSpaceDN w:val="0"/>
                    <w:adjustRightInd w:val="0"/>
                    <w:snapToGrid w:val="0"/>
                    <w:jc w:val="center"/>
                    <w:rPr>
                      <w:szCs w:val="21"/>
                    </w:rPr>
                  </w:pPr>
                  <w:r>
                    <w:rPr>
                      <w:szCs w:val="21"/>
                    </w:rPr>
                    <w:t>178</w:t>
                  </w:r>
                </w:p>
              </w:tc>
              <w:tc>
                <w:tcPr>
                  <w:tcW w:w="933" w:type="pct"/>
                  <w:tcBorders>
                    <w:top w:val="single" w:color="auto" w:sz="6" w:space="0"/>
                    <w:left w:val="single" w:color="auto" w:sz="6" w:space="0"/>
                    <w:bottom w:val="single" w:color="auto" w:sz="12" w:space="0"/>
                    <w:right w:val="single" w:color="auto" w:sz="6" w:space="0"/>
                  </w:tcBorders>
                  <w:tcMar>
                    <w:top w:w="57" w:type="dxa"/>
                    <w:left w:w="85" w:type="dxa"/>
                    <w:bottom w:w="57" w:type="dxa"/>
                    <w:right w:w="85" w:type="dxa"/>
                  </w:tcMar>
                  <w:vAlign w:val="center"/>
                </w:tcPr>
                <w:p>
                  <w:pPr>
                    <w:autoSpaceDE w:val="0"/>
                    <w:autoSpaceDN w:val="0"/>
                    <w:adjustRightInd w:val="0"/>
                    <w:snapToGrid w:val="0"/>
                    <w:jc w:val="center"/>
                    <w:rPr>
                      <w:szCs w:val="21"/>
                    </w:rPr>
                  </w:pPr>
                  <w:r>
                    <w:rPr>
                      <w:szCs w:val="21"/>
                    </w:rPr>
                    <w:t>160</w:t>
                  </w:r>
                </w:p>
              </w:tc>
              <w:tc>
                <w:tcPr>
                  <w:tcW w:w="702" w:type="pct"/>
                  <w:tcBorders>
                    <w:top w:val="single" w:color="auto" w:sz="6" w:space="0"/>
                    <w:left w:val="single" w:color="auto" w:sz="6" w:space="0"/>
                    <w:bottom w:val="single" w:color="auto" w:sz="12" w:space="0"/>
                    <w:right w:val="single" w:color="auto" w:sz="6" w:space="0"/>
                  </w:tcBorders>
                  <w:tcMar>
                    <w:top w:w="57" w:type="dxa"/>
                    <w:left w:w="85" w:type="dxa"/>
                    <w:bottom w:w="57" w:type="dxa"/>
                    <w:right w:w="85" w:type="dxa"/>
                  </w:tcMar>
                  <w:vAlign w:val="center"/>
                </w:tcPr>
                <w:p>
                  <w:pPr>
                    <w:pStyle w:val="80"/>
                    <w:adjustRightInd w:val="0"/>
                    <w:snapToGrid w:val="0"/>
                    <w:spacing w:line="240" w:lineRule="auto"/>
                    <w:rPr>
                      <w:rFonts w:ascii="Times New Roman" w:hAnsi="Times New Roman"/>
                      <w:color w:val="auto"/>
                    </w:rPr>
                  </w:pPr>
                  <w:r>
                    <w:rPr>
                      <w:rFonts w:ascii="Times New Roman" w:hAnsi="Times New Roman"/>
                      <w:color w:val="auto"/>
                    </w:rPr>
                    <w:t>111</w:t>
                  </w:r>
                </w:p>
              </w:tc>
              <w:tc>
                <w:tcPr>
                  <w:tcW w:w="700" w:type="pct"/>
                  <w:tcBorders>
                    <w:top w:val="single" w:color="auto" w:sz="6" w:space="0"/>
                    <w:left w:val="single" w:color="auto" w:sz="6" w:space="0"/>
                    <w:bottom w:val="single" w:color="auto" w:sz="12" w:space="0"/>
                    <w:right w:val="nil"/>
                  </w:tcBorders>
                  <w:tcMar>
                    <w:top w:w="57" w:type="dxa"/>
                    <w:left w:w="85" w:type="dxa"/>
                    <w:bottom w:w="57" w:type="dxa"/>
                    <w:right w:w="85" w:type="dxa"/>
                  </w:tcMar>
                  <w:vAlign w:val="center"/>
                </w:tcPr>
                <w:p>
                  <w:pPr>
                    <w:autoSpaceDE w:val="0"/>
                    <w:autoSpaceDN w:val="0"/>
                    <w:adjustRightInd w:val="0"/>
                    <w:snapToGrid w:val="0"/>
                    <w:jc w:val="center"/>
                    <w:rPr>
                      <w:szCs w:val="21"/>
                    </w:rPr>
                  </w:pPr>
                  <w:r>
                    <w:rPr>
                      <w:rFonts w:hAnsi="宋体"/>
                      <w:szCs w:val="21"/>
                    </w:rPr>
                    <w:t>超标</w:t>
                  </w:r>
                </w:p>
              </w:tc>
            </w:tr>
          </w:tbl>
          <w:p>
            <w:pPr>
              <w:adjustRightInd w:val="0"/>
              <w:snapToGrid w:val="0"/>
              <w:spacing w:line="500" w:lineRule="exact"/>
              <w:ind w:firstLine="480" w:firstLineChars="200"/>
              <w:textAlignment w:val="baseline"/>
              <w:rPr>
                <w:bCs/>
                <w:kern w:val="0"/>
                <w:sz w:val="24"/>
              </w:rPr>
            </w:pPr>
            <w:r>
              <w:rPr>
                <w:rFonts w:hAnsi="宋体"/>
                <w:bCs/>
                <w:kern w:val="0"/>
                <w:sz w:val="24"/>
              </w:rPr>
              <w:t>由上表可知，其中</w:t>
            </w:r>
            <w:r>
              <w:rPr>
                <w:bCs/>
                <w:kern w:val="0"/>
                <w:sz w:val="24"/>
              </w:rPr>
              <w:t>PM</w:t>
            </w:r>
            <w:r>
              <w:rPr>
                <w:bCs/>
                <w:kern w:val="0"/>
                <w:sz w:val="24"/>
                <w:vertAlign w:val="subscript"/>
              </w:rPr>
              <w:t>10</w:t>
            </w:r>
            <w:r>
              <w:rPr>
                <w:rFonts w:hAnsi="宋体"/>
                <w:bCs/>
                <w:kern w:val="0"/>
                <w:sz w:val="24"/>
              </w:rPr>
              <w:t>、</w:t>
            </w:r>
            <w:r>
              <w:rPr>
                <w:bCs/>
                <w:kern w:val="0"/>
                <w:sz w:val="24"/>
              </w:rPr>
              <w:t>PM</w:t>
            </w:r>
            <w:r>
              <w:rPr>
                <w:bCs/>
                <w:kern w:val="0"/>
                <w:sz w:val="24"/>
                <w:vertAlign w:val="subscript"/>
              </w:rPr>
              <w:t>2.5</w:t>
            </w:r>
            <w:r>
              <w:rPr>
                <w:rFonts w:hAnsi="宋体"/>
                <w:bCs/>
                <w:kern w:val="0"/>
                <w:sz w:val="24"/>
              </w:rPr>
              <w:t>、</w:t>
            </w:r>
            <w:r>
              <w:rPr>
                <w:bCs/>
                <w:kern w:val="0"/>
                <w:sz w:val="24"/>
              </w:rPr>
              <w:t>NO</w:t>
            </w:r>
            <w:r>
              <w:rPr>
                <w:bCs/>
                <w:kern w:val="0"/>
                <w:sz w:val="24"/>
                <w:vertAlign w:val="subscript"/>
              </w:rPr>
              <w:t>2</w:t>
            </w:r>
            <w:r>
              <w:rPr>
                <w:rFonts w:hAnsi="宋体"/>
                <w:bCs/>
                <w:kern w:val="0"/>
                <w:sz w:val="24"/>
              </w:rPr>
              <w:t>和</w:t>
            </w:r>
            <w:r>
              <w:rPr>
                <w:bCs/>
                <w:kern w:val="0"/>
                <w:sz w:val="24"/>
              </w:rPr>
              <w:t>O</w:t>
            </w:r>
            <w:r>
              <w:rPr>
                <w:bCs/>
                <w:kern w:val="0"/>
                <w:sz w:val="24"/>
                <w:vertAlign w:val="subscript"/>
              </w:rPr>
              <w:t>3</w:t>
            </w:r>
            <w:r>
              <w:rPr>
                <w:rFonts w:hAnsi="宋体"/>
                <w:bCs/>
                <w:kern w:val="0"/>
                <w:sz w:val="24"/>
              </w:rPr>
              <w:t>均不能够满足《环境空气质量标准》（</w:t>
            </w:r>
            <w:r>
              <w:rPr>
                <w:bCs/>
                <w:kern w:val="0"/>
                <w:sz w:val="24"/>
              </w:rPr>
              <w:t>GB3095-2012</w:t>
            </w:r>
            <w:r>
              <w:rPr>
                <w:rFonts w:hAnsi="宋体"/>
                <w:bCs/>
                <w:kern w:val="0"/>
                <w:sz w:val="24"/>
              </w:rPr>
              <w:t>）二级标准要求。根据《环境影响评价技术导则</w:t>
            </w:r>
            <w:r>
              <w:rPr>
                <w:bCs/>
                <w:kern w:val="0"/>
                <w:sz w:val="24"/>
              </w:rPr>
              <w:t xml:space="preserve">  </w:t>
            </w:r>
            <w:r>
              <w:rPr>
                <w:rFonts w:hAnsi="宋体"/>
                <w:bCs/>
                <w:kern w:val="0"/>
                <w:sz w:val="24"/>
              </w:rPr>
              <w:t>大气环境》</w:t>
            </w:r>
            <w:r>
              <w:rPr>
                <w:bCs/>
                <w:kern w:val="0"/>
                <w:sz w:val="24"/>
              </w:rPr>
              <w:t>(HJ2.2-2018)</w:t>
            </w:r>
            <w:r>
              <w:rPr>
                <w:rFonts w:hAnsi="宋体"/>
                <w:bCs/>
                <w:kern w:val="0"/>
                <w:sz w:val="24"/>
              </w:rPr>
              <w:t>，本项目所在区域属于未达标区。</w:t>
            </w:r>
          </w:p>
          <w:p>
            <w:pPr>
              <w:adjustRightInd w:val="0"/>
              <w:snapToGrid w:val="0"/>
              <w:spacing w:line="500" w:lineRule="exact"/>
              <w:ind w:firstLine="480" w:firstLineChars="200"/>
              <w:textAlignment w:val="baseline"/>
              <w:rPr>
                <w:bCs/>
                <w:kern w:val="0"/>
                <w:sz w:val="24"/>
              </w:rPr>
            </w:pPr>
            <w:r>
              <w:rPr>
                <w:bCs/>
                <w:kern w:val="0"/>
                <w:sz w:val="24"/>
              </w:rPr>
              <w:t>2019</w:t>
            </w:r>
            <w:r>
              <w:rPr>
                <w:rFonts w:hAnsi="宋体"/>
                <w:bCs/>
                <w:kern w:val="0"/>
                <w:sz w:val="24"/>
              </w:rPr>
              <w:t>年，新乡市城市环境空气</w:t>
            </w:r>
            <w:r>
              <w:rPr>
                <w:bCs/>
                <w:kern w:val="0"/>
                <w:sz w:val="24"/>
              </w:rPr>
              <w:t>PM</w:t>
            </w:r>
            <w:r>
              <w:rPr>
                <w:bCs/>
                <w:kern w:val="0"/>
                <w:sz w:val="24"/>
                <w:vertAlign w:val="subscript"/>
              </w:rPr>
              <w:t>10</w:t>
            </w:r>
            <w:r>
              <w:rPr>
                <w:rFonts w:hAnsi="宋体"/>
                <w:bCs/>
                <w:kern w:val="0"/>
                <w:sz w:val="24"/>
              </w:rPr>
              <w:t>同比下降</w:t>
            </w:r>
            <w:r>
              <w:rPr>
                <w:bCs/>
                <w:kern w:val="0"/>
                <w:sz w:val="24"/>
              </w:rPr>
              <w:t>4</w:t>
            </w:r>
            <w:r>
              <w:rPr>
                <w:rFonts w:hAnsi="宋体"/>
                <w:bCs/>
                <w:kern w:val="0"/>
                <w:sz w:val="24"/>
              </w:rPr>
              <w:t>微克</w:t>
            </w:r>
            <w:r>
              <w:rPr>
                <w:bCs/>
                <w:kern w:val="0"/>
                <w:sz w:val="24"/>
              </w:rPr>
              <w:t>/</w:t>
            </w:r>
            <w:r>
              <w:rPr>
                <w:rFonts w:hAnsi="宋体"/>
                <w:bCs/>
                <w:kern w:val="0"/>
                <w:sz w:val="24"/>
              </w:rPr>
              <w:t>立方米，降幅</w:t>
            </w:r>
            <w:r>
              <w:rPr>
                <w:bCs/>
                <w:kern w:val="0"/>
                <w:sz w:val="24"/>
              </w:rPr>
              <w:t>3.8%</w:t>
            </w:r>
            <w:r>
              <w:rPr>
                <w:rFonts w:hAnsi="宋体"/>
                <w:bCs/>
                <w:kern w:val="0"/>
                <w:sz w:val="24"/>
              </w:rPr>
              <w:t>；</w:t>
            </w:r>
            <w:r>
              <w:rPr>
                <w:bCs/>
                <w:kern w:val="0"/>
                <w:sz w:val="24"/>
              </w:rPr>
              <w:t>PM</w:t>
            </w:r>
            <w:r>
              <w:rPr>
                <w:bCs/>
                <w:kern w:val="0"/>
                <w:sz w:val="24"/>
                <w:vertAlign w:val="subscript"/>
              </w:rPr>
              <w:t>2.5</w:t>
            </w:r>
            <w:r>
              <w:rPr>
                <w:rFonts w:hAnsi="宋体"/>
                <w:bCs/>
                <w:kern w:val="0"/>
                <w:sz w:val="24"/>
              </w:rPr>
              <w:t>同比下降</w:t>
            </w:r>
            <w:r>
              <w:rPr>
                <w:bCs/>
                <w:kern w:val="0"/>
                <w:sz w:val="24"/>
              </w:rPr>
              <w:t>5</w:t>
            </w:r>
            <w:r>
              <w:rPr>
                <w:rFonts w:hAnsi="宋体"/>
                <w:bCs/>
                <w:kern w:val="0"/>
                <w:sz w:val="24"/>
              </w:rPr>
              <w:t>微克</w:t>
            </w:r>
            <w:r>
              <w:rPr>
                <w:bCs/>
                <w:kern w:val="0"/>
                <w:sz w:val="24"/>
              </w:rPr>
              <w:t>/</w:t>
            </w:r>
            <w:r>
              <w:rPr>
                <w:rFonts w:hAnsi="宋体"/>
                <w:bCs/>
                <w:kern w:val="0"/>
                <w:sz w:val="24"/>
              </w:rPr>
              <w:t>立方米，降幅</w:t>
            </w:r>
            <w:r>
              <w:rPr>
                <w:bCs/>
                <w:kern w:val="0"/>
                <w:sz w:val="24"/>
              </w:rPr>
              <w:t>8.2%</w:t>
            </w:r>
            <w:r>
              <w:rPr>
                <w:rFonts w:hAnsi="宋体"/>
                <w:bCs/>
                <w:kern w:val="0"/>
                <w:sz w:val="24"/>
              </w:rPr>
              <w:t>；</w:t>
            </w:r>
            <w:r>
              <w:rPr>
                <w:bCs/>
                <w:kern w:val="0"/>
                <w:sz w:val="24"/>
              </w:rPr>
              <w:t>SO</w:t>
            </w:r>
            <w:r>
              <w:rPr>
                <w:bCs/>
                <w:kern w:val="0"/>
                <w:sz w:val="24"/>
                <w:vertAlign w:val="subscript"/>
              </w:rPr>
              <w:t>2</w:t>
            </w:r>
            <w:r>
              <w:rPr>
                <w:rFonts w:hAnsi="宋体"/>
                <w:bCs/>
                <w:kern w:val="0"/>
                <w:sz w:val="24"/>
              </w:rPr>
              <w:t>同比下降</w:t>
            </w:r>
            <w:r>
              <w:rPr>
                <w:bCs/>
                <w:kern w:val="0"/>
                <w:sz w:val="24"/>
              </w:rPr>
              <w:t>3</w:t>
            </w:r>
            <w:r>
              <w:rPr>
                <w:rFonts w:hAnsi="宋体"/>
                <w:bCs/>
                <w:kern w:val="0"/>
                <w:sz w:val="24"/>
              </w:rPr>
              <w:t>微克</w:t>
            </w:r>
            <w:r>
              <w:rPr>
                <w:bCs/>
                <w:kern w:val="0"/>
                <w:sz w:val="24"/>
              </w:rPr>
              <w:t>/</w:t>
            </w:r>
            <w:r>
              <w:rPr>
                <w:rFonts w:hAnsi="宋体"/>
                <w:bCs/>
                <w:kern w:val="0"/>
                <w:sz w:val="24"/>
              </w:rPr>
              <w:t>立方米，降幅</w:t>
            </w:r>
            <w:r>
              <w:rPr>
                <w:bCs/>
                <w:kern w:val="0"/>
                <w:sz w:val="24"/>
              </w:rPr>
              <w:t>15.8%</w:t>
            </w:r>
            <w:r>
              <w:rPr>
                <w:rFonts w:hAnsi="宋体"/>
                <w:bCs/>
                <w:kern w:val="0"/>
                <w:sz w:val="24"/>
              </w:rPr>
              <w:t>；</w:t>
            </w:r>
            <w:r>
              <w:rPr>
                <w:bCs/>
                <w:kern w:val="0"/>
                <w:sz w:val="24"/>
              </w:rPr>
              <w:t>NO</w:t>
            </w:r>
            <w:r>
              <w:rPr>
                <w:bCs/>
                <w:kern w:val="0"/>
                <w:sz w:val="24"/>
                <w:vertAlign w:val="subscript"/>
              </w:rPr>
              <w:t>2</w:t>
            </w:r>
            <w:r>
              <w:rPr>
                <w:rFonts w:hAnsi="宋体"/>
                <w:bCs/>
                <w:kern w:val="0"/>
                <w:sz w:val="24"/>
              </w:rPr>
              <w:t>同比下降</w:t>
            </w:r>
            <w:r>
              <w:rPr>
                <w:bCs/>
                <w:kern w:val="0"/>
                <w:sz w:val="24"/>
              </w:rPr>
              <w:t>5</w:t>
            </w:r>
            <w:r>
              <w:rPr>
                <w:rFonts w:hAnsi="宋体"/>
                <w:bCs/>
                <w:kern w:val="0"/>
                <w:sz w:val="24"/>
              </w:rPr>
              <w:t>微克</w:t>
            </w:r>
            <w:r>
              <w:rPr>
                <w:bCs/>
                <w:kern w:val="0"/>
                <w:sz w:val="24"/>
              </w:rPr>
              <w:t>/</w:t>
            </w:r>
            <w:r>
              <w:rPr>
                <w:rFonts w:hAnsi="宋体"/>
                <w:bCs/>
                <w:kern w:val="0"/>
                <w:sz w:val="24"/>
              </w:rPr>
              <w:t>立方米，降幅</w:t>
            </w:r>
            <w:r>
              <w:rPr>
                <w:bCs/>
                <w:kern w:val="0"/>
                <w:sz w:val="24"/>
              </w:rPr>
              <w:t>10.2%</w:t>
            </w:r>
            <w:r>
              <w:rPr>
                <w:rFonts w:hAnsi="宋体"/>
                <w:bCs/>
                <w:kern w:val="0"/>
                <w:sz w:val="24"/>
              </w:rPr>
              <w:t>；</w:t>
            </w:r>
            <w:r>
              <w:rPr>
                <w:bCs/>
                <w:kern w:val="0"/>
                <w:sz w:val="24"/>
              </w:rPr>
              <w:t>O</w:t>
            </w:r>
            <w:r>
              <w:rPr>
                <w:bCs/>
                <w:kern w:val="0"/>
                <w:sz w:val="24"/>
                <w:vertAlign w:val="subscript"/>
              </w:rPr>
              <w:t>3</w:t>
            </w:r>
            <w:r>
              <w:rPr>
                <w:rFonts w:hAnsi="宋体"/>
                <w:bCs/>
                <w:kern w:val="0"/>
                <w:sz w:val="24"/>
              </w:rPr>
              <w:t>第</w:t>
            </w:r>
            <w:r>
              <w:rPr>
                <w:bCs/>
                <w:kern w:val="0"/>
                <w:sz w:val="24"/>
              </w:rPr>
              <w:t>90</w:t>
            </w:r>
            <w:r>
              <w:rPr>
                <w:rFonts w:hAnsi="宋体"/>
                <w:bCs/>
                <w:kern w:val="0"/>
                <w:sz w:val="24"/>
              </w:rPr>
              <w:t>百分位浓度同比下降</w:t>
            </w:r>
            <w:r>
              <w:rPr>
                <w:bCs/>
                <w:kern w:val="0"/>
                <w:sz w:val="24"/>
              </w:rPr>
              <w:t>24</w:t>
            </w:r>
            <w:r>
              <w:rPr>
                <w:rFonts w:hAnsi="宋体"/>
                <w:bCs/>
                <w:kern w:val="0"/>
                <w:sz w:val="24"/>
              </w:rPr>
              <w:t>微克</w:t>
            </w:r>
            <w:r>
              <w:rPr>
                <w:bCs/>
                <w:kern w:val="0"/>
                <w:sz w:val="24"/>
              </w:rPr>
              <w:t>/</w:t>
            </w:r>
            <w:r>
              <w:rPr>
                <w:rFonts w:hAnsi="宋体"/>
                <w:bCs/>
                <w:kern w:val="0"/>
                <w:sz w:val="24"/>
              </w:rPr>
              <w:t>立方米，降幅</w:t>
            </w:r>
            <w:r>
              <w:rPr>
                <w:bCs/>
                <w:kern w:val="0"/>
                <w:sz w:val="24"/>
              </w:rPr>
              <w:t>11.9%</w:t>
            </w:r>
            <w:r>
              <w:rPr>
                <w:rFonts w:hAnsi="宋体"/>
                <w:bCs/>
                <w:kern w:val="0"/>
                <w:sz w:val="24"/>
              </w:rPr>
              <w:t>，</w:t>
            </w:r>
            <w:r>
              <w:rPr>
                <w:bCs/>
                <w:kern w:val="0"/>
                <w:sz w:val="24"/>
              </w:rPr>
              <w:t>CO</w:t>
            </w:r>
            <w:r>
              <w:rPr>
                <w:rFonts w:hAnsi="宋体"/>
                <w:bCs/>
                <w:kern w:val="0"/>
                <w:sz w:val="24"/>
              </w:rPr>
              <w:t>第</w:t>
            </w:r>
            <w:r>
              <w:rPr>
                <w:bCs/>
                <w:kern w:val="0"/>
                <w:sz w:val="24"/>
              </w:rPr>
              <w:t>95</w:t>
            </w:r>
            <w:r>
              <w:rPr>
                <w:rFonts w:hAnsi="宋体"/>
                <w:bCs/>
                <w:kern w:val="0"/>
                <w:sz w:val="24"/>
              </w:rPr>
              <w:t>百分位浓度同比下降</w:t>
            </w:r>
            <w:r>
              <w:rPr>
                <w:bCs/>
                <w:kern w:val="0"/>
                <w:sz w:val="24"/>
              </w:rPr>
              <w:t>0.22</w:t>
            </w:r>
            <w:r>
              <w:rPr>
                <w:rFonts w:hAnsi="宋体"/>
                <w:bCs/>
                <w:kern w:val="0"/>
                <w:sz w:val="24"/>
              </w:rPr>
              <w:t>微克</w:t>
            </w:r>
            <w:r>
              <w:rPr>
                <w:bCs/>
                <w:kern w:val="0"/>
                <w:sz w:val="24"/>
              </w:rPr>
              <w:t>/</w:t>
            </w:r>
            <w:r>
              <w:rPr>
                <w:rFonts w:hAnsi="宋体"/>
                <w:bCs/>
                <w:kern w:val="0"/>
                <w:sz w:val="24"/>
              </w:rPr>
              <w:t>立方米，降幅</w:t>
            </w:r>
            <w:r>
              <w:rPr>
                <w:bCs/>
                <w:kern w:val="0"/>
                <w:sz w:val="24"/>
              </w:rPr>
              <w:t>9.6%</w:t>
            </w:r>
            <w:r>
              <w:rPr>
                <w:rFonts w:hAnsi="宋体"/>
                <w:bCs/>
                <w:kern w:val="0"/>
                <w:sz w:val="24"/>
              </w:rPr>
              <w:t>。优、良天数</w:t>
            </w:r>
            <w:r>
              <w:rPr>
                <w:bCs/>
                <w:kern w:val="0"/>
                <w:sz w:val="24"/>
              </w:rPr>
              <w:t>204</w:t>
            </w:r>
            <w:r>
              <w:rPr>
                <w:rFonts w:hAnsi="宋体"/>
                <w:bCs/>
                <w:kern w:val="0"/>
                <w:sz w:val="24"/>
              </w:rPr>
              <w:t>天，优、良天数比例</w:t>
            </w:r>
            <w:r>
              <w:rPr>
                <w:bCs/>
                <w:kern w:val="0"/>
                <w:sz w:val="24"/>
              </w:rPr>
              <w:t>55.9%</w:t>
            </w:r>
            <w:r>
              <w:rPr>
                <w:rFonts w:hAnsi="宋体"/>
                <w:bCs/>
                <w:kern w:val="0"/>
                <w:sz w:val="24"/>
              </w:rPr>
              <w:t>，去年同期，优、良天数</w:t>
            </w:r>
            <w:r>
              <w:rPr>
                <w:bCs/>
                <w:kern w:val="0"/>
                <w:sz w:val="24"/>
              </w:rPr>
              <w:t>177</w:t>
            </w:r>
            <w:r>
              <w:rPr>
                <w:rFonts w:hAnsi="宋体"/>
                <w:bCs/>
                <w:kern w:val="0"/>
                <w:sz w:val="24"/>
              </w:rPr>
              <w:t>天，优、良天数比例</w:t>
            </w:r>
            <w:r>
              <w:rPr>
                <w:bCs/>
                <w:kern w:val="0"/>
                <w:sz w:val="24"/>
              </w:rPr>
              <w:t>51.8%</w:t>
            </w:r>
            <w:r>
              <w:rPr>
                <w:rFonts w:hAnsi="宋体"/>
                <w:bCs/>
                <w:kern w:val="0"/>
                <w:sz w:val="24"/>
              </w:rPr>
              <w:t>，同比优、良天数增加</w:t>
            </w:r>
            <w:r>
              <w:rPr>
                <w:bCs/>
                <w:kern w:val="0"/>
                <w:sz w:val="24"/>
              </w:rPr>
              <w:t>27</w:t>
            </w:r>
            <w:r>
              <w:rPr>
                <w:rFonts w:hAnsi="宋体"/>
                <w:bCs/>
                <w:kern w:val="0"/>
                <w:sz w:val="24"/>
              </w:rPr>
              <w:t>天，上升</w:t>
            </w:r>
            <w:r>
              <w:rPr>
                <w:bCs/>
                <w:kern w:val="0"/>
                <w:sz w:val="24"/>
              </w:rPr>
              <w:t>4.1</w:t>
            </w:r>
            <w:r>
              <w:rPr>
                <w:rFonts w:hAnsi="宋体"/>
                <w:bCs/>
                <w:kern w:val="0"/>
                <w:sz w:val="24"/>
              </w:rPr>
              <w:t>个百分点。</w:t>
            </w:r>
          </w:p>
          <w:p>
            <w:pPr>
              <w:adjustRightInd w:val="0"/>
              <w:snapToGrid w:val="0"/>
              <w:spacing w:line="500" w:lineRule="exact"/>
              <w:ind w:firstLine="480" w:firstLineChars="200"/>
              <w:rPr>
                <w:rFonts w:hAnsi="宋体"/>
                <w:bCs/>
                <w:kern w:val="0"/>
                <w:sz w:val="24"/>
              </w:rPr>
            </w:pPr>
            <w:r>
              <w:rPr>
                <w:rFonts w:hAnsi="宋体"/>
                <w:bCs/>
                <w:kern w:val="0"/>
                <w:sz w:val="24"/>
              </w:rPr>
              <w:t>目前，新乡市正在实施《新乡市蓝天工程行动计划》、《新乡市</w:t>
            </w:r>
            <w:r>
              <w:rPr>
                <w:bCs/>
                <w:kern w:val="0"/>
                <w:sz w:val="24"/>
              </w:rPr>
              <w:t>2019</w:t>
            </w:r>
            <w:r>
              <w:rPr>
                <w:rFonts w:hAnsi="宋体"/>
                <w:bCs/>
                <w:kern w:val="0"/>
                <w:sz w:val="24"/>
              </w:rPr>
              <w:t>年大气污染防治攻坚战实施方案》、《新乡市环境污染防治攻坚战三年行动实施方案（</w:t>
            </w:r>
            <w:r>
              <w:rPr>
                <w:bCs/>
                <w:kern w:val="0"/>
                <w:sz w:val="24"/>
              </w:rPr>
              <w:t>2018-2020</w:t>
            </w:r>
            <w:r>
              <w:rPr>
                <w:rFonts w:hAnsi="宋体"/>
                <w:bCs/>
                <w:kern w:val="0"/>
                <w:sz w:val="24"/>
              </w:rPr>
              <w:t>年）》等一系列措施，将不断改善区域大气环境质量。预计</w:t>
            </w:r>
            <w:r>
              <w:rPr>
                <w:bCs/>
                <w:kern w:val="0"/>
                <w:sz w:val="24"/>
              </w:rPr>
              <w:t>2020</w:t>
            </w:r>
            <w:r>
              <w:rPr>
                <w:rFonts w:hAnsi="宋体"/>
                <w:bCs/>
                <w:kern w:val="0"/>
                <w:sz w:val="24"/>
              </w:rPr>
              <w:t>年可以达到《新乡市环境污染防治攻坚战三年行动实施方案（</w:t>
            </w:r>
            <w:r>
              <w:rPr>
                <w:bCs/>
                <w:kern w:val="0"/>
                <w:sz w:val="24"/>
              </w:rPr>
              <w:t>2018-2020</w:t>
            </w:r>
            <w:r>
              <w:rPr>
                <w:rFonts w:hAnsi="宋体"/>
                <w:bCs/>
                <w:kern w:val="0"/>
                <w:sz w:val="24"/>
              </w:rPr>
              <w:t>年）》中：</w:t>
            </w:r>
            <w:r>
              <w:rPr>
                <w:bCs/>
                <w:kern w:val="0"/>
                <w:sz w:val="24"/>
              </w:rPr>
              <w:t>“</w:t>
            </w:r>
            <w:r>
              <w:rPr>
                <w:rFonts w:hAnsi="宋体"/>
                <w:bCs/>
                <w:kern w:val="0"/>
                <w:sz w:val="24"/>
              </w:rPr>
              <w:t>全市</w:t>
            </w:r>
            <w:r>
              <w:rPr>
                <w:bCs/>
                <w:kern w:val="0"/>
                <w:sz w:val="24"/>
              </w:rPr>
              <w:t>PM</w:t>
            </w:r>
            <w:r>
              <w:rPr>
                <w:bCs/>
                <w:kern w:val="0"/>
                <w:sz w:val="24"/>
                <w:vertAlign w:val="subscript"/>
              </w:rPr>
              <w:t>2.5</w:t>
            </w:r>
            <w:r>
              <w:rPr>
                <w:rFonts w:hAnsi="宋体"/>
                <w:bCs/>
                <w:kern w:val="0"/>
                <w:sz w:val="24"/>
              </w:rPr>
              <w:t>年均浓度达到</w:t>
            </w:r>
            <w:r>
              <w:rPr>
                <w:bCs/>
                <w:kern w:val="0"/>
                <w:sz w:val="24"/>
              </w:rPr>
              <w:t>55</w:t>
            </w:r>
            <w:r>
              <w:rPr>
                <w:rFonts w:hAnsi="宋体"/>
                <w:bCs/>
                <w:kern w:val="0"/>
                <w:sz w:val="24"/>
              </w:rPr>
              <w:t>微克</w:t>
            </w:r>
            <w:r>
              <w:rPr>
                <w:bCs/>
                <w:kern w:val="0"/>
                <w:sz w:val="24"/>
              </w:rPr>
              <w:t>/</w:t>
            </w:r>
            <w:r>
              <w:rPr>
                <w:rFonts w:hAnsi="宋体"/>
                <w:bCs/>
                <w:kern w:val="0"/>
                <w:sz w:val="24"/>
              </w:rPr>
              <w:t>立方米以下，</w:t>
            </w:r>
            <w:r>
              <w:rPr>
                <w:bCs/>
                <w:kern w:val="0"/>
                <w:sz w:val="24"/>
              </w:rPr>
              <w:t>PM</w:t>
            </w:r>
            <w:r>
              <w:rPr>
                <w:bCs/>
                <w:kern w:val="0"/>
                <w:sz w:val="24"/>
                <w:vertAlign w:val="subscript"/>
              </w:rPr>
              <w:t>10</w:t>
            </w:r>
            <w:r>
              <w:rPr>
                <w:rFonts w:hAnsi="宋体"/>
                <w:bCs/>
                <w:kern w:val="0"/>
                <w:sz w:val="24"/>
              </w:rPr>
              <w:t>年均浓度达到</w:t>
            </w:r>
            <w:r>
              <w:rPr>
                <w:bCs/>
                <w:kern w:val="0"/>
                <w:sz w:val="24"/>
              </w:rPr>
              <w:t>101</w:t>
            </w:r>
            <w:r>
              <w:rPr>
                <w:rFonts w:hAnsi="宋体"/>
                <w:bCs/>
                <w:kern w:val="0"/>
                <w:sz w:val="24"/>
              </w:rPr>
              <w:t>微克</w:t>
            </w:r>
            <w:r>
              <w:rPr>
                <w:bCs/>
                <w:kern w:val="0"/>
                <w:sz w:val="24"/>
              </w:rPr>
              <w:t>/</w:t>
            </w:r>
            <w:r>
              <w:rPr>
                <w:rFonts w:hAnsi="宋体"/>
                <w:bCs/>
                <w:kern w:val="0"/>
                <w:sz w:val="24"/>
              </w:rPr>
              <w:t>立方米以下，全年优良天数比例达到</w:t>
            </w:r>
            <w:r>
              <w:rPr>
                <w:bCs/>
                <w:kern w:val="0"/>
                <w:sz w:val="24"/>
              </w:rPr>
              <w:t>66%</w:t>
            </w:r>
            <w:r>
              <w:rPr>
                <w:rFonts w:hAnsi="宋体"/>
                <w:bCs/>
                <w:kern w:val="0"/>
                <w:sz w:val="24"/>
              </w:rPr>
              <w:t>以上</w:t>
            </w:r>
            <w:r>
              <w:rPr>
                <w:bCs/>
                <w:kern w:val="0"/>
                <w:sz w:val="24"/>
              </w:rPr>
              <w:t>”</w:t>
            </w:r>
            <w:r>
              <w:rPr>
                <w:rFonts w:hAnsi="宋体"/>
                <w:bCs/>
                <w:kern w:val="0"/>
                <w:sz w:val="24"/>
              </w:rPr>
              <w:t>的目标要求。</w:t>
            </w:r>
          </w:p>
          <w:p>
            <w:pPr>
              <w:adjustRightInd w:val="0"/>
              <w:snapToGrid w:val="0"/>
              <w:spacing w:line="500" w:lineRule="exact"/>
              <w:rPr>
                <w:b/>
                <w:bCs/>
                <w:sz w:val="24"/>
              </w:rPr>
            </w:pPr>
            <w:r>
              <w:rPr>
                <w:b/>
                <w:bCs/>
                <w:sz w:val="24"/>
              </w:rPr>
              <w:t>2</w:t>
            </w:r>
            <w:r>
              <w:rPr>
                <w:rFonts w:hint="eastAsia"/>
                <w:b/>
                <w:bCs/>
                <w:sz w:val="24"/>
              </w:rPr>
              <w:t>.</w:t>
            </w:r>
            <w:r>
              <w:rPr>
                <w:b/>
                <w:bCs/>
                <w:sz w:val="24"/>
              </w:rPr>
              <w:t>地表水环境质量现状</w:t>
            </w:r>
          </w:p>
          <w:p>
            <w:pPr>
              <w:adjustRightInd w:val="0"/>
              <w:snapToGrid w:val="0"/>
              <w:spacing w:line="500" w:lineRule="exact"/>
              <w:ind w:firstLine="480" w:firstLineChars="200"/>
              <w:rPr>
                <w:color w:val="000000"/>
                <w:sz w:val="24"/>
              </w:rPr>
            </w:pPr>
            <w:r>
              <w:rPr>
                <w:rFonts w:hint="eastAsia"/>
                <w:color w:val="000000"/>
                <w:sz w:val="24"/>
              </w:rPr>
              <w:t>本项目废水经厂区现有化粪池1座（10m</w:t>
            </w:r>
            <w:r>
              <w:rPr>
                <w:rFonts w:hint="eastAsia"/>
                <w:color w:val="000000"/>
                <w:sz w:val="24"/>
                <w:vertAlign w:val="superscript"/>
              </w:rPr>
              <w:t>3</w:t>
            </w:r>
            <w:r>
              <w:rPr>
                <w:rFonts w:hint="eastAsia"/>
                <w:color w:val="000000"/>
                <w:sz w:val="24"/>
              </w:rPr>
              <w:t>）处理后，定期清运不外排。距离本项目最近的地表水体为南侧700m处的三干渠，汇入人民胜利渠。本次评价采用新乡市2019年环境质量年报对人民胜利渠新乡贾太湖断面的监测数据。数据见下表21。</w:t>
            </w:r>
          </w:p>
          <w:p>
            <w:pPr>
              <w:autoSpaceDE w:val="0"/>
              <w:autoSpaceDN w:val="0"/>
              <w:adjustRightInd w:val="0"/>
              <w:snapToGrid w:val="0"/>
              <w:spacing w:line="400" w:lineRule="exact"/>
              <w:ind w:left="420"/>
              <w:rPr>
                <w:rFonts w:hAnsi="宋体"/>
                <w:b/>
                <w:sz w:val="24"/>
              </w:rPr>
            </w:pPr>
            <w:r>
              <w:rPr>
                <w:rFonts w:hAnsi="宋体"/>
                <w:b/>
                <w:sz w:val="24"/>
              </w:rPr>
              <w:t>表</w:t>
            </w:r>
            <w:r>
              <w:rPr>
                <w:rFonts w:hint="eastAsia" w:hAnsi="宋体"/>
                <w:b/>
                <w:sz w:val="24"/>
              </w:rPr>
              <w:t>21</w:t>
            </w:r>
            <w:r>
              <w:rPr>
                <w:rFonts w:hAnsi="宋体"/>
                <w:b/>
                <w:sz w:val="24"/>
              </w:rPr>
              <w:t xml:space="preserve">   </w:t>
            </w:r>
            <w:r>
              <w:rPr>
                <w:rFonts w:hint="eastAsia" w:hAnsi="宋体"/>
                <w:b/>
                <w:sz w:val="24"/>
              </w:rPr>
              <w:t xml:space="preserve">     </w:t>
            </w:r>
            <w:r>
              <w:rPr>
                <w:rFonts w:hint="eastAsia" w:hAnsi="宋体"/>
                <w:b/>
                <w:sz w:val="24"/>
              </w:rPr>
              <w:tab/>
            </w:r>
            <w:r>
              <w:rPr>
                <w:rFonts w:hint="eastAsia" w:hAnsi="宋体"/>
                <w:b/>
                <w:sz w:val="24"/>
              </w:rPr>
              <w:t>人民胜利渠新乡贾太湖断面监测数据    单位：（mg/L）</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3067"/>
              <w:gridCol w:w="1746"/>
              <w:gridCol w:w="2481"/>
              <w:gridCol w:w="203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43" w:type="pct"/>
                  <w:vAlign w:val="center"/>
                </w:tcPr>
                <w:p>
                  <w:pPr>
                    <w:adjustRightInd w:val="0"/>
                    <w:snapToGrid w:val="0"/>
                    <w:jc w:val="center"/>
                    <w:rPr>
                      <w:b/>
                      <w:szCs w:val="21"/>
                    </w:rPr>
                  </w:pPr>
                  <w:r>
                    <w:rPr>
                      <w:rFonts w:hint="eastAsia"/>
                      <w:b/>
                      <w:szCs w:val="21"/>
                    </w:rPr>
                    <w:t>项目</w:t>
                  </w:r>
                </w:p>
              </w:tc>
              <w:tc>
                <w:tcPr>
                  <w:tcW w:w="935" w:type="pct"/>
                  <w:vAlign w:val="center"/>
                </w:tcPr>
                <w:p>
                  <w:pPr>
                    <w:adjustRightInd w:val="0"/>
                    <w:snapToGrid w:val="0"/>
                    <w:jc w:val="center"/>
                    <w:rPr>
                      <w:b/>
                      <w:szCs w:val="21"/>
                    </w:rPr>
                  </w:pPr>
                  <w:r>
                    <w:rPr>
                      <w:b/>
                      <w:szCs w:val="21"/>
                    </w:rPr>
                    <w:t>COD</w:t>
                  </w:r>
                </w:p>
              </w:tc>
              <w:tc>
                <w:tcPr>
                  <w:tcW w:w="1329" w:type="pct"/>
                  <w:vAlign w:val="center"/>
                </w:tcPr>
                <w:p>
                  <w:pPr>
                    <w:adjustRightInd w:val="0"/>
                    <w:snapToGrid w:val="0"/>
                    <w:jc w:val="center"/>
                    <w:rPr>
                      <w:b/>
                      <w:szCs w:val="21"/>
                    </w:rPr>
                  </w:pPr>
                  <w:r>
                    <w:rPr>
                      <w:b/>
                      <w:szCs w:val="21"/>
                    </w:rPr>
                    <w:t>NH</w:t>
                  </w:r>
                  <w:r>
                    <w:rPr>
                      <w:b/>
                      <w:szCs w:val="21"/>
                      <w:vertAlign w:val="subscript"/>
                    </w:rPr>
                    <w:t>3</w:t>
                  </w:r>
                  <w:r>
                    <w:rPr>
                      <w:b/>
                      <w:szCs w:val="21"/>
                    </w:rPr>
                    <w:t>-N</w:t>
                  </w:r>
                </w:p>
              </w:tc>
              <w:tc>
                <w:tcPr>
                  <w:tcW w:w="1092" w:type="pct"/>
                  <w:vAlign w:val="center"/>
                </w:tcPr>
                <w:p>
                  <w:pPr>
                    <w:adjustRightInd w:val="0"/>
                    <w:snapToGrid w:val="0"/>
                    <w:jc w:val="center"/>
                    <w:rPr>
                      <w:b/>
                      <w:szCs w:val="21"/>
                    </w:rPr>
                  </w:pPr>
                  <w:r>
                    <w:rPr>
                      <w:b/>
                      <w:szCs w:val="21"/>
                    </w:rPr>
                    <w:t>TP</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43" w:type="pct"/>
                  <w:vAlign w:val="center"/>
                </w:tcPr>
                <w:p>
                  <w:pPr>
                    <w:adjustRightInd w:val="0"/>
                    <w:snapToGrid w:val="0"/>
                    <w:jc w:val="center"/>
                    <w:rPr>
                      <w:szCs w:val="21"/>
                    </w:rPr>
                  </w:pPr>
                  <w:r>
                    <w:rPr>
                      <w:rFonts w:hint="eastAsia"/>
                      <w:szCs w:val="21"/>
                    </w:rPr>
                    <w:t>共产主义渠下马营断面</w:t>
                  </w:r>
                </w:p>
              </w:tc>
              <w:tc>
                <w:tcPr>
                  <w:tcW w:w="935" w:type="pct"/>
                  <w:vAlign w:val="center"/>
                </w:tcPr>
                <w:p>
                  <w:pPr>
                    <w:adjustRightInd w:val="0"/>
                    <w:snapToGrid w:val="0"/>
                    <w:jc w:val="center"/>
                    <w:rPr>
                      <w:szCs w:val="21"/>
                    </w:rPr>
                  </w:pPr>
                  <w:r>
                    <w:rPr>
                      <w:rFonts w:hint="eastAsia"/>
                      <w:szCs w:val="21"/>
                    </w:rPr>
                    <w:t>11.1</w:t>
                  </w:r>
                </w:p>
              </w:tc>
              <w:tc>
                <w:tcPr>
                  <w:tcW w:w="1329" w:type="pct"/>
                  <w:vAlign w:val="center"/>
                </w:tcPr>
                <w:p>
                  <w:pPr>
                    <w:jc w:val="center"/>
                    <w:rPr>
                      <w:szCs w:val="21"/>
                    </w:rPr>
                  </w:pPr>
                  <w:r>
                    <w:rPr>
                      <w:rFonts w:hint="eastAsia"/>
                      <w:szCs w:val="21"/>
                    </w:rPr>
                    <w:t>0.16</w:t>
                  </w:r>
                </w:p>
              </w:tc>
              <w:tc>
                <w:tcPr>
                  <w:tcW w:w="1092" w:type="pct"/>
                  <w:vAlign w:val="center"/>
                </w:tcPr>
                <w:p>
                  <w:pPr>
                    <w:jc w:val="center"/>
                    <w:rPr>
                      <w:szCs w:val="21"/>
                    </w:rPr>
                  </w:pPr>
                  <w:r>
                    <w:rPr>
                      <w:rFonts w:hint="eastAsia"/>
                      <w:szCs w:val="21"/>
                    </w:rPr>
                    <w:t>0.10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43" w:type="pct"/>
                  <w:vAlign w:val="center"/>
                </w:tcPr>
                <w:p>
                  <w:pPr>
                    <w:adjustRightInd w:val="0"/>
                    <w:snapToGrid w:val="0"/>
                    <w:jc w:val="center"/>
                    <w:rPr>
                      <w:szCs w:val="21"/>
                    </w:rPr>
                  </w:pPr>
                  <w:r>
                    <w:rPr>
                      <w:rFonts w:hint="eastAsia"/>
                      <w:szCs w:val="21"/>
                    </w:rPr>
                    <w:t>《地表水环境质量标准》（GB3838-2002）</w:t>
                  </w:r>
                  <w:r>
                    <w:rPr>
                      <w:szCs w:val="21"/>
                    </w:rPr>
                    <w:fldChar w:fldCharType="begin"/>
                  </w:r>
                  <w:r>
                    <w:rPr>
                      <w:szCs w:val="21"/>
                    </w:rPr>
                    <w:instrText xml:space="preserve"> </w:instrText>
                  </w:r>
                  <w:r>
                    <w:rPr>
                      <w:rFonts w:hint="eastAsia"/>
                      <w:szCs w:val="21"/>
                    </w:rPr>
                    <w:instrText xml:space="preserve">= 3 \* ROMAN</w:instrText>
                  </w:r>
                  <w:r>
                    <w:rPr>
                      <w:szCs w:val="21"/>
                    </w:rPr>
                    <w:instrText xml:space="preserve"> </w:instrText>
                  </w:r>
                  <w:r>
                    <w:rPr>
                      <w:szCs w:val="21"/>
                    </w:rPr>
                    <w:fldChar w:fldCharType="separate"/>
                  </w:r>
                  <w:r>
                    <w:rPr>
                      <w:szCs w:val="21"/>
                    </w:rPr>
                    <w:t>III</w:t>
                  </w:r>
                  <w:r>
                    <w:rPr>
                      <w:szCs w:val="21"/>
                    </w:rPr>
                    <w:fldChar w:fldCharType="end"/>
                  </w:r>
                  <w:r>
                    <w:rPr>
                      <w:rFonts w:hint="eastAsia"/>
                      <w:szCs w:val="21"/>
                    </w:rPr>
                    <w:t>类</w:t>
                  </w:r>
                </w:p>
              </w:tc>
              <w:tc>
                <w:tcPr>
                  <w:tcW w:w="935" w:type="pct"/>
                  <w:vAlign w:val="center"/>
                </w:tcPr>
                <w:p>
                  <w:pPr>
                    <w:jc w:val="center"/>
                    <w:rPr>
                      <w:szCs w:val="21"/>
                    </w:rPr>
                  </w:pPr>
                  <w:r>
                    <w:rPr>
                      <w:rFonts w:hint="eastAsia"/>
                      <w:szCs w:val="21"/>
                    </w:rPr>
                    <w:t>20</w:t>
                  </w:r>
                </w:p>
              </w:tc>
              <w:tc>
                <w:tcPr>
                  <w:tcW w:w="1329" w:type="pct"/>
                  <w:vAlign w:val="center"/>
                </w:tcPr>
                <w:p>
                  <w:pPr>
                    <w:jc w:val="center"/>
                    <w:rPr>
                      <w:szCs w:val="21"/>
                    </w:rPr>
                  </w:pPr>
                  <w:r>
                    <w:rPr>
                      <w:rFonts w:hint="eastAsia"/>
                      <w:szCs w:val="21"/>
                    </w:rPr>
                    <w:t>1.0</w:t>
                  </w:r>
                </w:p>
              </w:tc>
              <w:tc>
                <w:tcPr>
                  <w:tcW w:w="1092" w:type="pct"/>
                  <w:vAlign w:val="center"/>
                </w:tcPr>
                <w:p>
                  <w:pPr>
                    <w:jc w:val="center"/>
                    <w:rPr>
                      <w:szCs w:val="21"/>
                    </w:rPr>
                  </w:pPr>
                  <w:r>
                    <w:rPr>
                      <w:rFonts w:hint="eastAsia"/>
                      <w:szCs w:val="21"/>
                    </w:rPr>
                    <w:t>0.20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43" w:type="pct"/>
                  <w:vAlign w:val="center"/>
                </w:tcPr>
                <w:p>
                  <w:pPr>
                    <w:adjustRightInd w:val="0"/>
                    <w:snapToGrid w:val="0"/>
                    <w:jc w:val="center"/>
                    <w:rPr>
                      <w:szCs w:val="21"/>
                    </w:rPr>
                  </w:pPr>
                  <w:r>
                    <w:rPr>
                      <w:szCs w:val="21"/>
                    </w:rPr>
                    <w:t>达标情况</w:t>
                  </w:r>
                </w:p>
              </w:tc>
              <w:tc>
                <w:tcPr>
                  <w:tcW w:w="935" w:type="pct"/>
                  <w:vAlign w:val="center"/>
                </w:tcPr>
                <w:p>
                  <w:pPr>
                    <w:jc w:val="center"/>
                    <w:rPr>
                      <w:szCs w:val="21"/>
                    </w:rPr>
                  </w:pPr>
                  <w:r>
                    <w:rPr>
                      <w:szCs w:val="21"/>
                    </w:rPr>
                    <w:t>达标</w:t>
                  </w:r>
                </w:p>
              </w:tc>
              <w:tc>
                <w:tcPr>
                  <w:tcW w:w="1329" w:type="pct"/>
                  <w:vAlign w:val="center"/>
                </w:tcPr>
                <w:p>
                  <w:pPr>
                    <w:jc w:val="center"/>
                    <w:rPr>
                      <w:szCs w:val="21"/>
                    </w:rPr>
                  </w:pPr>
                  <w:r>
                    <w:rPr>
                      <w:szCs w:val="21"/>
                    </w:rPr>
                    <w:t>达标</w:t>
                  </w:r>
                </w:p>
              </w:tc>
              <w:tc>
                <w:tcPr>
                  <w:tcW w:w="1092" w:type="pct"/>
                  <w:vAlign w:val="center"/>
                </w:tcPr>
                <w:p>
                  <w:pPr>
                    <w:jc w:val="center"/>
                    <w:rPr>
                      <w:szCs w:val="21"/>
                    </w:rPr>
                  </w:pPr>
                  <w:r>
                    <w:rPr>
                      <w:szCs w:val="21"/>
                    </w:rPr>
                    <w:t>达标</w:t>
                  </w:r>
                </w:p>
              </w:tc>
            </w:tr>
          </w:tbl>
          <w:p>
            <w:pPr>
              <w:adjustRightInd w:val="0"/>
              <w:snapToGrid w:val="0"/>
              <w:spacing w:line="500" w:lineRule="exact"/>
              <w:ind w:firstLine="480" w:firstLineChars="200"/>
              <w:rPr>
                <w:rFonts w:hAnsi="宋体"/>
                <w:bCs/>
                <w:color w:val="000000"/>
                <w:sz w:val="24"/>
              </w:rPr>
            </w:pPr>
            <w:r>
              <w:rPr>
                <w:rFonts w:hint="eastAsia" w:hAnsi="宋体"/>
                <w:bCs/>
                <w:color w:val="000000"/>
                <w:sz w:val="24"/>
              </w:rPr>
              <w:t>由上表可知，COD、NH</w:t>
            </w:r>
            <w:r>
              <w:rPr>
                <w:rFonts w:hint="eastAsia" w:hAnsi="宋体"/>
                <w:bCs/>
                <w:color w:val="000000"/>
                <w:sz w:val="24"/>
                <w:vertAlign w:val="subscript"/>
              </w:rPr>
              <w:t>3</w:t>
            </w:r>
            <w:r>
              <w:rPr>
                <w:rFonts w:hint="eastAsia" w:hAnsi="宋体"/>
                <w:bCs/>
                <w:color w:val="000000"/>
                <w:sz w:val="24"/>
              </w:rPr>
              <w:t>-N、TP浓度均能满足《地表水环境质量标准》（GB3838-2002）</w:t>
            </w:r>
            <w:r>
              <w:rPr>
                <w:rFonts w:hAnsi="宋体"/>
                <w:bCs/>
                <w:color w:val="000000"/>
                <w:sz w:val="24"/>
              </w:rPr>
              <w:fldChar w:fldCharType="begin"/>
            </w:r>
            <w:r>
              <w:rPr>
                <w:rFonts w:hAnsi="宋体"/>
                <w:bCs/>
                <w:color w:val="000000"/>
                <w:sz w:val="24"/>
              </w:rPr>
              <w:instrText xml:space="preserve"> </w:instrText>
            </w:r>
            <w:r>
              <w:rPr>
                <w:rFonts w:hint="eastAsia" w:hAnsi="宋体"/>
                <w:bCs/>
                <w:color w:val="000000"/>
                <w:sz w:val="24"/>
              </w:rPr>
              <w:instrText xml:space="preserve">= 3 \* ROMAN</w:instrText>
            </w:r>
            <w:r>
              <w:rPr>
                <w:rFonts w:hAnsi="宋体"/>
                <w:bCs/>
                <w:color w:val="000000"/>
                <w:sz w:val="24"/>
              </w:rPr>
              <w:instrText xml:space="preserve"> </w:instrText>
            </w:r>
            <w:r>
              <w:rPr>
                <w:rFonts w:hAnsi="宋体"/>
                <w:bCs/>
                <w:color w:val="000000"/>
                <w:sz w:val="24"/>
              </w:rPr>
              <w:fldChar w:fldCharType="separate"/>
            </w:r>
            <w:r>
              <w:rPr>
                <w:rFonts w:hAnsi="宋体"/>
                <w:bCs/>
                <w:color w:val="000000"/>
                <w:sz w:val="24"/>
              </w:rPr>
              <w:t>III</w:t>
            </w:r>
            <w:r>
              <w:rPr>
                <w:rFonts w:hAnsi="宋体"/>
                <w:bCs/>
                <w:color w:val="000000"/>
                <w:sz w:val="24"/>
              </w:rPr>
              <w:fldChar w:fldCharType="end"/>
            </w:r>
            <w:r>
              <w:rPr>
                <w:rFonts w:hint="eastAsia" w:hAnsi="宋体"/>
                <w:bCs/>
                <w:color w:val="000000"/>
                <w:sz w:val="24"/>
              </w:rPr>
              <w:t>类标准要求。目前新乡市正在推进实施《新乡市卫河流域水污染防治攻坚战实施方案等11个专项方案》（新环攻坚办（2017）20号）、《新乡市污水处理厂及配套管网建设与城市黑臭水体整治实施方案》（新环攻坚办（2017003）13号）、《新乡市环境污染防治攻坚战三年行动实施方案（2018-2020年）》和《河南省2019年水污染防治攻坚战实施方案》（豫环攻坚办[2019]31号）、《关于印发河南省2020年大气、水、土壤污染防治攻坚战实施方案的通知》（豫环攻坚办〔2020〕7号）等，将进一步改善新乡市水环境质量。</w:t>
            </w:r>
          </w:p>
          <w:p>
            <w:pPr>
              <w:adjustRightInd w:val="0"/>
              <w:snapToGrid w:val="0"/>
              <w:spacing w:line="500" w:lineRule="exact"/>
              <w:rPr>
                <w:b/>
                <w:bCs/>
                <w:sz w:val="24"/>
              </w:rPr>
            </w:pPr>
            <w:r>
              <w:rPr>
                <w:rFonts w:hint="eastAsia"/>
                <w:b/>
                <w:bCs/>
                <w:sz w:val="24"/>
              </w:rPr>
              <w:t>3.</w:t>
            </w:r>
            <w:r>
              <w:rPr>
                <w:b/>
                <w:bCs/>
                <w:sz w:val="24"/>
              </w:rPr>
              <w:t>声环境质量现状</w:t>
            </w:r>
          </w:p>
          <w:p>
            <w:pPr>
              <w:adjustRightInd w:val="0"/>
              <w:snapToGrid w:val="0"/>
              <w:spacing w:line="500" w:lineRule="exact"/>
              <w:ind w:firstLine="480" w:firstLineChars="200"/>
              <w:rPr>
                <w:rFonts w:hAnsi="宋体"/>
                <w:sz w:val="24"/>
              </w:rPr>
            </w:pPr>
            <w:r>
              <w:rPr>
                <w:rFonts w:hint="eastAsia" w:hAnsi="宋体"/>
                <w:sz w:val="24"/>
              </w:rPr>
              <w:t>根据声环境功能划分规定，本项目所在地属于2类声环境功能区，项目区域执行《声环境质量标准》（GB3096-2008）2类标准，根据2020年11月5日对项目各厂界的声环境质量现场实测结果，项目所在区域昼间噪声为51.2~53.6dB(A)，夜间40.0~42.2dB(A)，现状值能够满足昼间60dB(A)、夜间50dB(A)要求，区域声环境质量较好。</w:t>
            </w:r>
          </w:p>
          <w:p>
            <w:pPr>
              <w:adjustRightInd w:val="0"/>
              <w:snapToGrid w:val="0"/>
              <w:spacing w:line="500" w:lineRule="exact"/>
              <w:rPr>
                <w:b/>
                <w:bCs/>
                <w:sz w:val="24"/>
              </w:rPr>
            </w:pPr>
            <w:r>
              <w:rPr>
                <w:rFonts w:hint="eastAsia"/>
                <w:b/>
                <w:bCs/>
                <w:sz w:val="24"/>
              </w:rPr>
              <w:t>4</w:t>
            </w:r>
            <w:r>
              <w:rPr>
                <w:rFonts w:hint="eastAsia" w:hAnsi="宋体"/>
                <w:b/>
                <w:bCs/>
                <w:sz w:val="24"/>
              </w:rPr>
              <w:t>.</w:t>
            </w:r>
            <w:r>
              <w:rPr>
                <w:rFonts w:hAnsi="宋体"/>
                <w:b/>
                <w:bCs/>
                <w:sz w:val="24"/>
              </w:rPr>
              <w:t>生态环境</w:t>
            </w:r>
          </w:p>
          <w:p>
            <w:pPr>
              <w:adjustRightInd w:val="0"/>
              <w:snapToGrid w:val="0"/>
              <w:spacing w:line="500" w:lineRule="exact"/>
              <w:ind w:firstLine="480" w:firstLineChars="200"/>
              <w:rPr>
                <w:kern w:val="0"/>
                <w:sz w:val="24"/>
              </w:rPr>
            </w:pPr>
            <w:r>
              <w:rPr>
                <w:rFonts w:hAnsi="宋体"/>
                <w:sz w:val="24"/>
              </w:rPr>
              <w:t>该项目所在区域为</w:t>
            </w:r>
            <w:r>
              <w:rPr>
                <w:rFonts w:hint="eastAsia" w:hAnsi="宋体"/>
                <w:sz w:val="24"/>
              </w:rPr>
              <w:t>新乡市新乡县朗公庙镇曲水村北</w:t>
            </w:r>
            <w:r>
              <w:rPr>
                <w:rFonts w:hAnsi="宋体"/>
                <w:sz w:val="24"/>
              </w:rPr>
              <w:t>，根据现场踏勘，</w:t>
            </w:r>
            <w:r>
              <w:rPr>
                <w:rFonts w:hint="eastAsia" w:hAnsi="宋体"/>
                <w:sz w:val="24"/>
              </w:rPr>
              <w:t>项目周围均为企业、道路和农田，</w:t>
            </w:r>
            <w:r>
              <w:rPr>
                <w:rFonts w:hAnsi="宋体"/>
                <w:snapToGrid w:val="0"/>
                <w:color w:val="000000"/>
                <w:kern w:val="0"/>
                <w:sz w:val="24"/>
              </w:rPr>
              <w:t>所在区域生态系统</w:t>
            </w:r>
            <w:r>
              <w:rPr>
                <w:kern w:val="0"/>
                <w:sz w:val="24"/>
              </w:rPr>
              <w:t>经演化为以人工生态系统为主，生态系统结构和功能比较单一，生态敏感性低。本项目场址所在地区及周边无自然生态保护区和风景名胜区，生态环境状况良好。</w:t>
            </w:r>
          </w:p>
          <w:p>
            <w:pPr>
              <w:adjustRightInd w:val="0"/>
              <w:snapToGrid w:val="0"/>
              <w:spacing w:line="500" w:lineRule="exact"/>
              <w:rPr>
                <w:b/>
                <w:bCs/>
                <w:sz w:val="24"/>
              </w:rPr>
            </w:pPr>
            <w:r>
              <w:rPr>
                <w:rFonts w:hint="eastAsia"/>
                <w:b/>
                <w:bCs/>
                <w:sz w:val="24"/>
              </w:rPr>
              <w:t>5</w:t>
            </w:r>
            <w:r>
              <w:rPr>
                <w:rFonts w:hint="eastAsia" w:hAnsi="宋体"/>
                <w:b/>
                <w:bCs/>
                <w:sz w:val="24"/>
              </w:rPr>
              <w:t>.土壤</w:t>
            </w:r>
            <w:r>
              <w:rPr>
                <w:rFonts w:hAnsi="宋体"/>
                <w:b/>
                <w:bCs/>
                <w:sz w:val="24"/>
              </w:rPr>
              <w:t>环境</w:t>
            </w:r>
          </w:p>
          <w:p>
            <w:pPr>
              <w:pStyle w:val="2"/>
              <w:adjustRightInd w:val="0"/>
              <w:snapToGrid w:val="0"/>
              <w:spacing w:line="500" w:lineRule="exact"/>
              <w:ind w:firstLine="480" w:firstLineChars="200"/>
              <w:jc w:val="left"/>
            </w:pPr>
            <w:r>
              <w:rPr>
                <w:rFonts w:hint="eastAsia" w:hAnsi="宋体"/>
                <w:b w:val="0"/>
                <w:bCs w:val="0"/>
              </w:rPr>
              <w:t>现场踏勘，本项目占地范围内地面均已硬化。根据2020年8月10日中华人民共和国生态环境部发布的“关于土壤破坏性监测问题的回复”可知，项目场地已经做了防腐防渗（包括硬化）处理无法取样，可不取样监测。故本项目不再对占地范围内进行现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558" w:type="dxa"/>
          </w:tcPr>
          <w:p>
            <w:pPr>
              <w:spacing w:line="360" w:lineRule="auto"/>
              <w:rPr>
                <w:b/>
                <w:sz w:val="24"/>
              </w:rPr>
            </w:pPr>
            <w:r>
              <w:rPr>
                <w:rFonts w:hAnsi="宋体"/>
                <w:b/>
                <w:sz w:val="24"/>
              </w:rPr>
              <w:t>主要环境保护目标（列出名单及保护级别）</w:t>
            </w:r>
          </w:p>
          <w:p>
            <w:pPr>
              <w:spacing w:line="360" w:lineRule="auto"/>
              <w:ind w:firstLine="528" w:firstLineChars="200"/>
              <w:rPr>
                <w:sz w:val="24"/>
              </w:rPr>
            </w:pPr>
            <w:r>
              <w:rPr>
                <w:rFonts w:hAnsi="宋体"/>
                <w:spacing w:val="12"/>
                <w:sz w:val="24"/>
              </w:rPr>
              <w:t>本项目主要环境保护目标见表</w:t>
            </w:r>
            <w:r>
              <w:rPr>
                <w:rFonts w:hint="eastAsia"/>
                <w:spacing w:val="12"/>
                <w:sz w:val="24"/>
              </w:rPr>
              <w:t>22</w:t>
            </w:r>
            <w:r>
              <w:rPr>
                <w:rFonts w:hAnsi="宋体"/>
                <w:spacing w:val="12"/>
                <w:sz w:val="24"/>
              </w:rPr>
              <w:t>。</w:t>
            </w:r>
          </w:p>
          <w:p>
            <w:pPr>
              <w:autoSpaceDE w:val="0"/>
              <w:autoSpaceDN w:val="0"/>
              <w:adjustRightInd w:val="0"/>
              <w:snapToGrid w:val="0"/>
              <w:spacing w:line="400" w:lineRule="exact"/>
              <w:ind w:left="420"/>
              <w:rPr>
                <w:rFonts w:hAnsi="宋体"/>
                <w:b/>
                <w:sz w:val="24"/>
              </w:rPr>
            </w:pPr>
            <w:r>
              <w:rPr>
                <w:rFonts w:hAnsi="宋体"/>
                <w:b/>
                <w:sz w:val="24"/>
              </w:rPr>
              <w:t>表</w:t>
            </w:r>
            <w:r>
              <w:rPr>
                <w:rFonts w:hint="eastAsia" w:hAnsi="宋体"/>
                <w:b/>
                <w:sz w:val="24"/>
              </w:rPr>
              <w:t>22</w:t>
            </w:r>
            <w:r>
              <w:rPr>
                <w:rFonts w:hAnsi="宋体"/>
                <w:b/>
                <w:sz w:val="24"/>
              </w:rPr>
              <w:t xml:space="preserve">                主要环境保护目标及保护级别情况表</w:t>
            </w:r>
          </w:p>
          <w:tbl>
            <w:tblPr>
              <w:tblStyle w:val="27"/>
              <w:tblpPr w:leftFromText="180" w:rightFromText="180" w:vertAnchor="text" w:tblpY="1"/>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1324"/>
              <w:gridCol w:w="3852"/>
              <w:gridCol w:w="1142"/>
              <w:gridCol w:w="12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0" w:type="auto"/>
                  <w:vAlign w:val="center"/>
                </w:tcPr>
                <w:p>
                  <w:pPr>
                    <w:snapToGrid w:val="0"/>
                    <w:spacing w:line="240" w:lineRule="atLeast"/>
                    <w:jc w:val="center"/>
                    <w:rPr>
                      <w:b/>
                      <w:spacing w:val="-4"/>
                      <w:szCs w:val="21"/>
                    </w:rPr>
                  </w:pPr>
                  <w:r>
                    <w:rPr>
                      <w:b/>
                      <w:spacing w:val="-4"/>
                      <w:szCs w:val="21"/>
                    </w:rPr>
                    <w:t>名称</w:t>
                  </w:r>
                </w:p>
              </w:tc>
              <w:tc>
                <w:tcPr>
                  <w:tcW w:w="1324" w:type="dxa"/>
                  <w:vAlign w:val="center"/>
                </w:tcPr>
                <w:p>
                  <w:pPr>
                    <w:snapToGrid w:val="0"/>
                    <w:spacing w:line="240" w:lineRule="atLeast"/>
                    <w:jc w:val="center"/>
                    <w:rPr>
                      <w:b/>
                      <w:spacing w:val="-4"/>
                      <w:szCs w:val="21"/>
                    </w:rPr>
                  </w:pPr>
                  <w:r>
                    <w:rPr>
                      <w:b/>
                      <w:spacing w:val="-4"/>
                      <w:szCs w:val="21"/>
                    </w:rPr>
                    <w:t>保护对象</w:t>
                  </w:r>
                </w:p>
              </w:tc>
              <w:tc>
                <w:tcPr>
                  <w:tcW w:w="3852" w:type="dxa"/>
                  <w:vAlign w:val="center"/>
                </w:tcPr>
                <w:p>
                  <w:pPr>
                    <w:snapToGrid w:val="0"/>
                    <w:spacing w:line="240" w:lineRule="atLeast"/>
                    <w:jc w:val="center"/>
                    <w:rPr>
                      <w:b/>
                      <w:spacing w:val="-4"/>
                      <w:szCs w:val="21"/>
                    </w:rPr>
                  </w:pPr>
                  <w:r>
                    <w:rPr>
                      <w:b/>
                      <w:spacing w:val="-4"/>
                      <w:szCs w:val="21"/>
                    </w:rPr>
                    <w:t>环境功能区</w:t>
                  </w:r>
                </w:p>
              </w:tc>
              <w:tc>
                <w:tcPr>
                  <w:tcW w:w="0" w:type="auto"/>
                  <w:vAlign w:val="center"/>
                </w:tcPr>
                <w:p>
                  <w:pPr>
                    <w:snapToGrid w:val="0"/>
                    <w:spacing w:line="240" w:lineRule="atLeast"/>
                    <w:jc w:val="center"/>
                    <w:rPr>
                      <w:b/>
                      <w:spacing w:val="-4"/>
                      <w:szCs w:val="21"/>
                    </w:rPr>
                  </w:pPr>
                  <w:r>
                    <w:rPr>
                      <w:b/>
                      <w:spacing w:val="-4"/>
                      <w:szCs w:val="21"/>
                    </w:rPr>
                    <w:t>相对厂址方位</w:t>
                  </w:r>
                </w:p>
              </w:tc>
              <w:tc>
                <w:tcPr>
                  <w:tcW w:w="0" w:type="auto"/>
                  <w:vAlign w:val="center"/>
                </w:tcPr>
                <w:p>
                  <w:pPr>
                    <w:snapToGrid w:val="0"/>
                    <w:spacing w:line="240" w:lineRule="atLeast"/>
                    <w:jc w:val="center"/>
                    <w:rPr>
                      <w:b/>
                      <w:spacing w:val="-4"/>
                      <w:szCs w:val="21"/>
                    </w:rPr>
                  </w:pPr>
                  <w:r>
                    <w:rPr>
                      <w:b/>
                      <w:spacing w:val="-4"/>
                      <w:szCs w:val="21"/>
                    </w:rPr>
                    <w:t>相对厂界距离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0" w:type="auto"/>
                  <w:vAlign w:val="center"/>
                </w:tcPr>
                <w:p>
                  <w:pPr>
                    <w:snapToGrid w:val="0"/>
                    <w:spacing w:line="240" w:lineRule="atLeast"/>
                    <w:jc w:val="center"/>
                    <w:rPr>
                      <w:spacing w:val="-4"/>
                      <w:szCs w:val="21"/>
                    </w:rPr>
                  </w:pPr>
                  <w:r>
                    <w:rPr>
                      <w:rFonts w:hint="eastAsia"/>
                      <w:spacing w:val="-4"/>
                      <w:szCs w:val="21"/>
                    </w:rPr>
                    <w:t>杨街村</w:t>
                  </w:r>
                </w:p>
              </w:tc>
              <w:tc>
                <w:tcPr>
                  <w:tcW w:w="1324" w:type="dxa"/>
                  <w:vMerge w:val="restart"/>
                  <w:vAlign w:val="center"/>
                </w:tcPr>
                <w:p>
                  <w:pPr>
                    <w:snapToGrid w:val="0"/>
                    <w:spacing w:line="240" w:lineRule="atLeast"/>
                    <w:jc w:val="center"/>
                    <w:rPr>
                      <w:spacing w:val="-4"/>
                      <w:szCs w:val="21"/>
                    </w:rPr>
                  </w:pPr>
                  <w:r>
                    <w:rPr>
                      <w:spacing w:val="-4"/>
                      <w:szCs w:val="21"/>
                    </w:rPr>
                    <w:t>居民</w:t>
                  </w:r>
                </w:p>
              </w:tc>
              <w:tc>
                <w:tcPr>
                  <w:tcW w:w="3852" w:type="dxa"/>
                  <w:vMerge w:val="restart"/>
                  <w:vAlign w:val="center"/>
                </w:tcPr>
                <w:p>
                  <w:pPr>
                    <w:snapToGrid w:val="0"/>
                    <w:spacing w:line="240" w:lineRule="atLeast"/>
                    <w:jc w:val="center"/>
                    <w:rPr>
                      <w:szCs w:val="21"/>
                    </w:rPr>
                  </w:pPr>
                  <w:r>
                    <w:rPr>
                      <w:szCs w:val="21"/>
                    </w:rPr>
                    <w:t>《环境空气质量标准》(GB3095-2012)二级</w:t>
                  </w:r>
                </w:p>
              </w:tc>
              <w:tc>
                <w:tcPr>
                  <w:tcW w:w="0" w:type="auto"/>
                  <w:vAlign w:val="center"/>
                </w:tcPr>
                <w:p>
                  <w:pPr>
                    <w:snapToGrid w:val="0"/>
                    <w:spacing w:line="240" w:lineRule="atLeast"/>
                    <w:jc w:val="center"/>
                    <w:rPr>
                      <w:spacing w:val="-4"/>
                      <w:szCs w:val="21"/>
                    </w:rPr>
                  </w:pPr>
                  <w:r>
                    <w:rPr>
                      <w:rFonts w:hint="eastAsia"/>
                      <w:spacing w:val="-4"/>
                      <w:szCs w:val="21"/>
                    </w:rPr>
                    <w:t>S</w:t>
                  </w:r>
                </w:p>
              </w:tc>
              <w:tc>
                <w:tcPr>
                  <w:tcW w:w="0" w:type="auto"/>
                  <w:vAlign w:val="center"/>
                </w:tcPr>
                <w:p>
                  <w:pPr>
                    <w:snapToGrid w:val="0"/>
                    <w:spacing w:line="240" w:lineRule="atLeast"/>
                    <w:jc w:val="center"/>
                    <w:rPr>
                      <w:spacing w:val="-4"/>
                      <w:szCs w:val="21"/>
                    </w:rPr>
                  </w:pPr>
                  <w:r>
                    <w:rPr>
                      <w:rFonts w:hint="eastAsia"/>
                      <w:spacing w:val="-4"/>
                      <w:szCs w:val="21"/>
                    </w:rPr>
                    <w:t>280</w:t>
                  </w:r>
                  <w:r>
                    <w:rPr>
                      <w:spacing w:val="-4"/>
                      <w:szCs w:val="21"/>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0" w:type="auto"/>
                  <w:vAlign w:val="center"/>
                </w:tcPr>
                <w:p>
                  <w:pPr>
                    <w:snapToGrid w:val="0"/>
                    <w:spacing w:line="240" w:lineRule="atLeast"/>
                    <w:jc w:val="center"/>
                    <w:rPr>
                      <w:spacing w:val="-4"/>
                      <w:szCs w:val="21"/>
                    </w:rPr>
                  </w:pPr>
                  <w:r>
                    <w:rPr>
                      <w:rFonts w:hint="eastAsia"/>
                      <w:spacing w:val="-4"/>
                      <w:szCs w:val="21"/>
                    </w:rPr>
                    <w:t>曲水村</w:t>
                  </w:r>
                </w:p>
              </w:tc>
              <w:tc>
                <w:tcPr>
                  <w:tcW w:w="1324" w:type="dxa"/>
                  <w:vMerge w:val="continue"/>
                  <w:vAlign w:val="center"/>
                </w:tcPr>
                <w:p>
                  <w:pPr>
                    <w:snapToGrid w:val="0"/>
                    <w:spacing w:line="240" w:lineRule="atLeast"/>
                    <w:jc w:val="center"/>
                    <w:rPr>
                      <w:spacing w:val="-4"/>
                      <w:szCs w:val="21"/>
                    </w:rPr>
                  </w:pPr>
                </w:p>
              </w:tc>
              <w:tc>
                <w:tcPr>
                  <w:tcW w:w="3852" w:type="dxa"/>
                  <w:vMerge w:val="continue"/>
                  <w:vAlign w:val="center"/>
                </w:tcPr>
                <w:p>
                  <w:pPr>
                    <w:snapToGrid w:val="0"/>
                    <w:spacing w:line="240" w:lineRule="atLeast"/>
                    <w:jc w:val="center"/>
                    <w:rPr>
                      <w:szCs w:val="21"/>
                    </w:rPr>
                  </w:pPr>
                </w:p>
              </w:tc>
              <w:tc>
                <w:tcPr>
                  <w:tcW w:w="0" w:type="auto"/>
                  <w:vAlign w:val="center"/>
                </w:tcPr>
                <w:p>
                  <w:pPr>
                    <w:snapToGrid w:val="0"/>
                    <w:spacing w:line="240" w:lineRule="atLeast"/>
                    <w:jc w:val="center"/>
                    <w:rPr>
                      <w:spacing w:val="-4"/>
                      <w:szCs w:val="21"/>
                    </w:rPr>
                  </w:pPr>
                  <w:r>
                    <w:rPr>
                      <w:rFonts w:hint="eastAsia"/>
                      <w:spacing w:val="-4"/>
                      <w:szCs w:val="21"/>
                    </w:rPr>
                    <w:t>ES</w:t>
                  </w:r>
                </w:p>
              </w:tc>
              <w:tc>
                <w:tcPr>
                  <w:tcW w:w="0" w:type="auto"/>
                  <w:vAlign w:val="center"/>
                </w:tcPr>
                <w:p>
                  <w:pPr>
                    <w:snapToGrid w:val="0"/>
                    <w:spacing w:line="240" w:lineRule="atLeast"/>
                    <w:jc w:val="center"/>
                    <w:rPr>
                      <w:spacing w:val="-4"/>
                      <w:szCs w:val="21"/>
                    </w:rPr>
                  </w:pPr>
                  <w:r>
                    <w:rPr>
                      <w:rFonts w:hint="eastAsia"/>
                      <w:spacing w:val="-4"/>
                      <w:szCs w:val="21"/>
                    </w:rPr>
                    <w:t>310m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0" w:type="auto"/>
                  <w:vAlign w:val="center"/>
                </w:tcPr>
                <w:p>
                  <w:pPr>
                    <w:snapToGrid w:val="0"/>
                    <w:spacing w:line="240" w:lineRule="atLeast"/>
                    <w:jc w:val="center"/>
                    <w:rPr>
                      <w:spacing w:val="-4"/>
                      <w:szCs w:val="21"/>
                    </w:rPr>
                  </w:pPr>
                  <w:r>
                    <w:rPr>
                      <w:rFonts w:hint="eastAsia"/>
                      <w:spacing w:val="-4"/>
                      <w:szCs w:val="21"/>
                    </w:rPr>
                    <w:t>赵堤村</w:t>
                  </w:r>
                </w:p>
              </w:tc>
              <w:tc>
                <w:tcPr>
                  <w:tcW w:w="1324" w:type="dxa"/>
                  <w:vMerge w:val="continue"/>
                  <w:vAlign w:val="center"/>
                </w:tcPr>
                <w:p>
                  <w:pPr>
                    <w:snapToGrid w:val="0"/>
                    <w:spacing w:line="240" w:lineRule="atLeast"/>
                    <w:jc w:val="center"/>
                    <w:rPr>
                      <w:spacing w:val="-4"/>
                      <w:szCs w:val="21"/>
                    </w:rPr>
                  </w:pPr>
                </w:p>
              </w:tc>
              <w:tc>
                <w:tcPr>
                  <w:tcW w:w="3852" w:type="dxa"/>
                  <w:vMerge w:val="continue"/>
                  <w:vAlign w:val="center"/>
                </w:tcPr>
                <w:p>
                  <w:pPr>
                    <w:snapToGrid w:val="0"/>
                    <w:spacing w:line="240" w:lineRule="atLeast"/>
                    <w:jc w:val="center"/>
                    <w:rPr>
                      <w:szCs w:val="21"/>
                    </w:rPr>
                  </w:pPr>
                </w:p>
              </w:tc>
              <w:tc>
                <w:tcPr>
                  <w:tcW w:w="0" w:type="auto"/>
                  <w:vAlign w:val="center"/>
                </w:tcPr>
                <w:p>
                  <w:pPr>
                    <w:snapToGrid w:val="0"/>
                    <w:spacing w:line="240" w:lineRule="atLeast"/>
                    <w:jc w:val="center"/>
                    <w:rPr>
                      <w:spacing w:val="-4"/>
                      <w:szCs w:val="21"/>
                    </w:rPr>
                  </w:pPr>
                  <w:r>
                    <w:rPr>
                      <w:rFonts w:hint="eastAsia"/>
                      <w:spacing w:val="-4"/>
                      <w:szCs w:val="21"/>
                    </w:rPr>
                    <w:t>WS</w:t>
                  </w:r>
                </w:p>
              </w:tc>
              <w:tc>
                <w:tcPr>
                  <w:tcW w:w="0" w:type="auto"/>
                  <w:vAlign w:val="center"/>
                </w:tcPr>
                <w:p>
                  <w:pPr>
                    <w:snapToGrid w:val="0"/>
                    <w:spacing w:line="240" w:lineRule="atLeast"/>
                    <w:jc w:val="center"/>
                    <w:rPr>
                      <w:spacing w:val="-4"/>
                      <w:szCs w:val="21"/>
                    </w:rPr>
                  </w:pPr>
                  <w:r>
                    <w:rPr>
                      <w:rFonts w:hint="eastAsia"/>
                      <w:spacing w:val="-4"/>
                      <w:szCs w:val="21"/>
                    </w:rPr>
                    <w:t>710m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0" w:type="auto"/>
                  <w:vAlign w:val="center"/>
                </w:tcPr>
                <w:p>
                  <w:pPr>
                    <w:snapToGrid w:val="0"/>
                    <w:spacing w:line="240" w:lineRule="atLeast"/>
                    <w:jc w:val="center"/>
                    <w:rPr>
                      <w:spacing w:val="-4"/>
                      <w:szCs w:val="21"/>
                    </w:rPr>
                  </w:pPr>
                  <w:r>
                    <w:rPr>
                      <w:rFonts w:hint="eastAsia"/>
                      <w:spacing w:val="-4"/>
                      <w:szCs w:val="21"/>
                    </w:rPr>
                    <w:t>小河村</w:t>
                  </w:r>
                </w:p>
              </w:tc>
              <w:tc>
                <w:tcPr>
                  <w:tcW w:w="1324" w:type="dxa"/>
                  <w:vMerge w:val="continue"/>
                  <w:vAlign w:val="center"/>
                </w:tcPr>
                <w:p>
                  <w:pPr>
                    <w:snapToGrid w:val="0"/>
                    <w:spacing w:line="240" w:lineRule="atLeast"/>
                    <w:jc w:val="center"/>
                    <w:rPr>
                      <w:spacing w:val="-4"/>
                      <w:szCs w:val="21"/>
                    </w:rPr>
                  </w:pPr>
                </w:p>
              </w:tc>
              <w:tc>
                <w:tcPr>
                  <w:tcW w:w="3852" w:type="dxa"/>
                  <w:vMerge w:val="continue"/>
                  <w:vAlign w:val="center"/>
                </w:tcPr>
                <w:p>
                  <w:pPr>
                    <w:snapToGrid w:val="0"/>
                    <w:spacing w:line="240" w:lineRule="atLeast"/>
                    <w:jc w:val="center"/>
                    <w:rPr>
                      <w:szCs w:val="21"/>
                    </w:rPr>
                  </w:pPr>
                </w:p>
              </w:tc>
              <w:tc>
                <w:tcPr>
                  <w:tcW w:w="0" w:type="auto"/>
                  <w:vAlign w:val="center"/>
                </w:tcPr>
                <w:p>
                  <w:pPr>
                    <w:snapToGrid w:val="0"/>
                    <w:spacing w:line="240" w:lineRule="atLeast"/>
                    <w:jc w:val="center"/>
                    <w:rPr>
                      <w:spacing w:val="-4"/>
                      <w:szCs w:val="21"/>
                    </w:rPr>
                  </w:pPr>
                  <w:r>
                    <w:rPr>
                      <w:rFonts w:hint="eastAsia"/>
                      <w:spacing w:val="-4"/>
                      <w:szCs w:val="21"/>
                    </w:rPr>
                    <w:t>WS</w:t>
                  </w:r>
                </w:p>
              </w:tc>
              <w:tc>
                <w:tcPr>
                  <w:tcW w:w="0" w:type="auto"/>
                  <w:vAlign w:val="center"/>
                </w:tcPr>
                <w:p>
                  <w:pPr>
                    <w:snapToGrid w:val="0"/>
                    <w:spacing w:line="240" w:lineRule="atLeast"/>
                    <w:jc w:val="center"/>
                    <w:rPr>
                      <w:spacing w:val="-4"/>
                      <w:szCs w:val="21"/>
                    </w:rPr>
                  </w:pPr>
                  <w:r>
                    <w:rPr>
                      <w:rFonts w:hint="eastAsia"/>
                      <w:spacing w:val="-4"/>
                      <w:szCs w:val="21"/>
                    </w:rPr>
                    <w:t>1620m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0" w:type="auto"/>
                  <w:vAlign w:val="center"/>
                </w:tcPr>
                <w:p>
                  <w:pPr>
                    <w:snapToGrid w:val="0"/>
                    <w:spacing w:line="240" w:lineRule="atLeast"/>
                    <w:jc w:val="center"/>
                    <w:rPr>
                      <w:spacing w:val="-4"/>
                      <w:szCs w:val="21"/>
                    </w:rPr>
                  </w:pPr>
                  <w:r>
                    <w:rPr>
                      <w:rFonts w:hint="eastAsia"/>
                      <w:spacing w:val="-4"/>
                      <w:szCs w:val="21"/>
                    </w:rPr>
                    <w:t>土门村</w:t>
                  </w:r>
                </w:p>
              </w:tc>
              <w:tc>
                <w:tcPr>
                  <w:tcW w:w="1324" w:type="dxa"/>
                  <w:vMerge w:val="continue"/>
                  <w:vAlign w:val="center"/>
                </w:tcPr>
                <w:p>
                  <w:pPr>
                    <w:snapToGrid w:val="0"/>
                    <w:spacing w:line="240" w:lineRule="atLeast"/>
                    <w:jc w:val="center"/>
                    <w:rPr>
                      <w:spacing w:val="-4"/>
                      <w:szCs w:val="21"/>
                    </w:rPr>
                  </w:pPr>
                </w:p>
              </w:tc>
              <w:tc>
                <w:tcPr>
                  <w:tcW w:w="3852" w:type="dxa"/>
                  <w:vMerge w:val="continue"/>
                  <w:vAlign w:val="center"/>
                </w:tcPr>
                <w:p>
                  <w:pPr>
                    <w:snapToGrid w:val="0"/>
                    <w:spacing w:line="240" w:lineRule="atLeast"/>
                    <w:jc w:val="center"/>
                    <w:rPr>
                      <w:szCs w:val="21"/>
                    </w:rPr>
                  </w:pPr>
                </w:p>
              </w:tc>
              <w:tc>
                <w:tcPr>
                  <w:tcW w:w="0" w:type="auto"/>
                  <w:vAlign w:val="center"/>
                </w:tcPr>
                <w:p>
                  <w:pPr>
                    <w:snapToGrid w:val="0"/>
                    <w:spacing w:line="240" w:lineRule="atLeast"/>
                    <w:jc w:val="center"/>
                    <w:rPr>
                      <w:spacing w:val="-4"/>
                      <w:szCs w:val="21"/>
                    </w:rPr>
                  </w:pPr>
                  <w:r>
                    <w:rPr>
                      <w:rFonts w:hint="eastAsia"/>
                      <w:spacing w:val="-4"/>
                      <w:szCs w:val="21"/>
                    </w:rPr>
                    <w:t>S</w:t>
                  </w:r>
                </w:p>
              </w:tc>
              <w:tc>
                <w:tcPr>
                  <w:tcW w:w="0" w:type="auto"/>
                  <w:vAlign w:val="center"/>
                </w:tcPr>
                <w:p>
                  <w:pPr>
                    <w:snapToGrid w:val="0"/>
                    <w:spacing w:line="240" w:lineRule="atLeast"/>
                    <w:jc w:val="center"/>
                    <w:rPr>
                      <w:spacing w:val="-4"/>
                      <w:szCs w:val="21"/>
                    </w:rPr>
                  </w:pPr>
                  <w:r>
                    <w:rPr>
                      <w:rFonts w:hint="eastAsia"/>
                      <w:spacing w:val="-4"/>
                      <w:szCs w:val="21"/>
                    </w:rPr>
                    <w:t>750</w:t>
                  </w:r>
                  <w:r>
                    <w:rPr>
                      <w:spacing w:val="-4"/>
                      <w:szCs w:val="21"/>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0" w:type="auto"/>
                  <w:vAlign w:val="center"/>
                </w:tcPr>
                <w:p>
                  <w:pPr>
                    <w:snapToGrid w:val="0"/>
                    <w:spacing w:line="240" w:lineRule="atLeast"/>
                    <w:jc w:val="center"/>
                    <w:rPr>
                      <w:spacing w:val="-4"/>
                      <w:szCs w:val="21"/>
                    </w:rPr>
                  </w:pPr>
                  <w:r>
                    <w:rPr>
                      <w:rFonts w:hint="eastAsia"/>
                      <w:spacing w:val="-4"/>
                      <w:szCs w:val="21"/>
                    </w:rPr>
                    <w:t>大泉村</w:t>
                  </w:r>
                </w:p>
              </w:tc>
              <w:tc>
                <w:tcPr>
                  <w:tcW w:w="1324" w:type="dxa"/>
                  <w:vMerge w:val="continue"/>
                  <w:vAlign w:val="center"/>
                </w:tcPr>
                <w:p>
                  <w:pPr>
                    <w:snapToGrid w:val="0"/>
                    <w:spacing w:line="240" w:lineRule="atLeast"/>
                    <w:jc w:val="center"/>
                    <w:rPr>
                      <w:spacing w:val="-4"/>
                      <w:szCs w:val="21"/>
                    </w:rPr>
                  </w:pPr>
                </w:p>
              </w:tc>
              <w:tc>
                <w:tcPr>
                  <w:tcW w:w="3852" w:type="dxa"/>
                  <w:vMerge w:val="continue"/>
                  <w:vAlign w:val="center"/>
                </w:tcPr>
                <w:p>
                  <w:pPr>
                    <w:snapToGrid w:val="0"/>
                    <w:spacing w:line="240" w:lineRule="atLeast"/>
                    <w:jc w:val="center"/>
                    <w:rPr>
                      <w:szCs w:val="21"/>
                    </w:rPr>
                  </w:pPr>
                </w:p>
              </w:tc>
              <w:tc>
                <w:tcPr>
                  <w:tcW w:w="0" w:type="auto"/>
                  <w:vAlign w:val="center"/>
                </w:tcPr>
                <w:p>
                  <w:pPr>
                    <w:snapToGrid w:val="0"/>
                    <w:spacing w:line="240" w:lineRule="atLeast"/>
                    <w:jc w:val="center"/>
                    <w:rPr>
                      <w:spacing w:val="-4"/>
                      <w:szCs w:val="21"/>
                    </w:rPr>
                  </w:pPr>
                  <w:r>
                    <w:rPr>
                      <w:rFonts w:hint="eastAsia"/>
                      <w:spacing w:val="-4"/>
                      <w:szCs w:val="21"/>
                    </w:rPr>
                    <w:t>ES</w:t>
                  </w:r>
                </w:p>
              </w:tc>
              <w:tc>
                <w:tcPr>
                  <w:tcW w:w="0" w:type="auto"/>
                  <w:vAlign w:val="center"/>
                </w:tcPr>
                <w:p>
                  <w:pPr>
                    <w:snapToGrid w:val="0"/>
                    <w:spacing w:line="240" w:lineRule="atLeast"/>
                    <w:jc w:val="center"/>
                    <w:rPr>
                      <w:spacing w:val="-4"/>
                      <w:szCs w:val="21"/>
                    </w:rPr>
                  </w:pPr>
                  <w:r>
                    <w:rPr>
                      <w:rFonts w:hint="eastAsia"/>
                      <w:spacing w:val="-4"/>
                      <w:szCs w:val="21"/>
                    </w:rPr>
                    <w:t>720m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0" w:type="auto"/>
                  <w:vAlign w:val="center"/>
                </w:tcPr>
                <w:p>
                  <w:pPr>
                    <w:snapToGrid w:val="0"/>
                    <w:spacing w:line="240" w:lineRule="atLeast"/>
                    <w:jc w:val="center"/>
                    <w:rPr>
                      <w:spacing w:val="-4"/>
                      <w:szCs w:val="21"/>
                    </w:rPr>
                  </w:pPr>
                  <w:r>
                    <w:rPr>
                      <w:rFonts w:hint="eastAsia"/>
                      <w:spacing w:val="-4"/>
                      <w:szCs w:val="21"/>
                    </w:rPr>
                    <w:t>张湾村</w:t>
                  </w:r>
                </w:p>
              </w:tc>
              <w:tc>
                <w:tcPr>
                  <w:tcW w:w="1324" w:type="dxa"/>
                  <w:vMerge w:val="continue"/>
                  <w:vAlign w:val="center"/>
                </w:tcPr>
                <w:p>
                  <w:pPr>
                    <w:snapToGrid w:val="0"/>
                    <w:spacing w:line="240" w:lineRule="atLeast"/>
                    <w:jc w:val="center"/>
                    <w:rPr>
                      <w:spacing w:val="-4"/>
                      <w:szCs w:val="21"/>
                    </w:rPr>
                  </w:pPr>
                </w:p>
              </w:tc>
              <w:tc>
                <w:tcPr>
                  <w:tcW w:w="3852" w:type="dxa"/>
                  <w:vMerge w:val="continue"/>
                  <w:vAlign w:val="center"/>
                </w:tcPr>
                <w:p>
                  <w:pPr>
                    <w:snapToGrid w:val="0"/>
                    <w:spacing w:line="240" w:lineRule="atLeast"/>
                    <w:jc w:val="center"/>
                    <w:rPr>
                      <w:szCs w:val="21"/>
                    </w:rPr>
                  </w:pPr>
                </w:p>
              </w:tc>
              <w:tc>
                <w:tcPr>
                  <w:tcW w:w="0" w:type="auto"/>
                  <w:vAlign w:val="center"/>
                </w:tcPr>
                <w:p>
                  <w:pPr>
                    <w:snapToGrid w:val="0"/>
                    <w:spacing w:line="240" w:lineRule="atLeast"/>
                    <w:jc w:val="center"/>
                    <w:rPr>
                      <w:spacing w:val="-4"/>
                      <w:szCs w:val="21"/>
                    </w:rPr>
                  </w:pPr>
                  <w:r>
                    <w:rPr>
                      <w:rFonts w:hint="eastAsia"/>
                      <w:spacing w:val="-4"/>
                      <w:szCs w:val="21"/>
                    </w:rPr>
                    <w:t>E</w:t>
                  </w:r>
                </w:p>
              </w:tc>
              <w:tc>
                <w:tcPr>
                  <w:tcW w:w="0" w:type="auto"/>
                  <w:vAlign w:val="center"/>
                </w:tcPr>
                <w:p>
                  <w:pPr>
                    <w:snapToGrid w:val="0"/>
                    <w:spacing w:line="240" w:lineRule="atLeast"/>
                    <w:jc w:val="center"/>
                    <w:rPr>
                      <w:spacing w:val="-4"/>
                      <w:szCs w:val="21"/>
                    </w:rPr>
                  </w:pPr>
                  <w:r>
                    <w:rPr>
                      <w:rFonts w:hint="eastAsia"/>
                      <w:spacing w:val="-4"/>
                      <w:szCs w:val="21"/>
                    </w:rPr>
                    <w:t>980m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0" w:type="auto"/>
                  <w:vAlign w:val="center"/>
                </w:tcPr>
                <w:p>
                  <w:pPr>
                    <w:snapToGrid w:val="0"/>
                    <w:spacing w:line="240" w:lineRule="atLeast"/>
                    <w:jc w:val="center"/>
                    <w:rPr>
                      <w:spacing w:val="-4"/>
                      <w:szCs w:val="21"/>
                    </w:rPr>
                  </w:pPr>
                  <w:r>
                    <w:rPr>
                      <w:rFonts w:hint="eastAsia"/>
                      <w:spacing w:val="-4"/>
                      <w:szCs w:val="21"/>
                    </w:rPr>
                    <w:t>三干渠</w:t>
                  </w:r>
                </w:p>
              </w:tc>
              <w:tc>
                <w:tcPr>
                  <w:tcW w:w="1324" w:type="dxa"/>
                  <w:vMerge w:val="restart"/>
                  <w:vAlign w:val="center"/>
                </w:tcPr>
                <w:p>
                  <w:pPr>
                    <w:snapToGrid w:val="0"/>
                    <w:spacing w:line="240" w:lineRule="atLeast"/>
                    <w:jc w:val="center"/>
                    <w:rPr>
                      <w:spacing w:val="-4"/>
                      <w:szCs w:val="21"/>
                    </w:rPr>
                  </w:pPr>
                  <w:r>
                    <w:rPr>
                      <w:spacing w:val="-4"/>
                      <w:szCs w:val="21"/>
                    </w:rPr>
                    <w:t>地表水体</w:t>
                  </w:r>
                </w:p>
              </w:tc>
              <w:tc>
                <w:tcPr>
                  <w:tcW w:w="3852" w:type="dxa"/>
                  <w:vMerge w:val="restart"/>
                  <w:vAlign w:val="center"/>
                </w:tcPr>
                <w:p>
                  <w:pPr>
                    <w:snapToGrid w:val="0"/>
                    <w:spacing w:line="240" w:lineRule="atLeast"/>
                    <w:jc w:val="center"/>
                    <w:rPr>
                      <w:szCs w:val="21"/>
                    </w:rPr>
                  </w:pPr>
                  <w:r>
                    <w:rPr>
                      <w:szCs w:val="21"/>
                    </w:rPr>
                    <w:t>《地表水环境质量标准》（GB3838</w:t>
                  </w:r>
                  <w:r>
                    <w:rPr>
                      <w:szCs w:val="21"/>
                    </w:rPr>
                    <w:sym w:font="Symbol" w:char="F02D"/>
                  </w:r>
                  <w:r>
                    <w:rPr>
                      <w:szCs w:val="21"/>
                    </w:rPr>
                    <w:t>2002）</w:t>
                  </w: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4 \* ROMAN</w:instrText>
                  </w:r>
                  <w:r>
                    <w:rPr>
                      <w:rFonts w:ascii="宋体" w:hAnsi="宋体" w:cs="宋体"/>
                      <w:szCs w:val="21"/>
                    </w:rPr>
                    <w:instrText xml:space="preserve"> </w:instrText>
                  </w:r>
                  <w:r>
                    <w:rPr>
                      <w:rFonts w:ascii="宋体" w:hAnsi="宋体" w:cs="宋体"/>
                      <w:szCs w:val="21"/>
                    </w:rPr>
                    <w:fldChar w:fldCharType="separate"/>
                  </w:r>
                  <w:r>
                    <w:rPr>
                      <w:rFonts w:ascii="宋体" w:hAnsi="宋体" w:cs="宋体"/>
                      <w:szCs w:val="21"/>
                    </w:rPr>
                    <w:t>IV</w:t>
                  </w:r>
                  <w:r>
                    <w:rPr>
                      <w:rFonts w:ascii="宋体" w:hAnsi="宋体" w:cs="宋体"/>
                      <w:szCs w:val="21"/>
                    </w:rPr>
                    <w:fldChar w:fldCharType="end"/>
                  </w:r>
                  <w:r>
                    <w:rPr>
                      <w:szCs w:val="21"/>
                    </w:rPr>
                    <w:t>类</w:t>
                  </w:r>
                </w:p>
              </w:tc>
              <w:tc>
                <w:tcPr>
                  <w:tcW w:w="0" w:type="auto"/>
                  <w:vAlign w:val="center"/>
                </w:tcPr>
                <w:p>
                  <w:pPr>
                    <w:snapToGrid w:val="0"/>
                    <w:spacing w:line="240" w:lineRule="atLeast"/>
                    <w:jc w:val="center"/>
                    <w:rPr>
                      <w:spacing w:val="-4"/>
                      <w:szCs w:val="21"/>
                    </w:rPr>
                  </w:pPr>
                  <w:r>
                    <w:rPr>
                      <w:rFonts w:hint="eastAsia"/>
                      <w:spacing w:val="-4"/>
                      <w:szCs w:val="21"/>
                    </w:rPr>
                    <w:t>S</w:t>
                  </w:r>
                </w:p>
              </w:tc>
              <w:tc>
                <w:tcPr>
                  <w:tcW w:w="0" w:type="auto"/>
                  <w:vAlign w:val="center"/>
                </w:tcPr>
                <w:p>
                  <w:pPr>
                    <w:snapToGrid w:val="0"/>
                    <w:spacing w:line="240" w:lineRule="atLeast"/>
                    <w:jc w:val="center"/>
                    <w:rPr>
                      <w:spacing w:val="-4"/>
                      <w:szCs w:val="21"/>
                    </w:rPr>
                  </w:pPr>
                  <w:r>
                    <w:rPr>
                      <w:rFonts w:hint="eastAsia"/>
                      <w:spacing w:val="-4"/>
                      <w:szCs w:val="21"/>
                    </w:rPr>
                    <w:t>700m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0" w:type="auto"/>
                  <w:vAlign w:val="center"/>
                </w:tcPr>
                <w:p>
                  <w:pPr>
                    <w:snapToGrid w:val="0"/>
                    <w:spacing w:line="240" w:lineRule="atLeast"/>
                    <w:jc w:val="center"/>
                    <w:rPr>
                      <w:spacing w:val="-4"/>
                      <w:szCs w:val="21"/>
                    </w:rPr>
                  </w:pPr>
                  <w:r>
                    <w:rPr>
                      <w:rFonts w:hint="eastAsia"/>
                      <w:spacing w:val="-4"/>
                      <w:szCs w:val="21"/>
                    </w:rPr>
                    <w:t>东孟姜女河</w:t>
                  </w:r>
                </w:p>
              </w:tc>
              <w:tc>
                <w:tcPr>
                  <w:tcW w:w="1324" w:type="dxa"/>
                  <w:vMerge w:val="continue"/>
                  <w:vAlign w:val="center"/>
                </w:tcPr>
                <w:p>
                  <w:pPr>
                    <w:snapToGrid w:val="0"/>
                    <w:spacing w:line="240" w:lineRule="atLeast"/>
                    <w:jc w:val="center"/>
                    <w:rPr>
                      <w:spacing w:val="-4"/>
                      <w:szCs w:val="21"/>
                    </w:rPr>
                  </w:pPr>
                </w:p>
              </w:tc>
              <w:tc>
                <w:tcPr>
                  <w:tcW w:w="3852" w:type="dxa"/>
                  <w:vMerge w:val="continue"/>
                  <w:vAlign w:val="center"/>
                </w:tcPr>
                <w:p>
                  <w:pPr>
                    <w:snapToGrid w:val="0"/>
                    <w:spacing w:line="240" w:lineRule="atLeast"/>
                    <w:jc w:val="center"/>
                    <w:rPr>
                      <w:szCs w:val="21"/>
                    </w:rPr>
                  </w:pPr>
                </w:p>
              </w:tc>
              <w:tc>
                <w:tcPr>
                  <w:tcW w:w="0" w:type="auto"/>
                  <w:vAlign w:val="center"/>
                </w:tcPr>
                <w:p>
                  <w:pPr>
                    <w:snapToGrid w:val="0"/>
                    <w:spacing w:line="240" w:lineRule="atLeast"/>
                    <w:jc w:val="center"/>
                    <w:rPr>
                      <w:spacing w:val="-4"/>
                      <w:szCs w:val="21"/>
                    </w:rPr>
                  </w:pPr>
                  <w:r>
                    <w:rPr>
                      <w:rFonts w:hint="eastAsia"/>
                      <w:spacing w:val="-4"/>
                      <w:szCs w:val="21"/>
                    </w:rPr>
                    <w:t>E</w:t>
                  </w:r>
                </w:p>
              </w:tc>
              <w:tc>
                <w:tcPr>
                  <w:tcW w:w="0" w:type="auto"/>
                  <w:vAlign w:val="center"/>
                </w:tcPr>
                <w:p>
                  <w:pPr>
                    <w:snapToGrid w:val="0"/>
                    <w:spacing w:line="240" w:lineRule="atLeast"/>
                    <w:jc w:val="center"/>
                    <w:rPr>
                      <w:spacing w:val="-4"/>
                      <w:szCs w:val="21"/>
                    </w:rPr>
                  </w:pPr>
                  <w:r>
                    <w:rPr>
                      <w:rFonts w:hint="eastAsia"/>
                      <w:spacing w:val="-4"/>
                      <w:szCs w:val="21"/>
                    </w:rPr>
                    <w:t>1300m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0" w:type="auto"/>
                  <w:vAlign w:val="center"/>
                </w:tcPr>
                <w:p>
                  <w:pPr>
                    <w:snapToGrid w:val="0"/>
                    <w:spacing w:line="240" w:lineRule="atLeast"/>
                    <w:rPr>
                      <w:spacing w:val="-4"/>
                      <w:szCs w:val="21"/>
                    </w:rPr>
                  </w:pPr>
                  <w:r>
                    <w:rPr>
                      <w:rFonts w:hint="eastAsia"/>
                      <w:spacing w:val="-4"/>
                      <w:szCs w:val="21"/>
                    </w:rPr>
                    <w:t>厂址所在区域浅层地下水</w:t>
                  </w:r>
                </w:p>
              </w:tc>
              <w:tc>
                <w:tcPr>
                  <w:tcW w:w="1324" w:type="dxa"/>
                  <w:vAlign w:val="center"/>
                </w:tcPr>
                <w:p>
                  <w:pPr>
                    <w:snapToGrid w:val="0"/>
                    <w:spacing w:line="240" w:lineRule="atLeast"/>
                    <w:jc w:val="center"/>
                    <w:rPr>
                      <w:spacing w:val="-4"/>
                      <w:szCs w:val="21"/>
                    </w:rPr>
                  </w:pPr>
                  <w:r>
                    <w:rPr>
                      <w:rFonts w:hint="eastAsia"/>
                      <w:spacing w:val="-4"/>
                      <w:szCs w:val="21"/>
                    </w:rPr>
                    <w:t>地下水</w:t>
                  </w:r>
                </w:p>
              </w:tc>
              <w:tc>
                <w:tcPr>
                  <w:tcW w:w="3852" w:type="dxa"/>
                  <w:vAlign w:val="center"/>
                </w:tcPr>
                <w:p>
                  <w:pPr>
                    <w:pStyle w:val="14"/>
                    <w:spacing w:line="240" w:lineRule="atLeast"/>
                    <w:jc w:val="center"/>
                    <w:rPr>
                      <w:rFonts w:ascii="Times New Roman" w:hAnsi="Times New Roman"/>
                      <w:kern w:val="0"/>
                    </w:rPr>
                  </w:pPr>
                  <w:r>
                    <w:rPr>
                      <w:rFonts w:hint="eastAsia" w:ascii="Times New Roman" w:hAnsi="宋体"/>
                      <w:kern w:val="0"/>
                    </w:rPr>
                    <w:t>地下水质量标准》（GB/T14848-93）Ⅲ类</w:t>
                  </w:r>
                </w:p>
              </w:tc>
              <w:tc>
                <w:tcPr>
                  <w:tcW w:w="0" w:type="auto"/>
                  <w:vAlign w:val="center"/>
                </w:tcPr>
                <w:p>
                  <w:pPr>
                    <w:snapToGrid w:val="0"/>
                    <w:spacing w:line="240" w:lineRule="atLeast"/>
                    <w:jc w:val="center"/>
                    <w:rPr>
                      <w:spacing w:val="-4"/>
                      <w:szCs w:val="21"/>
                    </w:rPr>
                  </w:pPr>
                  <w:r>
                    <w:rPr>
                      <w:rFonts w:hint="eastAsia"/>
                      <w:spacing w:val="-4"/>
                      <w:szCs w:val="21"/>
                    </w:rPr>
                    <w:t>/</w:t>
                  </w:r>
                </w:p>
              </w:tc>
              <w:tc>
                <w:tcPr>
                  <w:tcW w:w="0" w:type="auto"/>
                  <w:vAlign w:val="center"/>
                </w:tcPr>
                <w:p>
                  <w:pPr>
                    <w:snapToGrid w:val="0"/>
                    <w:spacing w:line="240" w:lineRule="atLeast"/>
                    <w:jc w:val="center"/>
                    <w:rPr>
                      <w:spacing w:val="-4"/>
                      <w:szCs w:val="21"/>
                    </w:rPr>
                  </w:pPr>
                  <w:r>
                    <w:rPr>
                      <w:rFonts w:hint="eastAsia"/>
                      <w:spacing w:val="-4"/>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0" w:type="auto"/>
                  <w:vAlign w:val="center"/>
                </w:tcPr>
                <w:p>
                  <w:pPr>
                    <w:snapToGrid w:val="0"/>
                    <w:spacing w:line="240" w:lineRule="atLeast"/>
                    <w:jc w:val="center"/>
                    <w:rPr>
                      <w:spacing w:val="-4"/>
                      <w:szCs w:val="21"/>
                    </w:rPr>
                  </w:pPr>
                  <w:r>
                    <w:rPr>
                      <w:rFonts w:hint="eastAsia"/>
                      <w:spacing w:val="-4"/>
                      <w:szCs w:val="21"/>
                    </w:rPr>
                    <w:t>/</w:t>
                  </w:r>
                </w:p>
              </w:tc>
              <w:tc>
                <w:tcPr>
                  <w:tcW w:w="1324" w:type="dxa"/>
                  <w:vAlign w:val="center"/>
                </w:tcPr>
                <w:p>
                  <w:pPr>
                    <w:snapToGrid w:val="0"/>
                    <w:spacing w:line="240" w:lineRule="atLeast"/>
                    <w:jc w:val="center"/>
                    <w:rPr>
                      <w:spacing w:val="-4"/>
                      <w:szCs w:val="21"/>
                    </w:rPr>
                  </w:pPr>
                  <w:r>
                    <w:rPr>
                      <w:rFonts w:hint="eastAsia"/>
                      <w:spacing w:val="-4"/>
                      <w:szCs w:val="21"/>
                    </w:rPr>
                    <w:t>声环境</w:t>
                  </w:r>
                </w:p>
              </w:tc>
              <w:tc>
                <w:tcPr>
                  <w:tcW w:w="3852" w:type="dxa"/>
                  <w:vAlign w:val="center"/>
                </w:tcPr>
                <w:p>
                  <w:pPr>
                    <w:pStyle w:val="14"/>
                    <w:spacing w:line="240" w:lineRule="atLeast"/>
                    <w:jc w:val="center"/>
                    <w:rPr>
                      <w:rFonts w:ascii="Times New Roman" w:hAnsi="宋体"/>
                      <w:kern w:val="0"/>
                    </w:rPr>
                  </w:pPr>
                  <w:r>
                    <w:rPr>
                      <w:rFonts w:hint="eastAsia" w:ascii="Times New Roman" w:hAnsi="宋体"/>
                      <w:kern w:val="0"/>
                    </w:rPr>
                    <w:t>《声环境质量标准》（GB3096-2008）2类</w:t>
                  </w:r>
                </w:p>
              </w:tc>
              <w:tc>
                <w:tcPr>
                  <w:tcW w:w="0" w:type="auto"/>
                  <w:vAlign w:val="center"/>
                </w:tcPr>
                <w:p>
                  <w:pPr>
                    <w:snapToGrid w:val="0"/>
                    <w:spacing w:line="240" w:lineRule="atLeast"/>
                    <w:jc w:val="center"/>
                    <w:rPr>
                      <w:spacing w:val="-4"/>
                      <w:szCs w:val="21"/>
                    </w:rPr>
                  </w:pPr>
                  <w:r>
                    <w:rPr>
                      <w:rFonts w:hint="eastAsia"/>
                      <w:spacing w:val="-4"/>
                      <w:szCs w:val="21"/>
                    </w:rPr>
                    <w:t>/</w:t>
                  </w:r>
                </w:p>
              </w:tc>
              <w:tc>
                <w:tcPr>
                  <w:tcW w:w="0" w:type="auto"/>
                  <w:vAlign w:val="center"/>
                </w:tcPr>
                <w:p>
                  <w:pPr>
                    <w:snapToGrid w:val="0"/>
                    <w:spacing w:line="240" w:lineRule="atLeast"/>
                    <w:jc w:val="center"/>
                    <w:rPr>
                      <w:spacing w:val="-4"/>
                      <w:szCs w:val="21"/>
                    </w:rPr>
                  </w:pPr>
                  <w:r>
                    <w:rPr>
                      <w:rFonts w:hint="eastAsia"/>
                      <w:spacing w:val="-4"/>
                      <w:szCs w:val="21"/>
                    </w:rPr>
                    <w:t>/</w:t>
                  </w:r>
                </w:p>
              </w:tc>
            </w:tr>
          </w:tbl>
          <w:p>
            <w:pPr>
              <w:snapToGrid w:val="0"/>
              <w:spacing w:line="384" w:lineRule="auto"/>
              <w:rPr>
                <w:sz w:val="24"/>
              </w:rPr>
            </w:pPr>
          </w:p>
          <w:p>
            <w:pPr>
              <w:snapToGrid w:val="0"/>
              <w:spacing w:line="384" w:lineRule="auto"/>
              <w:rPr>
                <w:sz w:val="24"/>
              </w:rPr>
            </w:pPr>
          </w:p>
          <w:p>
            <w:pPr>
              <w:snapToGrid w:val="0"/>
              <w:spacing w:line="384" w:lineRule="auto"/>
              <w:rPr>
                <w:sz w:val="24"/>
              </w:rPr>
            </w:pPr>
          </w:p>
          <w:p>
            <w:pPr>
              <w:snapToGrid w:val="0"/>
              <w:spacing w:line="384" w:lineRule="auto"/>
              <w:rPr>
                <w:sz w:val="24"/>
              </w:rPr>
            </w:pPr>
          </w:p>
          <w:p>
            <w:pPr>
              <w:snapToGrid w:val="0"/>
              <w:spacing w:line="384" w:lineRule="auto"/>
              <w:rPr>
                <w:sz w:val="24"/>
              </w:rPr>
            </w:pPr>
          </w:p>
          <w:p>
            <w:pPr>
              <w:snapToGrid w:val="0"/>
              <w:spacing w:line="384" w:lineRule="auto"/>
              <w:rPr>
                <w:sz w:val="24"/>
              </w:rPr>
            </w:pPr>
          </w:p>
          <w:p>
            <w:pPr>
              <w:snapToGrid w:val="0"/>
              <w:spacing w:line="384" w:lineRule="auto"/>
              <w:rPr>
                <w:sz w:val="24"/>
              </w:rPr>
            </w:pPr>
          </w:p>
          <w:p>
            <w:pPr>
              <w:snapToGrid w:val="0"/>
              <w:spacing w:line="384" w:lineRule="auto"/>
              <w:rPr>
                <w:sz w:val="24"/>
              </w:rPr>
            </w:pPr>
          </w:p>
          <w:p>
            <w:pPr>
              <w:snapToGrid w:val="0"/>
              <w:spacing w:line="384" w:lineRule="auto"/>
              <w:rPr>
                <w:sz w:val="24"/>
              </w:rPr>
            </w:pPr>
          </w:p>
          <w:p>
            <w:pPr>
              <w:snapToGrid w:val="0"/>
              <w:spacing w:line="384" w:lineRule="auto"/>
              <w:rPr>
                <w:sz w:val="24"/>
              </w:rPr>
            </w:pPr>
          </w:p>
          <w:p>
            <w:pPr>
              <w:snapToGrid w:val="0"/>
              <w:spacing w:line="384" w:lineRule="auto"/>
              <w:rPr>
                <w:sz w:val="24"/>
              </w:rPr>
            </w:pPr>
          </w:p>
          <w:p>
            <w:pPr>
              <w:pStyle w:val="2"/>
              <w:jc w:val="both"/>
            </w:pPr>
          </w:p>
          <w:p/>
        </w:tc>
      </w:tr>
    </w:tbl>
    <w:p>
      <w:pPr>
        <w:adjustRightInd w:val="0"/>
        <w:snapToGrid w:val="0"/>
        <w:rPr>
          <w:b/>
          <w:sz w:val="32"/>
        </w:rPr>
      </w:pPr>
      <w:r>
        <w:rPr>
          <w:rFonts w:hAnsi="宋体"/>
          <w:b/>
          <w:sz w:val="32"/>
        </w:rPr>
        <w:t>评价适用标准</w:t>
      </w:r>
    </w:p>
    <w:tbl>
      <w:tblPr>
        <w:tblStyle w:val="27"/>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0" w:type="auto"/>
            <w:vAlign w:val="center"/>
          </w:tcPr>
          <w:p>
            <w:pPr>
              <w:snapToGrid w:val="0"/>
              <w:jc w:val="center"/>
              <w:rPr>
                <w:sz w:val="24"/>
              </w:rPr>
            </w:pPr>
            <w:r>
              <w:rPr>
                <w:sz w:val="24"/>
              </w:rPr>
              <w:t>环</w:t>
            </w:r>
          </w:p>
          <w:p>
            <w:pPr>
              <w:snapToGrid w:val="0"/>
              <w:jc w:val="center"/>
              <w:rPr>
                <w:sz w:val="24"/>
              </w:rPr>
            </w:pPr>
            <w:r>
              <w:rPr>
                <w:sz w:val="24"/>
              </w:rPr>
              <w:t>境</w:t>
            </w:r>
          </w:p>
          <w:p>
            <w:pPr>
              <w:snapToGrid w:val="0"/>
              <w:jc w:val="center"/>
              <w:rPr>
                <w:sz w:val="24"/>
              </w:rPr>
            </w:pPr>
            <w:r>
              <w:rPr>
                <w:sz w:val="24"/>
              </w:rPr>
              <w:t>质</w:t>
            </w:r>
          </w:p>
          <w:p>
            <w:pPr>
              <w:snapToGrid w:val="0"/>
              <w:jc w:val="center"/>
              <w:rPr>
                <w:sz w:val="24"/>
              </w:rPr>
            </w:pPr>
            <w:r>
              <w:rPr>
                <w:sz w:val="24"/>
              </w:rPr>
              <w:t>量</w:t>
            </w:r>
          </w:p>
          <w:p>
            <w:pPr>
              <w:snapToGrid w:val="0"/>
              <w:jc w:val="center"/>
              <w:rPr>
                <w:sz w:val="24"/>
              </w:rPr>
            </w:pPr>
            <w:r>
              <w:rPr>
                <w:sz w:val="24"/>
              </w:rPr>
              <w:t>标</w:t>
            </w:r>
          </w:p>
          <w:p>
            <w:pPr>
              <w:snapToGrid w:val="0"/>
              <w:jc w:val="center"/>
              <w:rPr>
                <w:sz w:val="28"/>
              </w:rPr>
            </w:pPr>
            <w:r>
              <w:rPr>
                <w:sz w:val="24"/>
              </w:rPr>
              <w:t>准</w:t>
            </w:r>
          </w:p>
        </w:tc>
        <w:tc>
          <w:tcPr>
            <w:tcW w:w="0" w:type="auto"/>
          </w:tcPr>
          <w:p>
            <w:pPr>
              <w:adjustRightInd w:val="0"/>
              <w:snapToGrid w:val="0"/>
              <w:spacing w:line="500" w:lineRule="exact"/>
              <w:rPr>
                <w:b/>
                <w:bCs/>
                <w:sz w:val="24"/>
              </w:rPr>
            </w:pPr>
            <w:r>
              <w:rPr>
                <w:b/>
                <w:bCs/>
                <w:sz w:val="24"/>
              </w:rPr>
              <w:t>1</w:t>
            </w:r>
            <w:r>
              <w:rPr>
                <w:rFonts w:hint="eastAsia" w:hAnsi="宋体"/>
                <w:b/>
                <w:bCs/>
                <w:sz w:val="24"/>
              </w:rPr>
              <w:t>.</w:t>
            </w:r>
            <w:r>
              <w:rPr>
                <w:rFonts w:hAnsi="宋体"/>
                <w:b/>
                <w:bCs/>
                <w:sz w:val="24"/>
              </w:rPr>
              <w:t>大气</w:t>
            </w:r>
          </w:p>
          <w:p>
            <w:pPr>
              <w:adjustRightInd w:val="0"/>
              <w:snapToGrid w:val="0"/>
              <w:spacing w:line="500" w:lineRule="exact"/>
              <w:ind w:firstLine="480" w:firstLineChars="200"/>
              <w:rPr>
                <w:sz w:val="24"/>
              </w:rPr>
            </w:pPr>
            <w:r>
              <w:rPr>
                <w:rFonts w:hAnsi="宋体"/>
                <w:sz w:val="24"/>
              </w:rPr>
              <w:t>大气环境执行</w:t>
            </w:r>
            <w:r>
              <w:rPr>
                <w:rFonts w:hAnsi="宋体"/>
                <w:bCs/>
                <w:sz w:val="24"/>
              </w:rPr>
              <w:t>《环境空气质量标准》</w:t>
            </w:r>
            <w:r>
              <w:rPr>
                <w:bCs/>
                <w:sz w:val="24"/>
              </w:rPr>
              <w:t>(GB3095-2012)</w:t>
            </w:r>
            <w:r>
              <w:rPr>
                <w:rFonts w:hAnsi="宋体"/>
                <w:bCs/>
                <w:sz w:val="24"/>
              </w:rPr>
              <w:t>，</w:t>
            </w:r>
            <w:r>
              <w:rPr>
                <w:rFonts w:hAnsi="宋体"/>
                <w:sz w:val="24"/>
              </w:rPr>
              <w:t>详见表</w:t>
            </w:r>
            <w:r>
              <w:rPr>
                <w:rFonts w:hint="eastAsia"/>
                <w:sz w:val="24"/>
              </w:rPr>
              <w:t>23。</w:t>
            </w:r>
          </w:p>
          <w:p>
            <w:pPr>
              <w:autoSpaceDE w:val="0"/>
              <w:autoSpaceDN w:val="0"/>
              <w:adjustRightInd w:val="0"/>
              <w:snapToGrid w:val="0"/>
              <w:spacing w:line="400" w:lineRule="exact"/>
              <w:ind w:left="420"/>
              <w:rPr>
                <w:bCs/>
                <w:sz w:val="24"/>
              </w:rPr>
            </w:pPr>
            <w:r>
              <w:rPr>
                <w:rFonts w:hAnsi="宋体"/>
                <w:b/>
                <w:sz w:val="24"/>
              </w:rPr>
              <w:t>表</w:t>
            </w:r>
            <w:r>
              <w:rPr>
                <w:rFonts w:hint="eastAsia" w:hAnsi="宋体"/>
                <w:b/>
                <w:sz w:val="24"/>
              </w:rPr>
              <w:t>23</w:t>
            </w:r>
            <w:r>
              <w:rPr>
                <w:rFonts w:hAnsi="宋体"/>
                <w:b/>
                <w:sz w:val="24"/>
              </w:rPr>
              <w:t xml:space="preserve">     </w:t>
            </w:r>
            <w:r>
              <w:rPr>
                <w:rFonts w:hint="eastAsia" w:hAnsi="宋体"/>
                <w:b/>
                <w:sz w:val="24"/>
              </w:rPr>
              <w:t xml:space="preserve">   </w:t>
            </w:r>
            <w:r>
              <w:rPr>
                <w:rFonts w:hAnsi="宋体"/>
                <w:b/>
                <w:sz w:val="24"/>
              </w:rPr>
              <w:t>《环境空气质量标准》(GB3095-2012)</w:t>
            </w:r>
          </w:p>
          <w:tbl>
            <w:tblPr>
              <w:tblStyle w:val="27"/>
              <w:tblW w:w="8312"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770"/>
              <w:gridCol w:w="2771"/>
              <w:gridCol w:w="277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2770" w:type="dxa"/>
                  <w:tcBorders>
                    <w:top w:val="single" w:color="auto" w:sz="12" w:space="0"/>
                    <w:left w:val="nil"/>
                    <w:bottom w:val="single" w:color="auto" w:sz="6" w:space="0"/>
                    <w:right w:val="single" w:color="auto" w:sz="6" w:space="0"/>
                  </w:tcBorders>
                  <w:vAlign w:val="center"/>
                </w:tcPr>
                <w:p>
                  <w:pPr>
                    <w:pStyle w:val="83"/>
                    <w:adjustRightInd w:val="0"/>
                    <w:snapToGrid w:val="0"/>
                    <w:spacing w:line="240" w:lineRule="auto"/>
                    <w:ind w:firstLine="0" w:firstLineChars="0"/>
                    <w:jc w:val="center"/>
                    <w:rPr>
                      <w:rFonts w:cs="Times New Roman"/>
                      <w:b/>
                      <w:spacing w:val="-2"/>
                      <w:sz w:val="21"/>
                      <w:szCs w:val="21"/>
                    </w:rPr>
                  </w:pPr>
                  <w:r>
                    <w:rPr>
                      <w:rFonts w:hAnsi="宋体" w:cs="Times New Roman"/>
                      <w:b/>
                      <w:spacing w:val="-2"/>
                      <w:sz w:val="21"/>
                      <w:szCs w:val="21"/>
                    </w:rPr>
                    <w:t>项目</w:t>
                  </w:r>
                </w:p>
              </w:tc>
              <w:tc>
                <w:tcPr>
                  <w:tcW w:w="2771" w:type="dxa"/>
                  <w:tcBorders>
                    <w:top w:val="single" w:color="auto" w:sz="12" w:space="0"/>
                    <w:left w:val="single" w:color="auto" w:sz="6" w:space="0"/>
                    <w:bottom w:val="single" w:color="auto" w:sz="6" w:space="0"/>
                    <w:right w:val="single" w:color="auto" w:sz="6" w:space="0"/>
                  </w:tcBorders>
                  <w:vAlign w:val="center"/>
                </w:tcPr>
                <w:p>
                  <w:pPr>
                    <w:pStyle w:val="83"/>
                    <w:adjustRightInd w:val="0"/>
                    <w:snapToGrid w:val="0"/>
                    <w:spacing w:line="240" w:lineRule="auto"/>
                    <w:ind w:firstLine="0" w:firstLineChars="0"/>
                    <w:jc w:val="center"/>
                    <w:rPr>
                      <w:rFonts w:cs="Times New Roman"/>
                      <w:b/>
                      <w:spacing w:val="-2"/>
                      <w:sz w:val="21"/>
                      <w:szCs w:val="21"/>
                    </w:rPr>
                  </w:pPr>
                  <w:r>
                    <w:rPr>
                      <w:rFonts w:hAnsi="宋体" w:cs="Times New Roman"/>
                      <w:b/>
                      <w:spacing w:val="-2"/>
                      <w:sz w:val="21"/>
                      <w:szCs w:val="21"/>
                    </w:rPr>
                    <w:t>取值时间</w:t>
                  </w:r>
                </w:p>
              </w:tc>
              <w:tc>
                <w:tcPr>
                  <w:tcW w:w="2771" w:type="dxa"/>
                  <w:tcBorders>
                    <w:top w:val="single" w:color="auto" w:sz="12" w:space="0"/>
                    <w:left w:val="single" w:color="auto" w:sz="6" w:space="0"/>
                    <w:bottom w:val="single" w:color="auto" w:sz="6" w:space="0"/>
                    <w:right w:val="nil"/>
                  </w:tcBorders>
                  <w:vAlign w:val="center"/>
                </w:tcPr>
                <w:p>
                  <w:pPr>
                    <w:pStyle w:val="83"/>
                    <w:adjustRightInd w:val="0"/>
                    <w:snapToGrid w:val="0"/>
                    <w:spacing w:line="240" w:lineRule="auto"/>
                    <w:ind w:firstLine="0" w:firstLineChars="0"/>
                    <w:jc w:val="center"/>
                    <w:rPr>
                      <w:rFonts w:cs="Times New Roman"/>
                      <w:b/>
                      <w:spacing w:val="-2"/>
                      <w:sz w:val="21"/>
                      <w:szCs w:val="21"/>
                    </w:rPr>
                  </w:pPr>
                  <w:r>
                    <w:rPr>
                      <w:rFonts w:hAnsi="宋体" w:cs="Times New Roman"/>
                      <w:b/>
                      <w:spacing w:val="-2"/>
                      <w:sz w:val="21"/>
                      <w:szCs w:val="21"/>
                    </w:rPr>
                    <w:t>二级标准（</w:t>
                  </w:r>
                  <w:r>
                    <w:rPr>
                      <w:rFonts w:cs="Times New Roman"/>
                      <w:b/>
                      <w:spacing w:val="-2"/>
                      <w:sz w:val="21"/>
                      <w:szCs w:val="21"/>
                    </w:rPr>
                    <w:t>µg/m</w:t>
                  </w:r>
                  <w:r>
                    <w:rPr>
                      <w:rFonts w:cs="Times New Roman"/>
                      <w:b/>
                      <w:spacing w:val="-2"/>
                      <w:sz w:val="21"/>
                      <w:szCs w:val="21"/>
                      <w:vertAlign w:val="superscript"/>
                    </w:rPr>
                    <w:t>3</w:t>
                  </w:r>
                  <w:r>
                    <w:rPr>
                      <w:rFonts w:hAnsi="宋体" w:cs="Times New Roman"/>
                      <w:b/>
                      <w:spacing w:val="-2"/>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70" w:type="dxa"/>
                  <w:vMerge w:val="restart"/>
                  <w:tcBorders>
                    <w:top w:val="single" w:color="auto" w:sz="6" w:space="0"/>
                    <w:left w:val="nil"/>
                    <w:bottom w:val="single" w:color="auto" w:sz="6" w:space="0"/>
                    <w:right w:val="single" w:color="auto" w:sz="6" w:space="0"/>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SO</w:t>
                  </w:r>
                  <w:r>
                    <w:rPr>
                      <w:rFonts w:cs="Times New Roman"/>
                      <w:spacing w:val="-2"/>
                      <w:sz w:val="21"/>
                      <w:szCs w:val="21"/>
                      <w:vertAlign w:val="subscript"/>
                    </w:rPr>
                    <w:t>2</w:t>
                  </w:r>
                </w:p>
              </w:tc>
              <w:tc>
                <w:tcPr>
                  <w:tcW w:w="2771" w:type="dxa"/>
                  <w:tcBorders>
                    <w:top w:val="single" w:color="auto" w:sz="6" w:space="0"/>
                    <w:left w:val="single" w:color="auto" w:sz="6" w:space="0"/>
                    <w:bottom w:val="single" w:color="auto" w:sz="6" w:space="0"/>
                    <w:right w:val="single" w:color="auto" w:sz="6" w:space="0"/>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1h</w:t>
                  </w:r>
                  <w:r>
                    <w:rPr>
                      <w:rFonts w:hAnsi="宋体" w:cs="Times New Roman"/>
                      <w:spacing w:val="-2"/>
                      <w:sz w:val="21"/>
                      <w:szCs w:val="21"/>
                    </w:rPr>
                    <w:t>平均</w:t>
                  </w:r>
                </w:p>
              </w:tc>
              <w:tc>
                <w:tcPr>
                  <w:tcW w:w="2771" w:type="dxa"/>
                  <w:tcBorders>
                    <w:top w:val="single" w:color="auto" w:sz="6" w:space="0"/>
                    <w:left w:val="single" w:color="auto" w:sz="6" w:space="0"/>
                    <w:bottom w:val="single" w:color="auto" w:sz="6" w:space="0"/>
                    <w:right w:val="nil"/>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500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70" w:type="dxa"/>
                  <w:vMerge w:val="continue"/>
                  <w:tcBorders>
                    <w:top w:val="single" w:color="auto" w:sz="6" w:space="0"/>
                    <w:left w:val="nil"/>
                    <w:bottom w:val="single" w:color="auto" w:sz="6" w:space="0"/>
                    <w:right w:val="single" w:color="auto" w:sz="6" w:space="0"/>
                  </w:tcBorders>
                  <w:vAlign w:val="center"/>
                </w:tcPr>
                <w:p>
                  <w:pPr>
                    <w:widowControl/>
                    <w:adjustRightInd w:val="0"/>
                    <w:snapToGrid w:val="0"/>
                    <w:jc w:val="left"/>
                    <w:rPr>
                      <w:spacing w:val="-2"/>
                      <w:szCs w:val="21"/>
                    </w:rPr>
                  </w:pPr>
                </w:p>
              </w:tc>
              <w:tc>
                <w:tcPr>
                  <w:tcW w:w="2771" w:type="dxa"/>
                  <w:tcBorders>
                    <w:top w:val="single" w:color="auto" w:sz="6" w:space="0"/>
                    <w:left w:val="single" w:color="auto" w:sz="6" w:space="0"/>
                    <w:bottom w:val="single" w:color="auto" w:sz="6" w:space="0"/>
                    <w:right w:val="single" w:color="auto" w:sz="6" w:space="0"/>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24h</w:t>
                  </w:r>
                  <w:r>
                    <w:rPr>
                      <w:rFonts w:hAnsi="宋体" w:cs="Times New Roman"/>
                      <w:spacing w:val="-2"/>
                      <w:sz w:val="21"/>
                      <w:szCs w:val="21"/>
                    </w:rPr>
                    <w:t>平均</w:t>
                  </w:r>
                </w:p>
              </w:tc>
              <w:tc>
                <w:tcPr>
                  <w:tcW w:w="2771" w:type="dxa"/>
                  <w:tcBorders>
                    <w:top w:val="single" w:color="auto" w:sz="6" w:space="0"/>
                    <w:left w:val="single" w:color="auto" w:sz="6" w:space="0"/>
                    <w:bottom w:val="single" w:color="auto" w:sz="6" w:space="0"/>
                    <w:right w:val="nil"/>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150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70" w:type="dxa"/>
                  <w:vMerge w:val="continue"/>
                  <w:tcBorders>
                    <w:top w:val="single" w:color="auto" w:sz="6" w:space="0"/>
                    <w:left w:val="nil"/>
                    <w:bottom w:val="single" w:color="auto" w:sz="6" w:space="0"/>
                    <w:right w:val="single" w:color="auto" w:sz="6" w:space="0"/>
                  </w:tcBorders>
                  <w:vAlign w:val="center"/>
                </w:tcPr>
                <w:p>
                  <w:pPr>
                    <w:widowControl/>
                    <w:adjustRightInd w:val="0"/>
                    <w:snapToGrid w:val="0"/>
                    <w:jc w:val="left"/>
                    <w:rPr>
                      <w:spacing w:val="-2"/>
                      <w:szCs w:val="21"/>
                    </w:rPr>
                  </w:pPr>
                </w:p>
              </w:tc>
              <w:tc>
                <w:tcPr>
                  <w:tcW w:w="2771" w:type="dxa"/>
                  <w:tcBorders>
                    <w:top w:val="single" w:color="auto" w:sz="6" w:space="0"/>
                    <w:left w:val="single" w:color="auto" w:sz="6" w:space="0"/>
                    <w:bottom w:val="single" w:color="auto" w:sz="6" w:space="0"/>
                    <w:right w:val="single" w:color="auto" w:sz="6" w:space="0"/>
                  </w:tcBorders>
                  <w:vAlign w:val="center"/>
                </w:tcPr>
                <w:p>
                  <w:pPr>
                    <w:pStyle w:val="83"/>
                    <w:adjustRightInd w:val="0"/>
                    <w:snapToGrid w:val="0"/>
                    <w:spacing w:line="240" w:lineRule="auto"/>
                    <w:ind w:firstLine="0" w:firstLineChars="0"/>
                    <w:jc w:val="center"/>
                    <w:rPr>
                      <w:rFonts w:cs="Times New Roman"/>
                      <w:spacing w:val="-2"/>
                      <w:sz w:val="21"/>
                      <w:szCs w:val="21"/>
                    </w:rPr>
                  </w:pPr>
                  <w:r>
                    <w:rPr>
                      <w:rFonts w:hAnsi="宋体" w:cs="Times New Roman"/>
                      <w:spacing w:val="-2"/>
                      <w:sz w:val="21"/>
                      <w:szCs w:val="21"/>
                    </w:rPr>
                    <w:t>年平均</w:t>
                  </w:r>
                </w:p>
              </w:tc>
              <w:tc>
                <w:tcPr>
                  <w:tcW w:w="2771" w:type="dxa"/>
                  <w:tcBorders>
                    <w:top w:val="single" w:color="auto" w:sz="6" w:space="0"/>
                    <w:left w:val="single" w:color="auto" w:sz="6" w:space="0"/>
                    <w:bottom w:val="single" w:color="auto" w:sz="6" w:space="0"/>
                    <w:right w:val="nil"/>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60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70" w:type="dxa"/>
                  <w:vMerge w:val="restart"/>
                  <w:tcBorders>
                    <w:top w:val="single" w:color="auto" w:sz="6" w:space="0"/>
                    <w:left w:val="nil"/>
                    <w:bottom w:val="single" w:color="auto" w:sz="6" w:space="0"/>
                    <w:right w:val="single" w:color="auto" w:sz="6" w:space="0"/>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NO</w:t>
                  </w:r>
                  <w:r>
                    <w:rPr>
                      <w:rFonts w:cs="Times New Roman"/>
                      <w:spacing w:val="-2"/>
                      <w:sz w:val="21"/>
                      <w:szCs w:val="21"/>
                      <w:vertAlign w:val="subscript"/>
                    </w:rPr>
                    <w:t>2</w:t>
                  </w:r>
                </w:p>
              </w:tc>
              <w:tc>
                <w:tcPr>
                  <w:tcW w:w="2771" w:type="dxa"/>
                  <w:tcBorders>
                    <w:top w:val="single" w:color="auto" w:sz="6" w:space="0"/>
                    <w:left w:val="single" w:color="auto" w:sz="6" w:space="0"/>
                    <w:bottom w:val="single" w:color="auto" w:sz="6" w:space="0"/>
                    <w:right w:val="single" w:color="auto" w:sz="6" w:space="0"/>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1h</w:t>
                  </w:r>
                  <w:r>
                    <w:rPr>
                      <w:rFonts w:hAnsi="宋体" w:cs="Times New Roman"/>
                      <w:spacing w:val="-2"/>
                      <w:sz w:val="21"/>
                      <w:szCs w:val="21"/>
                    </w:rPr>
                    <w:t>平均</w:t>
                  </w:r>
                </w:p>
              </w:tc>
              <w:tc>
                <w:tcPr>
                  <w:tcW w:w="2771" w:type="dxa"/>
                  <w:tcBorders>
                    <w:top w:val="single" w:color="auto" w:sz="6" w:space="0"/>
                    <w:left w:val="single" w:color="auto" w:sz="6" w:space="0"/>
                    <w:bottom w:val="single" w:color="auto" w:sz="6" w:space="0"/>
                    <w:right w:val="nil"/>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200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70" w:type="dxa"/>
                  <w:vMerge w:val="continue"/>
                  <w:tcBorders>
                    <w:top w:val="single" w:color="auto" w:sz="6" w:space="0"/>
                    <w:left w:val="nil"/>
                    <w:bottom w:val="single" w:color="auto" w:sz="6" w:space="0"/>
                    <w:right w:val="single" w:color="auto" w:sz="6" w:space="0"/>
                  </w:tcBorders>
                  <w:vAlign w:val="center"/>
                </w:tcPr>
                <w:p>
                  <w:pPr>
                    <w:widowControl/>
                    <w:adjustRightInd w:val="0"/>
                    <w:snapToGrid w:val="0"/>
                    <w:jc w:val="left"/>
                    <w:rPr>
                      <w:spacing w:val="-2"/>
                      <w:szCs w:val="21"/>
                    </w:rPr>
                  </w:pPr>
                </w:p>
              </w:tc>
              <w:tc>
                <w:tcPr>
                  <w:tcW w:w="2771" w:type="dxa"/>
                  <w:tcBorders>
                    <w:top w:val="single" w:color="auto" w:sz="6" w:space="0"/>
                    <w:left w:val="single" w:color="auto" w:sz="6" w:space="0"/>
                    <w:bottom w:val="single" w:color="auto" w:sz="6" w:space="0"/>
                    <w:right w:val="single" w:color="auto" w:sz="6" w:space="0"/>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24h</w:t>
                  </w:r>
                  <w:r>
                    <w:rPr>
                      <w:rFonts w:hAnsi="宋体" w:cs="Times New Roman"/>
                      <w:spacing w:val="-2"/>
                      <w:sz w:val="21"/>
                      <w:szCs w:val="21"/>
                    </w:rPr>
                    <w:t>平均</w:t>
                  </w:r>
                </w:p>
              </w:tc>
              <w:tc>
                <w:tcPr>
                  <w:tcW w:w="2771" w:type="dxa"/>
                  <w:tcBorders>
                    <w:top w:val="single" w:color="auto" w:sz="6" w:space="0"/>
                    <w:left w:val="single" w:color="auto" w:sz="6" w:space="0"/>
                    <w:bottom w:val="single" w:color="auto" w:sz="6" w:space="0"/>
                    <w:right w:val="nil"/>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70" w:type="dxa"/>
                  <w:vMerge w:val="continue"/>
                  <w:tcBorders>
                    <w:top w:val="single" w:color="auto" w:sz="6" w:space="0"/>
                    <w:left w:val="nil"/>
                    <w:bottom w:val="single" w:color="auto" w:sz="6" w:space="0"/>
                    <w:right w:val="single" w:color="auto" w:sz="6" w:space="0"/>
                  </w:tcBorders>
                  <w:vAlign w:val="center"/>
                </w:tcPr>
                <w:p>
                  <w:pPr>
                    <w:widowControl/>
                    <w:adjustRightInd w:val="0"/>
                    <w:snapToGrid w:val="0"/>
                    <w:jc w:val="left"/>
                    <w:rPr>
                      <w:spacing w:val="-2"/>
                      <w:szCs w:val="21"/>
                    </w:rPr>
                  </w:pPr>
                </w:p>
              </w:tc>
              <w:tc>
                <w:tcPr>
                  <w:tcW w:w="2771" w:type="dxa"/>
                  <w:tcBorders>
                    <w:top w:val="single" w:color="auto" w:sz="6" w:space="0"/>
                    <w:left w:val="single" w:color="auto" w:sz="6" w:space="0"/>
                    <w:bottom w:val="single" w:color="auto" w:sz="6" w:space="0"/>
                    <w:right w:val="single" w:color="auto" w:sz="6" w:space="0"/>
                  </w:tcBorders>
                  <w:vAlign w:val="center"/>
                </w:tcPr>
                <w:p>
                  <w:pPr>
                    <w:pStyle w:val="83"/>
                    <w:adjustRightInd w:val="0"/>
                    <w:snapToGrid w:val="0"/>
                    <w:spacing w:line="240" w:lineRule="auto"/>
                    <w:ind w:firstLine="0" w:firstLineChars="0"/>
                    <w:jc w:val="center"/>
                    <w:rPr>
                      <w:rFonts w:cs="Times New Roman"/>
                      <w:spacing w:val="-2"/>
                      <w:sz w:val="21"/>
                      <w:szCs w:val="21"/>
                    </w:rPr>
                  </w:pPr>
                  <w:r>
                    <w:rPr>
                      <w:rFonts w:hAnsi="宋体" w:cs="Times New Roman"/>
                      <w:spacing w:val="-2"/>
                      <w:sz w:val="21"/>
                      <w:szCs w:val="21"/>
                    </w:rPr>
                    <w:t>年平均</w:t>
                  </w:r>
                </w:p>
              </w:tc>
              <w:tc>
                <w:tcPr>
                  <w:tcW w:w="2771" w:type="dxa"/>
                  <w:tcBorders>
                    <w:top w:val="single" w:color="auto" w:sz="6" w:space="0"/>
                    <w:left w:val="single" w:color="auto" w:sz="6" w:space="0"/>
                    <w:bottom w:val="single" w:color="auto" w:sz="6" w:space="0"/>
                    <w:right w:val="nil"/>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70" w:type="dxa"/>
                  <w:vMerge w:val="restart"/>
                  <w:tcBorders>
                    <w:top w:val="single" w:color="auto" w:sz="6" w:space="0"/>
                    <w:left w:val="nil"/>
                    <w:bottom w:val="single" w:color="auto" w:sz="6" w:space="0"/>
                    <w:right w:val="single" w:color="auto" w:sz="6" w:space="0"/>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TSP</w:t>
                  </w:r>
                </w:p>
              </w:tc>
              <w:tc>
                <w:tcPr>
                  <w:tcW w:w="27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pacing w:val="-2"/>
                      <w:szCs w:val="21"/>
                    </w:rPr>
                    <w:t>24h</w:t>
                  </w:r>
                  <w:r>
                    <w:rPr>
                      <w:rFonts w:hAnsi="宋体"/>
                      <w:spacing w:val="-2"/>
                      <w:szCs w:val="21"/>
                    </w:rPr>
                    <w:t>平均</w:t>
                  </w:r>
                </w:p>
              </w:tc>
              <w:tc>
                <w:tcPr>
                  <w:tcW w:w="2771" w:type="dxa"/>
                  <w:tcBorders>
                    <w:top w:val="single" w:color="auto" w:sz="6" w:space="0"/>
                    <w:left w:val="single" w:color="auto" w:sz="6" w:space="0"/>
                    <w:bottom w:val="single" w:color="auto" w:sz="6" w:space="0"/>
                    <w:right w:val="nil"/>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300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70" w:type="dxa"/>
                  <w:vMerge w:val="continue"/>
                  <w:tcBorders>
                    <w:top w:val="single" w:color="auto" w:sz="6" w:space="0"/>
                    <w:left w:val="nil"/>
                    <w:bottom w:val="single" w:color="auto" w:sz="6" w:space="0"/>
                    <w:right w:val="single" w:color="auto" w:sz="6" w:space="0"/>
                  </w:tcBorders>
                  <w:vAlign w:val="center"/>
                </w:tcPr>
                <w:p>
                  <w:pPr>
                    <w:widowControl/>
                    <w:adjustRightInd w:val="0"/>
                    <w:snapToGrid w:val="0"/>
                    <w:jc w:val="left"/>
                    <w:rPr>
                      <w:spacing w:val="-2"/>
                      <w:szCs w:val="21"/>
                    </w:rPr>
                  </w:pPr>
                </w:p>
              </w:tc>
              <w:tc>
                <w:tcPr>
                  <w:tcW w:w="27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pacing w:val="-2"/>
                      <w:szCs w:val="21"/>
                    </w:rPr>
                  </w:pPr>
                  <w:r>
                    <w:rPr>
                      <w:rFonts w:hAnsi="宋体"/>
                      <w:spacing w:val="-2"/>
                      <w:szCs w:val="21"/>
                    </w:rPr>
                    <w:t>年平均</w:t>
                  </w:r>
                </w:p>
              </w:tc>
              <w:tc>
                <w:tcPr>
                  <w:tcW w:w="2771" w:type="dxa"/>
                  <w:tcBorders>
                    <w:top w:val="single" w:color="auto" w:sz="6" w:space="0"/>
                    <w:left w:val="single" w:color="auto" w:sz="6" w:space="0"/>
                    <w:bottom w:val="single" w:color="auto" w:sz="6" w:space="0"/>
                    <w:right w:val="nil"/>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200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70" w:type="dxa"/>
                  <w:vMerge w:val="restart"/>
                  <w:tcBorders>
                    <w:top w:val="single" w:color="auto" w:sz="6" w:space="0"/>
                    <w:left w:val="nil"/>
                    <w:bottom w:val="single" w:color="auto" w:sz="6" w:space="0"/>
                    <w:right w:val="single" w:color="auto" w:sz="6" w:space="0"/>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PM</w:t>
                  </w:r>
                  <w:r>
                    <w:rPr>
                      <w:rFonts w:cs="Times New Roman"/>
                      <w:spacing w:val="-2"/>
                      <w:sz w:val="21"/>
                      <w:szCs w:val="21"/>
                      <w:vertAlign w:val="subscript"/>
                    </w:rPr>
                    <w:t>10</w:t>
                  </w:r>
                </w:p>
              </w:tc>
              <w:tc>
                <w:tcPr>
                  <w:tcW w:w="27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pacing w:val="-2"/>
                      <w:szCs w:val="21"/>
                    </w:rPr>
                    <w:t>24h</w:t>
                  </w:r>
                  <w:r>
                    <w:rPr>
                      <w:rFonts w:hAnsi="宋体"/>
                      <w:spacing w:val="-2"/>
                      <w:szCs w:val="21"/>
                    </w:rPr>
                    <w:t>平均</w:t>
                  </w:r>
                </w:p>
              </w:tc>
              <w:tc>
                <w:tcPr>
                  <w:tcW w:w="2771" w:type="dxa"/>
                  <w:tcBorders>
                    <w:top w:val="single" w:color="auto" w:sz="6" w:space="0"/>
                    <w:left w:val="single" w:color="auto" w:sz="6" w:space="0"/>
                    <w:bottom w:val="single" w:color="auto" w:sz="6" w:space="0"/>
                    <w:right w:val="nil"/>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150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70" w:type="dxa"/>
                  <w:vMerge w:val="continue"/>
                  <w:tcBorders>
                    <w:top w:val="single" w:color="auto" w:sz="6" w:space="0"/>
                    <w:left w:val="nil"/>
                    <w:bottom w:val="single" w:color="auto" w:sz="6" w:space="0"/>
                    <w:right w:val="single" w:color="auto" w:sz="6" w:space="0"/>
                  </w:tcBorders>
                  <w:vAlign w:val="center"/>
                </w:tcPr>
                <w:p>
                  <w:pPr>
                    <w:widowControl/>
                    <w:adjustRightInd w:val="0"/>
                    <w:snapToGrid w:val="0"/>
                    <w:jc w:val="left"/>
                    <w:rPr>
                      <w:spacing w:val="-2"/>
                      <w:szCs w:val="21"/>
                    </w:rPr>
                  </w:pPr>
                </w:p>
              </w:tc>
              <w:tc>
                <w:tcPr>
                  <w:tcW w:w="27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pacing w:val="-2"/>
                      <w:szCs w:val="21"/>
                    </w:rPr>
                  </w:pPr>
                  <w:r>
                    <w:rPr>
                      <w:rFonts w:hAnsi="宋体"/>
                      <w:spacing w:val="-2"/>
                      <w:szCs w:val="21"/>
                    </w:rPr>
                    <w:t>年平均</w:t>
                  </w:r>
                </w:p>
              </w:tc>
              <w:tc>
                <w:tcPr>
                  <w:tcW w:w="2771" w:type="dxa"/>
                  <w:tcBorders>
                    <w:top w:val="single" w:color="auto" w:sz="6" w:space="0"/>
                    <w:left w:val="single" w:color="auto" w:sz="6" w:space="0"/>
                    <w:bottom w:val="single" w:color="auto" w:sz="6" w:space="0"/>
                    <w:right w:val="nil"/>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70" w:type="dxa"/>
                  <w:vMerge w:val="restart"/>
                  <w:tcBorders>
                    <w:top w:val="single" w:color="auto" w:sz="6" w:space="0"/>
                    <w:left w:val="nil"/>
                    <w:bottom w:val="single" w:color="auto" w:sz="6" w:space="0"/>
                    <w:right w:val="single" w:color="auto" w:sz="6" w:space="0"/>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PM</w:t>
                  </w:r>
                  <w:r>
                    <w:rPr>
                      <w:rFonts w:cs="Times New Roman"/>
                      <w:spacing w:val="-2"/>
                      <w:sz w:val="21"/>
                      <w:szCs w:val="21"/>
                      <w:vertAlign w:val="subscript"/>
                    </w:rPr>
                    <w:t>2.5</w:t>
                  </w:r>
                </w:p>
              </w:tc>
              <w:tc>
                <w:tcPr>
                  <w:tcW w:w="27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Cs w:val="21"/>
                    </w:rPr>
                  </w:pPr>
                  <w:r>
                    <w:rPr>
                      <w:spacing w:val="-2"/>
                      <w:szCs w:val="21"/>
                    </w:rPr>
                    <w:t>24h</w:t>
                  </w:r>
                  <w:r>
                    <w:rPr>
                      <w:rFonts w:hAnsi="宋体"/>
                      <w:spacing w:val="-2"/>
                      <w:szCs w:val="21"/>
                    </w:rPr>
                    <w:t>平均</w:t>
                  </w:r>
                </w:p>
              </w:tc>
              <w:tc>
                <w:tcPr>
                  <w:tcW w:w="2771" w:type="dxa"/>
                  <w:tcBorders>
                    <w:top w:val="single" w:color="auto" w:sz="6" w:space="0"/>
                    <w:left w:val="single" w:color="auto" w:sz="6" w:space="0"/>
                    <w:bottom w:val="single" w:color="auto" w:sz="6" w:space="0"/>
                    <w:right w:val="nil"/>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75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70" w:type="dxa"/>
                  <w:vMerge w:val="continue"/>
                  <w:tcBorders>
                    <w:top w:val="single" w:color="auto" w:sz="6" w:space="0"/>
                    <w:left w:val="nil"/>
                    <w:bottom w:val="single" w:color="auto" w:sz="6" w:space="0"/>
                    <w:right w:val="single" w:color="auto" w:sz="6" w:space="0"/>
                  </w:tcBorders>
                  <w:vAlign w:val="center"/>
                </w:tcPr>
                <w:p>
                  <w:pPr>
                    <w:widowControl/>
                    <w:adjustRightInd w:val="0"/>
                    <w:snapToGrid w:val="0"/>
                    <w:jc w:val="left"/>
                    <w:rPr>
                      <w:spacing w:val="-2"/>
                      <w:szCs w:val="21"/>
                    </w:rPr>
                  </w:pPr>
                </w:p>
              </w:tc>
              <w:tc>
                <w:tcPr>
                  <w:tcW w:w="27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pacing w:val="-2"/>
                      <w:szCs w:val="21"/>
                    </w:rPr>
                  </w:pPr>
                  <w:r>
                    <w:rPr>
                      <w:rFonts w:hAnsi="宋体"/>
                      <w:spacing w:val="-2"/>
                      <w:szCs w:val="21"/>
                    </w:rPr>
                    <w:t>年平均</w:t>
                  </w:r>
                </w:p>
              </w:tc>
              <w:tc>
                <w:tcPr>
                  <w:tcW w:w="2771" w:type="dxa"/>
                  <w:tcBorders>
                    <w:top w:val="single" w:color="auto" w:sz="6" w:space="0"/>
                    <w:left w:val="single" w:color="auto" w:sz="6" w:space="0"/>
                    <w:bottom w:val="single" w:color="auto" w:sz="6" w:space="0"/>
                    <w:right w:val="nil"/>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35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70" w:type="dxa"/>
                  <w:vMerge w:val="restart"/>
                  <w:tcBorders>
                    <w:top w:val="single" w:color="auto" w:sz="6" w:space="0"/>
                    <w:left w:val="nil"/>
                    <w:bottom w:val="single" w:color="auto" w:sz="6" w:space="0"/>
                    <w:right w:val="single" w:color="auto" w:sz="6" w:space="0"/>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bCs/>
                      <w:sz w:val="21"/>
                      <w:szCs w:val="21"/>
                    </w:rPr>
                    <w:t>CO</w:t>
                  </w:r>
                </w:p>
              </w:tc>
              <w:tc>
                <w:tcPr>
                  <w:tcW w:w="27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pacing w:val="-2"/>
                      <w:szCs w:val="21"/>
                    </w:rPr>
                  </w:pPr>
                  <w:r>
                    <w:rPr>
                      <w:szCs w:val="21"/>
                    </w:rPr>
                    <w:t>1</w:t>
                  </w:r>
                  <w:r>
                    <w:rPr>
                      <w:rFonts w:hAnsi="宋体"/>
                      <w:szCs w:val="21"/>
                    </w:rPr>
                    <w:t>小时平均</w:t>
                  </w:r>
                </w:p>
              </w:tc>
              <w:tc>
                <w:tcPr>
                  <w:tcW w:w="2771" w:type="dxa"/>
                  <w:tcBorders>
                    <w:top w:val="single" w:color="auto" w:sz="6" w:space="0"/>
                    <w:left w:val="single" w:color="auto" w:sz="6" w:space="0"/>
                    <w:bottom w:val="single" w:color="auto" w:sz="6" w:space="0"/>
                    <w:right w:val="nil"/>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10000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2770" w:type="dxa"/>
                  <w:vMerge w:val="continue"/>
                  <w:tcBorders>
                    <w:top w:val="single" w:color="auto" w:sz="6" w:space="0"/>
                    <w:left w:val="nil"/>
                    <w:bottom w:val="single" w:color="auto" w:sz="6" w:space="0"/>
                    <w:right w:val="single" w:color="auto" w:sz="6" w:space="0"/>
                  </w:tcBorders>
                  <w:vAlign w:val="center"/>
                </w:tcPr>
                <w:p>
                  <w:pPr>
                    <w:widowControl/>
                    <w:adjustRightInd w:val="0"/>
                    <w:snapToGrid w:val="0"/>
                    <w:jc w:val="left"/>
                    <w:rPr>
                      <w:spacing w:val="-2"/>
                      <w:szCs w:val="21"/>
                    </w:rPr>
                  </w:pPr>
                </w:p>
              </w:tc>
              <w:tc>
                <w:tcPr>
                  <w:tcW w:w="27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pacing w:val="-2"/>
                      <w:szCs w:val="21"/>
                    </w:rPr>
                  </w:pPr>
                  <w:r>
                    <w:rPr>
                      <w:szCs w:val="21"/>
                    </w:rPr>
                    <w:t>24</w:t>
                  </w:r>
                  <w:r>
                    <w:rPr>
                      <w:rFonts w:hAnsi="宋体"/>
                      <w:szCs w:val="21"/>
                    </w:rPr>
                    <w:t>小时平均</w:t>
                  </w:r>
                </w:p>
              </w:tc>
              <w:tc>
                <w:tcPr>
                  <w:tcW w:w="2771" w:type="dxa"/>
                  <w:tcBorders>
                    <w:top w:val="single" w:color="auto" w:sz="6" w:space="0"/>
                    <w:left w:val="single" w:color="auto" w:sz="6" w:space="0"/>
                    <w:bottom w:val="single" w:color="auto" w:sz="6" w:space="0"/>
                    <w:right w:val="nil"/>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4000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70" w:type="dxa"/>
                  <w:vMerge w:val="restart"/>
                  <w:tcBorders>
                    <w:top w:val="single" w:color="auto" w:sz="6" w:space="0"/>
                    <w:left w:val="nil"/>
                    <w:bottom w:val="single" w:color="auto" w:sz="12" w:space="0"/>
                    <w:right w:val="single" w:color="auto" w:sz="6" w:space="0"/>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bCs/>
                      <w:sz w:val="21"/>
                      <w:szCs w:val="21"/>
                    </w:rPr>
                    <w:t>O</w:t>
                  </w:r>
                  <w:r>
                    <w:rPr>
                      <w:rFonts w:cs="Times New Roman"/>
                      <w:bCs/>
                      <w:sz w:val="21"/>
                      <w:szCs w:val="21"/>
                      <w:vertAlign w:val="subscript"/>
                    </w:rPr>
                    <w:t>3</w:t>
                  </w:r>
                </w:p>
              </w:tc>
              <w:tc>
                <w:tcPr>
                  <w:tcW w:w="27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pacing w:val="-2"/>
                      <w:szCs w:val="21"/>
                    </w:rPr>
                  </w:pPr>
                  <w:r>
                    <w:rPr>
                      <w:szCs w:val="21"/>
                    </w:rPr>
                    <w:t>1</w:t>
                  </w:r>
                  <w:r>
                    <w:rPr>
                      <w:rFonts w:hAnsi="宋体"/>
                      <w:szCs w:val="21"/>
                    </w:rPr>
                    <w:t>小时平均</w:t>
                  </w:r>
                </w:p>
              </w:tc>
              <w:tc>
                <w:tcPr>
                  <w:tcW w:w="2771" w:type="dxa"/>
                  <w:tcBorders>
                    <w:top w:val="single" w:color="auto" w:sz="6" w:space="0"/>
                    <w:left w:val="single" w:color="auto" w:sz="6" w:space="0"/>
                    <w:bottom w:val="single" w:color="auto" w:sz="6" w:space="0"/>
                    <w:right w:val="nil"/>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200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770" w:type="dxa"/>
                  <w:vMerge w:val="continue"/>
                  <w:tcBorders>
                    <w:top w:val="single" w:color="auto" w:sz="6" w:space="0"/>
                    <w:left w:val="nil"/>
                    <w:bottom w:val="single" w:color="auto" w:sz="12" w:space="0"/>
                    <w:right w:val="single" w:color="auto" w:sz="6" w:space="0"/>
                  </w:tcBorders>
                  <w:vAlign w:val="center"/>
                </w:tcPr>
                <w:p>
                  <w:pPr>
                    <w:widowControl/>
                    <w:adjustRightInd w:val="0"/>
                    <w:snapToGrid w:val="0"/>
                    <w:jc w:val="left"/>
                    <w:rPr>
                      <w:spacing w:val="-2"/>
                      <w:szCs w:val="21"/>
                    </w:rPr>
                  </w:pPr>
                </w:p>
              </w:tc>
              <w:tc>
                <w:tcPr>
                  <w:tcW w:w="2771" w:type="dxa"/>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spacing w:val="-2"/>
                      <w:szCs w:val="21"/>
                    </w:rPr>
                  </w:pPr>
                  <w:r>
                    <w:rPr>
                      <w:rFonts w:hAnsi="宋体"/>
                      <w:szCs w:val="21"/>
                    </w:rPr>
                    <w:t>日最大</w:t>
                  </w:r>
                  <w:r>
                    <w:rPr>
                      <w:szCs w:val="21"/>
                    </w:rPr>
                    <w:t>8</w:t>
                  </w:r>
                  <w:r>
                    <w:rPr>
                      <w:rFonts w:hAnsi="宋体"/>
                      <w:szCs w:val="21"/>
                    </w:rPr>
                    <w:t>小时平均</w:t>
                  </w:r>
                </w:p>
              </w:tc>
              <w:tc>
                <w:tcPr>
                  <w:tcW w:w="2771" w:type="dxa"/>
                  <w:tcBorders>
                    <w:top w:val="single" w:color="auto" w:sz="6" w:space="0"/>
                    <w:left w:val="single" w:color="auto" w:sz="6" w:space="0"/>
                    <w:bottom w:val="single" w:color="auto" w:sz="12" w:space="0"/>
                    <w:right w:val="nil"/>
                  </w:tcBorders>
                  <w:vAlign w:val="center"/>
                </w:tcPr>
                <w:p>
                  <w:pPr>
                    <w:pStyle w:val="83"/>
                    <w:adjustRightInd w:val="0"/>
                    <w:snapToGrid w:val="0"/>
                    <w:spacing w:line="240" w:lineRule="auto"/>
                    <w:ind w:firstLine="0" w:firstLineChars="0"/>
                    <w:jc w:val="center"/>
                    <w:rPr>
                      <w:rFonts w:cs="Times New Roman"/>
                      <w:spacing w:val="-2"/>
                      <w:sz w:val="21"/>
                      <w:szCs w:val="21"/>
                    </w:rPr>
                  </w:pPr>
                  <w:r>
                    <w:rPr>
                      <w:rFonts w:cs="Times New Roman"/>
                      <w:spacing w:val="-2"/>
                      <w:sz w:val="21"/>
                      <w:szCs w:val="21"/>
                    </w:rPr>
                    <w:t>160</w:t>
                  </w:r>
                </w:p>
              </w:tc>
            </w:tr>
          </w:tbl>
          <w:p>
            <w:pPr>
              <w:adjustRightInd w:val="0"/>
              <w:snapToGrid w:val="0"/>
              <w:spacing w:line="500" w:lineRule="exact"/>
              <w:rPr>
                <w:b/>
                <w:bCs/>
                <w:sz w:val="24"/>
              </w:rPr>
            </w:pPr>
            <w:r>
              <w:rPr>
                <w:b/>
                <w:bCs/>
                <w:sz w:val="24"/>
              </w:rPr>
              <w:t>2</w:t>
            </w:r>
            <w:r>
              <w:rPr>
                <w:rFonts w:hint="eastAsia" w:hAnsi="宋体"/>
                <w:b/>
                <w:bCs/>
                <w:sz w:val="24"/>
              </w:rPr>
              <w:t>.</w:t>
            </w:r>
            <w:r>
              <w:rPr>
                <w:rFonts w:hAnsi="宋体"/>
                <w:b/>
                <w:bCs/>
                <w:sz w:val="24"/>
              </w:rPr>
              <w:t>地表水</w:t>
            </w:r>
          </w:p>
          <w:p>
            <w:pPr>
              <w:adjustRightInd w:val="0"/>
              <w:snapToGrid w:val="0"/>
              <w:spacing w:line="500" w:lineRule="exact"/>
              <w:ind w:firstLine="480" w:firstLineChars="200"/>
              <w:rPr>
                <w:sz w:val="24"/>
              </w:rPr>
            </w:pPr>
            <w:r>
              <w:rPr>
                <w:rFonts w:hAnsi="宋体"/>
                <w:sz w:val="24"/>
              </w:rPr>
              <w:t>项目区域地表水环境执行《地表水环境质量标准》</w:t>
            </w:r>
            <w:r>
              <w:rPr>
                <w:sz w:val="24"/>
              </w:rPr>
              <w:t>(GB3838-2002)</w:t>
            </w:r>
            <w:r>
              <w:t xml:space="preserve"> </w:t>
            </w:r>
            <w:r>
              <w:rPr>
                <w:sz w:val="24"/>
              </w:rPr>
              <w:fldChar w:fldCharType="begin"/>
            </w:r>
            <w:r>
              <w:rPr>
                <w:sz w:val="24"/>
              </w:rPr>
              <w:instrText xml:space="preserve"> </w:instrText>
            </w:r>
            <w:r>
              <w:rPr>
                <w:rFonts w:hint="eastAsia"/>
                <w:sz w:val="24"/>
              </w:rPr>
              <w:instrText xml:space="preserve">= 4 \* ROMAN</w:instrText>
            </w:r>
            <w:r>
              <w:rPr>
                <w:sz w:val="24"/>
              </w:rPr>
              <w:instrText xml:space="preserve"> </w:instrText>
            </w:r>
            <w:r>
              <w:rPr>
                <w:sz w:val="24"/>
              </w:rPr>
              <w:fldChar w:fldCharType="separate"/>
            </w:r>
            <w:r>
              <w:rPr>
                <w:sz w:val="24"/>
              </w:rPr>
              <w:t>IV</w:t>
            </w:r>
            <w:r>
              <w:rPr>
                <w:sz w:val="24"/>
              </w:rPr>
              <w:fldChar w:fldCharType="end"/>
            </w:r>
            <w:r>
              <w:rPr>
                <w:rFonts w:hAnsi="宋体"/>
                <w:sz w:val="24"/>
              </w:rPr>
              <w:t>类，详见表</w:t>
            </w:r>
            <w:r>
              <w:rPr>
                <w:rFonts w:hint="eastAsia"/>
                <w:sz w:val="24"/>
              </w:rPr>
              <w:t>24</w:t>
            </w:r>
            <w:r>
              <w:rPr>
                <w:rFonts w:hAnsi="宋体"/>
                <w:sz w:val="24"/>
              </w:rPr>
              <w:t>。</w:t>
            </w:r>
          </w:p>
          <w:p>
            <w:pPr>
              <w:autoSpaceDE w:val="0"/>
              <w:autoSpaceDN w:val="0"/>
              <w:adjustRightInd w:val="0"/>
              <w:snapToGrid w:val="0"/>
              <w:spacing w:line="400" w:lineRule="exact"/>
              <w:ind w:left="420"/>
              <w:rPr>
                <w:rFonts w:hAnsi="宋体"/>
                <w:b/>
                <w:sz w:val="24"/>
              </w:rPr>
            </w:pPr>
            <w:r>
              <w:rPr>
                <w:rFonts w:hAnsi="宋体"/>
                <w:b/>
                <w:sz w:val="24"/>
              </w:rPr>
              <w:t>表</w:t>
            </w:r>
            <w:r>
              <w:rPr>
                <w:rFonts w:hint="eastAsia" w:hAnsi="宋体"/>
                <w:b/>
                <w:sz w:val="24"/>
              </w:rPr>
              <w:t xml:space="preserve">24      </w:t>
            </w:r>
            <w:r>
              <w:rPr>
                <w:rFonts w:hAnsi="宋体"/>
                <w:b/>
                <w:sz w:val="24"/>
              </w:rPr>
              <w:t xml:space="preserve"> 《地表水环境质量标准》(GB3838-2002)     单位：mg/L</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1604"/>
              <w:gridCol w:w="1253"/>
              <w:gridCol w:w="971"/>
              <w:gridCol w:w="19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56" w:type="pct"/>
                  <w:vAlign w:val="center"/>
                </w:tcPr>
                <w:p>
                  <w:pPr>
                    <w:snapToGrid w:val="0"/>
                    <w:jc w:val="center"/>
                    <w:rPr>
                      <w:b/>
                      <w:szCs w:val="21"/>
                    </w:rPr>
                  </w:pPr>
                  <w:r>
                    <w:rPr>
                      <w:rFonts w:hAnsi="宋体"/>
                      <w:b/>
                      <w:szCs w:val="21"/>
                    </w:rPr>
                    <w:t>污染物名称</w:t>
                  </w:r>
                </w:p>
              </w:tc>
              <w:tc>
                <w:tcPr>
                  <w:tcW w:w="905" w:type="pct"/>
                  <w:vAlign w:val="center"/>
                </w:tcPr>
                <w:p>
                  <w:pPr>
                    <w:snapToGrid w:val="0"/>
                    <w:jc w:val="center"/>
                    <w:rPr>
                      <w:b/>
                      <w:szCs w:val="21"/>
                    </w:rPr>
                  </w:pPr>
                  <w:r>
                    <w:rPr>
                      <w:b/>
                      <w:szCs w:val="21"/>
                    </w:rPr>
                    <w:t>pH</w:t>
                  </w:r>
                </w:p>
              </w:tc>
              <w:tc>
                <w:tcPr>
                  <w:tcW w:w="707" w:type="pct"/>
                  <w:vAlign w:val="center"/>
                </w:tcPr>
                <w:p>
                  <w:pPr>
                    <w:snapToGrid w:val="0"/>
                    <w:jc w:val="center"/>
                    <w:rPr>
                      <w:b/>
                      <w:szCs w:val="21"/>
                    </w:rPr>
                  </w:pPr>
                  <w:r>
                    <w:rPr>
                      <w:b/>
                      <w:szCs w:val="21"/>
                    </w:rPr>
                    <w:t>COD</w:t>
                  </w:r>
                </w:p>
              </w:tc>
              <w:tc>
                <w:tcPr>
                  <w:tcW w:w="548" w:type="pct"/>
                  <w:vAlign w:val="center"/>
                </w:tcPr>
                <w:p>
                  <w:pPr>
                    <w:snapToGrid w:val="0"/>
                    <w:jc w:val="center"/>
                    <w:rPr>
                      <w:b/>
                      <w:szCs w:val="21"/>
                    </w:rPr>
                  </w:pPr>
                  <w:r>
                    <w:rPr>
                      <w:rFonts w:hAnsi="宋体"/>
                      <w:b/>
                      <w:szCs w:val="21"/>
                    </w:rPr>
                    <w:t>总磷</w:t>
                  </w:r>
                </w:p>
              </w:tc>
              <w:tc>
                <w:tcPr>
                  <w:tcW w:w="1084" w:type="pct"/>
                  <w:vAlign w:val="center"/>
                </w:tcPr>
                <w:p>
                  <w:pPr>
                    <w:snapToGrid w:val="0"/>
                    <w:jc w:val="center"/>
                    <w:rPr>
                      <w:b/>
                      <w:szCs w:val="21"/>
                    </w:rPr>
                  </w:pPr>
                  <w:r>
                    <w:rPr>
                      <w:b/>
                      <w:szCs w:val="21"/>
                    </w:rPr>
                    <w:t>NH</w:t>
                  </w:r>
                  <w:r>
                    <w:rPr>
                      <w:b/>
                      <w:szCs w:val="21"/>
                      <w:vertAlign w:val="subscript"/>
                    </w:rPr>
                    <w:t>3</w:t>
                  </w:r>
                  <w:r>
                    <w:rPr>
                      <w:b/>
                      <w:szCs w:val="21"/>
                    </w:rPr>
                    <w: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56" w:type="pct"/>
                  <w:vAlign w:val="center"/>
                </w:tcPr>
                <w:p>
                  <w:pPr>
                    <w:snapToGrid w:val="0"/>
                    <w:jc w:val="center"/>
                    <w:rPr>
                      <w:szCs w:val="21"/>
                    </w:rPr>
                  </w:pPr>
                  <w:r>
                    <w:rPr>
                      <w:szCs w:val="21"/>
                    </w:rPr>
                    <w:t>IV</w:t>
                  </w:r>
                  <w:r>
                    <w:rPr>
                      <w:rFonts w:hAnsi="宋体"/>
                      <w:szCs w:val="21"/>
                    </w:rPr>
                    <w:t>类标准值</w:t>
                  </w:r>
                </w:p>
              </w:tc>
              <w:tc>
                <w:tcPr>
                  <w:tcW w:w="905" w:type="pct"/>
                  <w:vAlign w:val="center"/>
                </w:tcPr>
                <w:p>
                  <w:pPr>
                    <w:tabs>
                      <w:tab w:val="left" w:pos="763"/>
                    </w:tabs>
                    <w:snapToGrid w:val="0"/>
                    <w:jc w:val="center"/>
                    <w:rPr>
                      <w:szCs w:val="21"/>
                    </w:rPr>
                  </w:pPr>
                  <w:r>
                    <w:rPr>
                      <w:szCs w:val="21"/>
                    </w:rPr>
                    <w:t>6~9</w:t>
                  </w:r>
                </w:p>
              </w:tc>
              <w:tc>
                <w:tcPr>
                  <w:tcW w:w="707" w:type="pct"/>
                  <w:vAlign w:val="center"/>
                </w:tcPr>
                <w:p>
                  <w:pPr>
                    <w:snapToGrid w:val="0"/>
                    <w:jc w:val="center"/>
                    <w:rPr>
                      <w:szCs w:val="21"/>
                    </w:rPr>
                  </w:pPr>
                  <w:r>
                    <w:rPr>
                      <w:rFonts w:hint="eastAsia"/>
                      <w:szCs w:val="21"/>
                    </w:rPr>
                    <w:t>30</w:t>
                  </w:r>
                </w:p>
              </w:tc>
              <w:tc>
                <w:tcPr>
                  <w:tcW w:w="548" w:type="pct"/>
                  <w:vAlign w:val="center"/>
                </w:tcPr>
                <w:p>
                  <w:pPr>
                    <w:snapToGrid w:val="0"/>
                    <w:jc w:val="center"/>
                    <w:rPr>
                      <w:szCs w:val="21"/>
                    </w:rPr>
                  </w:pPr>
                  <w:r>
                    <w:rPr>
                      <w:rFonts w:hint="eastAsia"/>
                      <w:szCs w:val="21"/>
                    </w:rPr>
                    <w:t>0.3</w:t>
                  </w:r>
                </w:p>
              </w:tc>
              <w:tc>
                <w:tcPr>
                  <w:tcW w:w="1084" w:type="pct"/>
                  <w:vAlign w:val="center"/>
                </w:tcPr>
                <w:p>
                  <w:pPr>
                    <w:snapToGrid w:val="0"/>
                    <w:jc w:val="center"/>
                    <w:rPr>
                      <w:szCs w:val="21"/>
                    </w:rPr>
                  </w:pPr>
                  <w:r>
                    <w:rPr>
                      <w:rFonts w:hint="eastAsia"/>
                      <w:szCs w:val="21"/>
                    </w:rPr>
                    <w:t>1.5</w:t>
                  </w:r>
                </w:p>
              </w:tc>
            </w:tr>
          </w:tbl>
          <w:p>
            <w:pPr>
              <w:adjustRightInd w:val="0"/>
              <w:snapToGrid w:val="0"/>
              <w:spacing w:line="500" w:lineRule="exact"/>
              <w:rPr>
                <w:b/>
                <w:bCs/>
                <w:sz w:val="24"/>
              </w:rPr>
            </w:pPr>
            <w:r>
              <w:rPr>
                <w:rFonts w:hint="eastAsia"/>
                <w:b/>
                <w:bCs/>
                <w:sz w:val="24"/>
              </w:rPr>
              <w:t>3.地下水</w:t>
            </w:r>
          </w:p>
          <w:p>
            <w:pPr>
              <w:adjustRightInd w:val="0"/>
              <w:snapToGrid w:val="0"/>
              <w:spacing w:line="500" w:lineRule="exact"/>
              <w:ind w:firstLine="480" w:firstLineChars="200"/>
              <w:rPr>
                <w:rFonts w:hAnsi="宋体"/>
                <w:sz w:val="24"/>
              </w:rPr>
            </w:pPr>
            <w:r>
              <w:rPr>
                <w:rFonts w:hint="eastAsia" w:hAnsi="宋体"/>
                <w:sz w:val="24"/>
              </w:rPr>
              <w:t>地下水执行《地下水质量标准》（</w:t>
            </w:r>
            <w:r>
              <w:rPr>
                <w:rFonts w:hAnsi="宋体"/>
                <w:sz w:val="24"/>
              </w:rPr>
              <w:t>GB/T14848-2017</w:t>
            </w:r>
            <w:r>
              <w:rPr>
                <w:rFonts w:hint="eastAsia" w:hAnsi="宋体"/>
                <w:sz w:val="24"/>
              </w:rPr>
              <w:t>）Ⅲ类标准。具体标准限值见表25。</w:t>
            </w:r>
          </w:p>
          <w:p>
            <w:pPr>
              <w:autoSpaceDE w:val="0"/>
              <w:autoSpaceDN w:val="0"/>
              <w:adjustRightInd w:val="0"/>
              <w:snapToGrid w:val="0"/>
              <w:spacing w:line="400" w:lineRule="exact"/>
              <w:ind w:left="420"/>
              <w:rPr>
                <w:rFonts w:hAnsi="宋体"/>
                <w:b/>
                <w:sz w:val="24"/>
              </w:rPr>
            </w:pPr>
            <w:r>
              <w:rPr>
                <w:rFonts w:hint="eastAsia" w:hAnsi="宋体"/>
                <w:b/>
                <w:sz w:val="24"/>
              </w:rPr>
              <w:t>表25</w:t>
            </w:r>
            <w:r>
              <w:rPr>
                <w:rFonts w:hAnsi="宋体"/>
                <w:b/>
                <w:sz w:val="24"/>
              </w:rPr>
              <w:t xml:space="preserve">              </w:t>
            </w:r>
            <w:r>
              <w:rPr>
                <w:rFonts w:hint="eastAsia" w:hAnsi="宋体"/>
                <w:b/>
                <w:sz w:val="24"/>
              </w:rPr>
              <w:t>地下水环境质量标准</w:t>
            </w:r>
            <w:r>
              <w:rPr>
                <w:rFonts w:hAnsi="宋体"/>
                <w:b/>
                <w:sz w:val="24"/>
              </w:rPr>
              <w:t xml:space="preserve">             </w:t>
            </w:r>
            <w:r>
              <w:rPr>
                <w:rFonts w:hint="eastAsia" w:hAnsi="宋体"/>
                <w:b/>
                <w:sz w:val="24"/>
              </w:rPr>
              <w:t>单位：</w:t>
            </w:r>
            <w:r>
              <w:rPr>
                <w:rFonts w:hAnsi="宋体"/>
                <w:b/>
                <w:sz w:val="24"/>
              </w:rPr>
              <w:t>mg/L</w:t>
            </w:r>
          </w:p>
          <w:tbl>
            <w:tblPr>
              <w:tblStyle w:val="27"/>
              <w:tblW w:w="5000" w:type="pct"/>
              <w:jc w:val="center"/>
              <w:tblLayout w:type="autofit"/>
              <w:tblCellMar>
                <w:top w:w="0" w:type="dxa"/>
                <w:left w:w="108" w:type="dxa"/>
                <w:bottom w:w="0" w:type="dxa"/>
                <w:right w:w="108" w:type="dxa"/>
              </w:tblCellMar>
            </w:tblPr>
            <w:tblGrid>
              <w:gridCol w:w="3417"/>
              <w:gridCol w:w="2246"/>
              <w:gridCol w:w="3200"/>
            </w:tblGrid>
            <w:tr>
              <w:tblPrEx>
                <w:tblCellMar>
                  <w:top w:w="0" w:type="dxa"/>
                  <w:left w:w="108" w:type="dxa"/>
                  <w:bottom w:w="0" w:type="dxa"/>
                  <w:right w:w="108" w:type="dxa"/>
                </w:tblCellMar>
              </w:tblPrEx>
              <w:trPr>
                <w:trHeight w:val="397" w:hRule="atLeast"/>
                <w:jc w:val="center"/>
              </w:trPr>
              <w:tc>
                <w:tcPr>
                  <w:tcW w:w="1928" w:type="pct"/>
                  <w:tcBorders>
                    <w:top w:val="single" w:color="auto" w:sz="8" w:space="0"/>
                    <w:left w:val="nil"/>
                    <w:bottom w:val="single" w:color="auto" w:sz="8" w:space="0"/>
                    <w:right w:val="single" w:color="auto" w:sz="4" w:space="0"/>
                  </w:tcBorders>
                  <w:vAlign w:val="center"/>
                </w:tcPr>
                <w:p>
                  <w:pPr>
                    <w:jc w:val="center"/>
                    <w:rPr>
                      <w:b/>
                      <w:bCs/>
                      <w:color w:val="000000"/>
                      <w:szCs w:val="21"/>
                    </w:rPr>
                  </w:pPr>
                  <w:r>
                    <w:rPr>
                      <w:rFonts w:hint="eastAsia"/>
                      <w:b/>
                      <w:bCs/>
                      <w:color w:val="000000"/>
                      <w:szCs w:val="21"/>
                    </w:rPr>
                    <w:t>项目</w:t>
                  </w:r>
                </w:p>
              </w:tc>
              <w:tc>
                <w:tcPr>
                  <w:tcW w:w="1267" w:type="pct"/>
                  <w:tcBorders>
                    <w:top w:val="single" w:color="auto" w:sz="8" w:space="0"/>
                    <w:left w:val="nil"/>
                    <w:bottom w:val="single" w:color="auto" w:sz="8" w:space="0"/>
                    <w:right w:val="single" w:color="auto" w:sz="4" w:space="0"/>
                  </w:tcBorders>
                  <w:vAlign w:val="center"/>
                </w:tcPr>
                <w:p>
                  <w:pPr>
                    <w:jc w:val="center"/>
                    <w:rPr>
                      <w:b/>
                      <w:bCs/>
                      <w:color w:val="000000"/>
                      <w:szCs w:val="21"/>
                    </w:rPr>
                  </w:pPr>
                  <w:r>
                    <w:rPr>
                      <w:rFonts w:hint="eastAsia"/>
                      <w:b/>
                      <w:bCs/>
                      <w:color w:val="000000"/>
                      <w:szCs w:val="21"/>
                    </w:rPr>
                    <w:t>浓度限值</w:t>
                  </w:r>
                </w:p>
              </w:tc>
              <w:tc>
                <w:tcPr>
                  <w:tcW w:w="1805" w:type="pct"/>
                  <w:tcBorders>
                    <w:top w:val="single" w:color="auto" w:sz="8" w:space="0"/>
                    <w:left w:val="nil"/>
                    <w:bottom w:val="single" w:color="auto" w:sz="8" w:space="0"/>
                    <w:right w:val="nil"/>
                  </w:tcBorders>
                  <w:vAlign w:val="center"/>
                </w:tcPr>
                <w:p>
                  <w:pPr>
                    <w:jc w:val="center"/>
                    <w:rPr>
                      <w:b/>
                      <w:bCs/>
                      <w:color w:val="000000"/>
                      <w:szCs w:val="21"/>
                    </w:rPr>
                  </w:pPr>
                  <w:r>
                    <w:rPr>
                      <w:rFonts w:hint="eastAsia"/>
                      <w:b/>
                      <w:bCs/>
                      <w:color w:val="000000"/>
                      <w:szCs w:val="21"/>
                    </w:rPr>
                    <w:t>标准来源</w:t>
                  </w:r>
                </w:p>
              </w:tc>
            </w:tr>
            <w:tr>
              <w:tblPrEx>
                <w:tblCellMar>
                  <w:top w:w="0" w:type="dxa"/>
                  <w:left w:w="108" w:type="dxa"/>
                  <w:bottom w:w="0" w:type="dxa"/>
                  <w:right w:w="108" w:type="dxa"/>
                </w:tblCellMar>
              </w:tblPrEx>
              <w:trPr>
                <w:trHeight w:val="397" w:hRule="atLeast"/>
                <w:jc w:val="center"/>
              </w:trPr>
              <w:tc>
                <w:tcPr>
                  <w:tcW w:w="1928" w:type="pct"/>
                  <w:tcBorders>
                    <w:top w:val="single" w:color="auto" w:sz="8" w:space="0"/>
                    <w:left w:val="nil"/>
                    <w:bottom w:val="single" w:color="auto" w:sz="4" w:space="0"/>
                    <w:right w:val="single" w:color="auto" w:sz="4" w:space="0"/>
                  </w:tcBorders>
                  <w:vAlign w:val="center"/>
                </w:tcPr>
                <w:p>
                  <w:pPr>
                    <w:jc w:val="center"/>
                    <w:rPr>
                      <w:color w:val="000000"/>
                      <w:szCs w:val="21"/>
                    </w:rPr>
                  </w:pPr>
                  <w:r>
                    <w:rPr>
                      <w:color w:val="000000"/>
                      <w:szCs w:val="21"/>
                    </w:rPr>
                    <w:t>pH</w:t>
                  </w:r>
                  <w:r>
                    <w:rPr>
                      <w:rFonts w:hint="eastAsia"/>
                      <w:color w:val="000000"/>
                      <w:szCs w:val="21"/>
                    </w:rPr>
                    <w:t>（无量纲）</w:t>
                  </w:r>
                </w:p>
              </w:tc>
              <w:tc>
                <w:tcPr>
                  <w:tcW w:w="1267" w:type="pct"/>
                  <w:tcBorders>
                    <w:top w:val="single" w:color="auto" w:sz="8" w:space="0"/>
                    <w:left w:val="nil"/>
                    <w:bottom w:val="single" w:color="auto" w:sz="4" w:space="0"/>
                    <w:right w:val="single" w:color="auto" w:sz="4" w:space="0"/>
                  </w:tcBorders>
                  <w:vAlign w:val="center"/>
                </w:tcPr>
                <w:p>
                  <w:pPr>
                    <w:jc w:val="center"/>
                    <w:rPr>
                      <w:color w:val="000000"/>
                      <w:szCs w:val="21"/>
                    </w:rPr>
                  </w:pPr>
                  <w:r>
                    <w:rPr>
                      <w:color w:val="000000"/>
                      <w:szCs w:val="21"/>
                    </w:rPr>
                    <w:t>6.5</w:t>
                  </w:r>
                  <w:r>
                    <w:rPr>
                      <w:rFonts w:hint="eastAsia"/>
                      <w:color w:val="000000"/>
                      <w:szCs w:val="21"/>
                    </w:rPr>
                    <w:t>～</w:t>
                  </w:r>
                  <w:r>
                    <w:rPr>
                      <w:color w:val="000000"/>
                      <w:szCs w:val="21"/>
                    </w:rPr>
                    <w:t>8.5</w:t>
                  </w:r>
                </w:p>
              </w:tc>
              <w:tc>
                <w:tcPr>
                  <w:tcW w:w="1805" w:type="pct"/>
                  <w:vMerge w:val="restart"/>
                  <w:tcBorders>
                    <w:top w:val="single" w:color="auto" w:sz="8" w:space="0"/>
                    <w:left w:val="nil"/>
                    <w:bottom w:val="single" w:color="auto" w:sz="8" w:space="0"/>
                    <w:right w:val="nil"/>
                  </w:tcBorders>
                  <w:vAlign w:val="center"/>
                </w:tcPr>
                <w:p>
                  <w:pPr>
                    <w:jc w:val="center"/>
                    <w:rPr>
                      <w:color w:val="000000"/>
                      <w:szCs w:val="21"/>
                    </w:rPr>
                  </w:pPr>
                  <w:r>
                    <w:rPr>
                      <w:rFonts w:hint="eastAsia"/>
                      <w:color w:val="000000"/>
                      <w:szCs w:val="21"/>
                    </w:rPr>
                    <w:t>《地下水质量标准》（</w:t>
                  </w:r>
                  <w:r>
                    <w:rPr>
                      <w:color w:val="000000"/>
                      <w:szCs w:val="21"/>
                    </w:rPr>
                    <w:t>GB/T14848-2017</w:t>
                  </w:r>
                  <w:r>
                    <w:rPr>
                      <w:rFonts w:hint="eastAsia"/>
                      <w:color w:val="000000"/>
                      <w:szCs w:val="21"/>
                    </w:rPr>
                    <w:t>）</w:t>
                  </w:r>
                  <w:r>
                    <w:rPr>
                      <w:rFonts w:hint="eastAsia" w:ascii="宋体" w:hAnsi="宋体" w:cs="宋体"/>
                      <w:color w:val="000000"/>
                      <w:szCs w:val="21"/>
                    </w:rPr>
                    <w:t>Ⅲ</w:t>
                  </w:r>
                  <w:r>
                    <w:rPr>
                      <w:rFonts w:hint="eastAsia"/>
                      <w:color w:val="000000"/>
                      <w:szCs w:val="21"/>
                    </w:rPr>
                    <w:t>类标准</w:t>
                  </w:r>
                </w:p>
              </w:tc>
            </w:tr>
            <w:tr>
              <w:tblPrEx>
                <w:tblCellMar>
                  <w:top w:w="0" w:type="dxa"/>
                  <w:left w:w="108" w:type="dxa"/>
                  <w:bottom w:w="0" w:type="dxa"/>
                  <w:right w:w="108" w:type="dxa"/>
                </w:tblCellMar>
              </w:tblPrEx>
              <w:trPr>
                <w:trHeight w:val="397" w:hRule="atLeast"/>
                <w:jc w:val="center"/>
              </w:trPr>
              <w:tc>
                <w:tcPr>
                  <w:tcW w:w="1928" w:type="pct"/>
                  <w:tcBorders>
                    <w:top w:val="single" w:color="auto" w:sz="4" w:space="0"/>
                    <w:left w:val="nil"/>
                    <w:bottom w:val="single" w:color="auto" w:sz="4" w:space="0"/>
                    <w:right w:val="single" w:color="auto" w:sz="4" w:space="0"/>
                  </w:tcBorders>
                  <w:vAlign w:val="center"/>
                </w:tcPr>
                <w:p>
                  <w:pPr>
                    <w:jc w:val="center"/>
                    <w:rPr>
                      <w:color w:val="000000"/>
                      <w:szCs w:val="21"/>
                    </w:rPr>
                  </w:pPr>
                  <w:r>
                    <w:rPr>
                      <w:rFonts w:hint="eastAsia"/>
                      <w:color w:val="000000"/>
                      <w:szCs w:val="21"/>
                    </w:rPr>
                    <w:t>耗氧量（</w:t>
                  </w:r>
                  <w:r>
                    <w:rPr>
                      <w:color w:val="000000"/>
                      <w:szCs w:val="21"/>
                    </w:rPr>
                    <w:t>COD</w:t>
                  </w:r>
                  <w:r>
                    <w:rPr>
                      <w:color w:val="000000"/>
                      <w:szCs w:val="21"/>
                      <w:vertAlign w:val="subscript"/>
                    </w:rPr>
                    <w:t>Mn</w:t>
                  </w:r>
                  <w:r>
                    <w:rPr>
                      <w:rFonts w:hint="eastAsia"/>
                      <w:color w:val="000000"/>
                      <w:szCs w:val="21"/>
                    </w:rPr>
                    <w:t>法，以</w:t>
                  </w:r>
                  <w:r>
                    <w:rPr>
                      <w:color w:val="000000"/>
                      <w:szCs w:val="21"/>
                    </w:rPr>
                    <w:t>O</w:t>
                  </w:r>
                  <w:r>
                    <w:rPr>
                      <w:color w:val="000000"/>
                      <w:szCs w:val="21"/>
                      <w:vertAlign w:val="subscript"/>
                    </w:rPr>
                    <w:t>2</w:t>
                  </w:r>
                  <w:r>
                    <w:rPr>
                      <w:rFonts w:hint="eastAsia"/>
                      <w:color w:val="000000"/>
                      <w:szCs w:val="21"/>
                    </w:rPr>
                    <w:t>计）</w:t>
                  </w:r>
                </w:p>
              </w:tc>
              <w:tc>
                <w:tcPr>
                  <w:tcW w:w="1267"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3.0</w:t>
                  </w:r>
                </w:p>
              </w:tc>
              <w:tc>
                <w:tcPr>
                  <w:tcW w:w="1805" w:type="pct"/>
                  <w:vMerge w:val="continue"/>
                  <w:tcBorders>
                    <w:top w:val="single" w:color="auto" w:sz="8" w:space="0"/>
                    <w:left w:val="nil"/>
                    <w:bottom w:val="single" w:color="auto" w:sz="8" w:space="0"/>
                    <w:right w:val="nil"/>
                  </w:tcBorders>
                  <w:vAlign w:val="center"/>
                </w:tcPr>
                <w:p>
                  <w:pPr>
                    <w:widowControl/>
                    <w:jc w:val="left"/>
                    <w:rPr>
                      <w:color w:val="000000"/>
                      <w:szCs w:val="21"/>
                    </w:rPr>
                  </w:pPr>
                </w:p>
              </w:tc>
            </w:tr>
            <w:tr>
              <w:tblPrEx>
                <w:tblCellMar>
                  <w:top w:w="0" w:type="dxa"/>
                  <w:left w:w="108" w:type="dxa"/>
                  <w:bottom w:w="0" w:type="dxa"/>
                  <w:right w:w="108" w:type="dxa"/>
                </w:tblCellMar>
              </w:tblPrEx>
              <w:trPr>
                <w:trHeight w:val="397" w:hRule="atLeast"/>
                <w:jc w:val="center"/>
              </w:trPr>
              <w:tc>
                <w:tcPr>
                  <w:tcW w:w="1928"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NH</w:t>
                  </w:r>
                  <w:r>
                    <w:rPr>
                      <w:color w:val="000000"/>
                      <w:szCs w:val="21"/>
                      <w:vertAlign w:val="subscript"/>
                    </w:rPr>
                    <w:t>3</w:t>
                  </w:r>
                  <w:r>
                    <w:rPr>
                      <w:color w:val="000000"/>
                      <w:szCs w:val="21"/>
                    </w:rPr>
                    <w:t>-N</w:t>
                  </w:r>
                </w:p>
              </w:tc>
              <w:tc>
                <w:tcPr>
                  <w:tcW w:w="1267"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0.5</w:t>
                  </w:r>
                </w:p>
              </w:tc>
              <w:tc>
                <w:tcPr>
                  <w:tcW w:w="1805" w:type="pct"/>
                  <w:vMerge w:val="continue"/>
                  <w:tcBorders>
                    <w:top w:val="single" w:color="auto" w:sz="8" w:space="0"/>
                    <w:left w:val="nil"/>
                    <w:bottom w:val="single" w:color="auto" w:sz="8" w:space="0"/>
                    <w:right w:val="nil"/>
                  </w:tcBorders>
                  <w:vAlign w:val="center"/>
                </w:tcPr>
                <w:p>
                  <w:pPr>
                    <w:widowControl/>
                    <w:jc w:val="left"/>
                    <w:rPr>
                      <w:color w:val="000000"/>
                      <w:szCs w:val="21"/>
                    </w:rPr>
                  </w:pPr>
                </w:p>
              </w:tc>
            </w:tr>
            <w:tr>
              <w:tblPrEx>
                <w:tblCellMar>
                  <w:top w:w="0" w:type="dxa"/>
                  <w:left w:w="108" w:type="dxa"/>
                  <w:bottom w:w="0" w:type="dxa"/>
                  <w:right w:w="108" w:type="dxa"/>
                </w:tblCellMar>
              </w:tblPrEx>
              <w:trPr>
                <w:trHeight w:val="397" w:hRule="atLeast"/>
                <w:jc w:val="center"/>
              </w:trPr>
              <w:tc>
                <w:tcPr>
                  <w:tcW w:w="1928" w:type="pct"/>
                  <w:tcBorders>
                    <w:top w:val="single" w:color="auto" w:sz="4" w:space="0"/>
                    <w:left w:val="nil"/>
                    <w:bottom w:val="single" w:color="auto" w:sz="8" w:space="0"/>
                    <w:right w:val="single" w:color="auto" w:sz="4" w:space="0"/>
                  </w:tcBorders>
                  <w:vAlign w:val="center"/>
                </w:tcPr>
                <w:p>
                  <w:pPr>
                    <w:jc w:val="center"/>
                    <w:rPr>
                      <w:color w:val="000000"/>
                      <w:szCs w:val="21"/>
                    </w:rPr>
                  </w:pPr>
                  <w:r>
                    <w:rPr>
                      <w:rFonts w:hint="eastAsia"/>
                      <w:color w:val="000000"/>
                      <w:szCs w:val="21"/>
                    </w:rPr>
                    <w:t>总大肠菌群（</w:t>
                  </w:r>
                  <w:r>
                    <w:rPr>
                      <w:color w:val="000000"/>
                      <w:szCs w:val="21"/>
                    </w:rPr>
                    <w:t>MPN</w:t>
                  </w:r>
                  <w:r>
                    <w:rPr>
                      <w:color w:val="000000"/>
                      <w:szCs w:val="21"/>
                      <w:vertAlign w:val="superscript"/>
                    </w:rPr>
                    <w:t>b</w:t>
                  </w:r>
                  <w:r>
                    <w:rPr>
                      <w:color w:val="000000"/>
                      <w:szCs w:val="21"/>
                    </w:rPr>
                    <w:t>/100mL</w:t>
                  </w:r>
                  <w:r>
                    <w:rPr>
                      <w:rFonts w:hint="eastAsia"/>
                      <w:color w:val="000000"/>
                      <w:szCs w:val="21"/>
                    </w:rPr>
                    <w:t>）</w:t>
                  </w:r>
                </w:p>
              </w:tc>
              <w:tc>
                <w:tcPr>
                  <w:tcW w:w="1267" w:type="pct"/>
                  <w:tcBorders>
                    <w:top w:val="single" w:color="auto" w:sz="4" w:space="0"/>
                    <w:left w:val="nil"/>
                    <w:bottom w:val="single" w:color="auto" w:sz="8" w:space="0"/>
                    <w:right w:val="single" w:color="auto" w:sz="4" w:space="0"/>
                  </w:tcBorders>
                  <w:vAlign w:val="center"/>
                </w:tcPr>
                <w:p>
                  <w:pPr>
                    <w:jc w:val="center"/>
                    <w:rPr>
                      <w:color w:val="000000"/>
                      <w:szCs w:val="21"/>
                    </w:rPr>
                  </w:pPr>
                  <w:r>
                    <w:rPr>
                      <w:color w:val="000000"/>
                      <w:szCs w:val="21"/>
                    </w:rPr>
                    <w:t>3.0</w:t>
                  </w:r>
                </w:p>
              </w:tc>
              <w:tc>
                <w:tcPr>
                  <w:tcW w:w="1805" w:type="pct"/>
                  <w:vMerge w:val="continue"/>
                  <w:tcBorders>
                    <w:top w:val="single" w:color="auto" w:sz="8" w:space="0"/>
                    <w:left w:val="nil"/>
                    <w:bottom w:val="single" w:color="auto" w:sz="8" w:space="0"/>
                    <w:right w:val="nil"/>
                  </w:tcBorders>
                  <w:vAlign w:val="center"/>
                </w:tcPr>
                <w:p>
                  <w:pPr>
                    <w:widowControl/>
                    <w:jc w:val="left"/>
                    <w:rPr>
                      <w:color w:val="000000"/>
                      <w:szCs w:val="21"/>
                    </w:rPr>
                  </w:pPr>
                </w:p>
              </w:tc>
            </w:tr>
          </w:tbl>
          <w:p>
            <w:pPr>
              <w:pStyle w:val="2"/>
            </w:pPr>
          </w:p>
          <w:p>
            <w:pPr>
              <w:adjustRightInd w:val="0"/>
              <w:snapToGrid w:val="0"/>
              <w:spacing w:line="500" w:lineRule="exact"/>
              <w:rPr>
                <w:b/>
                <w:bCs/>
                <w:sz w:val="24"/>
              </w:rPr>
            </w:pPr>
            <w:r>
              <w:rPr>
                <w:rFonts w:hint="eastAsia"/>
                <w:b/>
                <w:bCs/>
                <w:sz w:val="24"/>
              </w:rPr>
              <w:t>4.</w:t>
            </w:r>
            <w:r>
              <w:rPr>
                <w:b/>
                <w:bCs/>
                <w:sz w:val="24"/>
              </w:rPr>
              <w:t>声环境</w:t>
            </w:r>
          </w:p>
          <w:p>
            <w:pPr>
              <w:adjustRightInd w:val="0"/>
              <w:snapToGrid w:val="0"/>
              <w:spacing w:line="500" w:lineRule="exact"/>
              <w:ind w:firstLine="480" w:firstLineChars="200"/>
              <w:rPr>
                <w:rFonts w:hAnsi="宋体"/>
                <w:sz w:val="24"/>
              </w:rPr>
            </w:pPr>
            <w:r>
              <w:rPr>
                <w:rFonts w:hAnsi="宋体"/>
                <w:sz w:val="24"/>
              </w:rPr>
              <w:t>声环境执行《声环境质量标准》(GB3096-2008)2类标准，详见表</w:t>
            </w:r>
            <w:r>
              <w:rPr>
                <w:rFonts w:hint="eastAsia" w:hAnsi="宋体"/>
                <w:sz w:val="24"/>
              </w:rPr>
              <w:t>26。</w:t>
            </w:r>
          </w:p>
          <w:p>
            <w:pPr>
              <w:autoSpaceDE w:val="0"/>
              <w:autoSpaceDN w:val="0"/>
              <w:adjustRightInd w:val="0"/>
              <w:snapToGrid w:val="0"/>
              <w:spacing w:line="500" w:lineRule="exact"/>
              <w:ind w:firstLine="420"/>
              <w:rPr>
                <w:rFonts w:hAnsi="宋体"/>
                <w:b/>
                <w:sz w:val="24"/>
              </w:rPr>
            </w:pPr>
            <w:r>
              <w:rPr>
                <w:rFonts w:hAnsi="宋体"/>
                <w:b/>
                <w:sz w:val="24"/>
              </w:rPr>
              <w:t>表</w:t>
            </w:r>
            <w:r>
              <w:rPr>
                <w:rFonts w:hint="eastAsia" w:hAnsi="宋体"/>
                <w:b/>
                <w:sz w:val="24"/>
              </w:rPr>
              <w:t>26</w:t>
            </w:r>
            <w:r>
              <w:rPr>
                <w:rFonts w:hAnsi="宋体"/>
                <w:b/>
                <w:sz w:val="24"/>
              </w:rPr>
              <w:t xml:space="preserve"> </w:t>
            </w:r>
            <w:r>
              <w:rPr>
                <w:rFonts w:hint="eastAsia" w:hAnsi="宋体"/>
                <w:b/>
                <w:sz w:val="24"/>
              </w:rPr>
              <w:t xml:space="preserve">    </w:t>
            </w:r>
            <w:r>
              <w:rPr>
                <w:rFonts w:hAnsi="宋体"/>
                <w:b/>
                <w:sz w:val="24"/>
              </w:rPr>
              <w:t xml:space="preserve"> 《声环境质量标准》(GB3096-2008)           单位：dB(A)</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389"/>
              <w:gridCol w:w="2519"/>
              <w:gridCol w:w="29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12" w:type="pct"/>
                  <w:vAlign w:val="center"/>
                </w:tcPr>
                <w:p>
                  <w:pPr>
                    <w:snapToGrid w:val="0"/>
                    <w:jc w:val="center"/>
                    <w:rPr>
                      <w:b/>
                      <w:bCs/>
                      <w:szCs w:val="21"/>
                    </w:rPr>
                  </w:pPr>
                  <w:r>
                    <w:rPr>
                      <w:b/>
                      <w:bCs/>
                      <w:szCs w:val="21"/>
                    </w:rPr>
                    <w:t>类别</w:t>
                  </w:r>
                </w:p>
              </w:tc>
              <w:tc>
                <w:tcPr>
                  <w:tcW w:w="1421" w:type="pct"/>
                  <w:vAlign w:val="center"/>
                </w:tcPr>
                <w:p>
                  <w:pPr>
                    <w:snapToGrid w:val="0"/>
                    <w:jc w:val="center"/>
                    <w:rPr>
                      <w:b/>
                      <w:bCs/>
                      <w:szCs w:val="21"/>
                    </w:rPr>
                  </w:pPr>
                  <w:r>
                    <w:rPr>
                      <w:b/>
                      <w:bCs/>
                      <w:szCs w:val="21"/>
                    </w:rPr>
                    <w:t>昼间</w:t>
                  </w:r>
                </w:p>
              </w:tc>
              <w:tc>
                <w:tcPr>
                  <w:tcW w:w="1667" w:type="pct"/>
                  <w:vAlign w:val="center"/>
                </w:tcPr>
                <w:p>
                  <w:pPr>
                    <w:snapToGrid w:val="0"/>
                    <w:jc w:val="center"/>
                    <w:rPr>
                      <w:b/>
                      <w:bCs/>
                      <w:szCs w:val="21"/>
                    </w:rPr>
                  </w:pPr>
                  <w:r>
                    <w:rPr>
                      <w:b/>
                      <w:bCs/>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12" w:type="pct"/>
                  <w:vAlign w:val="center"/>
                </w:tcPr>
                <w:p>
                  <w:pPr>
                    <w:snapToGrid w:val="0"/>
                    <w:jc w:val="center"/>
                    <w:rPr>
                      <w:szCs w:val="21"/>
                    </w:rPr>
                  </w:pPr>
                  <w:r>
                    <w:rPr>
                      <w:szCs w:val="21"/>
                    </w:rPr>
                    <w:t>2类</w:t>
                  </w:r>
                </w:p>
              </w:tc>
              <w:tc>
                <w:tcPr>
                  <w:tcW w:w="1421" w:type="pct"/>
                  <w:vAlign w:val="center"/>
                </w:tcPr>
                <w:p>
                  <w:pPr>
                    <w:snapToGrid w:val="0"/>
                    <w:jc w:val="center"/>
                    <w:rPr>
                      <w:szCs w:val="21"/>
                    </w:rPr>
                  </w:pPr>
                  <w:r>
                    <w:rPr>
                      <w:szCs w:val="21"/>
                    </w:rPr>
                    <w:t>60</w:t>
                  </w:r>
                </w:p>
              </w:tc>
              <w:tc>
                <w:tcPr>
                  <w:tcW w:w="1667" w:type="pct"/>
                  <w:vAlign w:val="center"/>
                </w:tcPr>
                <w:p>
                  <w:pPr>
                    <w:snapToGrid w:val="0"/>
                    <w:jc w:val="center"/>
                    <w:rPr>
                      <w:szCs w:val="21"/>
                    </w:rPr>
                  </w:pPr>
                  <w:r>
                    <w:rPr>
                      <w:szCs w:val="21"/>
                    </w:rPr>
                    <w:t>50</w:t>
                  </w:r>
                </w:p>
              </w:tc>
            </w:tr>
          </w:tbl>
          <w:p>
            <w:pPr>
              <w:adjustRightInd w:val="0"/>
              <w:snapToGrid w:val="0"/>
              <w:spacing w:line="500" w:lineRule="exact"/>
              <w:rPr>
                <w:b/>
                <w:bCs/>
                <w:sz w:val="24"/>
              </w:rPr>
            </w:pPr>
            <w:r>
              <w:rPr>
                <w:rFonts w:hint="eastAsia"/>
                <w:b/>
                <w:bCs/>
                <w:sz w:val="24"/>
              </w:rPr>
              <w:t>5.土壤</w:t>
            </w:r>
          </w:p>
          <w:p>
            <w:pPr>
              <w:adjustRightInd w:val="0"/>
              <w:snapToGrid w:val="0"/>
              <w:spacing w:line="500" w:lineRule="exact"/>
              <w:ind w:firstLine="480" w:firstLineChars="200"/>
              <w:rPr>
                <w:rFonts w:hAnsi="宋体"/>
                <w:sz w:val="24"/>
              </w:rPr>
            </w:pPr>
            <w:r>
              <w:rPr>
                <w:rFonts w:hint="eastAsia" w:hAnsi="宋体"/>
                <w:sz w:val="24"/>
              </w:rPr>
              <w:t>土壤执行《土壤环境质量建设用地土壤污染风险管控标准（试行）》（</w:t>
            </w:r>
            <w:r>
              <w:rPr>
                <w:rFonts w:hAnsi="宋体"/>
                <w:sz w:val="24"/>
              </w:rPr>
              <w:t>GB36600-2018</w:t>
            </w:r>
            <w:r>
              <w:rPr>
                <w:rFonts w:hint="eastAsia" w:hAnsi="宋体"/>
                <w:sz w:val="24"/>
              </w:rPr>
              <w:t>）中第二类用地筛选限值要求。</w:t>
            </w:r>
          </w:p>
          <w:p>
            <w:pPr>
              <w:autoSpaceDE w:val="0"/>
              <w:autoSpaceDN w:val="0"/>
              <w:adjustRightInd w:val="0"/>
              <w:snapToGrid w:val="0"/>
              <w:spacing w:line="500" w:lineRule="exact"/>
              <w:ind w:firstLine="420"/>
              <w:rPr>
                <w:rFonts w:hAnsi="宋体"/>
                <w:b/>
                <w:sz w:val="24"/>
              </w:rPr>
            </w:pPr>
            <w:r>
              <w:rPr>
                <w:rFonts w:hint="eastAsia" w:hAnsi="宋体"/>
                <w:b/>
                <w:sz w:val="24"/>
              </w:rPr>
              <w:t>表27</w:t>
            </w:r>
            <w:r>
              <w:rPr>
                <w:rFonts w:hAnsi="宋体"/>
                <w:b/>
                <w:sz w:val="24"/>
              </w:rPr>
              <w:t xml:space="preserve">  </w:t>
            </w:r>
            <w:r>
              <w:rPr>
                <w:rFonts w:hint="eastAsia" w:hAnsi="宋体"/>
                <w:b/>
                <w:sz w:val="24"/>
              </w:rPr>
              <w:t>《土壤环境质量建设用地土壤污染风险管控标准（试行）》</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2377"/>
              <w:gridCol w:w="3571"/>
              <w:gridCol w:w="15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8" w:space="0"/>
                    <w:left w:val="nil"/>
                    <w:bottom w:val="single" w:color="auto" w:sz="8" w:space="0"/>
                    <w:right w:val="single" w:color="auto" w:sz="4" w:space="0"/>
                  </w:tcBorders>
                  <w:vAlign w:val="center"/>
                </w:tcPr>
                <w:p>
                  <w:pPr>
                    <w:adjustRightInd w:val="0"/>
                    <w:snapToGrid w:val="0"/>
                    <w:jc w:val="center"/>
                    <w:rPr>
                      <w:b/>
                      <w:bCs/>
                      <w:color w:val="000000"/>
                      <w:szCs w:val="21"/>
                    </w:rPr>
                  </w:pPr>
                  <w:r>
                    <w:rPr>
                      <w:rFonts w:hint="eastAsia" w:hAnsi="宋体"/>
                      <w:b/>
                      <w:bCs/>
                      <w:color w:val="000000"/>
                      <w:szCs w:val="21"/>
                    </w:rPr>
                    <w:t>序号</w:t>
                  </w:r>
                </w:p>
              </w:tc>
              <w:tc>
                <w:tcPr>
                  <w:tcW w:w="1344" w:type="pct"/>
                  <w:tcBorders>
                    <w:top w:val="single" w:color="auto" w:sz="8" w:space="0"/>
                    <w:left w:val="single" w:color="auto" w:sz="4" w:space="0"/>
                    <w:bottom w:val="single" w:color="auto" w:sz="8" w:space="0"/>
                    <w:right w:val="single" w:color="auto" w:sz="4" w:space="0"/>
                  </w:tcBorders>
                  <w:vAlign w:val="center"/>
                </w:tcPr>
                <w:p>
                  <w:pPr>
                    <w:adjustRightInd w:val="0"/>
                    <w:snapToGrid w:val="0"/>
                    <w:jc w:val="center"/>
                    <w:rPr>
                      <w:b/>
                      <w:bCs/>
                      <w:color w:val="000000"/>
                      <w:szCs w:val="21"/>
                    </w:rPr>
                  </w:pPr>
                  <w:r>
                    <w:rPr>
                      <w:rFonts w:hint="eastAsia" w:hAnsi="宋体"/>
                      <w:b/>
                      <w:bCs/>
                      <w:color w:val="000000"/>
                      <w:szCs w:val="21"/>
                    </w:rPr>
                    <w:t>监测因子</w:t>
                  </w:r>
                </w:p>
              </w:tc>
              <w:tc>
                <w:tcPr>
                  <w:tcW w:w="2019" w:type="pct"/>
                  <w:tcBorders>
                    <w:top w:val="single" w:color="auto" w:sz="8" w:space="0"/>
                    <w:left w:val="single" w:color="auto" w:sz="4" w:space="0"/>
                    <w:bottom w:val="single" w:color="auto" w:sz="8" w:space="0"/>
                    <w:right w:val="single" w:color="auto" w:sz="4" w:space="0"/>
                  </w:tcBorders>
                  <w:vAlign w:val="center"/>
                </w:tcPr>
                <w:p>
                  <w:pPr>
                    <w:adjustRightInd w:val="0"/>
                    <w:snapToGrid w:val="0"/>
                    <w:jc w:val="center"/>
                    <w:rPr>
                      <w:b/>
                      <w:bCs/>
                      <w:color w:val="000000"/>
                      <w:szCs w:val="21"/>
                    </w:rPr>
                  </w:pPr>
                  <w:r>
                    <w:rPr>
                      <w:rFonts w:hint="eastAsia" w:hAnsi="宋体"/>
                      <w:b/>
                      <w:bCs/>
                      <w:color w:val="000000"/>
                      <w:szCs w:val="21"/>
                    </w:rPr>
                    <w:t>标准限制（筛选值第二类用地）</w:t>
                  </w:r>
                </w:p>
              </w:tc>
              <w:tc>
                <w:tcPr>
                  <w:tcW w:w="874" w:type="pct"/>
                  <w:tcBorders>
                    <w:top w:val="single" w:color="auto" w:sz="8" w:space="0"/>
                    <w:left w:val="single" w:color="auto" w:sz="4" w:space="0"/>
                    <w:bottom w:val="single" w:color="auto" w:sz="8" w:space="0"/>
                    <w:right w:val="nil"/>
                  </w:tcBorders>
                  <w:vAlign w:val="center"/>
                </w:tcPr>
                <w:p>
                  <w:pPr>
                    <w:adjustRightInd w:val="0"/>
                    <w:snapToGrid w:val="0"/>
                    <w:jc w:val="center"/>
                    <w:rPr>
                      <w:b/>
                      <w:bCs/>
                      <w:color w:val="000000"/>
                      <w:szCs w:val="21"/>
                    </w:rPr>
                  </w:pPr>
                  <w:r>
                    <w:rPr>
                      <w:rFonts w:hint="eastAsia" w:hAnsi="宋体"/>
                      <w:b/>
                      <w:bCs/>
                      <w:color w:val="000000"/>
                      <w:szCs w:val="21"/>
                    </w:rPr>
                    <w:t>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8"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w:t>
                  </w:r>
                </w:p>
              </w:tc>
              <w:tc>
                <w:tcPr>
                  <w:tcW w:w="1344" w:type="pct"/>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砷</w:t>
                  </w:r>
                </w:p>
              </w:tc>
              <w:tc>
                <w:tcPr>
                  <w:tcW w:w="2019" w:type="pct"/>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60</w:t>
                  </w:r>
                </w:p>
              </w:tc>
              <w:tc>
                <w:tcPr>
                  <w:tcW w:w="874" w:type="pct"/>
                  <w:tcBorders>
                    <w:top w:val="single" w:color="auto" w:sz="8"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镉</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65</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3</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六价铬</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5.7</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4</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铜</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18000</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5</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铅</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800</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6</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汞</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38</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7</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镍</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900</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8</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四氯化碳</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2.8</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9</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氯仿</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0.9</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10</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氯甲烷</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37</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11</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zCs w:val="21"/>
                    </w:rPr>
                    <w:t>1</w:t>
                  </w:r>
                  <w:r>
                    <w:rPr>
                      <w:rFonts w:hint="eastAsia" w:hAnsi="宋体"/>
                      <w:bCs/>
                      <w:color w:val="000000"/>
                      <w:szCs w:val="21"/>
                    </w:rPr>
                    <w:t>，</w:t>
                  </w:r>
                  <w:r>
                    <w:rPr>
                      <w:bCs/>
                      <w:color w:val="000000"/>
                      <w:szCs w:val="21"/>
                    </w:rPr>
                    <w:t>1-</w:t>
                  </w:r>
                  <w:r>
                    <w:rPr>
                      <w:rFonts w:hint="eastAsia" w:hAnsi="宋体"/>
                      <w:bCs/>
                      <w:color w:val="000000"/>
                      <w:szCs w:val="21"/>
                    </w:rPr>
                    <w:t>石油烃</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9</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12</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zCs w:val="21"/>
                    </w:rPr>
                    <w:t>1,2-</w:t>
                  </w:r>
                  <w:r>
                    <w:rPr>
                      <w:rFonts w:hint="eastAsia" w:hAnsi="宋体"/>
                      <w:bCs/>
                      <w:color w:val="000000"/>
                      <w:szCs w:val="21"/>
                    </w:rPr>
                    <w:t>石油烃</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5</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13</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zCs w:val="21"/>
                    </w:rPr>
                    <w:t>1,1-</w:t>
                  </w:r>
                  <w:r>
                    <w:rPr>
                      <w:rFonts w:hint="eastAsia" w:hAnsi="宋体"/>
                      <w:bCs/>
                      <w:color w:val="000000"/>
                      <w:szCs w:val="21"/>
                    </w:rPr>
                    <w:t>二氯乙烯</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66</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14</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顺</w:t>
                  </w:r>
                  <w:r>
                    <w:rPr>
                      <w:bCs/>
                      <w:color w:val="000000"/>
                      <w:szCs w:val="21"/>
                    </w:rPr>
                    <w:t>-1,2-</w:t>
                  </w:r>
                  <w:r>
                    <w:rPr>
                      <w:rFonts w:hint="eastAsia" w:hAnsi="宋体"/>
                      <w:bCs/>
                      <w:color w:val="000000"/>
                      <w:szCs w:val="21"/>
                    </w:rPr>
                    <w:t>二氯乙烯</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596</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15</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反</w:t>
                  </w:r>
                  <w:r>
                    <w:rPr>
                      <w:bCs/>
                      <w:color w:val="000000"/>
                      <w:szCs w:val="21"/>
                    </w:rPr>
                    <w:t>-1,2-</w:t>
                  </w:r>
                  <w:r>
                    <w:rPr>
                      <w:rFonts w:hint="eastAsia" w:hAnsi="宋体"/>
                      <w:bCs/>
                      <w:color w:val="000000"/>
                      <w:szCs w:val="21"/>
                    </w:rPr>
                    <w:t>二氯乙烯</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54</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16</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二氯甲烷</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616</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17</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zCs w:val="21"/>
                    </w:rPr>
                    <w:t>1,2-</w:t>
                  </w:r>
                  <w:r>
                    <w:rPr>
                      <w:rFonts w:hint="eastAsia" w:hAnsi="宋体"/>
                      <w:bCs/>
                      <w:color w:val="000000"/>
                      <w:szCs w:val="21"/>
                    </w:rPr>
                    <w:t>二氯丙烷</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5</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18</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zCs w:val="21"/>
                    </w:rPr>
                    <w:t>1,1,1,2-</w:t>
                  </w:r>
                  <w:r>
                    <w:rPr>
                      <w:rFonts w:hint="eastAsia" w:hAnsi="宋体"/>
                      <w:bCs/>
                      <w:color w:val="000000"/>
                      <w:szCs w:val="21"/>
                    </w:rPr>
                    <w:t>四氯乙烷</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10</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19</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zCs w:val="21"/>
                    </w:rPr>
                    <w:t>1,1,2,2-</w:t>
                  </w:r>
                  <w:r>
                    <w:rPr>
                      <w:rFonts w:hint="eastAsia" w:hAnsi="宋体"/>
                      <w:bCs/>
                      <w:color w:val="000000"/>
                      <w:szCs w:val="21"/>
                    </w:rPr>
                    <w:t>四氯乙烷</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6.8</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20</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四氯乙烯</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53</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21</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zCs w:val="21"/>
                    </w:rPr>
                    <w:t>1,1,1-</w:t>
                  </w:r>
                  <w:r>
                    <w:rPr>
                      <w:rFonts w:hint="eastAsia" w:hAnsi="宋体"/>
                      <w:bCs/>
                      <w:color w:val="000000"/>
                      <w:szCs w:val="21"/>
                    </w:rPr>
                    <w:t>三氯乙烷</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840</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22</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zCs w:val="21"/>
                    </w:rPr>
                    <w:t>1,1,2-</w:t>
                  </w:r>
                  <w:r>
                    <w:rPr>
                      <w:rFonts w:hint="eastAsia" w:hAnsi="宋体"/>
                      <w:bCs/>
                      <w:color w:val="000000"/>
                      <w:szCs w:val="21"/>
                    </w:rPr>
                    <w:t>三氯乙烷</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2.8</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23</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三氯乙烯</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2.8</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24</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zCs w:val="21"/>
                    </w:rPr>
                    <w:t>1,2,3</w:t>
                  </w:r>
                  <w:r>
                    <w:rPr>
                      <w:rFonts w:hint="eastAsia" w:hAnsi="宋体"/>
                      <w:bCs/>
                      <w:color w:val="000000"/>
                      <w:szCs w:val="21"/>
                    </w:rPr>
                    <w:t>三氯丙烷</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0.5</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25</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氯乙烯</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p>
                <w:p>
                  <w:pPr>
                    <w:adjustRightInd w:val="0"/>
                    <w:snapToGrid w:val="0"/>
                    <w:jc w:val="center"/>
                    <w:rPr>
                      <w:bCs/>
                      <w:color w:val="000000"/>
                      <w:spacing w:val="-4"/>
                      <w:szCs w:val="21"/>
                    </w:rPr>
                  </w:pPr>
                  <w:r>
                    <w:rPr>
                      <w:bCs/>
                      <w:color w:val="000000"/>
                      <w:spacing w:val="-4"/>
                      <w:szCs w:val="21"/>
                    </w:rPr>
                    <w:t>.43</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26</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苯</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4</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27</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氯苯</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270</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28</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zCs w:val="21"/>
                    </w:rPr>
                    <w:t>1,2-</w:t>
                  </w:r>
                  <w:r>
                    <w:rPr>
                      <w:rFonts w:hint="eastAsia" w:hAnsi="宋体"/>
                      <w:bCs/>
                      <w:color w:val="000000"/>
                      <w:szCs w:val="21"/>
                    </w:rPr>
                    <w:t>二氯苯</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560</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29</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zCs w:val="21"/>
                    </w:rPr>
                    <w:t>1,4-</w:t>
                  </w:r>
                  <w:r>
                    <w:rPr>
                      <w:rFonts w:hint="eastAsia" w:hAnsi="宋体"/>
                      <w:bCs/>
                      <w:color w:val="000000"/>
                      <w:szCs w:val="21"/>
                    </w:rPr>
                    <w:t>二氯苯</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20</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30</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乙苯</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28</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31</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苯乙烯</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1290</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32</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甲苯</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1200</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33</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对间二甲苯</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570</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34</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邻二甲苯</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640</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35</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硝基苯</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76</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36</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苯胺</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260</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37</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zCs w:val="21"/>
                    </w:rPr>
                    <w:t>2-</w:t>
                  </w:r>
                  <w:r>
                    <w:rPr>
                      <w:rFonts w:hint="eastAsia" w:hAnsi="宋体"/>
                      <w:bCs/>
                      <w:color w:val="000000"/>
                      <w:szCs w:val="21"/>
                    </w:rPr>
                    <w:t>氯酚</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2256</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38</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苯并</w:t>
                  </w:r>
                  <w:r>
                    <w:rPr>
                      <w:bCs/>
                      <w:color w:val="000000"/>
                      <w:szCs w:val="21"/>
                    </w:rPr>
                    <w:t>[a]</w:t>
                  </w:r>
                  <w:r>
                    <w:rPr>
                      <w:rFonts w:hint="eastAsia" w:hAnsi="宋体"/>
                      <w:bCs/>
                      <w:color w:val="000000"/>
                      <w:szCs w:val="21"/>
                    </w:rPr>
                    <w:t>蒽</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15</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39</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苯并</w:t>
                  </w:r>
                  <w:r>
                    <w:rPr>
                      <w:bCs/>
                      <w:color w:val="000000"/>
                      <w:szCs w:val="21"/>
                    </w:rPr>
                    <w:t>[a]</w:t>
                  </w:r>
                  <w:r>
                    <w:rPr>
                      <w:rFonts w:hint="eastAsia" w:hAnsi="宋体"/>
                      <w:bCs/>
                      <w:color w:val="000000"/>
                      <w:szCs w:val="21"/>
                    </w:rPr>
                    <w:t>芘</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1.5</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40</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苯并</w:t>
                  </w:r>
                  <w:r>
                    <w:rPr>
                      <w:bCs/>
                      <w:color w:val="000000"/>
                      <w:szCs w:val="21"/>
                    </w:rPr>
                    <w:t>[b]</w:t>
                  </w:r>
                  <w:r>
                    <w:rPr>
                      <w:rFonts w:hint="eastAsia" w:hAnsi="宋体"/>
                      <w:bCs/>
                      <w:color w:val="000000"/>
                      <w:szCs w:val="21"/>
                    </w:rPr>
                    <w:t>荧蒽</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15</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41</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苯并</w:t>
                  </w:r>
                  <w:r>
                    <w:rPr>
                      <w:bCs/>
                      <w:color w:val="000000"/>
                      <w:szCs w:val="21"/>
                    </w:rPr>
                    <w:t>[k]</w:t>
                  </w:r>
                  <w:r>
                    <w:rPr>
                      <w:rFonts w:hint="eastAsia" w:hAnsi="宋体"/>
                      <w:bCs/>
                      <w:color w:val="000000"/>
                      <w:szCs w:val="21"/>
                    </w:rPr>
                    <w:t>荧蒽</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151</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42</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fldChar w:fldCharType="begin"/>
                  </w:r>
                  <w:r>
                    <w:instrText xml:space="preserve"> HYPERLINK "http://www.baidu.com/link?url=u-bPATbp_np8HxL_32tnBQxdWZgz7tf8yHop5iDwjeLGkclw6uqwwlPFd2EPTGzt-TYwmdqqALjMkC6EylzgSpQyNNtlozdSK8esBqxpzr2CdEIC7vx1BbNLRklHCVskOE_S_Q5SfV1oOJqh_EHscyprKpO-HuipXkjTAuKKKVi" \t "https://www.baidu.com/_blank" </w:instrText>
                  </w:r>
                  <w:r>
                    <w:fldChar w:fldCharType="separate"/>
                  </w:r>
                  <w:r>
                    <w:rPr>
                      <w:rStyle w:val="31"/>
                      <w:rFonts w:hint="eastAsia" w:hAnsi="宋体"/>
                      <w:bCs/>
                      <w:color w:val="000000"/>
                      <w:szCs w:val="21"/>
                    </w:rPr>
                    <w:t>䓛</w:t>
                  </w:r>
                  <w:r>
                    <w:rPr>
                      <w:rStyle w:val="31"/>
                      <w:rFonts w:hint="eastAsia" w:hAnsi="宋体"/>
                      <w:bCs/>
                      <w:color w:val="000000"/>
                      <w:szCs w:val="21"/>
                    </w:rPr>
                    <w:fldChar w:fldCharType="end"/>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1293</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43</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二苯</w:t>
                  </w:r>
                  <w:r>
                    <w:rPr>
                      <w:bCs/>
                      <w:color w:val="000000"/>
                      <w:szCs w:val="21"/>
                    </w:rPr>
                    <w:t>[a</w:t>
                  </w:r>
                  <w:r>
                    <w:rPr>
                      <w:rFonts w:hint="eastAsia" w:hAnsi="宋体"/>
                      <w:bCs/>
                      <w:color w:val="000000"/>
                      <w:szCs w:val="21"/>
                    </w:rPr>
                    <w:t>，</w:t>
                  </w:r>
                  <w:r>
                    <w:rPr>
                      <w:bCs/>
                      <w:color w:val="000000"/>
                      <w:szCs w:val="21"/>
                    </w:rPr>
                    <w:t>h]</w:t>
                  </w:r>
                  <w:r>
                    <w:rPr>
                      <w:rFonts w:hint="eastAsia" w:hAnsi="宋体"/>
                      <w:bCs/>
                      <w:color w:val="000000"/>
                      <w:szCs w:val="21"/>
                    </w:rPr>
                    <w:t>并蒽</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1.5</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44</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茚并</w:t>
                  </w:r>
                  <w:r>
                    <w:rPr>
                      <w:bCs/>
                      <w:color w:val="000000"/>
                      <w:szCs w:val="21"/>
                    </w:rPr>
                    <w:t>[1,2,3-cd]</w:t>
                  </w:r>
                  <w:r>
                    <w:rPr>
                      <w:rFonts w:hint="eastAsia" w:hAnsi="宋体"/>
                      <w:bCs/>
                      <w:color w:val="000000"/>
                      <w:szCs w:val="21"/>
                    </w:rPr>
                    <w:t>芘</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15</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45</w:t>
                  </w:r>
                </w:p>
              </w:tc>
              <w:tc>
                <w:tcPr>
                  <w:tcW w:w="13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rFonts w:hint="eastAsia" w:hAnsi="宋体"/>
                      <w:bCs/>
                      <w:color w:val="000000"/>
                      <w:szCs w:val="21"/>
                    </w:rPr>
                    <w:t>萘</w:t>
                  </w:r>
                </w:p>
              </w:tc>
              <w:tc>
                <w:tcPr>
                  <w:tcW w:w="2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70</w:t>
                  </w:r>
                </w:p>
              </w:tc>
              <w:tc>
                <w:tcPr>
                  <w:tcW w:w="874"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000000"/>
                      <w:spacing w:val="-4"/>
                      <w:szCs w:val="21"/>
                    </w:rPr>
                  </w:pPr>
                  <w:r>
                    <w:rPr>
                      <w:bCs/>
                      <w:color w:val="000000"/>
                      <w:szCs w:val="21"/>
                    </w:rPr>
                    <w:t>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pct"/>
                  <w:tcBorders>
                    <w:top w:val="single" w:color="auto" w:sz="4" w:space="0"/>
                    <w:left w:val="nil"/>
                    <w:bottom w:val="single" w:color="auto" w:sz="8"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46</w:t>
                  </w:r>
                </w:p>
              </w:tc>
              <w:tc>
                <w:tcPr>
                  <w:tcW w:w="1344" w:type="pct"/>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bCs/>
                      <w:color w:val="000000"/>
                      <w:szCs w:val="21"/>
                    </w:rPr>
                  </w:pPr>
                  <w:r>
                    <w:rPr>
                      <w:rFonts w:hint="eastAsia" w:hAnsi="宋体"/>
                      <w:szCs w:val="21"/>
                    </w:rPr>
                    <w:t>石油烃（</w:t>
                  </w:r>
                  <w:r>
                    <w:rPr>
                      <w:szCs w:val="21"/>
                    </w:rPr>
                    <w:t>C</w:t>
                  </w:r>
                  <w:r>
                    <w:rPr>
                      <w:szCs w:val="21"/>
                      <w:vertAlign w:val="subscript"/>
                    </w:rPr>
                    <w:t>10</w:t>
                  </w:r>
                  <w:r>
                    <w:rPr>
                      <w:szCs w:val="21"/>
                    </w:rPr>
                    <w:t>-C</w:t>
                  </w:r>
                  <w:r>
                    <w:rPr>
                      <w:szCs w:val="21"/>
                      <w:vertAlign w:val="subscript"/>
                    </w:rPr>
                    <w:t>40</w:t>
                  </w:r>
                  <w:r>
                    <w:rPr>
                      <w:rFonts w:hint="eastAsia" w:hAnsi="宋体"/>
                      <w:szCs w:val="21"/>
                    </w:rPr>
                    <w:t>）</w:t>
                  </w:r>
                </w:p>
              </w:tc>
              <w:tc>
                <w:tcPr>
                  <w:tcW w:w="2019" w:type="pct"/>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bCs/>
                      <w:color w:val="000000"/>
                      <w:spacing w:val="-4"/>
                      <w:szCs w:val="21"/>
                    </w:rPr>
                  </w:pPr>
                  <w:r>
                    <w:rPr>
                      <w:bCs/>
                      <w:color w:val="000000"/>
                      <w:spacing w:val="-4"/>
                      <w:szCs w:val="21"/>
                    </w:rPr>
                    <w:t>4500</w:t>
                  </w:r>
                </w:p>
              </w:tc>
              <w:tc>
                <w:tcPr>
                  <w:tcW w:w="874" w:type="pct"/>
                  <w:tcBorders>
                    <w:top w:val="single" w:color="auto" w:sz="4" w:space="0"/>
                    <w:left w:val="single" w:color="auto" w:sz="4" w:space="0"/>
                    <w:bottom w:val="single" w:color="auto" w:sz="8" w:space="0"/>
                    <w:right w:val="nil"/>
                  </w:tcBorders>
                  <w:vAlign w:val="center"/>
                </w:tcPr>
                <w:p>
                  <w:pPr>
                    <w:adjustRightInd w:val="0"/>
                    <w:snapToGrid w:val="0"/>
                    <w:jc w:val="center"/>
                    <w:rPr>
                      <w:bCs/>
                      <w:color w:val="000000"/>
                      <w:szCs w:val="21"/>
                    </w:rPr>
                  </w:pPr>
                  <w:r>
                    <w:rPr>
                      <w:bCs/>
                      <w:color w:val="000000"/>
                      <w:szCs w:val="21"/>
                    </w:rPr>
                    <w:t>mg/kg</w:t>
                  </w:r>
                </w:p>
              </w:tc>
            </w:tr>
          </w:tbl>
          <w:p>
            <w:pPr>
              <w:tabs>
                <w:tab w:val="left" w:pos="1760"/>
              </w:tabs>
              <w:jc w:val="left"/>
              <w:rPr>
                <w:color w:val="000000"/>
                <w:sz w:val="24"/>
              </w:rPr>
            </w:pPr>
          </w:p>
          <w:p>
            <w:pPr>
              <w:pStyle w:val="2"/>
            </w:pPr>
          </w:p>
          <w:p/>
          <w:p>
            <w:pPr>
              <w:pStyle w:val="2"/>
            </w:pPr>
          </w:p>
          <w:p/>
          <w:p>
            <w:pPr>
              <w:pStyle w:val="2"/>
            </w:pPr>
          </w:p>
          <w:p/>
          <w:p>
            <w:pPr>
              <w:pStyle w:val="2"/>
            </w:pPr>
          </w:p>
          <w:p/>
          <w:p>
            <w:pPr>
              <w:pStyle w:val="2"/>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6" w:hRule="atLeast"/>
          <w:jc w:val="center"/>
        </w:trPr>
        <w:tc>
          <w:tcPr>
            <w:tcW w:w="0" w:type="auto"/>
            <w:vAlign w:val="center"/>
          </w:tcPr>
          <w:p>
            <w:pPr>
              <w:snapToGrid w:val="0"/>
              <w:jc w:val="center"/>
              <w:rPr>
                <w:sz w:val="24"/>
              </w:rPr>
            </w:pPr>
            <w:r>
              <w:rPr>
                <w:sz w:val="24"/>
              </w:rPr>
              <w:t>污</w:t>
            </w:r>
          </w:p>
          <w:p>
            <w:pPr>
              <w:snapToGrid w:val="0"/>
              <w:jc w:val="center"/>
              <w:rPr>
                <w:sz w:val="24"/>
              </w:rPr>
            </w:pPr>
            <w:r>
              <w:rPr>
                <w:sz w:val="24"/>
              </w:rPr>
              <w:t>染</w:t>
            </w:r>
          </w:p>
          <w:p>
            <w:pPr>
              <w:snapToGrid w:val="0"/>
              <w:jc w:val="center"/>
              <w:rPr>
                <w:sz w:val="24"/>
              </w:rPr>
            </w:pPr>
            <w:r>
              <w:rPr>
                <w:sz w:val="24"/>
              </w:rPr>
              <w:t>物</w:t>
            </w:r>
          </w:p>
          <w:p>
            <w:pPr>
              <w:snapToGrid w:val="0"/>
              <w:jc w:val="center"/>
              <w:rPr>
                <w:sz w:val="24"/>
              </w:rPr>
            </w:pPr>
            <w:r>
              <w:rPr>
                <w:sz w:val="24"/>
              </w:rPr>
              <w:t>排</w:t>
            </w:r>
          </w:p>
          <w:p>
            <w:pPr>
              <w:snapToGrid w:val="0"/>
              <w:jc w:val="center"/>
              <w:rPr>
                <w:sz w:val="24"/>
              </w:rPr>
            </w:pPr>
            <w:r>
              <w:rPr>
                <w:sz w:val="24"/>
              </w:rPr>
              <w:t>放</w:t>
            </w:r>
          </w:p>
          <w:p>
            <w:pPr>
              <w:snapToGrid w:val="0"/>
              <w:jc w:val="center"/>
              <w:rPr>
                <w:sz w:val="24"/>
              </w:rPr>
            </w:pPr>
            <w:r>
              <w:rPr>
                <w:sz w:val="24"/>
              </w:rPr>
              <w:t>标</w:t>
            </w:r>
          </w:p>
          <w:p>
            <w:pPr>
              <w:snapToGrid w:val="0"/>
              <w:jc w:val="center"/>
              <w:rPr>
                <w:sz w:val="28"/>
              </w:rPr>
            </w:pPr>
            <w:r>
              <w:rPr>
                <w:sz w:val="24"/>
              </w:rPr>
              <w:t>准</w:t>
            </w:r>
          </w:p>
        </w:tc>
        <w:tc>
          <w:tcPr>
            <w:tcW w:w="0" w:type="auto"/>
          </w:tcPr>
          <w:p>
            <w:pPr>
              <w:adjustRightInd w:val="0"/>
              <w:snapToGrid w:val="0"/>
              <w:spacing w:line="500" w:lineRule="exact"/>
              <w:rPr>
                <w:b/>
                <w:bCs/>
                <w:sz w:val="24"/>
              </w:rPr>
            </w:pPr>
            <w:r>
              <w:rPr>
                <w:b/>
                <w:bCs/>
                <w:sz w:val="24"/>
              </w:rPr>
              <w:t>1</w:t>
            </w:r>
            <w:r>
              <w:rPr>
                <w:rFonts w:hint="eastAsia"/>
                <w:b/>
                <w:bCs/>
                <w:sz w:val="24"/>
              </w:rPr>
              <w:t>.</w:t>
            </w:r>
            <w:r>
              <w:rPr>
                <w:b/>
                <w:bCs/>
                <w:sz w:val="24"/>
              </w:rPr>
              <w:t>废气</w:t>
            </w:r>
          </w:p>
          <w:p>
            <w:pPr>
              <w:adjustRightInd w:val="0"/>
              <w:snapToGrid w:val="0"/>
              <w:spacing w:line="500" w:lineRule="exact"/>
              <w:ind w:firstLine="480" w:firstLineChars="200"/>
              <w:rPr>
                <w:rFonts w:hAnsi="宋体"/>
                <w:sz w:val="24"/>
              </w:rPr>
            </w:pPr>
            <w:r>
              <w:rPr>
                <w:rFonts w:hint="eastAsia" w:hAnsi="宋体"/>
                <w:sz w:val="24"/>
              </w:rPr>
              <w:t>废气排放浓度和排放速率执行《大气污染物综合排放标准》（GB16297-1996）表2二级标准，具体标准值见下表28。</w:t>
            </w:r>
          </w:p>
          <w:p>
            <w:pPr>
              <w:autoSpaceDE w:val="0"/>
              <w:autoSpaceDN w:val="0"/>
              <w:adjustRightInd w:val="0"/>
              <w:snapToGrid w:val="0"/>
              <w:spacing w:line="500" w:lineRule="exact"/>
              <w:ind w:firstLine="420"/>
              <w:rPr>
                <w:rFonts w:hAnsi="宋体"/>
                <w:b/>
                <w:sz w:val="24"/>
              </w:rPr>
            </w:pPr>
            <w:r>
              <w:rPr>
                <w:rFonts w:hint="eastAsia" w:hAnsi="宋体"/>
                <w:b/>
                <w:sz w:val="24"/>
              </w:rPr>
              <w:t>表28               大气污染物排放标准</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019"/>
              <w:gridCol w:w="2475"/>
              <w:gridCol w:w="1356"/>
              <w:gridCol w:w="401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575" w:type="pct"/>
                  <w:tcBorders>
                    <w:bottom w:val="single" w:color="auto" w:sz="8" w:space="0"/>
                  </w:tcBorders>
                  <w:vAlign w:val="center"/>
                </w:tcPr>
                <w:p>
                  <w:pPr>
                    <w:jc w:val="center"/>
                    <w:rPr>
                      <w:b/>
                      <w:bCs/>
                      <w:szCs w:val="21"/>
                    </w:rPr>
                  </w:pPr>
                  <w:r>
                    <w:rPr>
                      <w:rFonts w:hAnsi="宋体"/>
                      <w:b/>
                      <w:bCs/>
                      <w:szCs w:val="21"/>
                    </w:rPr>
                    <w:t>污染类别</w:t>
                  </w:r>
                </w:p>
              </w:tc>
              <w:tc>
                <w:tcPr>
                  <w:tcW w:w="1396" w:type="pct"/>
                  <w:tcBorders>
                    <w:bottom w:val="single" w:color="auto" w:sz="8" w:space="0"/>
                  </w:tcBorders>
                  <w:vAlign w:val="center"/>
                </w:tcPr>
                <w:p>
                  <w:pPr>
                    <w:jc w:val="center"/>
                    <w:rPr>
                      <w:b/>
                      <w:bCs/>
                      <w:szCs w:val="21"/>
                    </w:rPr>
                  </w:pPr>
                  <w:r>
                    <w:rPr>
                      <w:rFonts w:hAnsi="宋体"/>
                      <w:b/>
                      <w:bCs/>
                      <w:szCs w:val="21"/>
                    </w:rPr>
                    <w:t>标准名称及级（类）别</w:t>
                  </w:r>
                </w:p>
              </w:tc>
              <w:tc>
                <w:tcPr>
                  <w:tcW w:w="765" w:type="pct"/>
                  <w:tcBorders>
                    <w:bottom w:val="single" w:color="auto" w:sz="8" w:space="0"/>
                  </w:tcBorders>
                  <w:vAlign w:val="center"/>
                </w:tcPr>
                <w:p>
                  <w:pPr>
                    <w:jc w:val="center"/>
                    <w:rPr>
                      <w:b/>
                      <w:bCs/>
                      <w:szCs w:val="21"/>
                    </w:rPr>
                  </w:pPr>
                  <w:r>
                    <w:rPr>
                      <w:rFonts w:hAnsi="宋体"/>
                      <w:b/>
                      <w:bCs/>
                      <w:szCs w:val="21"/>
                    </w:rPr>
                    <w:t>污染因子</w:t>
                  </w:r>
                </w:p>
              </w:tc>
              <w:tc>
                <w:tcPr>
                  <w:tcW w:w="2264" w:type="pct"/>
                  <w:tcBorders>
                    <w:bottom w:val="single" w:color="auto" w:sz="8" w:space="0"/>
                  </w:tcBorders>
                  <w:vAlign w:val="center"/>
                </w:tcPr>
                <w:p>
                  <w:pPr>
                    <w:jc w:val="center"/>
                    <w:rPr>
                      <w:b/>
                      <w:bCs/>
                      <w:szCs w:val="21"/>
                    </w:rPr>
                  </w:pPr>
                  <w:r>
                    <w:rPr>
                      <w:rFonts w:hAnsi="宋体"/>
                      <w:b/>
                      <w:bCs/>
                      <w:szCs w:val="21"/>
                    </w:rPr>
                    <w:t>标准限值</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trPr>
              <w:tc>
                <w:tcPr>
                  <w:tcW w:w="575" w:type="pct"/>
                  <w:tcBorders>
                    <w:top w:val="single" w:color="auto" w:sz="8" w:space="0"/>
                  </w:tcBorders>
                  <w:vAlign w:val="center"/>
                </w:tcPr>
                <w:p>
                  <w:pPr>
                    <w:jc w:val="center"/>
                    <w:rPr>
                      <w:szCs w:val="21"/>
                    </w:rPr>
                  </w:pPr>
                  <w:r>
                    <w:rPr>
                      <w:rFonts w:hAnsi="宋体"/>
                      <w:szCs w:val="21"/>
                    </w:rPr>
                    <w:t>废气</w:t>
                  </w:r>
                </w:p>
              </w:tc>
              <w:tc>
                <w:tcPr>
                  <w:tcW w:w="1396" w:type="pct"/>
                  <w:tcBorders>
                    <w:top w:val="single" w:color="auto" w:sz="8" w:space="0"/>
                  </w:tcBorders>
                  <w:vAlign w:val="center"/>
                </w:tcPr>
                <w:p>
                  <w:pPr>
                    <w:jc w:val="center"/>
                    <w:rPr>
                      <w:szCs w:val="21"/>
                    </w:rPr>
                  </w:pPr>
                  <w:r>
                    <w:rPr>
                      <w:rFonts w:hAnsi="宋体"/>
                      <w:szCs w:val="21"/>
                    </w:rPr>
                    <w:t>《大气污染物综合排放标准》（</w:t>
                  </w:r>
                  <w:r>
                    <w:rPr>
                      <w:szCs w:val="21"/>
                    </w:rPr>
                    <w:t>GB16297-1996</w:t>
                  </w:r>
                  <w:r>
                    <w:rPr>
                      <w:rFonts w:hAnsi="宋体"/>
                      <w:szCs w:val="21"/>
                    </w:rPr>
                    <w:t>）表</w:t>
                  </w:r>
                  <w:r>
                    <w:rPr>
                      <w:szCs w:val="21"/>
                    </w:rPr>
                    <w:t>2</w:t>
                  </w:r>
                  <w:r>
                    <w:rPr>
                      <w:rFonts w:hAnsi="宋体"/>
                      <w:szCs w:val="21"/>
                    </w:rPr>
                    <w:t>二级标准</w:t>
                  </w:r>
                </w:p>
              </w:tc>
              <w:tc>
                <w:tcPr>
                  <w:tcW w:w="765" w:type="pct"/>
                  <w:tcBorders>
                    <w:top w:val="single" w:color="auto" w:sz="8" w:space="0"/>
                    <w:bottom w:val="single" w:color="auto" w:sz="4" w:space="0"/>
                  </w:tcBorders>
                  <w:vAlign w:val="center"/>
                </w:tcPr>
                <w:p>
                  <w:pPr>
                    <w:snapToGrid w:val="0"/>
                    <w:jc w:val="center"/>
                    <w:rPr>
                      <w:szCs w:val="21"/>
                    </w:rPr>
                  </w:pPr>
                  <w:r>
                    <w:rPr>
                      <w:rFonts w:hAnsi="宋体"/>
                      <w:szCs w:val="21"/>
                    </w:rPr>
                    <w:t>颗粒物</w:t>
                  </w:r>
                </w:p>
              </w:tc>
              <w:tc>
                <w:tcPr>
                  <w:tcW w:w="2264" w:type="pct"/>
                  <w:tcBorders>
                    <w:top w:val="single" w:color="auto" w:sz="8" w:space="0"/>
                    <w:bottom w:val="single" w:color="auto" w:sz="4" w:space="0"/>
                  </w:tcBorders>
                  <w:vAlign w:val="center"/>
                </w:tcPr>
                <w:p>
                  <w:pPr>
                    <w:ind w:left="105" w:hanging="105" w:hangingChars="50"/>
                    <w:jc w:val="left"/>
                    <w:rPr>
                      <w:szCs w:val="21"/>
                    </w:rPr>
                  </w:pPr>
                  <w:r>
                    <w:rPr>
                      <w:rFonts w:hAnsi="宋体"/>
                      <w:szCs w:val="21"/>
                    </w:rPr>
                    <w:t>有组织：浓度</w:t>
                  </w:r>
                  <w:r>
                    <w:rPr>
                      <w:szCs w:val="21"/>
                    </w:rPr>
                    <w:t>120mg/m</w:t>
                  </w:r>
                  <w:r>
                    <w:rPr>
                      <w:szCs w:val="21"/>
                      <w:vertAlign w:val="superscript"/>
                    </w:rPr>
                    <w:t>3</w:t>
                  </w:r>
                  <w:r>
                    <w:rPr>
                      <w:rFonts w:hAnsi="宋体"/>
                      <w:szCs w:val="21"/>
                    </w:rPr>
                    <w:t>；速率</w:t>
                  </w:r>
                  <w:r>
                    <w:rPr>
                      <w:szCs w:val="21"/>
                    </w:rPr>
                    <w:t>3.5kg/h</w:t>
                  </w:r>
                </w:p>
                <w:p>
                  <w:pPr>
                    <w:jc w:val="left"/>
                    <w:rPr>
                      <w:szCs w:val="21"/>
                    </w:rPr>
                  </w:pPr>
                  <w:r>
                    <w:rPr>
                      <w:rFonts w:hAnsi="宋体"/>
                      <w:szCs w:val="21"/>
                    </w:rPr>
                    <w:t>无组织：厂界处浓度</w:t>
                  </w:r>
                  <w:r>
                    <w:rPr>
                      <w:szCs w:val="21"/>
                    </w:rPr>
                    <w:t>1.0mg/m</w:t>
                  </w:r>
                  <w:r>
                    <w:rPr>
                      <w:szCs w:val="21"/>
                      <w:vertAlign w:val="superscript"/>
                    </w:rPr>
                    <w:t>3</w:t>
                  </w:r>
                </w:p>
              </w:tc>
            </w:tr>
          </w:tbl>
          <w:p>
            <w:pPr>
              <w:adjustRightInd w:val="0"/>
              <w:snapToGrid w:val="0"/>
              <w:spacing w:line="500" w:lineRule="exact"/>
              <w:ind w:firstLine="480" w:firstLineChars="200"/>
              <w:rPr>
                <w:rFonts w:hAnsi="宋体"/>
                <w:sz w:val="24"/>
              </w:rPr>
            </w:pPr>
            <w:r>
              <w:rPr>
                <w:rFonts w:hint="eastAsia" w:hAnsi="宋体"/>
                <w:sz w:val="24"/>
              </w:rPr>
              <w:t>《新乡市生态环境局关于进一步规范工业企业颗粒物排放限值的通知》（2020年7月31日）中其他所有涉气工业企业排放口颗粒物排放浓度不高于10mg/m</w:t>
            </w:r>
            <w:r>
              <w:rPr>
                <w:rFonts w:hint="eastAsia" w:hAnsi="宋体"/>
                <w:sz w:val="24"/>
                <w:vertAlign w:val="superscript"/>
              </w:rPr>
              <w:t>3</w:t>
            </w:r>
            <w:r>
              <w:rPr>
                <w:rFonts w:hint="eastAsia" w:hAnsi="宋体"/>
                <w:sz w:val="24"/>
              </w:rPr>
              <w:t>，厂界颗粒物排放浓度不高于0.5 mg/m</w:t>
            </w:r>
            <w:r>
              <w:rPr>
                <w:rFonts w:hint="eastAsia" w:hAnsi="宋体"/>
                <w:sz w:val="24"/>
                <w:vertAlign w:val="superscript"/>
              </w:rPr>
              <w:t>3</w:t>
            </w:r>
            <w:r>
              <w:rPr>
                <w:rFonts w:hint="eastAsia" w:hAnsi="宋体"/>
                <w:sz w:val="24"/>
              </w:rPr>
              <w:t>。</w:t>
            </w:r>
          </w:p>
          <w:p>
            <w:pPr>
              <w:adjustRightInd w:val="0"/>
              <w:snapToGrid w:val="0"/>
              <w:spacing w:line="500" w:lineRule="exact"/>
              <w:rPr>
                <w:b/>
                <w:bCs/>
                <w:sz w:val="24"/>
              </w:rPr>
            </w:pPr>
            <w:r>
              <w:rPr>
                <w:b/>
                <w:bCs/>
                <w:sz w:val="24"/>
              </w:rPr>
              <w:t>2</w:t>
            </w:r>
            <w:r>
              <w:rPr>
                <w:rFonts w:hint="eastAsia"/>
                <w:b/>
                <w:bCs/>
                <w:sz w:val="24"/>
              </w:rPr>
              <w:t>.</w:t>
            </w:r>
            <w:r>
              <w:rPr>
                <w:b/>
                <w:bCs/>
                <w:sz w:val="24"/>
              </w:rPr>
              <w:t xml:space="preserve"> </w:t>
            </w:r>
            <w:r>
              <w:rPr>
                <w:rFonts w:hAnsi="宋体"/>
                <w:b/>
                <w:bCs/>
                <w:sz w:val="24"/>
              </w:rPr>
              <w:t>噪声</w:t>
            </w:r>
          </w:p>
          <w:p>
            <w:pPr>
              <w:adjustRightInd w:val="0"/>
              <w:snapToGrid w:val="0"/>
              <w:spacing w:line="500" w:lineRule="exact"/>
              <w:ind w:firstLine="480" w:firstLineChars="200"/>
              <w:rPr>
                <w:sz w:val="24"/>
              </w:rPr>
            </w:pPr>
            <w:r>
              <w:rPr>
                <w:rFonts w:hAnsi="宋体"/>
                <w:sz w:val="24"/>
              </w:rPr>
              <w:t>运营期噪声排放标准执行《</w:t>
            </w:r>
            <w:r>
              <w:fldChar w:fldCharType="begin"/>
            </w:r>
            <w:r>
              <w:instrText xml:space="preserve"> HYPERLINK "http://www.mep.gov.cn/info/bgw/bgg/200809/W020080918372397572656.pdf" \t "_self" </w:instrText>
            </w:r>
            <w:r>
              <w:fldChar w:fldCharType="separate"/>
            </w:r>
            <w:r>
              <w:rPr>
                <w:rFonts w:hAnsi="宋体"/>
                <w:sz w:val="24"/>
              </w:rPr>
              <w:t>工业企业厂界环境噪声排放标准</w:t>
            </w:r>
            <w:r>
              <w:rPr>
                <w:rFonts w:hAnsi="宋体"/>
                <w:sz w:val="24"/>
              </w:rPr>
              <w:fldChar w:fldCharType="end"/>
            </w:r>
            <w:r>
              <w:rPr>
                <w:rFonts w:hAnsi="宋体"/>
                <w:sz w:val="24"/>
              </w:rPr>
              <w:t>》（</w:t>
            </w:r>
            <w:r>
              <w:rPr>
                <w:sz w:val="24"/>
              </w:rPr>
              <w:t>GB12348-2008</w:t>
            </w:r>
            <w:r>
              <w:rPr>
                <w:rFonts w:hAnsi="宋体"/>
                <w:sz w:val="24"/>
              </w:rPr>
              <w:t>）</w:t>
            </w:r>
            <w:r>
              <w:rPr>
                <w:sz w:val="24"/>
              </w:rPr>
              <w:t>2</w:t>
            </w:r>
            <w:r>
              <w:rPr>
                <w:rFonts w:hAnsi="宋体"/>
                <w:sz w:val="24"/>
              </w:rPr>
              <w:t>类标准，具体标准值见表</w:t>
            </w:r>
            <w:r>
              <w:rPr>
                <w:rFonts w:hint="eastAsia"/>
                <w:sz w:val="24"/>
              </w:rPr>
              <w:t>29</w:t>
            </w:r>
            <w:r>
              <w:rPr>
                <w:rFonts w:hint="eastAsia" w:hAnsi="宋体"/>
                <w:sz w:val="24"/>
              </w:rPr>
              <w:t>。</w:t>
            </w:r>
          </w:p>
          <w:p>
            <w:pPr>
              <w:autoSpaceDE w:val="0"/>
              <w:autoSpaceDN w:val="0"/>
              <w:adjustRightInd w:val="0"/>
              <w:snapToGrid w:val="0"/>
              <w:spacing w:line="400" w:lineRule="exact"/>
              <w:ind w:left="420"/>
              <w:rPr>
                <w:rFonts w:hAnsi="宋体"/>
                <w:b/>
                <w:sz w:val="24"/>
              </w:rPr>
            </w:pPr>
            <w:r>
              <w:rPr>
                <w:rFonts w:hAnsi="宋体"/>
                <w:b/>
                <w:sz w:val="24"/>
              </w:rPr>
              <w:t>表</w:t>
            </w:r>
            <w:r>
              <w:rPr>
                <w:rFonts w:hint="eastAsia" w:hAnsi="宋体"/>
                <w:b/>
                <w:sz w:val="24"/>
              </w:rPr>
              <w:t xml:space="preserve">29  </w:t>
            </w:r>
            <w:r>
              <w:rPr>
                <w:rFonts w:hAnsi="宋体"/>
                <w:b/>
                <w:sz w:val="24"/>
              </w:rPr>
              <w:t>《</w:t>
            </w:r>
            <w:r>
              <w:fldChar w:fldCharType="begin"/>
            </w:r>
            <w:r>
              <w:instrText xml:space="preserve"> HYPERLINK "http://www.mep.gov.cn/info/bgw/bgg/200809/W020080918372397572656.pdf" \t "_self" </w:instrText>
            </w:r>
            <w:r>
              <w:fldChar w:fldCharType="separate"/>
            </w:r>
            <w:r>
              <w:rPr>
                <w:rFonts w:hAnsi="宋体"/>
                <w:b/>
                <w:sz w:val="24"/>
              </w:rPr>
              <w:t>工业企业厂界环境噪声排放标准</w:t>
            </w:r>
            <w:r>
              <w:rPr>
                <w:rFonts w:hAnsi="宋体"/>
                <w:b/>
                <w:sz w:val="24"/>
              </w:rPr>
              <w:fldChar w:fldCharType="end"/>
            </w:r>
            <w:r>
              <w:rPr>
                <w:rFonts w:hAnsi="宋体"/>
                <w:b/>
                <w:sz w:val="24"/>
              </w:rPr>
              <w:t>》（GB12348-2008）（2类标准）</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3103"/>
              <w:gridCol w:w="26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1751" w:type="pct"/>
                  <w:vAlign w:val="center"/>
                </w:tcPr>
                <w:p>
                  <w:pPr>
                    <w:adjustRightInd w:val="0"/>
                    <w:snapToGrid w:val="0"/>
                    <w:jc w:val="center"/>
                    <w:rPr>
                      <w:b/>
                      <w:szCs w:val="21"/>
                    </w:rPr>
                  </w:pPr>
                  <w:r>
                    <w:rPr>
                      <w:b/>
                      <w:szCs w:val="21"/>
                    </w:rPr>
                    <w:t>类别</w:t>
                  </w:r>
                </w:p>
              </w:tc>
              <w:tc>
                <w:tcPr>
                  <w:tcW w:w="1750" w:type="pct"/>
                  <w:vAlign w:val="center"/>
                </w:tcPr>
                <w:p>
                  <w:pPr>
                    <w:adjustRightInd w:val="0"/>
                    <w:snapToGrid w:val="0"/>
                    <w:jc w:val="center"/>
                    <w:rPr>
                      <w:b/>
                      <w:szCs w:val="21"/>
                    </w:rPr>
                  </w:pPr>
                  <w:r>
                    <w:rPr>
                      <w:b/>
                      <w:szCs w:val="21"/>
                    </w:rPr>
                    <w:t>昼间dB（A）</w:t>
                  </w:r>
                </w:p>
              </w:tc>
              <w:tc>
                <w:tcPr>
                  <w:tcW w:w="1498" w:type="pct"/>
                  <w:vAlign w:val="center"/>
                </w:tcPr>
                <w:p>
                  <w:pPr>
                    <w:adjustRightInd w:val="0"/>
                    <w:snapToGrid w:val="0"/>
                    <w:jc w:val="center"/>
                    <w:rPr>
                      <w:b/>
                      <w:szCs w:val="21"/>
                    </w:rPr>
                  </w:pPr>
                  <w:r>
                    <w:rPr>
                      <w:b/>
                      <w:szCs w:val="21"/>
                    </w:rPr>
                    <w:t>夜间dB（A）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1751" w:type="pct"/>
                  <w:vAlign w:val="center"/>
                </w:tcPr>
                <w:p>
                  <w:pPr>
                    <w:adjustRightInd w:val="0"/>
                    <w:snapToGrid w:val="0"/>
                    <w:jc w:val="center"/>
                    <w:rPr>
                      <w:szCs w:val="21"/>
                    </w:rPr>
                  </w:pPr>
                  <w:r>
                    <w:rPr>
                      <w:szCs w:val="21"/>
                    </w:rPr>
                    <w:t>2</w:t>
                  </w:r>
                </w:p>
              </w:tc>
              <w:tc>
                <w:tcPr>
                  <w:tcW w:w="1750" w:type="pct"/>
                  <w:vAlign w:val="center"/>
                </w:tcPr>
                <w:p>
                  <w:pPr>
                    <w:adjustRightInd w:val="0"/>
                    <w:snapToGrid w:val="0"/>
                    <w:jc w:val="center"/>
                    <w:rPr>
                      <w:szCs w:val="21"/>
                    </w:rPr>
                  </w:pPr>
                  <w:r>
                    <w:rPr>
                      <w:szCs w:val="21"/>
                    </w:rPr>
                    <w:t>60</w:t>
                  </w:r>
                </w:p>
              </w:tc>
              <w:tc>
                <w:tcPr>
                  <w:tcW w:w="1498" w:type="pct"/>
                  <w:vAlign w:val="center"/>
                </w:tcPr>
                <w:p>
                  <w:pPr>
                    <w:adjustRightInd w:val="0"/>
                    <w:snapToGrid w:val="0"/>
                    <w:jc w:val="center"/>
                    <w:rPr>
                      <w:szCs w:val="21"/>
                    </w:rPr>
                  </w:pPr>
                  <w:r>
                    <w:rPr>
                      <w:szCs w:val="21"/>
                    </w:rPr>
                    <w:t>50</w:t>
                  </w:r>
                </w:p>
              </w:tc>
            </w:tr>
          </w:tbl>
          <w:p>
            <w:pPr>
              <w:adjustRightInd w:val="0"/>
              <w:snapToGrid w:val="0"/>
              <w:spacing w:line="500" w:lineRule="exact"/>
              <w:rPr>
                <w:b/>
                <w:bCs/>
                <w:sz w:val="24"/>
              </w:rPr>
            </w:pPr>
            <w:r>
              <w:rPr>
                <w:rFonts w:hint="eastAsia"/>
                <w:b/>
                <w:bCs/>
                <w:sz w:val="24"/>
              </w:rPr>
              <w:t>3.</w:t>
            </w:r>
            <w:r>
              <w:rPr>
                <w:b/>
                <w:bCs/>
                <w:sz w:val="24"/>
              </w:rPr>
              <w:t>固体废物</w:t>
            </w:r>
          </w:p>
          <w:p>
            <w:pPr>
              <w:adjustRightInd w:val="0"/>
              <w:snapToGrid w:val="0"/>
              <w:spacing w:line="500" w:lineRule="exact"/>
              <w:ind w:firstLine="480" w:firstLineChars="200"/>
              <w:rPr>
                <w:rFonts w:hAnsi="宋体"/>
                <w:sz w:val="24"/>
              </w:rPr>
            </w:pPr>
            <w:r>
              <w:rPr>
                <w:rFonts w:hint="eastAsia" w:hAnsi="宋体"/>
                <w:sz w:val="24"/>
              </w:rPr>
              <w:t>一般固废贮存、处置执行《一般工业固体废物贮存、处置场污染控制标准》（GB18599-2001）及2013 年修改单中的有关规定；危险固废贮存、处置执行《危险废物贮存污染控制标准》（GB18597-2001）及2013 年修改单中的有关规定。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0" w:type="auto"/>
            <w:tcBorders>
              <w:bottom w:val="single" w:color="auto" w:sz="8" w:space="0"/>
            </w:tcBorders>
            <w:vAlign w:val="center"/>
          </w:tcPr>
          <w:p>
            <w:pPr>
              <w:snapToGrid w:val="0"/>
              <w:jc w:val="center"/>
              <w:rPr>
                <w:sz w:val="24"/>
              </w:rPr>
            </w:pPr>
            <w:r>
              <w:rPr>
                <w:sz w:val="24"/>
              </w:rPr>
              <w:t>总</w:t>
            </w:r>
          </w:p>
          <w:p>
            <w:pPr>
              <w:snapToGrid w:val="0"/>
              <w:jc w:val="center"/>
              <w:rPr>
                <w:sz w:val="24"/>
              </w:rPr>
            </w:pPr>
            <w:r>
              <w:rPr>
                <w:sz w:val="24"/>
              </w:rPr>
              <w:t>量</w:t>
            </w:r>
          </w:p>
          <w:p>
            <w:pPr>
              <w:snapToGrid w:val="0"/>
              <w:jc w:val="center"/>
              <w:rPr>
                <w:sz w:val="24"/>
              </w:rPr>
            </w:pPr>
            <w:r>
              <w:rPr>
                <w:sz w:val="24"/>
              </w:rPr>
              <w:t>控</w:t>
            </w:r>
          </w:p>
          <w:p>
            <w:pPr>
              <w:snapToGrid w:val="0"/>
              <w:jc w:val="center"/>
              <w:rPr>
                <w:sz w:val="24"/>
              </w:rPr>
            </w:pPr>
            <w:r>
              <w:rPr>
                <w:sz w:val="24"/>
              </w:rPr>
              <w:t>制</w:t>
            </w:r>
          </w:p>
          <w:p>
            <w:pPr>
              <w:snapToGrid w:val="0"/>
              <w:jc w:val="center"/>
              <w:rPr>
                <w:sz w:val="24"/>
              </w:rPr>
            </w:pPr>
            <w:r>
              <w:rPr>
                <w:sz w:val="24"/>
              </w:rPr>
              <w:t>指</w:t>
            </w:r>
          </w:p>
          <w:p>
            <w:pPr>
              <w:snapToGrid w:val="0"/>
              <w:jc w:val="center"/>
              <w:rPr>
                <w:sz w:val="24"/>
              </w:rPr>
            </w:pPr>
            <w:r>
              <w:rPr>
                <w:sz w:val="24"/>
              </w:rPr>
              <w:t>标</w:t>
            </w:r>
          </w:p>
          <w:p>
            <w:pPr>
              <w:snapToGrid w:val="0"/>
              <w:jc w:val="center"/>
              <w:rPr>
                <w:sz w:val="28"/>
              </w:rPr>
            </w:pPr>
          </w:p>
        </w:tc>
        <w:tc>
          <w:tcPr>
            <w:tcW w:w="0" w:type="auto"/>
            <w:tcBorders>
              <w:bottom w:val="single" w:color="auto" w:sz="8" w:space="0"/>
            </w:tcBorders>
            <w:vAlign w:val="center"/>
          </w:tcPr>
          <w:p>
            <w:pPr>
              <w:pStyle w:val="14"/>
              <w:adjustRightInd w:val="0"/>
              <w:snapToGrid w:val="0"/>
              <w:spacing w:line="500" w:lineRule="exact"/>
              <w:ind w:firstLine="480" w:firstLineChars="200"/>
              <w:rPr>
                <w:rFonts w:ascii="Times New Roman" w:hAnsi="宋体"/>
                <w:color w:val="000000"/>
                <w:sz w:val="24"/>
              </w:rPr>
            </w:pPr>
            <w:r>
              <w:rPr>
                <w:rFonts w:ascii="Times New Roman" w:hAnsi="宋体"/>
                <w:sz w:val="24"/>
              </w:rPr>
              <w:t>本项目污染物排放量为颗粒</w:t>
            </w:r>
            <w:r>
              <w:rPr>
                <w:rFonts w:ascii="Times New Roman" w:hAnsi="宋体"/>
                <w:color w:val="000000"/>
                <w:sz w:val="24"/>
              </w:rPr>
              <w:t>物</w:t>
            </w:r>
            <w:r>
              <w:rPr>
                <w:rFonts w:ascii="Times New Roman" w:hAnsi="Times New Roman"/>
                <w:color w:val="000000"/>
                <w:sz w:val="24"/>
              </w:rPr>
              <w:t>0.</w:t>
            </w:r>
            <w:r>
              <w:rPr>
                <w:rFonts w:hint="eastAsia" w:ascii="Times New Roman" w:hAnsi="Times New Roman"/>
                <w:color w:val="000000"/>
                <w:sz w:val="24"/>
              </w:rPr>
              <w:t>0056</w:t>
            </w:r>
            <w:r>
              <w:rPr>
                <w:rFonts w:ascii="Times New Roman" w:hAnsi="Times New Roman"/>
                <w:color w:val="000000"/>
                <w:sz w:val="24"/>
              </w:rPr>
              <w:t>t/a</w:t>
            </w:r>
            <w:r>
              <w:rPr>
                <w:rFonts w:hint="eastAsia" w:ascii="Times New Roman" w:hAnsi="Times New Roman"/>
                <w:color w:val="000000"/>
                <w:sz w:val="24"/>
              </w:rPr>
              <w:t>（有组织0.0004t/a，无组织0.0052）</w:t>
            </w:r>
            <w:r>
              <w:rPr>
                <w:rFonts w:ascii="Times New Roman" w:hAnsi="宋体"/>
                <w:color w:val="000000"/>
                <w:sz w:val="24"/>
              </w:rPr>
              <w:t>、</w:t>
            </w:r>
            <w:r>
              <w:rPr>
                <w:rFonts w:ascii="Times New Roman" w:hAnsi="Times New Roman"/>
                <w:color w:val="000000"/>
                <w:sz w:val="24"/>
              </w:rPr>
              <w:t>COD</w:t>
            </w:r>
            <w:r>
              <w:rPr>
                <w:rFonts w:hint="eastAsia" w:ascii="Times New Roman" w:hAnsi="Times New Roman"/>
                <w:color w:val="000000"/>
                <w:sz w:val="24"/>
              </w:rPr>
              <w:t>0</w:t>
            </w:r>
            <w:r>
              <w:rPr>
                <w:rFonts w:ascii="Times New Roman" w:hAnsi="Times New Roman"/>
                <w:color w:val="000000"/>
                <w:sz w:val="24"/>
              </w:rPr>
              <w:t>t/a</w:t>
            </w:r>
            <w:r>
              <w:rPr>
                <w:rFonts w:ascii="Times New Roman" w:hAnsi="宋体"/>
                <w:color w:val="000000"/>
                <w:sz w:val="24"/>
              </w:rPr>
              <w:t>、</w:t>
            </w:r>
            <w:r>
              <w:rPr>
                <w:rFonts w:ascii="Times New Roman" w:hAnsi="Times New Roman"/>
                <w:color w:val="000000"/>
                <w:sz w:val="24"/>
              </w:rPr>
              <w:t>NH</w:t>
            </w:r>
            <w:r>
              <w:rPr>
                <w:rFonts w:ascii="Times New Roman" w:hAnsi="Times New Roman"/>
                <w:color w:val="000000"/>
                <w:sz w:val="24"/>
                <w:vertAlign w:val="subscript"/>
              </w:rPr>
              <w:t>3</w:t>
            </w:r>
            <w:r>
              <w:rPr>
                <w:rFonts w:ascii="Times New Roman" w:hAnsi="Times New Roman"/>
                <w:color w:val="000000"/>
                <w:sz w:val="24"/>
              </w:rPr>
              <w:t>—N</w:t>
            </w:r>
            <w:r>
              <w:rPr>
                <w:rFonts w:hint="eastAsia" w:ascii="Times New Roman" w:hAnsi="Times New Roman"/>
                <w:color w:val="000000"/>
                <w:sz w:val="24"/>
              </w:rPr>
              <w:t>0</w:t>
            </w:r>
            <w:r>
              <w:rPr>
                <w:rFonts w:ascii="Times New Roman" w:hAnsi="Times New Roman"/>
                <w:color w:val="000000"/>
                <w:sz w:val="24"/>
              </w:rPr>
              <w:t>t/a</w:t>
            </w:r>
            <w:r>
              <w:rPr>
                <w:rFonts w:hint="eastAsia" w:ascii="Times New Roman" w:hAnsi="宋体"/>
                <w:color w:val="000000"/>
                <w:sz w:val="24"/>
              </w:rPr>
              <w:t>，全厂颗粒物的排放量为0.0075t/a。</w:t>
            </w:r>
          </w:p>
          <w:p>
            <w:pPr>
              <w:pStyle w:val="14"/>
              <w:adjustRightInd w:val="0"/>
              <w:snapToGrid w:val="0"/>
              <w:spacing w:line="500" w:lineRule="exact"/>
              <w:ind w:firstLine="480" w:firstLineChars="200"/>
              <w:rPr>
                <w:rFonts w:ascii="Times New Roman" w:hAnsi="Times New Roman"/>
                <w:color w:val="000000"/>
                <w:sz w:val="24"/>
              </w:rPr>
            </w:pPr>
            <w:r>
              <w:rPr>
                <w:rFonts w:hint="eastAsia" w:ascii="Times New Roman" w:hAnsi="Times New Roman"/>
                <w:color w:val="000000"/>
                <w:sz w:val="24"/>
              </w:rPr>
              <w:t>根据项目排污特征及总量控制目标要求，本次扩建项目废气不涉及SO</w:t>
            </w:r>
            <w:r>
              <w:rPr>
                <w:rFonts w:hint="eastAsia" w:ascii="Times New Roman" w:hAnsi="Times New Roman"/>
                <w:color w:val="000000"/>
                <w:sz w:val="24"/>
                <w:vertAlign w:val="subscript"/>
              </w:rPr>
              <w:t>2</w:t>
            </w:r>
            <w:r>
              <w:rPr>
                <w:rFonts w:hint="eastAsia" w:ascii="Times New Roman" w:hAnsi="Times New Roman"/>
                <w:color w:val="000000"/>
                <w:sz w:val="24"/>
              </w:rPr>
              <w:t>和NOx产排；不产生生产废水，生活污水依托厂区现有化粪池（10m</w:t>
            </w:r>
            <w:r>
              <w:rPr>
                <w:rFonts w:hint="eastAsia" w:ascii="Times New Roman" w:hAnsi="Times New Roman"/>
                <w:color w:val="000000"/>
                <w:sz w:val="24"/>
                <w:vertAlign w:val="superscript"/>
              </w:rPr>
              <w:t>3</w:t>
            </w:r>
            <w:r>
              <w:rPr>
                <w:rFonts w:hint="eastAsia" w:ascii="Times New Roman" w:hAnsi="Times New Roman"/>
                <w:color w:val="000000"/>
                <w:sz w:val="24"/>
              </w:rPr>
              <w:t>）处理后，定期清运不外排。</w:t>
            </w:r>
          </w:p>
          <w:p>
            <w:pPr>
              <w:pStyle w:val="14"/>
              <w:adjustRightInd w:val="0"/>
              <w:snapToGrid w:val="0"/>
              <w:spacing w:line="500" w:lineRule="exact"/>
              <w:ind w:firstLine="480" w:firstLineChars="200"/>
              <w:rPr>
                <w:rFonts w:ascii="Times New Roman" w:hAnsi="Times New Roman"/>
                <w:color w:val="000000"/>
                <w:sz w:val="24"/>
              </w:rPr>
            </w:pPr>
            <w:r>
              <w:rPr>
                <w:rFonts w:hint="eastAsia" w:ascii="Times New Roman" w:hAnsi="Times New Roman"/>
                <w:color w:val="000000"/>
                <w:sz w:val="24"/>
              </w:rPr>
              <w:t>现有项目废气不涉及SO</w:t>
            </w:r>
            <w:r>
              <w:rPr>
                <w:rFonts w:hint="eastAsia" w:ascii="Times New Roman" w:hAnsi="Times New Roman"/>
                <w:color w:val="000000"/>
                <w:sz w:val="24"/>
                <w:vertAlign w:val="subscript"/>
              </w:rPr>
              <w:t>2</w:t>
            </w:r>
            <w:r>
              <w:rPr>
                <w:rFonts w:hint="eastAsia" w:ascii="Times New Roman" w:hAnsi="Times New Roman"/>
                <w:color w:val="000000"/>
                <w:sz w:val="24"/>
              </w:rPr>
              <w:t>和NOx产排；不产生生产废水，生活污水经厂区化粪池（10m</w:t>
            </w:r>
            <w:r>
              <w:rPr>
                <w:rFonts w:hint="eastAsia" w:ascii="Times New Roman" w:hAnsi="Times New Roman"/>
                <w:color w:val="000000"/>
                <w:sz w:val="24"/>
                <w:vertAlign w:val="superscript"/>
              </w:rPr>
              <w:t>3</w:t>
            </w:r>
            <w:r>
              <w:rPr>
                <w:rFonts w:hint="eastAsia" w:ascii="Times New Roman" w:hAnsi="Times New Roman"/>
                <w:color w:val="000000"/>
                <w:sz w:val="24"/>
              </w:rPr>
              <w:t>）处理后，定期清掏不外排。</w:t>
            </w:r>
          </w:p>
          <w:p>
            <w:pPr>
              <w:pStyle w:val="14"/>
              <w:adjustRightInd w:val="0"/>
              <w:snapToGrid w:val="0"/>
              <w:spacing w:line="500" w:lineRule="exact"/>
              <w:ind w:firstLine="480" w:firstLineChars="200"/>
              <w:rPr>
                <w:rFonts w:ascii="Times New Roman" w:hAnsi="Times New Roman"/>
                <w:color w:val="000000"/>
                <w:sz w:val="24"/>
              </w:rPr>
            </w:pPr>
            <w:r>
              <w:rPr>
                <w:rFonts w:hint="eastAsia" w:ascii="Times New Roman" w:hAnsi="Times New Roman"/>
                <w:color w:val="000000"/>
                <w:sz w:val="24"/>
              </w:rPr>
              <w:t>综上所述，本项目不涉及总量控制指标，本项目特征污染物粉尘排放量为0.0056t/a（有组织0.0004t/a，无组织0.0052）</w:t>
            </w:r>
            <w:r>
              <w:rPr>
                <w:rFonts w:hint="eastAsia" w:ascii="Times New Roman" w:hAnsi="宋体"/>
                <w:color w:val="000000"/>
                <w:sz w:val="24"/>
              </w:rPr>
              <w:t>，全厂颗粒物的排放量为0.0075t/a。</w:t>
            </w:r>
          </w:p>
        </w:tc>
      </w:tr>
    </w:tbl>
    <w:p>
      <w:pPr>
        <w:snapToGrid w:val="0"/>
        <w:rPr>
          <w:b/>
          <w:sz w:val="32"/>
        </w:rPr>
      </w:pPr>
      <w:r>
        <w:rPr>
          <w:rFonts w:hAnsi="宋体"/>
          <w:b/>
          <w:sz w:val="32"/>
        </w:rPr>
        <w:t>建设项目工程分析</w:t>
      </w:r>
    </w:p>
    <w:tbl>
      <w:tblPr>
        <w:tblStyle w:val="27"/>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jc w:val="center"/>
        </w:trPr>
        <w:tc>
          <w:tcPr>
            <w:tcW w:w="9569" w:type="dxa"/>
          </w:tcPr>
          <w:p>
            <w:pPr>
              <w:adjustRightInd w:val="0"/>
              <w:snapToGrid w:val="0"/>
              <w:spacing w:line="500" w:lineRule="exact"/>
              <w:ind w:firstLine="480" w:firstLineChars="200"/>
              <w:rPr>
                <w:rFonts w:hAnsi="宋体"/>
                <w:sz w:val="24"/>
              </w:rPr>
            </w:pPr>
            <w:r>
              <w:rPr>
                <w:rFonts w:hint="eastAsia" w:hAnsi="宋体"/>
                <w:sz w:val="24"/>
              </w:rPr>
              <w:t>经现场勘查，本项目在现有场地生产车间进行建设生产，项目建设期仅为设备进厂安装，环境影响较小。因此，本次环评不再分析施工期对周围环境的影响。</w:t>
            </w:r>
          </w:p>
          <w:p>
            <w:pPr>
              <w:adjustRightInd w:val="0"/>
              <w:snapToGrid w:val="0"/>
              <w:spacing w:line="500" w:lineRule="exact"/>
              <w:rPr>
                <w:b/>
                <w:sz w:val="24"/>
              </w:rPr>
            </w:pPr>
            <w:r>
              <w:rPr>
                <w:rFonts w:hint="eastAsia" w:hAnsi="宋体"/>
                <w:b/>
                <w:sz w:val="24"/>
              </w:rPr>
              <w:t>一.</w:t>
            </w:r>
            <w:r>
              <w:rPr>
                <w:rFonts w:hAnsi="宋体"/>
                <w:b/>
                <w:sz w:val="24"/>
              </w:rPr>
              <w:t>营运期工艺流程及产污环节分析</w:t>
            </w:r>
          </w:p>
          <w:p>
            <w:pPr>
              <w:tabs>
                <w:tab w:val="left" w:pos="1260"/>
              </w:tabs>
              <w:adjustRightInd w:val="0"/>
              <w:snapToGrid w:val="0"/>
              <w:spacing w:line="500" w:lineRule="exact"/>
              <w:ind w:firstLine="482" w:firstLineChars="200"/>
              <w:rPr>
                <w:b/>
                <w:sz w:val="24"/>
              </w:rPr>
            </w:pPr>
            <w:r>
              <w:rPr>
                <w:b/>
                <w:sz w:val="24"/>
              </w:rPr>
              <w:t>1</w:t>
            </w:r>
            <w:r>
              <w:rPr>
                <w:rFonts w:hint="eastAsia" w:hAnsi="宋体"/>
                <w:b/>
                <w:sz w:val="24"/>
              </w:rPr>
              <w:t>.</w:t>
            </w:r>
            <w:r>
              <w:rPr>
                <w:rFonts w:hAnsi="宋体"/>
                <w:b/>
                <w:sz w:val="24"/>
              </w:rPr>
              <w:t>项目工艺流程简述及图示：</w:t>
            </w:r>
          </w:p>
          <w:p>
            <w:pPr>
              <w:adjustRightInd w:val="0"/>
              <w:snapToGrid w:val="0"/>
              <w:spacing w:line="500" w:lineRule="exact"/>
              <w:ind w:firstLine="480" w:firstLineChars="200"/>
              <w:rPr>
                <w:rFonts w:hAnsi="宋体"/>
                <w:sz w:val="24"/>
              </w:rPr>
            </w:pPr>
            <w:r>
              <w:rPr>
                <w:rFonts w:hAnsi="宋体"/>
                <w:sz w:val="24"/>
              </w:rPr>
              <w:t>本项目生产工艺流程如下图</w:t>
            </w:r>
            <w:r>
              <w:rPr>
                <w:rFonts w:hint="eastAsia"/>
                <w:sz w:val="24"/>
              </w:rPr>
              <w:t>3</w:t>
            </w:r>
            <w:r>
              <w:rPr>
                <w:rFonts w:hAnsi="宋体"/>
                <w:sz w:val="24"/>
              </w:rPr>
              <w:t>所示。</w:t>
            </w:r>
          </w:p>
          <w:p>
            <w:pPr>
              <w:spacing w:line="360" w:lineRule="auto"/>
              <w:rPr>
                <w:rFonts w:hAnsi="宋体"/>
                <w:b/>
                <w:sz w:val="24"/>
              </w:rPr>
            </w:pPr>
            <w:r>
              <mc:AlternateContent>
                <mc:Choice Requires="wpc">
                  <w:drawing>
                    <wp:inline distT="0" distB="0" distL="114300" distR="114300">
                      <wp:extent cx="5457825" cy="1814830"/>
                      <wp:effectExtent l="0" t="0" r="3175" b="1270"/>
                      <wp:docPr id="68" name="画布 172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a:noFill/>
                              </a:ln>
                            </wpc:whole>
                            <wps:wsp>
                              <wps:cNvPr id="54" name="自选图形 220"/>
                              <wps:cNvCnPr/>
                              <wps:spPr>
                                <a:xfrm>
                                  <a:off x="1604010" y="829945"/>
                                  <a:ext cx="214630" cy="635"/>
                                </a:xfrm>
                                <a:prstGeom prst="straightConnector1">
                                  <a:avLst/>
                                </a:prstGeom>
                                <a:ln w="9525" cap="flat" cmpd="sng">
                                  <a:solidFill>
                                    <a:srgbClr val="000000"/>
                                  </a:solidFill>
                                  <a:prstDash val="solid"/>
                                  <a:headEnd type="none" w="med" len="med"/>
                                  <a:tailEnd type="triangle" w="med" len="med"/>
                                </a:ln>
                              </wps:spPr>
                              <wps:bodyPr/>
                            </wps:wsp>
                            <wps:wsp>
                              <wps:cNvPr id="55" name="文本框 221"/>
                              <wps:cNvSpPr txBox="1"/>
                              <wps:spPr>
                                <a:xfrm>
                                  <a:off x="1818640" y="692785"/>
                                  <a:ext cx="1070610" cy="293370"/>
                                </a:xfrm>
                                <a:prstGeom prst="rect">
                                  <a:avLst/>
                                </a:prstGeom>
                                <a:noFill/>
                                <a:ln w="9525" cap="flat" cmpd="sng">
                                  <a:solidFill>
                                    <a:srgbClr val="000000"/>
                                  </a:solidFill>
                                  <a:prstDash val="solid"/>
                                  <a:miter/>
                                  <a:headEnd type="none" w="med" len="med"/>
                                  <a:tailEnd type="none" w="med" len="med"/>
                                </a:ln>
                              </wps:spPr>
                              <wps:txbx>
                                <w:txbxContent>
                                  <w:p>
                                    <w:r>
                                      <w:rPr>
                                        <w:rFonts w:hint="eastAsia"/>
                                      </w:rPr>
                                      <w:t>机械加工成型</w:t>
                                    </w:r>
                                  </w:p>
                                </w:txbxContent>
                              </wps:txbx>
                              <wps:bodyPr upright="1"/>
                            </wps:wsp>
                            <wps:wsp>
                              <wps:cNvPr id="56" name="自选图形 276"/>
                              <wps:cNvCnPr/>
                              <wps:spPr>
                                <a:xfrm>
                                  <a:off x="2889250" y="842645"/>
                                  <a:ext cx="257175" cy="635"/>
                                </a:xfrm>
                                <a:prstGeom prst="straightConnector1">
                                  <a:avLst/>
                                </a:prstGeom>
                                <a:ln w="9525" cap="flat" cmpd="sng">
                                  <a:solidFill>
                                    <a:srgbClr val="000000"/>
                                  </a:solidFill>
                                  <a:prstDash val="solid"/>
                                  <a:headEnd type="none" w="med" len="med"/>
                                  <a:tailEnd type="triangle" w="med" len="med"/>
                                </a:ln>
                              </wps:spPr>
                              <wps:bodyPr/>
                            </wps:wsp>
                            <wps:wsp>
                              <wps:cNvPr id="57" name="文本框 221"/>
                              <wps:cNvSpPr txBox="1"/>
                              <wps:spPr>
                                <a:xfrm>
                                  <a:off x="3169285" y="683895"/>
                                  <a:ext cx="494030" cy="293370"/>
                                </a:xfrm>
                                <a:prstGeom prst="rect">
                                  <a:avLst/>
                                </a:prstGeom>
                                <a:noFill/>
                                <a:ln w="9525" cap="flat" cmpd="sng">
                                  <a:solidFill>
                                    <a:srgbClr val="000000"/>
                                  </a:solidFill>
                                  <a:prstDash val="solid"/>
                                  <a:miter/>
                                  <a:headEnd type="none" w="med" len="med"/>
                                  <a:tailEnd type="none" w="med" len="med"/>
                                </a:ln>
                              </wps:spPr>
                              <wps:txbx>
                                <w:txbxContent>
                                  <w:p>
                                    <w:r>
                                      <w:rPr>
                                        <w:rFonts w:hint="eastAsia"/>
                                      </w:rPr>
                                      <w:t>焊接</w:t>
                                    </w:r>
                                  </w:p>
                                  <w:p/>
                                </w:txbxContent>
                              </wps:txbx>
                              <wps:bodyPr upright="1"/>
                            </wps:wsp>
                            <wps:wsp>
                              <wps:cNvPr id="58" name="自选图形 276"/>
                              <wps:cNvCnPr/>
                              <wps:spPr>
                                <a:xfrm>
                                  <a:off x="3660140" y="842010"/>
                                  <a:ext cx="257175" cy="635"/>
                                </a:xfrm>
                                <a:prstGeom prst="straightConnector1">
                                  <a:avLst/>
                                </a:prstGeom>
                                <a:ln w="9525" cap="flat" cmpd="sng">
                                  <a:solidFill>
                                    <a:srgbClr val="000000"/>
                                  </a:solidFill>
                                  <a:prstDash val="solid"/>
                                  <a:headEnd type="none" w="med" len="med"/>
                                  <a:tailEnd type="triangle" w="med" len="med"/>
                                </a:ln>
                              </wps:spPr>
                              <wps:bodyPr/>
                            </wps:wsp>
                            <wps:wsp>
                              <wps:cNvPr id="59" name="文本框 221"/>
                              <wps:cNvSpPr txBox="1"/>
                              <wps:spPr>
                                <a:xfrm>
                                  <a:off x="3955415" y="692785"/>
                                  <a:ext cx="494030" cy="293370"/>
                                </a:xfrm>
                                <a:prstGeom prst="rect">
                                  <a:avLst/>
                                </a:prstGeom>
                                <a:noFill/>
                                <a:ln w="9525" cap="flat" cmpd="sng">
                                  <a:solidFill>
                                    <a:srgbClr val="000000"/>
                                  </a:solidFill>
                                  <a:prstDash val="solid"/>
                                  <a:miter/>
                                  <a:headEnd type="none" w="med" len="med"/>
                                  <a:tailEnd type="none" w="med" len="med"/>
                                </a:ln>
                              </wps:spPr>
                              <wps:txbx>
                                <w:txbxContent>
                                  <w:p>
                                    <w:r>
                                      <w:rPr>
                                        <w:rFonts w:hint="eastAsia"/>
                                      </w:rPr>
                                      <w:t>组装</w:t>
                                    </w:r>
                                  </w:p>
                                </w:txbxContent>
                              </wps:txbx>
                              <wps:bodyPr upright="1"/>
                            </wps:wsp>
                            <wps:wsp>
                              <wps:cNvPr id="60" name="自选图形 276"/>
                              <wps:cNvCnPr/>
                              <wps:spPr>
                                <a:xfrm>
                                  <a:off x="4449445" y="817880"/>
                                  <a:ext cx="257175" cy="635"/>
                                </a:xfrm>
                                <a:prstGeom prst="straightConnector1">
                                  <a:avLst/>
                                </a:prstGeom>
                                <a:ln w="9525" cap="flat" cmpd="sng">
                                  <a:solidFill>
                                    <a:srgbClr val="000000"/>
                                  </a:solidFill>
                                  <a:prstDash val="solid"/>
                                  <a:headEnd type="none" w="med" len="med"/>
                                  <a:tailEnd type="triangle" w="med" len="med"/>
                                </a:ln>
                              </wps:spPr>
                              <wps:bodyPr/>
                            </wps:wsp>
                            <wps:wsp>
                              <wps:cNvPr id="61" name="文本框 219"/>
                              <wps:cNvSpPr txBox="1"/>
                              <wps:spPr>
                                <a:xfrm>
                                  <a:off x="1349375" y="1471930"/>
                                  <a:ext cx="2606040" cy="342900"/>
                                </a:xfrm>
                                <a:prstGeom prst="rect">
                                  <a:avLst/>
                                </a:prstGeom>
                                <a:noFill/>
                                <a:ln>
                                  <a:noFill/>
                                </a:ln>
                              </wps:spPr>
                              <wps:txbx>
                                <w:txbxContent>
                                  <w:p>
                                    <w:pPr>
                                      <w:rPr>
                                        <w:b/>
                                      </w:rPr>
                                    </w:pPr>
                                    <w:r>
                                      <w:rPr>
                                        <w:rFonts w:hint="eastAsia" w:hAnsi="宋体"/>
                                        <w:b/>
                                      </w:rPr>
                                      <w:t>图</w:t>
                                    </w:r>
                                    <w:r>
                                      <w:rPr>
                                        <w:rFonts w:hint="eastAsia"/>
                                        <w:b/>
                                      </w:rPr>
                                      <w:t>3</w:t>
                                    </w:r>
                                    <w:r>
                                      <w:rPr>
                                        <w:b/>
                                      </w:rPr>
                                      <w:t xml:space="preserve"> </w:t>
                                    </w:r>
                                    <w:r>
                                      <w:rPr>
                                        <w:rFonts w:hint="eastAsia" w:hAnsi="宋体"/>
                                        <w:b/>
                                      </w:rPr>
                                      <w:t>项目生产工艺流程及产污环节图</w:t>
                                    </w:r>
                                  </w:p>
                                </w:txbxContent>
                              </wps:txbx>
                              <wps:bodyPr upright="1"/>
                            </wps:wsp>
                            <wps:wsp>
                              <wps:cNvPr id="62" name="文本框 221"/>
                              <wps:cNvSpPr txBox="1"/>
                              <wps:spPr>
                                <a:xfrm>
                                  <a:off x="861695" y="453390"/>
                                  <a:ext cx="907415" cy="648970"/>
                                </a:xfrm>
                                <a:prstGeom prst="rect">
                                  <a:avLst/>
                                </a:prstGeom>
                                <a:noFill/>
                                <a:ln>
                                  <a:noFill/>
                                </a:ln>
                              </wps:spPr>
                              <wps:txbx>
                                <w:txbxContent>
                                  <w:p>
                                    <w:r>
                                      <w:rPr>
                                        <w:rFonts w:hint="eastAsia"/>
                                      </w:rPr>
                                      <w:t>不锈钢型材</w:t>
                                    </w:r>
                                  </w:p>
                                  <w:p>
                                    <w:pPr>
                                      <w:jc w:val="center"/>
                                    </w:pPr>
                                    <w:r>
                                      <w:rPr>
                                        <w:rFonts w:hint="eastAsia"/>
                                      </w:rPr>
                                      <w:t>普板</w:t>
                                    </w:r>
                                  </w:p>
                                  <w:p>
                                    <w:pPr>
                                      <w:jc w:val="center"/>
                                    </w:pPr>
                                    <w:r>
                                      <w:rPr>
                                        <w:rFonts w:hint="eastAsia"/>
                                      </w:rPr>
                                      <w:t>普型板</w:t>
                                    </w:r>
                                  </w:p>
                                </w:txbxContent>
                              </wps:txbx>
                              <wps:bodyPr upright="1"/>
                            </wps:wsp>
                            <wps:wsp>
                              <wps:cNvPr id="63" name="自选图形 236"/>
                              <wps:cNvCnPr/>
                              <wps:spPr>
                                <a:xfrm flipV="1">
                                  <a:off x="2272030" y="361315"/>
                                  <a:ext cx="635" cy="307975"/>
                                </a:xfrm>
                                <a:prstGeom prst="straightConnector1">
                                  <a:avLst/>
                                </a:prstGeom>
                                <a:ln w="9525" cap="flat" cmpd="sng">
                                  <a:solidFill>
                                    <a:srgbClr val="000000"/>
                                  </a:solidFill>
                                  <a:prstDash val="dash"/>
                                  <a:headEnd type="none" w="med" len="med"/>
                                  <a:tailEnd type="triangle" w="med" len="med"/>
                                </a:ln>
                              </wps:spPr>
                              <wps:bodyPr/>
                            </wps:wsp>
                            <wps:wsp>
                              <wps:cNvPr id="64" name="自选图形 236"/>
                              <wps:cNvCnPr/>
                              <wps:spPr>
                                <a:xfrm flipV="1">
                                  <a:off x="3406140" y="361315"/>
                                  <a:ext cx="635" cy="307975"/>
                                </a:xfrm>
                                <a:prstGeom prst="straightConnector1">
                                  <a:avLst/>
                                </a:prstGeom>
                                <a:ln w="9525" cap="flat" cmpd="sng">
                                  <a:solidFill>
                                    <a:srgbClr val="000000"/>
                                  </a:solidFill>
                                  <a:prstDash val="dash"/>
                                  <a:headEnd type="none" w="med" len="med"/>
                                  <a:tailEnd type="triangle" w="med" len="med"/>
                                </a:ln>
                              </wps:spPr>
                              <wps:bodyPr/>
                            </wps:wsp>
                            <wps:wsp>
                              <wps:cNvPr id="65" name="文本框 237"/>
                              <wps:cNvSpPr txBox="1"/>
                              <wps:spPr>
                                <a:xfrm>
                                  <a:off x="1604010" y="137795"/>
                                  <a:ext cx="1411605" cy="352425"/>
                                </a:xfrm>
                                <a:prstGeom prst="rect">
                                  <a:avLst/>
                                </a:prstGeom>
                                <a:noFill/>
                                <a:ln>
                                  <a:noFill/>
                                </a:ln>
                              </wps:spPr>
                              <wps:txbx>
                                <w:txbxContent>
                                  <w:p>
                                    <w:r>
                                      <w:rPr>
                                        <w:rFonts w:hint="eastAsia"/>
                                      </w:rPr>
                                      <w:t>废气、固废、噪声</w:t>
                                    </w:r>
                                  </w:p>
                                  <w:p>
                                    <w:pPr>
                                      <w:rPr>
                                        <w:sz w:val="24"/>
                                      </w:rPr>
                                    </w:pPr>
                                  </w:p>
                                </w:txbxContent>
                              </wps:txbx>
                              <wps:bodyPr upright="1"/>
                            </wps:wsp>
                            <wps:wsp>
                              <wps:cNvPr id="66" name="文本框 237"/>
                              <wps:cNvSpPr txBox="1"/>
                              <wps:spPr>
                                <a:xfrm>
                                  <a:off x="3015615" y="148590"/>
                                  <a:ext cx="889000" cy="352425"/>
                                </a:xfrm>
                                <a:prstGeom prst="rect">
                                  <a:avLst/>
                                </a:prstGeom>
                                <a:noFill/>
                                <a:ln>
                                  <a:noFill/>
                                </a:ln>
                              </wps:spPr>
                              <wps:txbx>
                                <w:txbxContent>
                                  <w:p>
                                    <w:r>
                                      <w:rPr>
                                        <w:rFonts w:hint="eastAsia"/>
                                      </w:rPr>
                                      <w:t>废气、固废</w:t>
                                    </w:r>
                                  </w:p>
                                  <w:p>
                                    <w:pPr>
                                      <w:rPr>
                                        <w:sz w:val="24"/>
                                      </w:rPr>
                                    </w:pPr>
                                  </w:p>
                                </w:txbxContent>
                              </wps:txbx>
                              <wps:bodyPr upright="1"/>
                            </wps:wsp>
                            <wps:wsp>
                              <wps:cNvPr id="67" name="文本框 221"/>
                              <wps:cNvSpPr txBox="1"/>
                              <wps:spPr>
                                <a:xfrm>
                                  <a:off x="4633595" y="669290"/>
                                  <a:ext cx="544830" cy="380365"/>
                                </a:xfrm>
                                <a:prstGeom prst="rect">
                                  <a:avLst/>
                                </a:prstGeom>
                                <a:noFill/>
                                <a:ln>
                                  <a:noFill/>
                                </a:ln>
                              </wps:spPr>
                              <wps:txbx>
                                <w:txbxContent>
                                  <w:p>
                                    <w:r>
                                      <w:rPr>
                                        <w:rFonts w:hint="eastAsia"/>
                                      </w:rPr>
                                      <w:t>成品</w:t>
                                    </w:r>
                                  </w:p>
                                </w:txbxContent>
                              </wps:txbx>
                              <wps:bodyPr upright="1"/>
                            </wps:wsp>
                          </wpc:wpc>
                        </a:graphicData>
                      </a:graphic>
                    </wp:inline>
                  </w:drawing>
                </mc:Choice>
                <mc:Fallback>
                  <w:pict>
                    <v:group id="画布 1723" o:spid="_x0000_s1026" o:spt="203" style="height:142.9pt;width:429.75pt;" coordsize="5457825,1814830" editas="canvas" o:gfxdata="UEsDBAoAAAAAAIdO4kAAAAAAAAAAAAAAAAAEAAAAZHJzL1BLAwQUAAAACACHTuJAcXLqy9UAAAAF&#10;AQAADwAAAGRycy9kb3ducmV2LnhtbE2PwU7DMBBE70j8g7VI3KjdQqI0xOmhUk/AgbZSr9t4m0TE&#10;6zR22vD3GC70stJoRjNvi9VkO3GhwbeONcxnCgRx5UzLtYb9bvOUgfAB2WDnmDR8k4dVeX9XYG7c&#10;lT/psg21iCXsc9TQhNDnUvqqIYt+5nri6J3cYDFEOdTSDHiN5baTC6VSabHluNBgT+uGqq/taDVg&#10;+mLOH6fn993bmOKyntQmOSitHx/m6hVEoCn8h+EXP6JDGZmObmTjRachPhL+bvSyZJmAOGpYZEkG&#10;sizkLX35A1BLAwQUAAAACACHTuJAfO5wprAEAADdHQAADgAAAGRycy9lMm9Eb2MueG1s7VnLbiQ1&#10;FN0j8Q9W7UmXyy5XVSudkUhmskEw0gB7p95SVblkO+nODgmJEfsRG9jAEvEBSAj+JgH+gmvXI51O&#10;J5PpRCEtdRaderhs33OPj++93n+xqCt0lkpVimbm4D3XQWkTi6Rs8pnz1ZevPgkdpDRvEl6JJp05&#10;56lyXhx8/NH+vJ2mnihElaQSQSeNms7bmVNo3U4nExUXac3VnmjTBl5mQtZcw63MJ4nkc+i9riae&#10;67LJXMiklSJOlYKnR91Lp+9R3qdDkWVlnB6J+LROG931KtOKazBJFWWrnAM72yxLY/1FlqlUo2rm&#10;gKXa/sIgcH1ificH+3yaS94WZdxPgd9nCis21bxsYNCxqyOuOTqV5Y2u6jKWQolM78WinnSGWETA&#10;CuyuYHMsxWlrbcmn87wdQQdHraC+cbfx52evJSqTmcPA7w2vweN/v/vj4vdvEQ48YvCZt/kUmh3L&#10;9k37WvYP8u7OmLzIZG3+gzFoYZE9H5FNFxrF8NCnfhB6voNieIdDTEPSYx8X4KAb38XFy/d8ORkG&#10;npj5jdOZt8BKdQWVehhUbwreptYDymDQQ+XTAap/3v767zffX/z418WfvyDPszaZKUDbw6YHS00V&#10;4LYGKcxcCk53EGASelFE/Y6OA2gepgxgspgxYl+OVvNpK5U+TkWNzMXMUVryMi/0oWgaYL2Q2PKR&#10;n32mNPgMPhw+MDOpGjSfOZFvXcJhFWewemCkugUmqCa33ypRlcmrsqrMF0rmJ4eVRGfcrCT7Z2YL&#10;/V5rZgY54qro2tlXnVFFypOXTYL0eQsUa0BaHDOFOk0cVKWgROYKOuRTzcvqqqWWJW/y6pbWMHzV&#10;wCwM5h3K5upEJOcWfPsc6GBI/BS8AIJ3S+jyh7eXP/12+fN3QApszOpJYVYQ0otPBayJ8flt9Ahx&#10;yGhHDxZ5QbhCD+wGLjP0MWvKiwgJLP1up4gEXtxFikYYZ1sfPD0/6lKn0o69KVNu59R6lujFyaL3&#10;TEcYdNpKs4R61zw1edhAnuuiErAl/rxfVLwwjDy/FxXqsRui4gc46IV4JyprJWg9Xf43UQkGXjyG&#10;qBAMUgJKYvYcFpIwWhEVGlF32HN2mnLHPrWeJM9NU8aY7kGaQhhzcb8ThdQEqt1OPQYqO02ZOVsV&#10;qESPqimR71Pca8qaQGWnKdci2i2PUxjEFl2Q+yBNoRRoAcGJTX5wEIY7Tdnu5IfhgRdLcQqOloLX&#10;D0p+CI2IiVNNvYAGOBrqBeOew1yTPnfZD6Fe5D5m9mNcMaZDW7HVM28N/BvnniGDOLFDn/qERCuL&#10;M3IDK/gm82Q0jB4189xC7MmA/XVJJPdI3VBWle3XJuU0dvc1NM8LPBuGA76EYQKbq02NB/KbxM2m&#10;/cQNIlgl8BJIOhTihkLPc64MJVAj6mzaNN3fpniL3VIw3JgghELpp4/IdwTZ/sohg/V8o3JIgk03&#10;z6XCMiZBsJrkY4qh9jxIiO9RKAPfKSEfVDncQv0eS29LocvG6BMX+6xPh+Cgw1/dPKFAB+XzXr93&#10;4LNHrW/BiQnx+8iFQalrFXyf2qOnbvMMXQIL75ky355rwamf3dr7E0pzrLh8b08+rk5lD/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gcAAFtD&#10;b250ZW50X1R5cGVzXS54bWxQSwECFAAKAAAAAACHTuJAAAAAAAAAAAAAAAAABgAAAAAAAAAAABAA&#10;AAAABgAAX3JlbHMvUEsBAhQAFAAAAAgAh07iQIoUZjzRAAAAlAEAAAsAAAAAAAAAAQAgAAAAJAYA&#10;AF9yZWxzLy5yZWxzUEsBAhQACgAAAAAAh07iQAAAAAAAAAAAAAAAAAQAAAAAAAAAAAAQAAAAAAAA&#10;AGRycy9QSwECFAAUAAAACACHTuJAcXLqy9UAAAAFAQAADwAAAAAAAAABACAAAAAiAAAAZHJzL2Rv&#10;d25yZXYueG1sUEsBAhQAFAAAAAgAh07iQHzucKawBAAA3R0AAA4AAAAAAAAAAQAgAAAAJAEAAGRy&#10;cy9lMm9Eb2MueG1sUEsFBgAAAAAGAAYAWQEAAEYIAAAAAA==&#10;">
                      <o:lock v:ext="edit" aspectratio="f"/>
                      <v:shape id="画布 1723" o:spid="_x0000_s1026" style="position:absolute;left:0;top:0;height:1814830;width:5457825;" fillcolor="#FFFFFF" filled="t" stroked="f" coordsize="21600,21600" o:gfxdata="UEsDBAoAAAAAAIdO4kAAAAAAAAAAAAAAAAAEAAAAZHJzL1BLAwQUAAAACACHTuJAcXLqy9UAAAAF&#10;AQAADwAAAGRycy9kb3ducmV2LnhtbE2PwU7DMBBE70j8g7VI3KjdQqI0xOmhUk/AgbZSr9t4m0TE&#10;6zR22vD3GC70stJoRjNvi9VkO3GhwbeONcxnCgRx5UzLtYb9bvOUgfAB2WDnmDR8k4dVeX9XYG7c&#10;lT/psg21iCXsc9TQhNDnUvqqIYt+5nri6J3cYDFEOdTSDHiN5baTC6VSabHluNBgT+uGqq/taDVg&#10;+mLOH6fn993bmOKyntQmOSitHx/m6hVEoCn8h+EXP6JDGZmObmTjRachPhL+bvSyZJmAOGpYZEkG&#10;sizkLX35A1BLAwQUAAAACACHTuJATqlRmXUEAACIHQAADgAAAGRycy9lMm9Eb2MueG1s7VnBbuM2&#10;EL0X6D8QujcWRYqSjDgLNGl6KdoA2/ZOS5QtQCIFkomdW09d9Ad62V7aY9FfaP9mg/YvOqQkr+3E&#10;QZK6izVgH2zJlEacN4+PM6PTV8umRjdCm0rJSYBPwgAJmauikrNJ8N23l5+lATKWy4LXSopJcCtM&#10;8Ors009OF+1YRGqu6kJoBEakGS/aSTC3th2PRiafi4abE9UKCYOl0g23cKpno0LzBVhv6lEUhmy0&#10;ULpotcqFMfDvRTcY9Bb1UwyqsqxycaHy60ZI21nVouYWXDLzqjXBmZ9tWYrcflOWRlhUTwLw1Ppv&#10;eAgcT9336OyUj2eat/Mq76fAnzKFLZ8aXkl46MrUBbccXevqnqmmyrUyqrQnuWpGnSMeEfACh1vY&#10;nHN5wztncsB6mCAc7dHudObmbVRdFZdVXfsTPZue1xrdcEDt0n8cUKONy0YwjbG72f0ugBbC3VpL&#10;tJgEWRzFHg6pnM3u3lqCibWLFy0QyLQrKpn/5tTrOW+FD7wZ51/fXGlUFZMgpgGSvAEe//3m939+&#10;+Ond27/e/fkbiiIfejcFuPZcXmmYozsz7ZV2fixL3bhfiBBawjJhIYX4BOh2EqRRltG4Y45YWpTD&#10;eIQpIzCcwzgjfhDQGoy02tgvhWqQO5gExmpezeb2XEkJBFUae6z4zVfGdlANN2whinIOC64EosOT&#10;mhbcM3Lm790dvtB/7oePj91DLriZd2H2Fjqn5oIXX8gC2dsWcJOgAoELaiOKANUCRMMdwUT52PKq&#10;fn+l1RWXs3rH1YBHz4ABZYf3VBW3HnxghqdDF4b/nxfxwIu7n9/c/fLH3a8/Aimwc6snxWtgArLL&#10;z5UL//D/LnqkOGW0owfLoiTdogcOk5A5+jh+RBkhiaffbopo4MVjpFitq40V94H40VRWaB//lzJl&#10;N6ceZoldTpd9ZDrCoOtWuyXUh+ZDk4cN5NkUlYQNPHmSqERpmkVxLyo0YvdEJU5wAjw9isqhiEoy&#10;8GIfokIwSAkoidtzWErSbEtUaEbDYc85asoj+9RhaAqk3Q8lKs/UFMJYiPudKKUup3SSxMerROWo&#10;KZPgoBKVbODFXjQli2OKe015IFE5aspGRnvgeQqD3GIPmkIp0AKSE1/84CRNj5py2MUPwwMv1jQF&#10;Z2vJ67OKH0Iz4vJUyFMwTXAGScnmnsNCVz53iSyhURbus/pxoViVQwex1bPoAfhfXHumDPLEDn0a&#10;E5JtgZ+FiRd8X0TQNNtr5XmA2JMB+83SjTyhdENlXbXfu5LT+d13hqIoiXwaDuwnDBPYXDfI77pB&#10;voIjYZLBKoHB3WX/R9kZKqBH1Pn00nL/kPIttqNh+GKCEAqtnz4jPxLk8DuHDNZzl1StbZ4kcSvk&#10;JZ3DtcYyJkmyXeRjiqH3PEhIHFForD8qIc/qHB6gfq9ab/tAn4Q4Zn05hGkab2+e0KCD9nmv30fw&#10;2V77W/DGhMR95sKg1bUNfkxpOvS3SBoSWHgfKfO7t1pt7rf2/mWiewO4fu7ffb1/gXr2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MGAABbQ29u&#10;dGVudF9UeXBlc10ueG1sUEsBAhQACgAAAAAAh07iQAAAAAAAAAAAAAAAAAYAAAAAAAAAAAAQAAAA&#10;xQUAAF9yZWxzL1BLAQIUABQAAAAIAIdO4kCKFGY80QAAAJQBAAALAAAAAAAAAAEAIAAAAOkFAABf&#10;cmVscy8ucmVsc1BLAQIUAAoAAAAAAIdO4kAAAAAAAAAAAAAAAAAEAAAAAAAAAAAAEAAAAAAAAABk&#10;cnMvUEsBAhQAFAAAAAgAh07iQHFy6svVAAAABQEAAA8AAAAAAAAAAQAgAAAAIgAAAGRycy9kb3du&#10;cmV2LnhtbFBLAQIUABQAAAAIAIdO4kBOqVGZdQQAAIgdAAAOAAAAAAAAAAEAIAAAACQBAABkcnMv&#10;ZTJvRG9jLnhtbFBLBQYAAAAABgAGAFkBAAALCAAAAAA=&#10;">
                        <v:fill on="t" focussize="0,0"/>
                        <v:stroke on="f"/>
                        <v:imagedata o:title=""/>
                        <o:lock v:ext="edit" aspectratio="t"/>
                      </v:shape>
                      <v:shape id="自选图形 220" o:spid="_x0000_s1026" o:spt="32" type="#_x0000_t32" style="position:absolute;left:1604010;top:829945;height:635;width:214630;" filled="f" stroked="t" coordsize="21600,21600" o:gfxdata="UEsDBAoAAAAAAIdO4kAAAAAAAAAAAAAAAAAEAAAAZHJzL1BLAwQUAAAACACHTuJAyffYJdYAAAAF&#10;AQAADwAAAGRycy9kb3ducmV2LnhtbE2PT0vEMBDF74LfIYzgzU13oaVbmy7oIvai4K6Ix2wzNsFm&#10;UprsPz+9oxe9DDze473f1KuTH8QBp+gCKZjPMhBIXTCOegWv24ebEkRMmoweAqGCM0ZYNZcXta5M&#10;ONILHjapF1xCsdIKbEpjJWXsLHodZ2FEYu8jTF4nllMvzaSPXO4HuciyQnrtiBesHvHeYve52XsF&#10;af1+tsVbd7d0z9vHp8J9tW27Vur6ap7dgkh4Sn9h+MFndGiYaRf2ZKIYFPAj6feyV+bLHMROwaLM&#10;S5BNLf/TN99QSwMEFAAAAAgAh07iQJwcXbYLAgAA9gMAAA4AAABkcnMvZTJvRG9jLnhtbK1TzY7T&#10;MBC+I/EOlu80bbattlXTPbQsFwQrAQ/gOk5iyX+a8TbtjRviGbhx5B3gbVaCt2DslC0sQtoDOTjj&#10;zMzn7/syXl0drGF7Bai9q/hkNOZMOelr7dqKv3t7/eySM4zC1cJ4pyp+VMiv1k+frPqwVKXvvKkV&#10;MAJxuOxDxbsYw7IoUHbKChz5oBwlGw9WRNpCW9QgekK3pijH43nRe6gDeKkQ6et2SPITIjwG0DeN&#10;lmrr5a1VLg6ooIyIJAk7HZCvM9umUTK+bhpUkZmKk9KYVzqE4l1ai/VKLFsQodPyREE8hsIDTVZo&#10;R4feQ21FFOwW9F9QVkvw6Js4kt4Wg5DsCKmYjB9486YTQWUtZDWGe9Px/8HKV/sbYLqu+GzKmROW&#10;/vj3D19+vP949+nb3dfPrCyzSX3AJdVu3A2QZWmH4QaS4kMDNr1JCzvQQM3HU1LC2bHil+ViMZ0N&#10;HqtDZJLy5WQ6v6C0pPz8IieLM0gAjC+UtywFFccIQrdd3Hjn6Fd6mGSTxf4lRqJBjb8aEgPjWF/x&#10;xaycEbyg0WxoJCi0geSha3MveqPra21M6kBodxsDbC/SeOQnsSXcP8rSIVuB3VCXU4OoTon6uatZ&#10;PAbyzdF94YmCVTVnRtH1SlEesSi0OVdG0MK15h/VdLxxxOLscop2vj5m8/N3GofM8zS6ad5+3+fu&#10;83Vd/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J99gl1gAAAAUBAAAPAAAAAAAAAAEAIAAAACIA&#10;AABkcnMvZG93bnJldi54bWxQSwECFAAUAAAACACHTuJAnBxdtgsCAAD2AwAADgAAAAAAAAABACAA&#10;AAAlAQAAZHJzL2Uyb0RvYy54bWxQSwUGAAAAAAYABgBZAQAAogUAAAAA&#10;">
                        <v:fill on="f" focussize="0,0"/>
                        <v:stroke color="#000000" joinstyle="round" endarrow="block"/>
                        <v:imagedata o:title=""/>
                        <o:lock v:ext="edit" aspectratio="f"/>
                      </v:shape>
                      <v:shape id="文本框 221" o:spid="_x0000_s1026" o:spt="202" type="#_x0000_t202" style="position:absolute;left:1818640;top:692785;height:293370;width:1070610;" filled="f" stroked="t" coordsize="21600,21600" o:gfxdata="UEsDBAoAAAAAAIdO4kAAAAAAAAAAAAAAAAAEAAAAZHJzL1BLAwQUAAAACACHTuJAl1bS8dQAAAAF&#10;AQAADwAAAGRycy9kb3ducmV2LnhtbE2PzU7DMBCE70i8g7VI3KjTVKFpiNMDhTsNBa5OvE0i7HUU&#10;uz/w9F24wGWl0ezOfFuuz86KI05h8KRgPktAILXeDNQp2L0+3+UgQtRktPWECr4wwLq6vip1YfyJ&#10;tnisYyc4hEKhFfQxjoWUoe3R6TDzIxJ7ez85HVlOnTSTPnG4szJNknvp9EDc0OsRH3tsP+uDY4z0&#10;Y7fYvNS4XOpmsXn6flvt361Stzfz5AFExHP8W4YffL6BipkafyAThFXAj8TfyV6erTIQjYI0z3KQ&#10;VSn/01cXUEsDBBQAAAAIAIdO4kB8jOh5FAIAABsEAAAOAAAAZHJzL2Uyb0RvYy54bWytU82O0zAQ&#10;viPxDpbvNGmWdtuq6UpQlgsCpIUHcG0nseQ/edwmfQF4A05cuPNcfY4dO91dWC490EM68Xz5Zr5v&#10;xuubwWhykAGUszWdTkpKpOVOKNvW9OuX21cLSiAyK5h2Vtb0KIHebF6+WPd+JSvXOS1kIEhiYdX7&#10;mnYx+lVRAO+kYTBxXlpMNi4YFvE1tIUIrEd2o4uqLOdF74LwwXEJgKfbMUnPjOESQtc0isut43sj&#10;bRxZg9QsoiTolAe6yd02jeTxU9OAjETXFJXG/MQiGO/Ss9is2aoNzHeKn1tgl7TwTJNhymLRR6ot&#10;i4zsg/qHyigeHLgmTrgzxSgkO4IqpuUzb+465mXWglaDfzQd/h8t/3j4HIgSNZ3NKLHM4MRPP76f&#10;fv4+/fpGqmqaHOo9rBB45xEahzduwL15OAc8TMKHJpj0j5JIyi+mi/lrdPlY0/myul7MRqvlEAlP&#10;+fK6nE8xzxFQLa+urvMsiiciHyC+l86QFNQ04Cizw+zwASI2hdAHSKpr3a3SOo9TW9LXdDmrUBFn&#10;uKINrgaGxqNMsG2mAaeVSJ+kjyG0u7c6kANLa5J/qV0s8Rcs1dsy6EZcTo2qjIoy5NqdZOKdFSQe&#10;PTpp8QbR1IyRghIt8cKlKCMjU/oSJDahLfaShjCanaI47AakSeHOiSMOZu+Dajt0Ko8mw3Fnsojz&#10;fqel/PM9kz7d6c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1bS8dQAAAAFAQAADwAAAAAAAAAB&#10;ACAAAAAiAAAAZHJzL2Rvd25yZXYueG1sUEsBAhQAFAAAAAgAh07iQHyM6HkUAgAAGwQAAA4AAAAA&#10;AAAAAQAgAAAAIwEAAGRycy9lMm9Eb2MueG1sUEsFBgAAAAAGAAYAWQEAAKkFAAAAAA==&#10;">
                        <v:fill on="f" focussize="0,0"/>
                        <v:stroke color="#000000" joinstyle="miter"/>
                        <v:imagedata o:title=""/>
                        <o:lock v:ext="edit" aspectratio="f"/>
                        <v:textbox>
                          <w:txbxContent>
                            <w:p>
                              <w:r>
                                <w:rPr>
                                  <w:rFonts w:hint="eastAsia"/>
                                </w:rPr>
                                <w:t>机械加工成型</w:t>
                              </w:r>
                            </w:p>
                          </w:txbxContent>
                        </v:textbox>
                      </v:shape>
                      <v:shape id="自选图形 276" o:spid="_x0000_s1026" o:spt="32" type="#_x0000_t32" style="position:absolute;left:2889250;top:842645;height:635;width:257175;" filled="f" stroked="t" coordsize="21600,21600" o:gfxdata="UEsDBAoAAAAAAIdO4kAAAAAAAAAAAAAAAAAEAAAAZHJzL1BLAwQUAAAACACHTuJAyffYJdYAAAAF&#10;AQAADwAAAGRycy9kb3ducmV2LnhtbE2PT0vEMBDF74LfIYzgzU13oaVbmy7oIvai4K6Ix2wzNsFm&#10;UprsPz+9oxe9DDze473f1KuTH8QBp+gCKZjPMhBIXTCOegWv24ebEkRMmoweAqGCM0ZYNZcXta5M&#10;ONILHjapF1xCsdIKbEpjJWXsLHodZ2FEYu8jTF4nllMvzaSPXO4HuciyQnrtiBesHvHeYve52XsF&#10;af1+tsVbd7d0z9vHp8J9tW27Vur6ap7dgkh4Sn9h+MFndGiYaRf2ZKIYFPAj6feyV+bLHMROwaLM&#10;S5BNLf/TN99QSwMEFAAAAAgAh07iQJ90DK4NAgAA9gMAAA4AAABkcnMvZTJvRG9jLnhtbK1TzY7T&#10;MBC+I/EOlu80bdik3ajpHlqWC4JKwANMHSex5D/Z3qa9cUM8AzeOvAP7NivBWzB2yhYWIe2BHJxx&#10;Zubz930ZL68OSpI9d14YXdPZZEoJ18w0Qnc1ff/u+tmCEh9ANyCN5jU9ck+vVk+fLAdb8dz0Rjbc&#10;EQTRvhpsTfsQbJVlnvVcgZ8YyzUmW+MUBNy6LmscDIiuZJZPp2U2GNdYZxj3Hr9uxiQ9IbrHAJq2&#10;FYxvDLtRXIcR1XEJASX5XlhPV4lt23IW3rSt54HImqLSkFY8BONdXLPVEqrOge0FO1GAx1B4oEmB&#10;0HjoPdQGApAbJ/6CUoI5400bJsyobBSSHEEVs+kDb972YHnSglZ7e2+6/3+w7PV+64hoalqUlGhQ&#10;+Me/f/z648Onu8+3d9++kHxeRpMG6yusXeutO+283bqo+NA6Fd+ohRxqmi8Wl3mB9h5rurjIy4ti&#10;9JgfAmExX8xn84IShvnyeUpmZxDrfHjJjSIxqKkPDkTXh7XRGn+lcbNkMuxf+YA0sPFXQ2QgNRlq&#10;elnkER5wNFscCQyVRXled6nXGymaayFl7PCu262lI3uI45GeyBZx/yiLh2zA92NdSo2ieg7NC92Q&#10;cLTom8b7QiMFxRtKJMfrFSMEhCqAkOfK4AToTv6jGo+XGllEz0eXY7QzzTGZn77jOCSep9GN8/b7&#10;PnWfr+v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n32CXWAAAABQEAAA8AAAAAAAAAAQAgAAAA&#10;IgAAAGRycy9kb3ducmV2LnhtbFBLAQIUABQAAAAIAIdO4kCfdAyuDQIAAPYDAAAOAAAAAAAAAAEA&#10;IAAAACUBAABkcnMvZTJvRG9jLnhtbFBLBQYAAAAABgAGAFkBAACkBQAAAAA=&#10;">
                        <v:fill on="f" focussize="0,0"/>
                        <v:stroke color="#000000" joinstyle="round" endarrow="block"/>
                        <v:imagedata o:title=""/>
                        <o:lock v:ext="edit" aspectratio="f"/>
                      </v:shape>
                      <v:shape id="文本框 221" o:spid="_x0000_s1026" o:spt="202" type="#_x0000_t202" style="position:absolute;left:3169285;top:683895;height:293370;width:494030;" filled="f" stroked="t" coordsize="21600,21600" o:gfxdata="UEsDBAoAAAAAAIdO4kAAAAAAAAAAAAAAAAAEAAAAZHJzL1BLAwQUAAAACACHTuJAl1bS8dQAAAAF&#10;AQAADwAAAGRycy9kb3ducmV2LnhtbE2PzU7DMBCE70i8g7VI3KjTVKFpiNMDhTsNBa5OvE0i7HUU&#10;uz/w9F24wGWl0ezOfFuuz86KI05h8KRgPktAILXeDNQp2L0+3+UgQtRktPWECr4wwLq6vip1YfyJ&#10;tnisYyc4hEKhFfQxjoWUoe3R6TDzIxJ7ez85HVlOnTSTPnG4szJNknvp9EDc0OsRH3tsP+uDY4z0&#10;Y7fYvNS4XOpmsXn6flvt361Stzfz5AFExHP8W4YffL6BipkafyAThFXAj8TfyV6erTIQjYI0z3KQ&#10;VSn/01cXUEsDBBQAAAAIAIdO4kAfY3l5FQIAABoEAAAOAAAAZHJzL2Uyb0RvYy54bWytU0uOEzEQ&#10;3SNxB8t70klnkkmidEaCMGwQIA0cwLHd3Zb8k8tJdy4AN2DFhj3nyjkouzNfNlmQRafa9fpVvVfl&#10;9U1vNDnIAMrZik5GY0qk5U4o21T029fbNwtKIDIrmHZWVvQogd5sXr9ad34lS9c6LWQgSGJh1fmK&#10;tjH6VVEAb6VhMHJeWkzWLhgW8TU0hQisQ3aji3I8nhedC8IHxyUAnm6HJD0zhksIXV0rLreO7420&#10;cWANUrOIkqBVHugmd1vXksfPdQ0yEl1RVBrzE4tgvEvPYrNmqyYw3yp+boFd0sILTYYpi0UfqLYs&#10;MrIP6h8qo3hw4Oo44s4Ug5DsCKqYjF94c9cyL7MWtBr8g+nw/2j5p8OXQJSo6OyaEssMTvz088fp&#10;15/T7++kLCfJoc7DCoF3HqGxf+t63Jv7c8DDJLyvg0n/KIlgfjqZL8vFjJJjReeL6WI5G6yWfSQc&#10;81fLq/EUh8AxXy6n0+s8iuKRxweIH6QzJAUVDTjJbDA7fISIPSH0HpLKWnertM7T1JZ0FV3OSqzO&#10;GW5ojZuBofGoEmyTacBpJdIn6WMIze6dDuTA0pbkX+oWSzyDpXpbBu2Ay6lBlFFRhly7lUy8t4LE&#10;o0cjLV4gmpoxUlCiJd63FGVkZEpfgsQmtMVe0gwGr1MU+12PNCncOXHEuex9UE2LTuXJZDiuTBZx&#10;Xu+0k0/fM+njld7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dW0vHUAAAABQEAAA8AAAAAAAAA&#10;AQAgAAAAIgAAAGRycy9kb3ducmV2LnhtbFBLAQIUABQAAAAIAIdO4kAfY3l5FQIAABoEAAAOAAAA&#10;AAAAAAEAIAAAACMBAABkcnMvZTJvRG9jLnhtbFBLBQYAAAAABgAGAFkBAACqBQAAAAA=&#10;">
                        <v:fill on="f" focussize="0,0"/>
                        <v:stroke color="#000000" joinstyle="miter"/>
                        <v:imagedata o:title=""/>
                        <o:lock v:ext="edit" aspectratio="f"/>
                        <v:textbox>
                          <w:txbxContent>
                            <w:p>
                              <w:r>
                                <w:rPr>
                                  <w:rFonts w:hint="eastAsia"/>
                                </w:rPr>
                                <w:t>焊接</w:t>
                              </w:r>
                            </w:p>
                            <w:p/>
                          </w:txbxContent>
                        </v:textbox>
                      </v:shape>
                      <v:shape id="自选图形 276" o:spid="_x0000_s1026" o:spt="32" type="#_x0000_t32" style="position:absolute;left:3660140;top:842010;height:635;width:257175;" filled="f" stroked="t" coordsize="21600,21600" o:gfxdata="UEsDBAoAAAAAAIdO4kAAAAAAAAAAAAAAAAAEAAAAZHJzL1BLAwQUAAAACACHTuJAyffYJdYAAAAF&#10;AQAADwAAAGRycy9kb3ducmV2LnhtbE2PT0vEMBDF74LfIYzgzU13oaVbmy7oIvai4K6Ix2wzNsFm&#10;UprsPz+9oxe9DDze473f1KuTH8QBp+gCKZjPMhBIXTCOegWv24ebEkRMmoweAqGCM0ZYNZcXta5M&#10;ONILHjapF1xCsdIKbEpjJWXsLHodZ2FEYu8jTF4nllMvzaSPXO4HuciyQnrtiBesHvHeYve52XsF&#10;af1+tsVbd7d0z9vHp8J9tW27Vur6ap7dgkh4Sn9h+MFndGiYaRf2ZKIYFPAj6feyV+bLHMROwaLM&#10;S5BNLf/TN99QSwMEFAAAAAgAh07iQB2zCj4LAgAA9gMAAA4AAABkcnMvZTJvRG9jLnhtbK1TzW4T&#10;MRC+I/EOlu9kk7RJyiqbHhLKBUEl4AEmXu+uJf/J42aTGzfEM3DjyDvQt6kEb8HYGxooQuqBPXjH&#10;npnP832eWV7ujWY7GVA5W/HJaMyZtMLVyrYVf//u6tkFZxjB1qCdlRU/SOSXq6dPlr0v5dR1Ttcy&#10;MAKxWPa+4l2MviwKFJ00gCPnpSVn44KBSNvQFnWAntCNLqbj8bzoXah9cEIi0ulmcPIjYngMoGsa&#10;JeTGiRsjbRxQg9QQiRJ2yiNf5WqbRor4pmlQRqYrTkxjXukSsrdpLVZLKNsAvlPiWAI8poQHnAwo&#10;S5feQ20gArsJ6i8oo0Rw6Jo4Es4UA5GsCLGYjB9o87YDLzMXkhr9vej4/2DF6911YKqu+Ize3YKh&#10;F//+8euPD5/uPt/effvCpot5Eqn3WFLs2l6H4w79dUiM900w6U9c2L7iZ/P5eHJO8h4qfnGeSA0a&#10;y31kgvzT2WKymHEmyD8/myVncQLxAeNL6QxLRsUxBlBtF9fOWnpKFyZZZNi9wjgk/kpIFWjL+oo/&#10;n00TPFBrNtQSZBpP9NC2ORedVvWV0jplYGi3ax3YDlJ75O9Y0B9h6ZINYDfEZddAqpNQv7A1iwdP&#10;ulmaF55KMLLmTEsar2RRoVBGUPoUGYMC2+p/RJMe2pIsSfNB5WRtXX3I4udzaocs3LF1U7/9vs/Z&#10;p3F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J99gl1gAAAAUBAAAPAAAAAAAAAAEAIAAAACIA&#10;AABkcnMvZG93bnJldi54bWxQSwECFAAUAAAACACHTuJAHbMKPgsCAAD2AwAADgAAAAAAAAABACAA&#10;AAAlAQAAZHJzL2Uyb0RvYy54bWxQSwUGAAAAAAYABgBZAQAAogUAAAAA&#10;">
                        <v:fill on="f" focussize="0,0"/>
                        <v:stroke color="#000000" joinstyle="round" endarrow="block"/>
                        <v:imagedata o:title=""/>
                        <o:lock v:ext="edit" aspectratio="f"/>
                      </v:shape>
                      <v:shape id="文本框 221" o:spid="_x0000_s1026" o:spt="202" type="#_x0000_t202" style="position:absolute;left:3955415;top:692785;height:293370;width:494030;" filled="f" stroked="t" coordsize="21600,21600" o:gfxdata="UEsDBAoAAAAAAIdO4kAAAAAAAAAAAAAAAAAEAAAAZHJzL1BLAwQUAAAACACHTuJAl1bS8dQAAAAF&#10;AQAADwAAAGRycy9kb3ducmV2LnhtbE2PzU7DMBCE70i8g7VI3KjTVKFpiNMDhTsNBa5OvE0i7HUU&#10;uz/w9F24wGWl0ezOfFuuz86KI05h8KRgPktAILXeDNQp2L0+3+UgQtRktPWECr4wwLq6vip1YfyJ&#10;tnisYyc4hEKhFfQxjoWUoe3R6TDzIxJ7ez85HVlOnTSTPnG4szJNknvp9EDc0OsRH3tsP+uDY4z0&#10;Y7fYvNS4XOpmsXn6flvt361Stzfz5AFExHP8W4YffL6BipkafyAThFXAj8TfyV6erTIQjYI0z3KQ&#10;VSn/01cXUEsDBBQAAAAIAIdO4kDedB++FgIAABoEAAAOAAAAZHJzL2Uyb0RvYy54bWytU82O0zAQ&#10;viPxDpbvNGna7G6qpitBWS4IkBYewHWcxJL/5HGb9AXgDThx4c5z9TkYO91dWC490EM68Xz5Zr5v&#10;xuvbUStyEB6kNTWdz3JKhOG2kaar6ZfPd69uKIHATMOUNaKmRwH0dvPyxXpwK1HY3qpGeIIkBlaD&#10;q2kfgltlGfBeaAYz64TBZGu9ZgFffZc1ng3IrlVW5PlVNljfOG+5AMDT7ZSkZ0Z/CaFtW8nF1vK9&#10;FiZMrF4oFlAS9NIB3aRu21bw8LFtQQSiaopKQ3piEYx38Zlt1mzVeeZ6yc8tsEtaeKZJM2mw6CPV&#10;lgVG9l7+Q6Ul9xZsG2bc6mwSkhxBFfP8mTf3PXMiaUGrwT2aDv+Pln84fPJENjUtK0oM0zjx0/dv&#10;px+/Tj+/kqKYR4cGBysE3juEhvG1HXFvHs4BD6PwsfU6/qMkgvlFVZbLeUnJsaZXVXF9U05WizEQ&#10;jvlltcwXOASO+aJaLK7TKLInHuchvBNWkxjU1OMkk8Hs8B4C9oTQB0gsa+ydVCpNUxky1LQqC6zO&#10;GW5oi5uBoXaoEkyXaMAq2cRP4sfgu90b5cmBxS1Jv9gtlvgLFuttGfQTLqUmUVoG4VPtXrDmrWlI&#10;ODo00uAForEZLRpKlMD7FqOEDEyqS5DYhDLYS5zB5HWMwrgbkSaGO9sccS5752XXo1NpMgmOK5NE&#10;nNc77uSf74n06Up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VtLx1AAAAAUBAAAPAAAAAAAA&#10;AAEAIAAAACIAAABkcnMvZG93bnJldi54bWxQSwECFAAUAAAACACHTuJA3nQfvhYCAAAaBAAADgAA&#10;AAAAAAABACAAAAAjAQAAZHJzL2Uyb0RvYy54bWxQSwUGAAAAAAYABgBZAQAAqwUAAAAA&#10;">
                        <v:fill on="f" focussize="0,0"/>
                        <v:stroke color="#000000" joinstyle="miter"/>
                        <v:imagedata o:title=""/>
                        <o:lock v:ext="edit" aspectratio="f"/>
                        <v:textbox>
                          <w:txbxContent>
                            <w:p>
                              <w:r>
                                <w:rPr>
                                  <w:rFonts w:hint="eastAsia"/>
                                </w:rPr>
                                <w:t>组装</w:t>
                              </w:r>
                            </w:p>
                          </w:txbxContent>
                        </v:textbox>
                      </v:shape>
                      <v:shape id="自选图形 276" o:spid="_x0000_s1026" o:spt="32" type="#_x0000_t32" style="position:absolute;left:4449445;top:817880;height:635;width:257175;" filled="f" stroked="t" coordsize="21600,21600" o:gfxdata="UEsDBAoAAAAAAIdO4kAAAAAAAAAAAAAAAAAEAAAAZHJzL1BLAwQUAAAACACHTuJAyffYJdYAAAAF&#10;AQAADwAAAGRycy9kb3ducmV2LnhtbE2PT0vEMBDF74LfIYzgzU13oaVbmy7oIvai4K6Ix2wzNsFm&#10;UprsPz+9oxe9DDze473f1KuTH8QBp+gCKZjPMhBIXTCOegWv24ebEkRMmoweAqGCM0ZYNZcXta5M&#10;ONILHjapF1xCsdIKbEpjJWXsLHodZ2FEYu8jTF4nllMvzaSPXO4HuciyQnrtiBesHvHeYve52XsF&#10;af1+tsVbd7d0z9vHp8J9tW27Vur6ap7dgkh4Sn9h+MFndGiYaRf2ZKIYFPAj6feyV+bLHMROwaLM&#10;S5BNLf/TN99QSwMEFAAAAAgAh07iQKT5McAKAgAA9gMAAA4AAABkcnMvZTJvRG9jLnhtbK1TS44T&#10;MRDdI3EHy3vSSchvWunMImHYIBgJOIBju7st+SeXJ53s2CHOwI4ld2BuMxLcgrK7mcAgpFnQC3fZ&#10;VfVc77lqfXk0mhxkAOVsRSejMSXScieUbSr6/t3VsxUlEJkVTDsrK3qSQC83T5+sO1/KqWudFjIQ&#10;BLFQdr6ibYy+LArgrTQMRs5Li87aBcMibkNTiMA6RDe6mI7Hi6JzQfjguATA013vpANieAygq2vF&#10;5c7xGyNt7FGD1CwiJWiVB7rJ1da15PFNXYOMRFcUmca84iVo79NabNasbALzreJDCewxJTzgZJiy&#10;eOk91I5FRm6C+gvKKB4cuDqOuDNFTyQrgiwm4wfavG2Zl5kLSg3+XnT4f7D89eE6ECUqukBJLDP4&#10;4t8/fv3x4dPd59u7b1/IdLlIInUeSozd2usw7MBfh8T4WAeT/siFHCs6m80uZrM5JaeKribL1WrQ&#10;WB4j4eifzpeTJbo5+hfP5wm7OIP4APGldIYko6IQA1NNG7fOWnxKFyZZZHZ4BbFP/JWQKtCWdBW9&#10;mE8TPMPWrLEl0DQe6YFtci44rcSV0jplQGj2Wx3IgaX2yN9Q0B9h6ZIdg7aPy64UxspWMvHCChJP&#10;HnWzOC80lWCkoERLHK9k5cjIlD5HxqCYbfQ/olEPbVGWpHmvcrL2Tpyy+Pkc2yELN7Ru6rff9zn7&#10;PK6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n32CXWAAAABQEAAA8AAAAAAAAAAQAgAAAAIgAA&#10;AGRycy9kb3ducmV2LnhtbFBLAQIUABQAAAAIAIdO4kCk+THACgIAAPYDAAAOAAAAAAAAAAEAIAAA&#10;ACUBAABkcnMvZTJvRG9jLnhtbFBLBQYAAAAABgAGAFkBAAChBQAAAAA=&#10;">
                        <v:fill on="f" focussize="0,0"/>
                        <v:stroke color="#000000" joinstyle="round" endarrow="block"/>
                        <v:imagedata o:title=""/>
                        <o:lock v:ext="edit" aspectratio="f"/>
                      </v:shape>
                      <v:shape id="文本框 219" o:spid="_x0000_s1026" o:spt="202" type="#_x0000_t202" style="position:absolute;left:1349375;top:1471930;height:342900;width:2606040;" filled="f" stroked="f" coordsize="21600,21600" o:gfxdata="UEsDBAoAAAAAAIdO4kAAAAAAAAAAAAAAAAAEAAAAZHJzL1BLAwQUAAAACACHTuJAUjRGgtQAAAAF&#10;AQAADwAAAGRycy9kb3ducmV2LnhtbE2PzU7DMBCE70i8g7VI3KjdiqA0zaYHEFcQ5Ufi5sbbJGq8&#10;jmK3CW/PwgUuK41mNPNtuZ19r840xi4wwnJhQBHXwXXcILy9Pt7koGKy7GwfmBC+KMK2urwobeHC&#10;xC903qVGSQnHwiK0KQ2F1rFuydu4CAOxeIcweptEjo12o52k3Pd6Zcyd9rZjWWjtQPct1cfdySO8&#10;Px0+P27Nc/Pgs2EKs9Hs1xrx+mppNqASzekvDD/4gg6VMO3DiV1UPYI8kn6veHm2zkDtEVZ5loOu&#10;Sv2fvvoGUEsDBBQAAAAIAIdO4kD8ofBEugEAAF0DAAAOAAAAZHJzL2Uyb0RvYy54bWytU0uOEzEQ&#10;3SNxB8t70p+EDGmlMxKKhg0CpIEDOG47bck/uZx05wJwA1Zs2HOunIOy0zPDzGxmwcZdrnp6Ve+V&#10;e309Gk2OIoBytqXVrKREWO46Zfct/fb15s07SiAy2zHtrGjpSQC93rx+tR58I2rXO92JQJDEQjP4&#10;lvYx+qYogPfCMJg5LywWpQuGRbyGfdEFNiC70UVdlsticKHzwXEBgNntpUgnxvASQiel4mLr+MEI&#10;Gy+sQWgWURL0ygPd5GmlFDx+lhJEJLqlqDTmE5tgvEtnsVmzZh+Y7xWfRmAvGeGJJsOUxab3VFsW&#10;GTkE9YzKKB4cOBln3JniIiQ7giqq8ok3tz3zImtBq8Hfmw7/j5Z/On4JRHUtXVaUWGZw4+efP86/&#10;/px/fyd1tUoODR4aBN56hMbxvRvx3dzlAZNJ+CiDSV+URFJ9vljNr95ScsJ4cVWt5pPXYoyEI6Be&#10;lstygWvgiJgv6lWZAcUDkw8QPwhnSApaGnCX2WJ2/AgRp0LoHSQ1tu5GaZ33qe2jBAJTpkgyLuOm&#10;KI67cdK2c90JpR18UPseW2VxGY6u50bTC0lr/feeSR/+is1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jRGgtQAAAAFAQAADwAAAAAAAAABACAAAAAiAAAAZHJzL2Rvd25yZXYueG1sUEsBAhQAFAAA&#10;AAgAh07iQPyh8ES6AQAAXQMAAA4AAAAAAAAAAQAgAAAAIwEAAGRycy9lMm9Eb2MueG1sUEsFBgAA&#10;AAAGAAYAWQEAAE8FAAAAAA==&#10;">
                        <v:fill on="f" focussize="0,0"/>
                        <v:stroke on="f"/>
                        <v:imagedata o:title=""/>
                        <o:lock v:ext="edit" aspectratio="f"/>
                        <v:textbox>
                          <w:txbxContent>
                            <w:p>
                              <w:pPr>
                                <w:rPr>
                                  <w:b/>
                                </w:rPr>
                              </w:pPr>
                              <w:r>
                                <w:rPr>
                                  <w:rFonts w:hint="eastAsia" w:hAnsi="宋体"/>
                                  <w:b/>
                                </w:rPr>
                                <w:t>图</w:t>
                              </w:r>
                              <w:r>
                                <w:rPr>
                                  <w:rFonts w:hint="eastAsia"/>
                                  <w:b/>
                                </w:rPr>
                                <w:t>3</w:t>
                              </w:r>
                              <w:r>
                                <w:rPr>
                                  <w:b/>
                                </w:rPr>
                                <w:t xml:space="preserve"> </w:t>
                              </w:r>
                              <w:r>
                                <w:rPr>
                                  <w:rFonts w:hint="eastAsia" w:hAnsi="宋体"/>
                                  <w:b/>
                                </w:rPr>
                                <w:t>项目生产工艺流程及产污环节图</w:t>
                              </w:r>
                            </w:p>
                          </w:txbxContent>
                        </v:textbox>
                      </v:shape>
                      <v:shape id="文本框 221" o:spid="_x0000_s1026" o:spt="202" type="#_x0000_t202" style="position:absolute;left:861695;top:453390;height:648970;width:907415;" filled="f" stroked="f" coordsize="21600,21600" o:gfxdata="UEsDBAoAAAAAAIdO4kAAAAAAAAAAAAAAAAAEAAAAZHJzL1BLAwQUAAAACACHTuJAUjRGgtQAAAAF&#10;AQAADwAAAGRycy9kb3ducmV2LnhtbE2PzU7DMBCE70i8g7VI3KjdiqA0zaYHEFcQ5Ufi5sbbJGq8&#10;jmK3CW/PwgUuK41mNPNtuZ19r840xi4wwnJhQBHXwXXcILy9Pt7koGKy7GwfmBC+KMK2urwobeHC&#10;xC903qVGSQnHwiK0KQ2F1rFuydu4CAOxeIcweptEjo12o52k3Pd6Zcyd9rZjWWjtQPct1cfdySO8&#10;Px0+P27Nc/Pgs2EKs9Hs1xrx+mppNqASzekvDD/4gg6VMO3DiV1UPYI8kn6veHm2zkDtEVZ5loOu&#10;Sv2fvvoGUEsDBBQAAAAIAIdO4kCtZKUOuQEAAFoDAAAOAAAAZHJzL2Uyb0RvYy54bWytU0tu2zAQ&#10;3RfIHQjua0qKo9iC5QCFkWyKtkDaA9AUaRHgDyRtyRdob9BVN933XD5Hh7Ty7SaLbqjhvMGbeW+o&#10;1c2oFTpwH6Q1LS5nBUbcMNtJs2vxt6+37xcYhUhNR5U1vMVHHvDN+uLdanANr2xvVcc9AhITmsG1&#10;uI/RNYQE1nNNw8w6bgAU1msa4ep3pPN0AHatSFUUNRms75y3jIcA2c0ZxBOjfwuhFUIyvrFsr7mJ&#10;Z1bPFY0gKfTSBbzO0wrBWfwsROARqRaD0phPaALxNp1kvaLNzlPXSzaNQN8ywitNmkoDTR+pNjRS&#10;tPfyHyotmbfBijhjVpOzkOwIqCiLV97c99TxrAWsDu7R9PD/aNmnwxePZNfiusLIUA0bP/38cfr1&#10;5/T7O6qqMjk0uNBA4b2D0jh+sCO8m4d8gGQSPgqv0xckIcAXdVkvrzA6tnh+dXm5nJzmY0QM4GVx&#10;PS8BZoDX88XyOuPkicb5EO+41SgFLfawyOwvPXwMEUaC0oeS1NXYW6lUXqYyLxJQmDIkaTjPmqI4&#10;bsdJ2NZ2R9C1d17uemiVleVysDw3mp5H2unzeyZ9+iX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SNEaC1AAAAAUBAAAPAAAAAAAAAAEAIAAAACIAAABkcnMvZG93bnJldi54bWxQSwECFAAUAAAA&#10;CACHTuJArWSlDrkBAABaAwAADgAAAAAAAAABACAAAAAjAQAAZHJzL2Uyb0RvYy54bWxQSwUGAAAA&#10;AAYABgBZAQAATgUAAAAA&#10;">
                        <v:fill on="f" focussize="0,0"/>
                        <v:stroke on="f"/>
                        <v:imagedata o:title=""/>
                        <o:lock v:ext="edit" aspectratio="f"/>
                        <v:textbox>
                          <w:txbxContent>
                            <w:p>
                              <w:r>
                                <w:rPr>
                                  <w:rFonts w:hint="eastAsia"/>
                                </w:rPr>
                                <w:t>不锈钢型材</w:t>
                              </w:r>
                            </w:p>
                            <w:p>
                              <w:pPr>
                                <w:jc w:val="center"/>
                              </w:pPr>
                              <w:r>
                                <w:rPr>
                                  <w:rFonts w:hint="eastAsia"/>
                                </w:rPr>
                                <w:t>普板</w:t>
                              </w:r>
                            </w:p>
                            <w:p>
                              <w:pPr>
                                <w:jc w:val="center"/>
                              </w:pPr>
                              <w:r>
                                <w:rPr>
                                  <w:rFonts w:hint="eastAsia"/>
                                </w:rPr>
                                <w:t>普型板</w:t>
                              </w:r>
                            </w:p>
                          </w:txbxContent>
                        </v:textbox>
                      </v:shape>
                      <v:shape id="自选图形 236" o:spid="_x0000_s1026" o:spt="32" type="#_x0000_t32" style="position:absolute;left:2272030;top:361315;flip:y;height:307975;width:635;" filled="f" stroked="t" coordsize="21600,21600" o:gfxdata="UEsDBAoAAAAAAIdO4kAAAAAAAAAAAAAAAAAEAAAAZHJzL1BLAwQUAAAACACHTuJAkr67vNMAAAAF&#10;AQAADwAAAGRycy9kb3ducmV2LnhtbE2PwW6DMBBE75XyD9ZGyq2xE4mUUkwOkXroscAHGLzBKHiN&#10;bCek/fo6vbSXlUYzmnlbHu92Yjf0YXQkYbcVwJB6p0caJLTN+3MOLERFWk2OUMIXBjhWq6dSFdot&#10;9Im3Og4slVAolAQT41xwHnqDVoWtm5GSd3beqpikH7j2aknlduJ7IQ7cqpHSglEzngz2l/pqJfDO&#10;kP8+N+1hER9zu9T6pbFays16J96ARbzHvzA88BM6VImpc1fSgU0S0iPx9yYvz14zYJ2EfZ7lwKuS&#10;/6evfgBQSwMEFAAAAAgAh07iQJ1JVPAUAgAA/wMAAA4AAABkcnMvZTJvRG9jLnhtbK1TzY7TMBC+&#10;I/EOlu80aaK2bNV0Dy3LBUElfu6u7SSW/CePt2lv3BDPwI0j7wBvsxK8BWOn7MIipD2QQzT2eL75&#10;vs/j1eXRaHKQAZSzDZ1OSkqk5U4o2zX07ZurJ08pgcisYNpZ2dCTBHq5fvxoNfilrFzvtJCBIIiF&#10;5eAb2sfol0UBvJeGwcR5aTHZumBYxGXoChHYgOhGF1VZzovBBeGD4xIAd7djkp4Rw0MAXdsqLreO&#10;Xxtp44gapGYRJUGvPNB1Ztu2ksdXbQsyEt1QVBrzH5tgvE//Yr1iyy4w3yt+psAeQuGeJsOUxaa3&#10;UFsWGbkO6i8oo3hw4No44c4Uo5DsCKqYlve8ed0zL7MWtBr8renw/2D5y8MuECUaOq8psczgjX//&#10;8OXH+483n77dfP1MqnqeTBo8LPHsxu7CeQV+F5LiYxsMabXy73CasgeoihwbWlWLqqzR6FND6/m0&#10;ns5Gt+UxEo75eT2jhKdkubhY5GQxwiVYHyA+l86QFDQUYmCq6+PGWYuX6sLYih1eQERCWPirIBVr&#10;S4aGXsyq1IHhkLY4HBgaj0LBdpkmOK3EldI6VUDo9hsdyIGlQclfYou4fxxLTbYM+vGcwGjU1Esm&#10;nllB4smjgRYfDk0MjBSUaInvLEWIx5aRKX13MgbFbKf/cRq7a4skkvmj3SnaO3HKt5D3cS4yzfMM&#10;p8H7fZ2r797t+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Svru80wAAAAUBAAAPAAAAAAAAAAEA&#10;IAAAACIAAABkcnMvZG93bnJldi54bWxQSwECFAAUAAAACACHTuJAnUlU8BQCAAD/AwAADgAAAAAA&#10;AAABACAAAAAiAQAAZHJzL2Uyb0RvYy54bWxQSwUGAAAAAAYABgBZAQAAqAUAAAAA&#10;">
                        <v:fill on="f" focussize="0,0"/>
                        <v:stroke color="#000000" joinstyle="round" dashstyle="dash" endarrow="block"/>
                        <v:imagedata o:title=""/>
                        <o:lock v:ext="edit" aspectratio="f"/>
                      </v:shape>
                      <v:shape id="自选图形 236" o:spid="_x0000_s1026" o:spt="32" type="#_x0000_t32" style="position:absolute;left:3406140;top:361315;flip:y;height:307975;width:635;" filled="f" stroked="t" coordsize="21600,21600" o:gfxdata="UEsDBAoAAAAAAIdO4kAAAAAAAAAAAAAAAAAEAAAAZHJzL1BLAwQUAAAACACHTuJAkr67vNMAAAAF&#10;AQAADwAAAGRycy9kb3ducmV2LnhtbE2PwW6DMBBE75XyD9ZGyq2xE4mUUkwOkXroscAHGLzBKHiN&#10;bCek/fo6vbSXlUYzmnlbHu92Yjf0YXQkYbcVwJB6p0caJLTN+3MOLERFWk2OUMIXBjhWq6dSFdot&#10;9Im3Og4slVAolAQT41xwHnqDVoWtm5GSd3beqpikH7j2aknlduJ7IQ7cqpHSglEzngz2l/pqJfDO&#10;kP8+N+1hER9zu9T6pbFays16J96ARbzHvzA88BM6VImpc1fSgU0S0iPx9yYvz14zYJ2EfZ7lwKuS&#10;/6evfgBQSwMEFAAAAAgAh07iQKeQox4UAgAA/wMAAA4AAABkcnMvZTJvRG9jLnhtbK1TS47UMBDd&#10;I3EHy3s66V+GiTo9i26GDYKR+OyrbSex5J9sT6d7xw5xBnYsuQPcZiS4BWWnmYFBSLMgi6jscr16&#10;77m8ujhoRfbCB2lNQ6eTkhJhmOXSdA19++byyVNKQgTDQVkjGnoUgV6sHz9aDa4WM9tbxYUnCGJC&#10;PbiG9jG6uigC64WGMLFOGEy21muIuPRdwT0MiK5VMSvLqhis585bJkLA3e2YpCdE/xBA27aSia1l&#10;11qYOKJ6oSCipNBLF+g6s21bweKrtg0iEtVQVBrzH5tgvEv/Yr2CuvPgeslOFOAhFO5p0iANNr2F&#10;2kIEcu3lX1BaMm+DbeOEWV2MQrIjqGJa3vPmdQ9OZC1odXC3pof/B8te7q88kbyh1YISAxpv/PuH&#10;Lz/ef7z59O3m62cym1fJpMGFGs9uzJU/rYK78knxofWatEq6dzhN2QNURQ4NnS/KarpAo48YV9P5&#10;dDm6LQ6RMMxX8yUlLCXLs/OznCxGuATrfIjPhdUkBQ0N0YPs+rixxuClWj+2gv2LEJEQFv4qSMXK&#10;kKGh58tZ6gA4pC0OB4baodBgukwzWCX5pVQqVQTf7TbKkz2kQclfYou4fxxLTbYQ+vEcx2jU1Avg&#10;zwwn8ejQQIMPhyYGWnBKlMB3liLEgzqCVHcno5dgOvWP09hdGSSRzB/tTtHO8mO+hbyPc5FpnmY4&#10;Dd7v61x9927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Svru80wAAAAUBAAAPAAAAAAAAAAEA&#10;IAAAACIAAABkcnMvZG93bnJldi54bWxQSwECFAAUAAAACACHTuJAp5CjHhQCAAD/AwAADgAAAAAA&#10;AAABACAAAAAiAQAAZHJzL2Uyb0RvYy54bWxQSwUGAAAAAAYABgBZAQAAqAUAAAAA&#10;">
                        <v:fill on="f" focussize="0,0"/>
                        <v:stroke color="#000000" joinstyle="round" dashstyle="dash" endarrow="block"/>
                        <v:imagedata o:title=""/>
                        <o:lock v:ext="edit" aspectratio="f"/>
                      </v:shape>
                      <v:shape id="文本框 237" o:spid="_x0000_s1026" o:spt="202" type="#_x0000_t202" style="position:absolute;left:1604010;top:137795;height:352425;width:1411605;" filled="f" stroked="f" coordsize="21600,21600" o:gfxdata="UEsDBAoAAAAAAIdO4kAAAAAAAAAAAAAAAAAEAAAAZHJzL1BLAwQUAAAACACHTuJAUjRGgtQAAAAF&#10;AQAADwAAAGRycy9kb3ducmV2LnhtbE2PzU7DMBCE70i8g7VI3KjdiqA0zaYHEFcQ5Ufi5sbbJGq8&#10;jmK3CW/PwgUuK41mNPNtuZ19r840xi4wwnJhQBHXwXXcILy9Pt7koGKy7GwfmBC+KMK2urwobeHC&#10;xC903qVGSQnHwiK0KQ2F1rFuydu4CAOxeIcweptEjo12o52k3Pd6Zcyd9rZjWWjtQPct1cfdySO8&#10;Px0+P27Nc/Pgs2EKs9Hs1xrx+mppNqASzekvDD/4gg6VMO3DiV1UPYI8kn6veHm2zkDtEVZ5loOu&#10;Sv2fvvoGUEsDBBQAAAAIAIdO4kBzrWBNuAEAAFwDAAAOAAAAZHJzL2Uyb0RvYy54bWytU0tu2zAQ&#10;3RfIHQjua8nyrxUsByiMZFOkBdIegKZIiwDJIUjaki/Q3KCrbrrvuXyODiknadNNFt1Qw5mHN/Pe&#10;UOvrwWhyFD4osA2dTkpKhOXQKrtv6NcvN2/fURIisy3TYEVDTyLQ683Vm3XvalFBB7oVniCJDXXv&#10;GtrF6OqiCLwThoUJOGGxKMEbFvHq90XrWY/sRhdVWS6LHnzrPHARAma3Y5FeGP1rCEFKxcUW+MEI&#10;G0dWLzSLKCl0ygW6ydNKKXj8JGUQkeiGotKYT2yC8S6dxWbN6r1nrlP8MgJ7zQgvNBmmLDZ9otqy&#10;yMjBq3+ojOIeAsg44WCKUUh2BFVMyxfe3HfMiawFrQ7uyfTw/2j53fGzJ6pt6HJBiWUGN37+/nD+&#10;8ev88xupZqvkUO9CjcB7h9A4fIAB381jPmAyCR+kN+mLkkiqL8s5CqLkhPFstXq/GK0WQyQ81edT&#10;hGBLjoDZoppXGVA8Ezkf4q0AQ1LQUI+rzA6z48cQcSiEPkJSXws3Suu8Tm3/SiAwZYqkYpw2RXHY&#10;DRdpO2hPqOzgvNp32Cpry3A0PTe6PJC01T/vmfT5p9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I0RoLUAAAABQEAAA8AAAAAAAAAAQAgAAAAIgAAAGRycy9kb3ducmV2LnhtbFBLAQIUABQAAAAI&#10;AIdO4kBzrWBNuAEAAFwDAAAOAAAAAAAAAAEAIAAAACMBAABkcnMvZTJvRG9jLnhtbFBLBQYAAAAA&#10;BgAGAFkBAABNBQAAAAA=&#10;">
                        <v:fill on="f" focussize="0,0"/>
                        <v:stroke on="f"/>
                        <v:imagedata o:title=""/>
                        <o:lock v:ext="edit" aspectratio="f"/>
                        <v:textbox>
                          <w:txbxContent>
                            <w:p>
                              <w:r>
                                <w:rPr>
                                  <w:rFonts w:hint="eastAsia"/>
                                </w:rPr>
                                <w:t>废气、固废、噪声</w:t>
                              </w:r>
                            </w:p>
                            <w:p>
                              <w:pPr>
                                <w:rPr>
                                  <w:sz w:val="24"/>
                                </w:rPr>
                              </w:pPr>
                            </w:p>
                          </w:txbxContent>
                        </v:textbox>
                      </v:shape>
                      <v:shape id="文本框 237" o:spid="_x0000_s1026" o:spt="202" type="#_x0000_t202" style="position:absolute;left:3015615;top:148590;height:352425;width:889000;" filled="f" stroked="f" coordsize="21600,21600" o:gfxdata="UEsDBAoAAAAAAIdO4kAAAAAAAAAAAAAAAAAEAAAAZHJzL1BLAwQUAAAACACHTuJAUjRGgtQAAAAF&#10;AQAADwAAAGRycy9kb3ducmV2LnhtbE2PzU7DMBCE70i8g7VI3KjdiqA0zaYHEFcQ5Ufi5sbbJGq8&#10;jmK3CW/PwgUuK41mNPNtuZ19r840xi4wwnJhQBHXwXXcILy9Pt7koGKy7GwfmBC+KMK2urwobeHC&#10;xC903qVGSQnHwiK0KQ2F1rFuydu4CAOxeIcweptEjo12o52k3Pd6Zcyd9rZjWWjtQPct1cfdySO8&#10;Px0+P27Nc/Pgs2EKs9Hs1xrx+mppNqASzekvDD/4gg6VMO3DiV1UPYI8kn6veHm2zkDtEVZ5loOu&#10;Sv2fvvoGUEsDBBQAAAAIAIdO4kAsMvKIuQEAAFsDAAAOAAAAZHJzL2Uyb0RvYy54bWytU0tu2zAQ&#10;3RfoHQjua8py5DqC5QCFkW6KtkCSA9AUaRHgDyRtyRdIbtBVN933XD5Hh5TyabrJohtqOPPwZt4b&#10;an01aIWO3AdpTYPnswIjbphtpdk3+O72+sMKoxCpaamyhjf4xAO+2rx/t+5dzUvbWdVyj4DEhLp3&#10;De5idDUhgXVc0zCzjhsoCus1jXD1e9J62gO7VqQsiiXprW+dt4yHANntWMQTo38LoRVCMr617KC5&#10;iSOr54pGkBQ66QLe5GmF4Cx+EyLwiFSDQWnMJzSBeJdOslnTeu+p6ySbRqBvGeGVJk2lgaZPVFsa&#10;KTp4+Q+VlszbYEWcMavJKCQ7AirmxStvbjrqeNYCVgf3ZHr4f7Ts6/G7R7Jt8HKJkaEaNn7+8XD+&#10;+fv86x6Vi4/Jod6FGoA3DqBx+GQHeDeP+QDJJHwQXqcvSEJQXxTzajmvMDoB9mJVXU5W8yEiBvXV&#10;6rIoYAkM6ouqvCirREieeZwP8TO3GqWgwR42mQ2mxy8hjtBHSGpr7LVUKm9Tmb8SwJkyJIkYh01R&#10;HHbDpGxn2xMIOzgv9x20ytIyHDzPM03vIy315T2TPv8Tm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SNEaC1AAAAAUBAAAPAAAAAAAAAAEAIAAAACIAAABkcnMvZG93bnJldi54bWxQSwECFAAUAAAA&#10;CACHTuJALDLyiLkBAABbAwAADgAAAAAAAAABACAAAAAjAQAAZHJzL2Uyb0RvYy54bWxQSwUGAAAA&#10;AAYABgBZAQAATgUAAAAA&#10;">
                        <v:fill on="f" focussize="0,0"/>
                        <v:stroke on="f"/>
                        <v:imagedata o:title=""/>
                        <o:lock v:ext="edit" aspectratio="f"/>
                        <v:textbox>
                          <w:txbxContent>
                            <w:p>
                              <w:r>
                                <w:rPr>
                                  <w:rFonts w:hint="eastAsia"/>
                                </w:rPr>
                                <w:t>废气、固废</w:t>
                              </w:r>
                            </w:p>
                            <w:p>
                              <w:pPr>
                                <w:rPr>
                                  <w:sz w:val="24"/>
                                </w:rPr>
                              </w:pPr>
                            </w:p>
                          </w:txbxContent>
                        </v:textbox>
                      </v:shape>
                      <v:shape id="文本框 221" o:spid="_x0000_s1026" o:spt="202" type="#_x0000_t202" style="position:absolute;left:4633595;top:669290;height:380365;width:544830;" filled="f" stroked="f" coordsize="21600,21600" o:gfxdata="UEsDBAoAAAAAAIdO4kAAAAAAAAAAAAAAAAAEAAAAZHJzL1BLAwQUAAAACACHTuJAUjRGgtQAAAAF&#10;AQAADwAAAGRycy9kb3ducmV2LnhtbE2PzU7DMBCE70i8g7VI3KjdiqA0zaYHEFcQ5Ufi5sbbJGq8&#10;jmK3CW/PwgUuK41mNPNtuZ19r840xi4wwnJhQBHXwXXcILy9Pt7koGKy7GwfmBC+KMK2urwobeHC&#10;xC903qVGSQnHwiK0KQ2F1rFuydu4CAOxeIcweptEjo12o52k3Pd6Zcyd9rZjWWjtQPct1cfdySO8&#10;Px0+P27Nc/Pgs2EKs9Hs1xrx+mppNqASzekvDD/4gg6VMO3DiV1UPYI8kn6veHm2zkDtEVZ5loOu&#10;Sv2fvvoGUEsDBBQAAAAIAIdO4kBD7cqruwEAAFsDAAAOAAAAZHJzL2Uyb0RvYy54bWytk0tu2zAQ&#10;hvcFegeC+5qyZKu2YDlAYaSboi2Q5AA0RVoExAdI2pIvkNygq26677l8jg4p5dF0k0U3FDkz+Dj/&#10;P9TmalAdOnHnpdE1ns8yjLhmppH6UOO72+sPK4x8oLqhndG8xmfu8dX2/btNbyuem9Z0DXcIINpX&#10;va1xG4KtCPGs5Yr6mbFcQ1IYp2iAozuQxtEe6KojeZaVpDeusc4w7j1Ed2MST0T3FqARQjK+M+yo&#10;uA4j1fGOBpDkW2k93qZuheAsfBPC84C6GoPSkFa4BPb7uJLthlYHR20r2dQCfUsLrzQpKjVc+oTa&#10;0UDR0cl/UEoyZ7wRYcaMIqOQ5AiomGevvLlpqeVJC1jt7ZPp/v9h2dfTd4dkU+PyI0aaKpj45cfD&#10;5efvy697lOfz6FBvfQWFNxZKw/DJDPBuHuMeglH4IJyKX5CEIL8oi2K5XmJ0BnK5zteT1XwIiEF+&#10;uVisChgCg3yxyopyGYHkmWOdD5+5UShuauxgkslgevriw1j6WBKv1eZadl2aZqf/CgAzRkgUMTYb&#10;d2HYD5OyvWnOIOxonTy0cFWSlsrB89TT9D7iUF+eE/T5n9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I0RoLUAAAABQEAAA8AAAAAAAAAAQAgAAAAIgAAAGRycy9kb3ducmV2LnhtbFBLAQIUABQA&#10;AAAIAIdO4kBD7cqruwEAAFsDAAAOAAAAAAAAAAEAIAAAACMBAABkcnMvZTJvRG9jLnhtbFBLBQYA&#10;AAAABgAGAFkBAABQBQAAAAA=&#10;">
                        <v:fill on="f" focussize="0,0"/>
                        <v:stroke on="f"/>
                        <v:imagedata o:title=""/>
                        <o:lock v:ext="edit" aspectratio="f"/>
                        <v:textbox>
                          <w:txbxContent>
                            <w:p>
                              <w:r>
                                <w:rPr>
                                  <w:rFonts w:hint="eastAsia"/>
                                </w:rPr>
                                <w:t>成品</w:t>
                              </w:r>
                            </w:p>
                          </w:txbxContent>
                        </v:textbox>
                      </v:shape>
                      <w10:wrap type="none"/>
                      <w10:anchorlock/>
                    </v:group>
                  </w:pict>
                </mc:Fallback>
              </mc:AlternateContent>
            </w:r>
          </w:p>
          <w:p>
            <w:pPr>
              <w:adjustRightInd w:val="0"/>
              <w:snapToGrid w:val="0"/>
              <w:spacing w:line="500" w:lineRule="exact"/>
              <w:ind w:firstLine="480" w:firstLineChars="200"/>
              <w:rPr>
                <w:sz w:val="24"/>
              </w:rPr>
            </w:pPr>
            <w:r>
              <w:rPr>
                <w:rFonts w:hint="eastAsia"/>
                <w:sz w:val="24"/>
              </w:rPr>
              <w:t>工艺流程简述：</w:t>
            </w:r>
          </w:p>
          <w:p>
            <w:pPr>
              <w:pStyle w:val="2"/>
              <w:adjustRightInd w:val="0"/>
              <w:snapToGrid w:val="0"/>
              <w:spacing w:line="500" w:lineRule="exact"/>
              <w:ind w:firstLine="504" w:firstLineChars="200"/>
              <w:jc w:val="both"/>
              <w:rPr>
                <w:b w:val="0"/>
                <w:bCs w:val="0"/>
                <w:spacing w:val="6"/>
              </w:rPr>
            </w:pPr>
            <w:r>
              <w:rPr>
                <w:rFonts w:hint="eastAsia"/>
                <w:b w:val="0"/>
                <w:bCs w:val="0"/>
                <w:spacing w:val="6"/>
              </w:rPr>
              <w:t>（</w:t>
            </w:r>
            <w:r>
              <w:rPr>
                <w:b w:val="0"/>
                <w:bCs w:val="0"/>
                <w:spacing w:val="6"/>
              </w:rPr>
              <w:t>1</w:t>
            </w:r>
            <w:r>
              <w:rPr>
                <w:rFonts w:hint="eastAsia"/>
                <w:b w:val="0"/>
                <w:bCs w:val="0"/>
                <w:spacing w:val="6"/>
              </w:rPr>
              <w:t>）机械加工成型</w:t>
            </w:r>
          </w:p>
          <w:p>
            <w:pPr>
              <w:pStyle w:val="2"/>
              <w:adjustRightInd w:val="0"/>
              <w:snapToGrid w:val="0"/>
              <w:spacing w:line="500" w:lineRule="exact"/>
              <w:ind w:firstLine="504" w:firstLineChars="200"/>
              <w:jc w:val="both"/>
              <w:rPr>
                <w:b w:val="0"/>
                <w:bCs w:val="0"/>
                <w:spacing w:val="6"/>
              </w:rPr>
            </w:pPr>
            <w:r>
              <w:rPr>
                <w:rFonts w:hint="eastAsia"/>
                <w:b w:val="0"/>
                <w:bCs w:val="0"/>
                <w:spacing w:val="6"/>
              </w:rPr>
              <w:t>根据不同产品需求，利用剪切机、折弯机、锯床、钻床、卷板机、切割机等设备对原料进行机械加工成型得到所需形状、尺寸的工件。项目机械加工过程会产生切割粉尘、噪声、边角料和废切削液。</w:t>
            </w:r>
          </w:p>
          <w:p>
            <w:pPr>
              <w:pStyle w:val="2"/>
              <w:adjustRightInd w:val="0"/>
              <w:snapToGrid w:val="0"/>
              <w:spacing w:line="500" w:lineRule="exact"/>
              <w:ind w:firstLine="504" w:firstLineChars="200"/>
              <w:jc w:val="both"/>
              <w:rPr>
                <w:b w:val="0"/>
                <w:bCs w:val="0"/>
                <w:spacing w:val="6"/>
              </w:rPr>
            </w:pPr>
            <w:r>
              <w:rPr>
                <w:rFonts w:hint="eastAsia"/>
                <w:b w:val="0"/>
                <w:bCs w:val="0"/>
                <w:spacing w:val="6"/>
              </w:rPr>
              <w:t>（2）焊接</w:t>
            </w:r>
          </w:p>
          <w:p>
            <w:pPr>
              <w:pStyle w:val="2"/>
              <w:adjustRightInd w:val="0"/>
              <w:snapToGrid w:val="0"/>
              <w:spacing w:line="500" w:lineRule="exact"/>
              <w:ind w:firstLine="504" w:firstLineChars="200"/>
              <w:jc w:val="both"/>
              <w:rPr>
                <w:b w:val="0"/>
                <w:bCs w:val="0"/>
                <w:spacing w:val="6"/>
              </w:rPr>
            </w:pPr>
            <w:r>
              <w:rPr>
                <w:rFonts w:hint="eastAsia"/>
                <w:b w:val="0"/>
                <w:bCs w:val="0"/>
                <w:spacing w:val="6"/>
              </w:rPr>
              <w:t>利用电焊机将不同工件焊接在一起。此工序会产生焊接烟尘及焊渣。</w:t>
            </w:r>
          </w:p>
          <w:p>
            <w:pPr>
              <w:pStyle w:val="2"/>
              <w:adjustRightInd w:val="0"/>
              <w:snapToGrid w:val="0"/>
              <w:spacing w:line="500" w:lineRule="exact"/>
              <w:ind w:firstLine="504" w:firstLineChars="200"/>
              <w:jc w:val="both"/>
              <w:rPr>
                <w:b w:val="0"/>
                <w:bCs w:val="0"/>
                <w:spacing w:val="6"/>
              </w:rPr>
            </w:pPr>
            <w:r>
              <w:rPr>
                <w:rFonts w:hint="eastAsia"/>
                <w:b w:val="0"/>
                <w:bCs w:val="0"/>
                <w:spacing w:val="6"/>
              </w:rPr>
              <w:t>（3）组装</w:t>
            </w:r>
          </w:p>
          <w:p>
            <w:pPr>
              <w:pStyle w:val="2"/>
              <w:adjustRightInd w:val="0"/>
              <w:snapToGrid w:val="0"/>
              <w:spacing w:line="500" w:lineRule="exact"/>
              <w:ind w:firstLine="504" w:firstLineChars="200"/>
              <w:jc w:val="both"/>
              <w:rPr>
                <w:b w:val="0"/>
                <w:bCs w:val="0"/>
                <w:spacing w:val="6"/>
                <w:u w:val="single"/>
              </w:rPr>
            </w:pPr>
            <w:r>
              <w:rPr>
                <w:rFonts w:hint="eastAsia"/>
                <w:b w:val="0"/>
                <w:bCs w:val="0"/>
                <w:spacing w:val="6"/>
              </w:rPr>
              <w:t>将焊接好的工件，与外购的组件进行组装，形成成品，质检，入库待售</w:t>
            </w:r>
            <w:r>
              <w:rPr>
                <w:rFonts w:hint="eastAsia"/>
                <w:b w:val="0"/>
                <w:bCs w:val="0"/>
                <w:spacing w:val="6"/>
                <w:lang w:eastAsia="zh-CN"/>
              </w:rPr>
              <w:t>；</w:t>
            </w:r>
            <w:r>
              <w:rPr>
                <w:rFonts w:hint="eastAsia"/>
                <w:b w:val="0"/>
                <w:bCs w:val="0"/>
                <w:spacing w:val="6"/>
              </w:rPr>
              <w:t>此工序基本无污染物的产生。</w:t>
            </w:r>
            <w:r>
              <w:rPr>
                <w:rFonts w:hint="eastAsia"/>
                <w:b w:val="0"/>
                <w:bCs w:val="0"/>
                <w:spacing w:val="6"/>
                <w:u w:val="single"/>
              </w:rPr>
              <w:t>因原材料为不锈钢型材，不需要做</w:t>
            </w:r>
            <w:r>
              <w:rPr>
                <w:rFonts w:hint="eastAsia"/>
                <w:b w:val="0"/>
                <w:bCs w:val="0"/>
                <w:spacing w:val="6"/>
                <w:u w:val="single"/>
                <w:lang w:val="en-US" w:eastAsia="zh-CN"/>
              </w:rPr>
              <w:t>表面</w:t>
            </w:r>
            <w:r>
              <w:rPr>
                <w:rFonts w:hint="eastAsia"/>
                <w:b w:val="0"/>
                <w:bCs w:val="0"/>
                <w:spacing w:val="6"/>
                <w:u w:val="single"/>
              </w:rPr>
              <w:t>处理，所以本项目不涉及喷漆。</w:t>
            </w:r>
          </w:p>
          <w:p>
            <w:pPr>
              <w:tabs>
                <w:tab w:val="left" w:pos="1260"/>
              </w:tabs>
              <w:spacing w:line="500" w:lineRule="exact"/>
              <w:ind w:firstLine="482" w:firstLineChars="200"/>
              <w:rPr>
                <w:b/>
                <w:sz w:val="24"/>
              </w:rPr>
            </w:pPr>
            <w:r>
              <w:rPr>
                <w:b/>
                <w:sz w:val="24"/>
              </w:rPr>
              <w:t>2</w:t>
            </w:r>
            <w:r>
              <w:rPr>
                <w:rFonts w:hint="eastAsia"/>
                <w:b/>
                <w:sz w:val="24"/>
              </w:rPr>
              <w:t>.产污环节</w:t>
            </w:r>
          </w:p>
          <w:p>
            <w:pPr>
              <w:tabs>
                <w:tab w:val="left" w:pos="4083"/>
              </w:tabs>
              <w:spacing w:line="500" w:lineRule="exact"/>
              <w:ind w:firstLine="480" w:firstLineChars="200"/>
              <w:rPr>
                <w:sz w:val="24"/>
              </w:rPr>
            </w:pPr>
            <w:r>
              <w:rPr>
                <w:rFonts w:hint="eastAsia"/>
                <w:sz w:val="24"/>
              </w:rPr>
              <w:t>（1）废气</w:t>
            </w:r>
            <w:r>
              <w:rPr>
                <w:sz w:val="24"/>
              </w:rPr>
              <w:tab/>
            </w:r>
          </w:p>
          <w:p>
            <w:pPr>
              <w:spacing w:line="500" w:lineRule="exact"/>
              <w:ind w:firstLine="480" w:firstLineChars="200"/>
              <w:rPr>
                <w:sz w:val="24"/>
              </w:rPr>
            </w:pPr>
            <w:r>
              <w:rPr>
                <w:rFonts w:hint="eastAsia"/>
                <w:sz w:val="24"/>
              </w:rPr>
              <w:t>本项目产生的废气主要为焊接工序产生的焊接烟尘和切割工序产生的切割粉尘。</w:t>
            </w:r>
          </w:p>
          <w:p>
            <w:pPr>
              <w:spacing w:line="500" w:lineRule="exact"/>
              <w:ind w:firstLine="480" w:firstLineChars="200"/>
              <w:rPr>
                <w:sz w:val="24"/>
              </w:rPr>
            </w:pPr>
            <w:r>
              <w:rPr>
                <w:rFonts w:hint="eastAsia"/>
                <w:sz w:val="24"/>
              </w:rPr>
              <w:t>（2）废水</w:t>
            </w:r>
          </w:p>
          <w:p>
            <w:pPr>
              <w:spacing w:line="500" w:lineRule="exact"/>
              <w:ind w:firstLine="480" w:firstLineChars="200"/>
              <w:rPr>
                <w:sz w:val="24"/>
              </w:rPr>
            </w:pPr>
            <w:r>
              <w:rPr>
                <w:rFonts w:hint="eastAsia"/>
                <w:sz w:val="24"/>
              </w:rPr>
              <w:t>本项目无生产废水产生，产生的废水主要为职工生活污水。</w:t>
            </w:r>
          </w:p>
          <w:p>
            <w:pPr>
              <w:spacing w:line="500" w:lineRule="exact"/>
              <w:ind w:firstLine="480" w:firstLineChars="200"/>
              <w:rPr>
                <w:sz w:val="24"/>
              </w:rPr>
            </w:pPr>
            <w:r>
              <w:rPr>
                <w:rFonts w:hint="eastAsia"/>
                <w:sz w:val="24"/>
              </w:rPr>
              <w:t>（3）噪声</w:t>
            </w:r>
          </w:p>
          <w:p>
            <w:pPr>
              <w:spacing w:line="500" w:lineRule="exact"/>
              <w:ind w:firstLine="480" w:firstLineChars="200"/>
              <w:rPr>
                <w:sz w:val="24"/>
              </w:rPr>
            </w:pPr>
            <w:r>
              <w:rPr>
                <w:rFonts w:hint="eastAsia"/>
                <w:sz w:val="24"/>
              </w:rPr>
              <w:t>本项目噪声主要来自机械设备加工过程运行时产生的噪声。</w:t>
            </w:r>
          </w:p>
          <w:p>
            <w:pPr>
              <w:spacing w:line="500" w:lineRule="exact"/>
              <w:ind w:firstLine="480" w:firstLineChars="200"/>
              <w:rPr>
                <w:sz w:val="24"/>
              </w:rPr>
            </w:pPr>
            <w:r>
              <w:rPr>
                <w:rFonts w:hint="eastAsia"/>
                <w:sz w:val="24"/>
              </w:rPr>
              <w:t>（4）固体废物</w:t>
            </w:r>
          </w:p>
          <w:p>
            <w:pPr>
              <w:spacing w:line="500" w:lineRule="exact"/>
              <w:ind w:firstLine="480" w:firstLineChars="200"/>
              <w:rPr>
                <w:sz w:val="24"/>
              </w:rPr>
            </w:pPr>
            <w:r>
              <w:rPr>
                <w:rFonts w:hint="eastAsia"/>
                <w:sz w:val="24"/>
              </w:rPr>
              <w:t>本项目产生的固废主要为袋式除尘器收尘、焊渣、金属屑和废边角料；废切削液、废润滑油以及员工生活垃圾等。</w:t>
            </w:r>
          </w:p>
          <w:p>
            <w:pPr>
              <w:pStyle w:val="2"/>
              <w:adjustRightInd w:val="0"/>
              <w:snapToGrid w:val="0"/>
              <w:spacing w:line="500" w:lineRule="exact"/>
              <w:ind w:firstLine="482" w:firstLineChars="200"/>
              <w:jc w:val="left"/>
            </w:pPr>
            <w:r>
              <w:t>3.</w:t>
            </w:r>
            <w:r>
              <w:rPr>
                <w:rFonts w:hAnsi="宋体"/>
              </w:rPr>
              <w:t>污染物产生及治理措施</w:t>
            </w:r>
          </w:p>
          <w:p>
            <w:pPr>
              <w:adjustRightInd w:val="0"/>
              <w:snapToGrid w:val="0"/>
              <w:spacing w:line="500" w:lineRule="exact"/>
              <w:ind w:firstLine="480" w:firstLineChars="200"/>
              <w:rPr>
                <w:sz w:val="24"/>
              </w:rPr>
            </w:pPr>
            <w:r>
              <w:rPr>
                <w:rFonts w:hAnsi="宋体"/>
                <w:sz w:val="24"/>
              </w:rPr>
              <w:t>（</w:t>
            </w:r>
            <w:r>
              <w:rPr>
                <w:sz w:val="24"/>
              </w:rPr>
              <w:t>1</w:t>
            </w:r>
            <w:r>
              <w:rPr>
                <w:rFonts w:hAnsi="宋体"/>
                <w:sz w:val="24"/>
              </w:rPr>
              <w:t>）废气</w:t>
            </w:r>
          </w:p>
          <w:p>
            <w:pPr>
              <w:adjustRightInd w:val="0"/>
              <w:snapToGrid w:val="0"/>
              <w:spacing w:line="500" w:lineRule="exact"/>
              <w:ind w:firstLine="480" w:firstLineChars="200"/>
              <w:jc w:val="left"/>
              <w:rPr>
                <w:bCs/>
                <w:sz w:val="24"/>
              </w:rPr>
            </w:pPr>
            <w:r>
              <w:rPr>
                <w:rFonts w:hint="eastAsia" w:hAnsi="宋体"/>
                <w:bCs/>
                <w:sz w:val="24"/>
              </w:rPr>
              <w:t>本项目产生的废气主要为</w:t>
            </w:r>
            <w:r>
              <w:rPr>
                <w:rFonts w:hint="eastAsia"/>
                <w:sz w:val="24"/>
              </w:rPr>
              <w:t>切割工序产生的切割粉尘和焊接工序产生的焊接烟尘</w:t>
            </w:r>
            <w:r>
              <w:rPr>
                <w:rFonts w:hint="eastAsia" w:hAnsi="宋体"/>
                <w:bCs/>
                <w:sz w:val="24"/>
              </w:rPr>
              <w:t>。</w:t>
            </w:r>
          </w:p>
          <w:p>
            <w:pPr>
              <w:pStyle w:val="2"/>
              <w:adjustRightInd w:val="0"/>
              <w:snapToGrid w:val="0"/>
              <w:spacing w:line="500" w:lineRule="exact"/>
              <w:ind w:firstLine="480" w:firstLineChars="200"/>
              <w:jc w:val="left"/>
              <w:rPr>
                <w:b w:val="0"/>
              </w:rPr>
            </w:pPr>
            <w:r>
              <w:rPr>
                <w:b w:val="0"/>
              </w:rPr>
              <w:fldChar w:fldCharType="begin"/>
            </w:r>
            <w:r>
              <w:rPr>
                <w:b w:val="0"/>
              </w:rPr>
              <w:instrText xml:space="preserve"> </w:instrText>
            </w:r>
            <w:r>
              <w:rPr>
                <w:rFonts w:hint="eastAsia"/>
                <w:b w:val="0"/>
              </w:rPr>
              <w:instrText xml:space="preserve">= 1 \* GB3</w:instrText>
            </w:r>
            <w:r>
              <w:rPr>
                <w:b w:val="0"/>
              </w:rPr>
              <w:instrText xml:space="preserve"> </w:instrText>
            </w:r>
            <w:r>
              <w:rPr>
                <w:b w:val="0"/>
              </w:rPr>
              <w:fldChar w:fldCharType="separate"/>
            </w:r>
            <w:r>
              <w:rPr>
                <w:rFonts w:hint="eastAsia"/>
                <w:b w:val="0"/>
              </w:rPr>
              <w:t>①</w:t>
            </w:r>
            <w:r>
              <w:rPr>
                <w:b w:val="0"/>
              </w:rPr>
              <w:fldChar w:fldCharType="end"/>
            </w:r>
            <w:r>
              <w:rPr>
                <w:rFonts w:hint="eastAsia"/>
                <w:b w:val="0"/>
              </w:rPr>
              <w:t>切割粉尘</w:t>
            </w:r>
          </w:p>
          <w:p>
            <w:pPr>
              <w:pStyle w:val="2"/>
              <w:adjustRightInd w:val="0"/>
              <w:snapToGrid w:val="0"/>
              <w:spacing w:line="500" w:lineRule="exact"/>
              <w:ind w:firstLine="480" w:firstLineChars="200"/>
              <w:jc w:val="left"/>
              <w:rPr>
                <w:b w:val="0"/>
              </w:rPr>
            </w:pPr>
            <w:r>
              <w:rPr>
                <w:rFonts w:hAnsi="宋体"/>
                <w:b w:val="0"/>
              </w:rPr>
              <w:t>本项目切割工序会产生切割粉尘，根据《机加工行业环境影响评价中常见污染物源强估算及污染治理》推荐的经验排放系数，切割产生的粉尘量按原材料的</w:t>
            </w:r>
            <w:r>
              <w:rPr>
                <w:b w:val="0"/>
              </w:rPr>
              <w:t>0.1%</w:t>
            </w:r>
            <w:r>
              <w:rPr>
                <w:rFonts w:hAnsi="宋体"/>
                <w:b w:val="0"/>
              </w:rPr>
              <w:t>计。根据建设单位提供资料，项目需切割的材料量约为</w:t>
            </w:r>
            <w:r>
              <w:rPr>
                <w:b w:val="0"/>
              </w:rPr>
              <w:t>30t/a</w:t>
            </w:r>
            <w:r>
              <w:rPr>
                <w:rFonts w:hAnsi="宋体"/>
                <w:b w:val="0"/>
              </w:rPr>
              <w:t>，经计算，本项目切割粉尘产生源强如下：项目切割粉尘产生量为</w:t>
            </w:r>
            <w:r>
              <w:rPr>
                <w:b w:val="0"/>
              </w:rPr>
              <w:t>0.03t/a</w:t>
            </w:r>
            <w:r>
              <w:rPr>
                <w:rFonts w:hAnsi="宋体"/>
                <w:b w:val="0"/>
              </w:rPr>
              <w:t>，切割时间按</w:t>
            </w:r>
            <w:r>
              <w:rPr>
                <w:b w:val="0"/>
              </w:rPr>
              <w:t>2h/d</w:t>
            </w:r>
            <w:r>
              <w:rPr>
                <w:rFonts w:hAnsi="宋体"/>
                <w:b w:val="0"/>
              </w:rPr>
              <w:t>计，则切割粉尘产生速率为</w:t>
            </w:r>
            <w:r>
              <w:rPr>
                <w:b w:val="0"/>
              </w:rPr>
              <w:t>0.05kg/h</w:t>
            </w:r>
            <w:r>
              <w:rPr>
                <w:rFonts w:hAnsi="宋体"/>
                <w:b w:val="0"/>
              </w:rPr>
              <w:t>。</w:t>
            </w:r>
          </w:p>
          <w:p>
            <w:pPr>
              <w:adjustRightInd w:val="0"/>
              <w:snapToGrid w:val="0"/>
              <w:spacing w:line="500" w:lineRule="exact"/>
              <w:ind w:firstLine="480" w:firstLineChars="200"/>
              <w:rPr>
                <w:rFonts w:hAnsi="宋体"/>
                <w:bCs/>
                <w:sz w:val="24"/>
              </w:rPr>
            </w:pPr>
            <w:r>
              <w:rPr>
                <w:rFonts w:hint="eastAsia" w:hAnsi="宋体"/>
                <w:bCs/>
                <w:sz w:val="24"/>
              </w:rPr>
              <w:t>治理措施：</w:t>
            </w:r>
          </w:p>
          <w:p>
            <w:pPr>
              <w:pStyle w:val="2"/>
              <w:adjustRightInd w:val="0"/>
              <w:snapToGrid w:val="0"/>
              <w:spacing w:line="500" w:lineRule="exact"/>
              <w:ind w:firstLine="480" w:firstLineChars="200"/>
              <w:jc w:val="left"/>
              <w:rPr>
                <w:rFonts w:hAnsi="宋体"/>
                <w:b w:val="0"/>
              </w:rPr>
            </w:pPr>
            <w:r>
              <w:rPr>
                <w:rFonts w:hint="eastAsia" w:hAnsi="宋体"/>
                <w:b w:val="0"/>
              </w:rPr>
              <w:t>建设单位拟设置固定的切割区域，切割机的切割平台下方设置集气装置，切割粉尘收集后通入一套袋式除尘器处理，处理达标后经1根15m高排气筒排放。</w:t>
            </w:r>
          </w:p>
          <w:p>
            <w:pPr>
              <w:pStyle w:val="2"/>
              <w:adjustRightInd w:val="0"/>
              <w:snapToGrid w:val="0"/>
              <w:spacing w:line="500" w:lineRule="exact"/>
              <w:ind w:firstLine="480" w:firstLineChars="200"/>
              <w:jc w:val="left"/>
              <w:rPr>
                <w:b w:val="0"/>
              </w:rPr>
            </w:pPr>
            <w:r>
              <w:rPr>
                <w:b w:val="0"/>
              </w:rPr>
              <w:fldChar w:fldCharType="begin"/>
            </w:r>
            <w:r>
              <w:rPr>
                <w:b w:val="0"/>
              </w:rPr>
              <w:instrText xml:space="preserve"> </w:instrText>
            </w:r>
            <w:r>
              <w:rPr>
                <w:rFonts w:hint="eastAsia"/>
                <w:b w:val="0"/>
              </w:rPr>
              <w:instrText xml:space="preserve">= 2 \* GB3</w:instrText>
            </w:r>
            <w:r>
              <w:rPr>
                <w:b w:val="0"/>
              </w:rPr>
              <w:instrText xml:space="preserve"> </w:instrText>
            </w:r>
            <w:r>
              <w:rPr>
                <w:b w:val="0"/>
              </w:rPr>
              <w:fldChar w:fldCharType="separate"/>
            </w:r>
            <w:r>
              <w:rPr>
                <w:rFonts w:hint="eastAsia"/>
                <w:b w:val="0"/>
              </w:rPr>
              <w:t>②</w:t>
            </w:r>
            <w:r>
              <w:rPr>
                <w:b w:val="0"/>
              </w:rPr>
              <w:fldChar w:fldCharType="end"/>
            </w:r>
            <w:r>
              <w:rPr>
                <w:rFonts w:hint="eastAsia"/>
                <w:b w:val="0"/>
              </w:rPr>
              <w:t>焊接烟尘</w:t>
            </w:r>
          </w:p>
          <w:p>
            <w:pPr>
              <w:pStyle w:val="2"/>
              <w:adjustRightInd w:val="0"/>
              <w:snapToGrid w:val="0"/>
              <w:spacing w:line="500" w:lineRule="exact"/>
              <w:ind w:firstLine="480" w:firstLineChars="200"/>
              <w:jc w:val="left"/>
              <w:rPr>
                <w:b w:val="0"/>
              </w:rPr>
            </w:pPr>
            <w:r>
              <w:rPr>
                <w:rFonts w:hint="eastAsia"/>
                <w:b w:val="0"/>
              </w:rPr>
              <w:t>根据</w:t>
            </w:r>
            <w:r>
              <w:rPr>
                <w:b w:val="0"/>
              </w:rPr>
              <w:t>《焊接车间环境污染及控制技术进展》（孙大光</w:t>
            </w:r>
            <w:r>
              <w:rPr>
                <w:rFonts w:hint="eastAsia"/>
                <w:b w:val="0"/>
              </w:rPr>
              <w:t>、</w:t>
            </w:r>
            <w:r>
              <w:rPr>
                <w:b w:val="0"/>
              </w:rPr>
              <w:t>马小凡，</w:t>
            </w:r>
            <w:r>
              <w:rPr>
                <w:rFonts w:hint="eastAsia"/>
                <w:b w:val="0"/>
              </w:rPr>
              <w:t>2004年</w:t>
            </w:r>
            <w:r>
              <w:rPr>
                <w:b w:val="0"/>
              </w:rPr>
              <w:t>），</w:t>
            </w:r>
            <w:r>
              <w:rPr>
                <w:rFonts w:hint="eastAsia"/>
                <w:b w:val="0"/>
              </w:rPr>
              <w:t>几种</w:t>
            </w:r>
            <w:r>
              <w:rPr>
                <w:b w:val="0"/>
              </w:rPr>
              <w:t>焊接方法施焊</w:t>
            </w:r>
            <w:r>
              <w:rPr>
                <w:rFonts w:hint="eastAsia"/>
                <w:b w:val="0"/>
              </w:rPr>
              <w:t>时发尘量</w:t>
            </w:r>
            <w:r>
              <w:rPr>
                <w:b w:val="0"/>
              </w:rPr>
              <w:t>见</w:t>
            </w:r>
            <w:r>
              <w:rPr>
                <w:rFonts w:hint="eastAsia"/>
                <w:b w:val="0"/>
              </w:rPr>
              <w:t>下</w:t>
            </w:r>
            <w:r>
              <w:rPr>
                <w:b w:val="0"/>
              </w:rPr>
              <w:t>表。</w:t>
            </w:r>
          </w:p>
          <w:p>
            <w:pPr>
              <w:autoSpaceDE w:val="0"/>
              <w:autoSpaceDN w:val="0"/>
              <w:adjustRightInd w:val="0"/>
              <w:snapToGrid w:val="0"/>
              <w:spacing w:line="400" w:lineRule="exact"/>
              <w:ind w:left="420"/>
              <w:rPr>
                <w:rFonts w:hAnsi="宋体"/>
                <w:b/>
                <w:sz w:val="24"/>
              </w:rPr>
            </w:pPr>
            <w:r>
              <w:rPr>
                <w:rFonts w:hint="eastAsia" w:hAnsi="宋体"/>
                <w:b/>
                <w:sz w:val="24"/>
              </w:rPr>
              <w:t>表30               几种焊接</w:t>
            </w:r>
            <w:r>
              <w:rPr>
                <w:rFonts w:hAnsi="宋体"/>
                <w:b/>
                <w:sz w:val="24"/>
              </w:rPr>
              <w:t>（切割）方法的发尘量</w:t>
            </w:r>
          </w:p>
          <w:tbl>
            <w:tblPr>
              <w:tblStyle w:val="2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3169"/>
              <w:gridCol w:w="2366"/>
              <w:gridCol w:w="25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4" w:type="pct"/>
                  <w:tcBorders>
                    <w:top w:val="single" w:color="auto" w:sz="12" w:space="0"/>
                  </w:tcBorders>
                  <w:vAlign w:val="center"/>
                </w:tcPr>
                <w:p>
                  <w:pPr>
                    <w:adjustRightInd w:val="0"/>
                    <w:snapToGrid w:val="0"/>
                    <w:jc w:val="center"/>
                    <w:rPr>
                      <w:b/>
                    </w:rPr>
                  </w:pPr>
                  <w:r>
                    <w:rPr>
                      <w:rFonts w:hAnsi="宋体"/>
                      <w:b/>
                    </w:rPr>
                    <w:t>焊接方法</w:t>
                  </w:r>
                </w:p>
              </w:tc>
              <w:tc>
                <w:tcPr>
                  <w:tcW w:w="1694" w:type="pct"/>
                  <w:tcBorders>
                    <w:top w:val="single" w:color="auto" w:sz="12" w:space="0"/>
                  </w:tcBorders>
                  <w:vAlign w:val="center"/>
                </w:tcPr>
                <w:p>
                  <w:pPr>
                    <w:adjustRightInd w:val="0"/>
                    <w:snapToGrid w:val="0"/>
                    <w:jc w:val="center"/>
                    <w:rPr>
                      <w:b/>
                    </w:rPr>
                  </w:pPr>
                  <w:r>
                    <w:rPr>
                      <w:rFonts w:hAnsi="宋体"/>
                      <w:b/>
                    </w:rPr>
                    <w:t>焊接材料</w:t>
                  </w:r>
                </w:p>
              </w:tc>
              <w:tc>
                <w:tcPr>
                  <w:tcW w:w="1265" w:type="pct"/>
                  <w:tcBorders>
                    <w:top w:val="single" w:color="auto" w:sz="12" w:space="0"/>
                  </w:tcBorders>
                  <w:vAlign w:val="center"/>
                </w:tcPr>
                <w:p>
                  <w:pPr>
                    <w:adjustRightInd w:val="0"/>
                    <w:snapToGrid w:val="0"/>
                    <w:jc w:val="center"/>
                    <w:rPr>
                      <w:b/>
                    </w:rPr>
                  </w:pPr>
                  <w:r>
                    <w:rPr>
                      <w:rFonts w:hAnsi="宋体"/>
                      <w:b/>
                    </w:rPr>
                    <w:t>施焊时发尘量（</w:t>
                  </w:r>
                  <w:r>
                    <w:rPr>
                      <w:b/>
                    </w:rPr>
                    <w:t>mg/min</w:t>
                  </w:r>
                  <w:r>
                    <w:rPr>
                      <w:rFonts w:hAnsi="宋体"/>
                      <w:b/>
                    </w:rPr>
                    <w:t>）</w:t>
                  </w:r>
                </w:p>
              </w:tc>
              <w:tc>
                <w:tcPr>
                  <w:tcW w:w="1358" w:type="pct"/>
                  <w:tcBorders>
                    <w:top w:val="single" w:color="auto" w:sz="12" w:space="0"/>
                  </w:tcBorders>
                  <w:vAlign w:val="center"/>
                </w:tcPr>
                <w:p>
                  <w:pPr>
                    <w:adjustRightInd w:val="0"/>
                    <w:snapToGrid w:val="0"/>
                    <w:jc w:val="center"/>
                    <w:rPr>
                      <w:b/>
                    </w:rPr>
                  </w:pPr>
                  <w:r>
                    <w:rPr>
                      <w:rFonts w:hAnsi="宋体"/>
                      <w:b/>
                    </w:rPr>
                    <w:t>焊接材料的发尘量（</w:t>
                  </w:r>
                  <w:r>
                    <w:rPr>
                      <w:b/>
                    </w:rPr>
                    <w:t>g/kg</w:t>
                  </w:r>
                  <w:r>
                    <w:rPr>
                      <w:rFonts w:hAnsi="宋体"/>
                      <w:b/>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4" w:type="pct"/>
                  <w:vMerge w:val="restart"/>
                  <w:vAlign w:val="center"/>
                </w:tcPr>
                <w:p>
                  <w:pPr>
                    <w:adjustRightInd w:val="0"/>
                    <w:snapToGrid w:val="0"/>
                    <w:jc w:val="center"/>
                    <w:rPr>
                      <w:bCs/>
                    </w:rPr>
                  </w:pPr>
                  <w:r>
                    <w:rPr>
                      <w:rFonts w:hAnsi="宋体"/>
                      <w:bCs/>
                    </w:rPr>
                    <w:t>手工电弧焊</w:t>
                  </w:r>
                </w:p>
              </w:tc>
              <w:tc>
                <w:tcPr>
                  <w:tcW w:w="1694" w:type="pct"/>
                  <w:vAlign w:val="center"/>
                </w:tcPr>
                <w:p>
                  <w:pPr>
                    <w:adjustRightInd w:val="0"/>
                    <w:snapToGrid w:val="0"/>
                    <w:jc w:val="center"/>
                    <w:rPr>
                      <w:bCs/>
                    </w:rPr>
                  </w:pPr>
                  <w:r>
                    <w:rPr>
                      <w:rFonts w:hAnsi="宋体"/>
                      <w:bCs/>
                    </w:rPr>
                    <w:t>低氢型焊条（结</w:t>
                  </w:r>
                  <w:r>
                    <w:rPr>
                      <w:bCs/>
                    </w:rPr>
                    <w:t>507</w:t>
                  </w:r>
                  <w:r>
                    <w:rPr>
                      <w:rFonts w:hAnsi="宋体"/>
                      <w:bCs/>
                    </w:rPr>
                    <w:t>，直径</w:t>
                  </w:r>
                  <w:r>
                    <w:rPr>
                      <w:bCs/>
                    </w:rPr>
                    <w:t>4mm</w:t>
                  </w:r>
                  <w:r>
                    <w:rPr>
                      <w:rFonts w:hAnsi="宋体"/>
                      <w:bCs/>
                    </w:rPr>
                    <w:t>）</w:t>
                  </w:r>
                </w:p>
              </w:tc>
              <w:tc>
                <w:tcPr>
                  <w:tcW w:w="1265" w:type="pct"/>
                  <w:vAlign w:val="center"/>
                </w:tcPr>
                <w:p>
                  <w:pPr>
                    <w:adjustRightInd w:val="0"/>
                    <w:snapToGrid w:val="0"/>
                    <w:jc w:val="center"/>
                    <w:rPr>
                      <w:bCs/>
                    </w:rPr>
                  </w:pPr>
                  <w:r>
                    <w:rPr>
                      <w:bCs/>
                    </w:rPr>
                    <w:t>350~450</w:t>
                  </w:r>
                </w:p>
              </w:tc>
              <w:tc>
                <w:tcPr>
                  <w:tcW w:w="1358" w:type="pct"/>
                  <w:vAlign w:val="center"/>
                </w:tcPr>
                <w:p>
                  <w:pPr>
                    <w:adjustRightInd w:val="0"/>
                    <w:snapToGrid w:val="0"/>
                    <w:jc w:val="center"/>
                    <w:rPr>
                      <w:bCs/>
                    </w:rPr>
                  </w:pPr>
                  <w:r>
                    <w:rPr>
                      <w:bCs/>
                    </w:rPr>
                    <w:t>11~16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4" w:type="pct"/>
                  <w:vMerge w:val="continue"/>
                  <w:vAlign w:val="center"/>
                </w:tcPr>
                <w:p>
                  <w:pPr>
                    <w:adjustRightInd w:val="0"/>
                    <w:snapToGrid w:val="0"/>
                    <w:jc w:val="center"/>
                    <w:rPr>
                      <w:bCs/>
                    </w:rPr>
                  </w:pPr>
                </w:p>
              </w:tc>
              <w:tc>
                <w:tcPr>
                  <w:tcW w:w="1694" w:type="pct"/>
                  <w:vAlign w:val="center"/>
                </w:tcPr>
                <w:p>
                  <w:pPr>
                    <w:adjustRightInd w:val="0"/>
                    <w:snapToGrid w:val="0"/>
                    <w:jc w:val="center"/>
                    <w:rPr>
                      <w:bCs/>
                    </w:rPr>
                  </w:pPr>
                  <w:r>
                    <w:rPr>
                      <w:rFonts w:hAnsi="宋体"/>
                      <w:bCs/>
                    </w:rPr>
                    <w:t>钛钙型焊条（结</w:t>
                  </w:r>
                  <w:r>
                    <w:rPr>
                      <w:bCs/>
                    </w:rPr>
                    <w:t>422</w:t>
                  </w:r>
                  <w:r>
                    <w:rPr>
                      <w:rFonts w:hAnsi="宋体"/>
                      <w:bCs/>
                    </w:rPr>
                    <w:t>，直径</w:t>
                  </w:r>
                  <w:r>
                    <w:rPr>
                      <w:bCs/>
                    </w:rPr>
                    <w:t>4mm</w:t>
                  </w:r>
                  <w:r>
                    <w:rPr>
                      <w:rFonts w:hAnsi="宋体"/>
                      <w:bCs/>
                    </w:rPr>
                    <w:t>）</w:t>
                  </w:r>
                </w:p>
              </w:tc>
              <w:tc>
                <w:tcPr>
                  <w:tcW w:w="1265" w:type="pct"/>
                  <w:vAlign w:val="center"/>
                </w:tcPr>
                <w:p>
                  <w:pPr>
                    <w:adjustRightInd w:val="0"/>
                    <w:snapToGrid w:val="0"/>
                    <w:jc w:val="center"/>
                    <w:rPr>
                      <w:bCs/>
                    </w:rPr>
                  </w:pPr>
                  <w:r>
                    <w:rPr>
                      <w:bCs/>
                    </w:rPr>
                    <w:t>200~280</w:t>
                  </w:r>
                </w:p>
              </w:tc>
              <w:tc>
                <w:tcPr>
                  <w:tcW w:w="1358" w:type="pct"/>
                  <w:vAlign w:val="center"/>
                </w:tcPr>
                <w:p>
                  <w:pPr>
                    <w:adjustRightInd w:val="0"/>
                    <w:snapToGrid w:val="0"/>
                    <w:jc w:val="center"/>
                    <w:rPr>
                      <w:bCs/>
                    </w:rPr>
                  </w:pPr>
                  <w:r>
                    <w:rPr>
                      <w:bCs/>
                    </w:rPr>
                    <w:t>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4" w:type="pct"/>
                  <w:vAlign w:val="center"/>
                </w:tcPr>
                <w:p>
                  <w:pPr>
                    <w:adjustRightInd w:val="0"/>
                    <w:snapToGrid w:val="0"/>
                    <w:jc w:val="center"/>
                    <w:rPr>
                      <w:bCs/>
                    </w:rPr>
                  </w:pPr>
                  <w:r>
                    <w:rPr>
                      <w:rFonts w:hAnsi="宋体"/>
                      <w:bCs/>
                    </w:rPr>
                    <w:t>自保护焊</w:t>
                  </w:r>
                </w:p>
              </w:tc>
              <w:tc>
                <w:tcPr>
                  <w:tcW w:w="1694" w:type="pct"/>
                  <w:vAlign w:val="center"/>
                </w:tcPr>
                <w:p>
                  <w:pPr>
                    <w:adjustRightInd w:val="0"/>
                    <w:snapToGrid w:val="0"/>
                    <w:jc w:val="center"/>
                    <w:rPr>
                      <w:bCs/>
                    </w:rPr>
                  </w:pPr>
                  <w:r>
                    <w:rPr>
                      <w:rFonts w:hAnsi="宋体"/>
                      <w:bCs/>
                    </w:rPr>
                    <w:t>药芯焊丝（直径</w:t>
                  </w:r>
                  <w:r>
                    <w:rPr>
                      <w:bCs/>
                    </w:rPr>
                    <w:t>3.2mm</w:t>
                  </w:r>
                  <w:r>
                    <w:rPr>
                      <w:rFonts w:hAnsi="宋体"/>
                      <w:bCs/>
                    </w:rPr>
                    <w:t>）</w:t>
                  </w:r>
                </w:p>
              </w:tc>
              <w:tc>
                <w:tcPr>
                  <w:tcW w:w="1265" w:type="pct"/>
                  <w:vAlign w:val="center"/>
                </w:tcPr>
                <w:p>
                  <w:pPr>
                    <w:adjustRightInd w:val="0"/>
                    <w:snapToGrid w:val="0"/>
                    <w:jc w:val="center"/>
                    <w:rPr>
                      <w:bCs/>
                    </w:rPr>
                  </w:pPr>
                  <w:r>
                    <w:rPr>
                      <w:bCs/>
                    </w:rPr>
                    <w:t>2000~3500</w:t>
                  </w:r>
                </w:p>
              </w:tc>
              <w:tc>
                <w:tcPr>
                  <w:tcW w:w="1358" w:type="pct"/>
                  <w:vAlign w:val="center"/>
                </w:tcPr>
                <w:p>
                  <w:pPr>
                    <w:adjustRightInd w:val="0"/>
                    <w:snapToGrid w:val="0"/>
                    <w:jc w:val="center"/>
                    <w:rPr>
                      <w:bCs/>
                    </w:rPr>
                  </w:pPr>
                  <w:r>
                    <w:rPr>
                      <w:bCs/>
                    </w:rPr>
                    <w:t>20~25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4" w:type="pct"/>
                  <w:vMerge w:val="restart"/>
                  <w:vAlign w:val="center"/>
                </w:tcPr>
                <w:p>
                  <w:pPr>
                    <w:adjustRightInd w:val="0"/>
                    <w:snapToGrid w:val="0"/>
                    <w:jc w:val="center"/>
                    <w:rPr>
                      <w:bCs/>
                    </w:rPr>
                  </w:pPr>
                  <w:r>
                    <w:rPr>
                      <w:rFonts w:hAnsi="宋体"/>
                      <w:bCs/>
                    </w:rPr>
                    <w:t>二氧化碳焊</w:t>
                  </w:r>
                </w:p>
              </w:tc>
              <w:tc>
                <w:tcPr>
                  <w:tcW w:w="1694" w:type="pct"/>
                  <w:vAlign w:val="center"/>
                </w:tcPr>
                <w:p>
                  <w:pPr>
                    <w:adjustRightInd w:val="0"/>
                    <w:snapToGrid w:val="0"/>
                    <w:jc w:val="center"/>
                    <w:rPr>
                      <w:bCs/>
                    </w:rPr>
                  </w:pPr>
                  <w:r>
                    <w:rPr>
                      <w:rFonts w:hAnsi="宋体"/>
                      <w:bCs/>
                    </w:rPr>
                    <w:t>实芯焊丝（直径</w:t>
                  </w:r>
                  <w:r>
                    <w:rPr>
                      <w:bCs/>
                    </w:rPr>
                    <w:t>1.6mm</w:t>
                  </w:r>
                  <w:r>
                    <w:rPr>
                      <w:rFonts w:hAnsi="宋体"/>
                      <w:bCs/>
                    </w:rPr>
                    <w:t>）</w:t>
                  </w:r>
                </w:p>
              </w:tc>
              <w:tc>
                <w:tcPr>
                  <w:tcW w:w="1265" w:type="pct"/>
                  <w:vAlign w:val="center"/>
                </w:tcPr>
                <w:p>
                  <w:pPr>
                    <w:adjustRightInd w:val="0"/>
                    <w:snapToGrid w:val="0"/>
                    <w:jc w:val="center"/>
                    <w:rPr>
                      <w:bCs/>
                    </w:rPr>
                  </w:pPr>
                  <w:r>
                    <w:rPr>
                      <w:bCs/>
                    </w:rPr>
                    <w:t>450~650</w:t>
                  </w:r>
                </w:p>
              </w:tc>
              <w:tc>
                <w:tcPr>
                  <w:tcW w:w="1358" w:type="pct"/>
                  <w:vAlign w:val="center"/>
                </w:tcPr>
                <w:p>
                  <w:pPr>
                    <w:adjustRightInd w:val="0"/>
                    <w:snapToGrid w:val="0"/>
                    <w:jc w:val="center"/>
                    <w:rPr>
                      <w:bCs/>
                    </w:rPr>
                  </w:pPr>
                  <w:r>
                    <w:rPr>
                      <w:bCs/>
                    </w:rPr>
                    <w:t>5~8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4" w:type="pct"/>
                  <w:vMerge w:val="continue"/>
                  <w:vAlign w:val="center"/>
                </w:tcPr>
                <w:p>
                  <w:pPr>
                    <w:adjustRightInd w:val="0"/>
                    <w:snapToGrid w:val="0"/>
                    <w:jc w:val="center"/>
                    <w:rPr>
                      <w:bCs/>
                    </w:rPr>
                  </w:pPr>
                </w:p>
              </w:tc>
              <w:tc>
                <w:tcPr>
                  <w:tcW w:w="1694" w:type="pct"/>
                  <w:vAlign w:val="center"/>
                </w:tcPr>
                <w:p>
                  <w:pPr>
                    <w:adjustRightInd w:val="0"/>
                    <w:snapToGrid w:val="0"/>
                    <w:jc w:val="center"/>
                    <w:rPr>
                      <w:bCs/>
                    </w:rPr>
                  </w:pPr>
                  <w:r>
                    <w:rPr>
                      <w:rFonts w:hAnsi="宋体"/>
                      <w:bCs/>
                    </w:rPr>
                    <w:t>药芯焊丝（直径</w:t>
                  </w:r>
                  <w:r>
                    <w:rPr>
                      <w:bCs/>
                    </w:rPr>
                    <w:t>1.6mm</w:t>
                  </w:r>
                  <w:r>
                    <w:rPr>
                      <w:rFonts w:hAnsi="宋体"/>
                      <w:bCs/>
                    </w:rPr>
                    <w:t>）</w:t>
                  </w:r>
                </w:p>
              </w:tc>
              <w:tc>
                <w:tcPr>
                  <w:tcW w:w="1265" w:type="pct"/>
                  <w:vAlign w:val="center"/>
                </w:tcPr>
                <w:p>
                  <w:pPr>
                    <w:adjustRightInd w:val="0"/>
                    <w:snapToGrid w:val="0"/>
                    <w:jc w:val="center"/>
                    <w:rPr>
                      <w:bCs/>
                    </w:rPr>
                  </w:pPr>
                  <w:r>
                    <w:rPr>
                      <w:bCs/>
                    </w:rPr>
                    <w:t>700~900</w:t>
                  </w:r>
                </w:p>
              </w:tc>
              <w:tc>
                <w:tcPr>
                  <w:tcW w:w="1358" w:type="pct"/>
                  <w:vAlign w:val="center"/>
                </w:tcPr>
                <w:p>
                  <w:pPr>
                    <w:adjustRightInd w:val="0"/>
                    <w:snapToGrid w:val="0"/>
                    <w:jc w:val="center"/>
                    <w:rPr>
                      <w:bCs/>
                    </w:rPr>
                  </w:pPr>
                  <w:r>
                    <w:rPr>
                      <w:bCs/>
                    </w:rPr>
                    <w:t>7~10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4" w:type="pct"/>
                  <w:vAlign w:val="center"/>
                </w:tcPr>
                <w:p>
                  <w:pPr>
                    <w:adjustRightInd w:val="0"/>
                    <w:snapToGrid w:val="0"/>
                    <w:jc w:val="center"/>
                    <w:rPr>
                      <w:bCs/>
                    </w:rPr>
                  </w:pPr>
                  <w:r>
                    <w:rPr>
                      <w:rFonts w:hAnsi="宋体"/>
                      <w:bCs/>
                    </w:rPr>
                    <w:t>氩弧焊</w:t>
                  </w:r>
                </w:p>
              </w:tc>
              <w:tc>
                <w:tcPr>
                  <w:tcW w:w="1694" w:type="pct"/>
                  <w:vAlign w:val="center"/>
                </w:tcPr>
                <w:p>
                  <w:pPr>
                    <w:adjustRightInd w:val="0"/>
                    <w:snapToGrid w:val="0"/>
                    <w:jc w:val="center"/>
                    <w:rPr>
                      <w:bCs/>
                    </w:rPr>
                  </w:pPr>
                  <w:r>
                    <w:rPr>
                      <w:rFonts w:hAnsi="宋体"/>
                      <w:bCs/>
                    </w:rPr>
                    <w:t>实芯焊丝（直径</w:t>
                  </w:r>
                  <w:r>
                    <w:rPr>
                      <w:bCs/>
                    </w:rPr>
                    <w:t>1.6mm</w:t>
                  </w:r>
                  <w:r>
                    <w:rPr>
                      <w:rFonts w:hAnsi="宋体"/>
                      <w:bCs/>
                    </w:rPr>
                    <w:t>）</w:t>
                  </w:r>
                </w:p>
              </w:tc>
              <w:tc>
                <w:tcPr>
                  <w:tcW w:w="1265" w:type="pct"/>
                  <w:vAlign w:val="center"/>
                </w:tcPr>
                <w:p>
                  <w:pPr>
                    <w:adjustRightInd w:val="0"/>
                    <w:snapToGrid w:val="0"/>
                    <w:jc w:val="center"/>
                    <w:rPr>
                      <w:bCs/>
                    </w:rPr>
                  </w:pPr>
                  <w:r>
                    <w:rPr>
                      <w:bCs/>
                    </w:rPr>
                    <w:t>100~200</w:t>
                  </w:r>
                </w:p>
              </w:tc>
              <w:tc>
                <w:tcPr>
                  <w:tcW w:w="1358" w:type="pct"/>
                  <w:vAlign w:val="center"/>
                </w:tcPr>
                <w:p>
                  <w:pPr>
                    <w:adjustRightInd w:val="0"/>
                    <w:snapToGrid w:val="0"/>
                    <w:jc w:val="center"/>
                    <w:rPr>
                      <w:bCs/>
                    </w:rPr>
                  </w:pPr>
                  <w:r>
                    <w:rPr>
                      <w:bCs/>
                    </w:rPr>
                    <w:t>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4" w:type="pct"/>
                  <w:vMerge w:val="restart"/>
                  <w:vAlign w:val="center"/>
                </w:tcPr>
                <w:p>
                  <w:pPr>
                    <w:adjustRightInd w:val="0"/>
                    <w:snapToGrid w:val="0"/>
                    <w:jc w:val="center"/>
                    <w:rPr>
                      <w:bCs/>
                    </w:rPr>
                  </w:pPr>
                  <w:r>
                    <w:rPr>
                      <w:rFonts w:hAnsi="宋体"/>
                      <w:bCs/>
                    </w:rPr>
                    <w:t>埋弧焊</w:t>
                  </w:r>
                </w:p>
              </w:tc>
              <w:tc>
                <w:tcPr>
                  <w:tcW w:w="1694" w:type="pct"/>
                  <w:vAlign w:val="center"/>
                </w:tcPr>
                <w:p>
                  <w:pPr>
                    <w:adjustRightInd w:val="0"/>
                    <w:snapToGrid w:val="0"/>
                    <w:jc w:val="center"/>
                    <w:rPr>
                      <w:bCs/>
                    </w:rPr>
                  </w:pPr>
                  <w:r>
                    <w:rPr>
                      <w:rFonts w:hAnsi="宋体"/>
                      <w:bCs/>
                    </w:rPr>
                    <w:t>实芯焊丝（</w:t>
                  </w:r>
                  <w:r>
                    <w:rPr>
                      <w:bCs/>
                    </w:rPr>
                    <w:t>φ5</w:t>
                  </w:r>
                  <w:r>
                    <w:rPr>
                      <w:rFonts w:hAnsi="宋体"/>
                      <w:bCs/>
                    </w:rPr>
                    <w:t>）</w:t>
                  </w:r>
                </w:p>
              </w:tc>
              <w:tc>
                <w:tcPr>
                  <w:tcW w:w="1265" w:type="pct"/>
                  <w:vAlign w:val="center"/>
                </w:tcPr>
                <w:p>
                  <w:pPr>
                    <w:adjustRightInd w:val="0"/>
                    <w:snapToGrid w:val="0"/>
                    <w:jc w:val="center"/>
                    <w:rPr>
                      <w:bCs/>
                    </w:rPr>
                  </w:pPr>
                  <w:r>
                    <w:rPr>
                      <w:bCs/>
                    </w:rPr>
                    <w:t>10~40</w:t>
                  </w:r>
                </w:p>
              </w:tc>
              <w:tc>
                <w:tcPr>
                  <w:tcW w:w="1358" w:type="pct"/>
                  <w:vAlign w:val="center"/>
                </w:tcPr>
                <w:p>
                  <w:pPr>
                    <w:adjustRightInd w:val="0"/>
                    <w:snapToGrid w:val="0"/>
                    <w:jc w:val="center"/>
                    <w:rPr>
                      <w:bCs/>
                    </w:rPr>
                  </w:pPr>
                  <w:r>
                    <w:rPr>
                      <w:bCs/>
                    </w:rPr>
                    <w:t>0.1~0.3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4" w:type="pct"/>
                  <w:vMerge w:val="continue"/>
                  <w:tcBorders>
                    <w:bottom w:val="single" w:color="auto" w:sz="12" w:space="0"/>
                  </w:tcBorders>
                  <w:vAlign w:val="center"/>
                </w:tcPr>
                <w:p>
                  <w:pPr>
                    <w:adjustRightInd w:val="0"/>
                    <w:snapToGrid w:val="0"/>
                    <w:jc w:val="center"/>
                    <w:rPr>
                      <w:bCs/>
                    </w:rPr>
                  </w:pPr>
                </w:p>
              </w:tc>
              <w:tc>
                <w:tcPr>
                  <w:tcW w:w="1694" w:type="pct"/>
                  <w:tcBorders>
                    <w:bottom w:val="single" w:color="auto" w:sz="12" w:space="0"/>
                  </w:tcBorders>
                  <w:vAlign w:val="center"/>
                </w:tcPr>
                <w:p>
                  <w:pPr>
                    <w:adjustRightInd w:val="0"/>
                    <w:snapToGrid w:val="0"/>
                    <w:jc w:val="center"/>
                    <w:rPr>
                      <w:bCs/>
                    </w:rPr>
                  </w:pPr>
                  <w:r>
                    <w:rPr>
                      <w:rFonts w:hAnsi="宋体"/>
                      <w:bCs/>
                    </w:rPr>
                    <w:t>氧</w:t>
                  </w:r>
                  <w:r>
                    <w:rPr>
                      <w:bCs/>
                    </w:rPr>
                    <w:t>-</w:t>
                  </w:r>
                  <w:r>
                    <w:rPr>
                      <w:rFonts w:hAnsi="宋体"/>
                      <w:bCs/>
                    </w:rPr>
                    <w:t>乙炔切割</w:t>
                  </w:r>
                </w:p>
              </w:tc>
              <w:tc>
                <w:tcPr>
                  <w:tcW w:w="1265" w:type="pct"/>
                  <w:tcBorders>
                    <w:bottom w:val="single" w:color="auto" w:sz="12" w:space="0"/>
                  </w:tcBorders>
                  <w:vAlign w:val="center"/>
                </w:tcPr>
                <w:p>
                  <w:pPr>
                    <w:adjustRightInd w:val="0"/>
                    <w:snapToGrid w:val="0"/>
                    <w:jc w:val="center"/>
                    <w:rPr>
                      <w:bCs/>
                    </w:rPr>
                  </w:pPr>
                  <w:r>
                    <w:rPr>
                      <w:bCs/>
                    </w:rPr>
                    <w:t>40~80</w:t>
                  </w:r>
                </w:p>
              </w:tc>
              <w:tc>
                <w:tcPr>
                  <w:tcW w:w="1358" w:type="pct"/>
                  <w:tcBorders>
                    <w:bottom w:val="single" w:color="auto" w:sz="12" w:space="0"/>
                  </w:tcBorders>
                  <w:vAlign w:val="center"/>
                </w:tcPr>
                <w:p>
                  <w:pPr>
                    <w:adjustRightInd w:val="0"/>
                    <w:snapToGrid w:val="0"/>
                    <w:jc w:val="center"/>
                    <w:rPr>
                      <w:bCs/>
                    </w:rPr>
                  </w:pPr>
                </w:p>
              </w:tc>
            </w:tr>
          </w:tbl>
          <w:p>
            <w:pPr>
              <w:pStyle w:val="87"/>
            </w:pPr>
            <w:r>
              <w:rPr>
                <w:rFonts w:hAnsi="宋体"/>
              </w:rPr>
              <w:t>本项目焊接方式为包括电弧焊、二保焊及氩弧焊，焊丝用量为</w:t>
            </w:r>
            <w:r>
              <w:t>2t/a</w:t>
            </w:r>
            <w:r>
              <w:rPr>
                <w:rFonts w:hAnsi="宋体"/>
              </w:rPr>
              <w:t>，焊接材料的发尘量以</w:t>
            </w:r>
            <w:r>
              <w:t>8g/kg</w:t>
            </w:r>
            <w:r>
              <w:rPr>
                <w:rFonts w:hAnsi="宋体"/>
              </w:rPr>
              <w:t>计，则焊接烟尘产生量为</w:t>
            </w:r>
            <w:r>
              <w:t>1</w:t>
            </w:r>
            <w:r>
              <w:rPr>
                <w:rFonts w:hint="eastAsia"/>
              </w:rPr>
              <w:t>6</w:t>
            </w:r>
            <w:r>
              <w:t>kg/a,0.01</w:t>
            </w:r>
            <w:r>
              <w:rPr>
                <w:rFonts w:hint="eastAsia"/>
              </w:rPr>
              <w:t>6</w:t>
            </w:r>
            <w:r>
              <w:t>t/a</w:t>
            </w:r>
            <w:r>
              <w:rPr>
                <w:rFonts w:hAnsi="宋体"/>
              </w:rPr>
              <w:t>，焊接时间按</w:t>
            </w:r>
            <w:r>
              <w:t>4h/d</w:t>
            </w:r>
            <w:r>
              <w:rPr>
                <w:rFonts w:hAnsi="宋体"/>
              </w:rPr>
              <w:t>计，产生速率为</w:t>
            </w:r>
            <w:r>
              <w:t>0.01</w:t>
            </w:r>
            <w:r>
              <w:rPr>
                <w:rFonts w:hint="eastAsia"/>
              </w:rPr>
              <w:t>3</w:t>
            </w:r>
            <w:r>
              <w:t>kg/h</w:t>
            </w:r>
            <w:r>
              <w:rPr>
                <w:rFonts w:hAnsi="宋体"/>
              </w:rPr>
              <w:t>。</w:t>
            </w:r>
          </w:p>
          <w:p>
            <w:pPr>
              <w:pStyle w:val="2"/>
              <w:adjustRightInd w:val="0"/>
              <w:snapToGrid w:val="0"/>
              <w:spacing w:line="500" w:lineRule="exact"/>
              <w:ind w:firstLine="480" w:firstLineChars="200"/>
              <w:jc w:val="left"/>
              <w:rPr>
                <w:b w:val="0"/>
              </w:rPr>
            </w:pPr>
            <w:r>
              <w:rPr>
                <w:rFonts w:hint="eastAsia"/>
                <w:b w:val="0"/>
              </w:rPr>
              <w:t>其中，体积较的小工件焊接工作量约占整个焊接工作量的60%，焊接烟尘产生量为9.6kg/a,0.0096t/a，焊接时间按4h/d计，产生速率为0.008kg/h；大体积工件焊接工作量约占整个焊接工作量的40%，焊接烟尘产生量为6.4kg/a,0.0064t/a，焊接时间按4h/d计，产生速率为0.005kg/h。</w:t>
            </w:r>
            <w:r>
              <w:rPr>
                <w:rFonts w:hAnsi="宋体"/>
                <w:b w:val="0"/>
              </w:rPr>
              <w:t xml:space="preserve"> </w:t>
            </w:r>
          </w:p>
          <w:p>
            <w:pPr>
              <w:pStyle w:val="2"/>
              <w:adjustRightInd w:val="0"/>
              <w:snapToGrid w:val="0"/>
              <w:spacing w:line="500" w:lineRule="exact"/>
              <w:ind w:firstLine="480" w:firstLineChars="200"/>
              <w:jc w:val="left"/>
              <w:rPr>
                <w:rFonts w:hAnsi="宋体"/>
                <w:b w:val="0"/>
              </w:rPr>
            </w:pPr>
            <w:r>
              <w:rPr>
                <w:rFonts w:hint="eastAsia" w:hAnsi="宋体"/>
                <w:b w:val="0"/>
              </w:rPr>
              <w:t>治理措施：</w:t>
            </w:r>
          </w:p>
          <w:p>
            <w:pPr>
              <w:pStyle w:val="2"/>
              <w:adjustRightInd w:val="0"/>
              <w:snapToGrid w:val="0"/>
              <w:spacing w:line="500" w:lineRule="exact"/>
              <w:ind w:firstLine="480" w:firstLineChars="200"/>
              <w:jc w:val="left"/>
              <w:rPr>
                <w:rFonts w:hAnsi="宋体"/>
                <w:b w:val="0"/>
              </w:rPr>
            </w:pPr>
            <w:r>
              <w:rPr>
                <w:rFonts w:hint="eastAsia" w:hAnsi="宋体"/>
                <w:b w:val="0"/>
              </w:rPr>
              <w:t>由于项目需焊接工件大部分体积较大，无法全部固定焊接区域。评价建议：设置固定焊接区域，体积较小的工件在固定焊接区域焊接，该部分焊接烟尘设置集气罩收集，收集后与切割粉尘经同1套袋式除尘器处理达标后经1根15m高排气筒排放。集气罩收集效率以90%计，袋式除尘器理论处理效率可以达到99%以上，保守估计，本次评价以90%计，袋式除尘器配套风机风量1000m</w:t>
            </w:r>
            <w:r>
              <w:rPr>
                <w:rFonts w:hint="eastAsia" w:hAnsi="宋体"/>
                <w:b w:val="0"/>
                <w:vertAlign w:val="superscript"/>
              </w:rPr>
              <w:t>3</w:t>
            </w:r>
            <w:r>
              <w:rPr>
                <w:rFonts w:hint="eastAsia" w:hAnsi="宋体"/>
                <w:b w:val="0"/>
              </w:rPr>
              <w:t xml:space="preserve">/h。                                                                                                                                                    </w:t>
            </w:r>
          </w:p>
          <w:p>
            <w:pPr>
              <w:adjustRightInd w:val="0"/>
              <w:snapToGrid w:val="0"/>
              <w:spacing w:line="500" w:lineRule="exact"/>
              <w:ind w:firstLine="480" w:firstLineChars="200"/>
              <w:jc w:val="left"/>
              <w:rPr>
                <w:rFonts w:hAnsi="宋体"/>
                <w:bCs/>
                <w:sz w:val="24"/>
              </w:rPr>
            </w:pPr>
            <w:r>
              <w:rPr>
                <w:rFonts w:hint="eastAsia" w:hAnsi="宋体"/>
                <w:bCs/>
                <w:sz w:val="24"/>
              </w:rPr>
              <w:t>大体积工件焊接产生的焊接烟尘设置移动式焊接烟尘净化器进行处理，共设置3台移动式焊接烟尘净化器。焊接烟尘净化器对烟尘的收集效率以90%计，净化效率以90%计，焊接烟尘经过处理后烟尘在车间排放。</w:t>
            </w:r>
          </w:p>
          <w:p>
            <w:pPr>
              <w:adjustRightInd w:val="0"/>
              <w:snapToGrid w:val="0"/>
              <w:spacing w:line="500" w:lineRule="exact"/>
              <w:ind w:firstLine="480" w:firstLineChars="200"/>
              <w:jc w:val="left"/>
              <w:rPr>
                <w:rFonts w:hAnsi="宋体"/>
                <w:bCs/>
                <w:sz w:val="24"/>
              </w:rPr>
            </w:pPr>
            <w:r>
              <w:rPr>
                <w:rFonts w:hint="eastAsia" w:hAnsi="宋体"/>
                <w:bCs/>
                <w:sz w:val="24"/>
              </w:rPr>
              <w:t>项目废气产排情况：</w:t>
            </w:r>
          </w:p>
          <w:p>
            <w:pPr>
              <w:pStyle w:val="2"/>
              <w:adjustRightInd w:val="0"/>
              <w:spacing w:line="500" w:lineRule="exact"/>
              <w:ind w:firstLine="480" w:firstLineChars="200"/>
              <w:jc w:val="left"/>
              <w:rPr>
                <w:rFonts w:hAnsi="宋体"/>
                <w:b w:val="0"/>
              </w:rPr>
            </w:pPr>
            <w:r>
              <w:rPr>
                <w:rFonts w:hint="eastAsia" w:hAnsi="宋体"/>
                <w:b w:val="0"/>
              </w:rPr>
              <w:t>经计算，本项目废气产排情况见表31。</w:t>
            </w:r>
          </w:p>
          <w:p>
            <w:pPr>
              <w:autoSpaceDE w:val="0"/>
              <w:autoSpaceDN w:val="0"/>
              <w:adjustRightInd w:val="0"/>
              <w:snapToGrid w:val="0"/>
              <w:spacing w:line="400" w:lineRule="exact"/>
              <w:ind w:left="420"/>
              <w:rPr>
                <w:rFonts w:hAnsi="宋体"/>
                <w:b/>
                <w:sz w:val="24"/>
              </w:rPr>
            </w:pPr>
            <w:r>
              <w:rPr>
                <w:rFonts w:hint="eastAsia" w:hAnsi="宋体"/>
                <w:b/>
                <w:sz w:val="24"/>
              </w:rPr>
              <w:t>表31                废气产排情况一览表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115"/>
              <w:gridCol w:w="939"/>
              <w:gridCol w:w="1048"/>
              <w:gridCol w:w="2600"/>
              <w:gridCol w:w="1117"/>
              <w:gridCol w:w="12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7" w:type="pct"/>
                  <w:vAlign w:val="center"/>
                </w:tcPr>
                <w:p>
                  <w:pPr>
                    <w:adjustRightInd w:val="0"/>
                    <w:snapToGrid w:val="0"/>
                    <w:spacing w:line="320" w:lineRule="exact"/>
                    <w:jc w:val="center"/>
                    <w:rPr>
                      <w:b/>
                      <w:szCs w:val="21"/>
                    </w:rPr>
                  </w:pPr>
                  <w:r>
                    <w:rPr>
                      <w:rFonts w:hint="eastAsia"/>
                      <w:b/>
                      <w:szCs w:val="21"/>
                    </w:rPr>
                    <w:t>污染物</w:t>
                  </w:r>
                </w:p>
              </w:tc>
              <w:tc>
                <w:tcPr>
                  <w:tcW w:w="596" w:type="pct"/>
                  <w:vAlign w:val="center"/>
                </w:tcPr>
                <w:p>
                  <w:pPr>
                    <w:adjustRightInd w:val="0"/>
                    <w:snapToGrid w:val="0"/>
                    <w:spacing w:line="320" w:lineRule="exact"/>
                    <w:jc w:val="center"/>
                    <w:rPr>
                      <w:b/>
                      <w:szCs w:val="21"/>
                    </w:rPr>
                  </w:pPr>
                  <w:r>
                    <w:rPr>
                      <w:rFonts w:hint="eastAsia"/>
                      <w:b/>
                      <w:szCs w:val="21"/>
                    </w:rPr>
                    <w:t>项目</w:t>
                  </w:r>
                </w:p>
              </w:tc>
              <w:tc>
                <w:tcPr>
                  <w:tcW w:w="502" w:type="pct"/>
                  <w:vAlign w:val="center"/>
                </w:tcPr>
                <w:p>
                  <w:pPr>
                    <w:adjustRightInd w:val="0"/>
                    <w:snapToGrid w:val="0"/>
                    <w:spacing w:line="320" w:lineRule="exact"/>
                    <w:jc w:val="center"/>
                    <w:rPr>
                      <w:b/>
                      <w:szCs w:val="21"/>
                    </w:rPr>
                  </w:pPr>
                  <w:r>
                    <w:rPr>
                      <w:b/>
                      <w:szCs w:val="21"/>
                    </w:rPr>
                    <w:t>产生量t/a</w:t>
                  </w:r>
                </w:p>
              </w:tc>
              <w:tc>
                <w:tcPr>
                  <w:tcW w:w="560" w:type="pct"/>
                  <w:vAlign w:val="center"/>
                </w:tcPr>
                <w:p>
                  <w:pPr>
                    <w:adjustRightInd w:val="0"/>
                    <w:snapToGrid w:val="0"/>
                    <w:spacing w:line="320" w:lineRule="exact"/>
                    <w:jc w:val="center"/>
                    <w:rPr>
                      <w:b/>
                      <w:szCs w:val="21"/>
                    </w:rPr>
                  </w:pPr>
                  <w:r>
                    <w:rPr>
                      <w:b/>
                      <w:szCs w:val="21"/>
                    </w:rPr>
                    <w:t>产生速率kg/h</w:t>
                  </w:r>
                </w:p>
              </w:tc>
              <w:tc>
                <w:tcPr>
                  <w:tcW w:w="1390" w:type="pct"/>
                  <w:vAlign w:val="center"/>
                </w:tcPr>
                <w:p>
                  <w:pPr>
                    <w:adjustRightInd w:val="0"/>
                    <w:snapToGrid w:val="0"/>
                    <w:spacing w:line="320" w:lineRule="exact"/>
                    <w:jc w:val="center"/>
                    <w:rPr>
                      <w:b/>
                      <w:szCs w:val="21"/>
                    </w:rPr>
                  </w:pPr>
                  <w:r>
                    <w:rPr>
                      <w:rFonts w:hint="eastAsia"/>
                      <w:b/>
                      <w:szCs w:val="21"/>
                    </w:rPr>
                    <w:t>治理措施</w:t>
                  </w:r>
                </w:p>
              </w:tc>
              <w:tc>
                <w:tcPr>
                  <w:tcW w:w="597" w:type="pct"/>
                  <w:vAlign w:val="center"/>
                </w:tcPr>
                <w:p>
                  <w:pPr>
                    <w:adjustRightInd w:val="0"/>
                    <w:snapToGrid w:val="0"/>
                    <w:spacing w:line="320" w:lineRule="exact"/>
                    <w:jc w:val="center"/>
                    <w:rPr>
                      <w:b/>
                      <w:szCs w:val="21"/>
                    </w:rPr>
                  </w:pPr>
                  <w:r>
                    <w:rPr>
                      <w:b/>
                      <w:szCs w:val="21"/>
                    </w:rPr>
                    <w:t>排放量t/a</w:t>
                  </w:r>
                </w:p>
              </w:tc>
              <w:tc>
                <w:tcPr>
                  <w:tcW w:w="678" w:type="pct"/>
                  <w:vAlign w:val="center"/>
                </w:tcPr>
                <w:p>
                  <w:pPr>
                    <w:adjustRightInd w:val="0"/>
                    <w:snapToGrid w:val="0"/>
                    <w:spacing w:line="320" w:lineRule="exact"/>
                    <w:jc w:val="center"/>
                    <w:rPr>
                      <w:b/>
                      <w:szCs w:val="21"/>
                    </w:rPr>
                  </w:pPr>
                  <w:r>
                    <w:rPr>
                      <w:b/>
                      <w:szCs w:val="21"/>
                    </w:rPr>
                    <w:t>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pct"/>
                  <w:vMerge w:val="restart"/>
                  <w:vAlign w:val="center"/>
                </w:tcPr>
                <w:p>
                  <w:pPr>
                    <w:pStyle w:val="89"/>
                    <w:adjustRightInd w:val="0"/>
                    <w:snapToGrid w:val="0"/>
                  </w:pPr>
                  <w:r>
                    <w:rPr>
                      <w:rFonts w:hint="eastAsia"/>
                    </w:rPr>
                    <w:t>焊接</w:t>
                  </w:r>
                  <w:r>
                    <w:t>烟尘</w:t>
                  </w:r>
                </w:p>
                <w:p>
                  <w:pPr>
                    <w:pStyle w:val="89"/>
                    <w:adjustRightInd w:val="0"/>
                    <w:snapToGrid w:val="0"/>
                  </w:pPr>
                  <w:r>
                    <w:rPr>
                      <w:rFonts w:hint="eastAsia"/>
                    </w:rPr>
                    <w:t>—固定区域</w:t>
                  </w:r>
                </w:p>
              </w:tc>
              <w:tc>
                <w:tcPr>
                  <w:tcW w:w="596" w:type="pct"/>
                  <w:vAlign w:val="center"/>
                </w:tcPr>
                <w:p>
                  <w:pPr>
                    <w:pStyle w:val="89"/>
                    <w:adjustRightInd w:val="0"/>
                    <w:snapToGrid w:val="0"/>
                  </w:pPr>
                  <w:r>
                    <w:rPr>
                      <w:rFonts w:hint="eastAsia"/>
                    </w:rPr>
                    <w:t>有组织</w:t>
                  </w:r>
                </w:p>
              </w:tc>
              <w:tc>
                <w:tcPr>
                  <w:tcW w:w="502" w:type="pct"/>
                  <w:vAlign w:val="center"/>
                </w:tcPr>
                <w:p>
                  <w:pPr>
                    <w:pStyle w:val="89"/>
                    <w:adjustRightInd w:val="0"/>
                    <w:snapToGrid w:val="0"/>
                  </w:pPr>
                  <w:r>
                    <w:t>0.00</w:t>
                  </w:r>
                  <w:r>
                    <w:rPr>
                      <w:rFonts w:hint="eastAsia"/>
                    </w:rPr>
                    <w:t>86</w:t>
                  </w:r>
                </w:p>
              </w:tc>
              <w:tc>
                <w:tcPr>
                  <w:tcW w:w="560" w:type="pct"/>
                  <w:vAlign w:val="center"/>
                </w:tcPr>
                <w:p>
                  <w:pPr>
                    <w:widowControl/>
                    <w:adjustRightInd w:val="0"/>
                    <w:snapToGrid w:val="0"/>
                    <w:spacing w:line="320" w:lineRule="exact"/>
                    <w:jc w:val="center"/>
                    <w:rPr>
                      <w:szCs w:val="21"/>
                    </w:rPr>
                  </w:pPr>
                  <w:r>
                    <w:rPr>
                      <w:rFonts w:hint="eastAsia"/>
                      <w:szCs w:val="21"/>
                    </w:rPr>
                    <w:t>0</w:t>
                  </w:r>
                  <w:r>
                    <w:rPr>
                      <w:szCs w:val="21"/>
                    </w:rPr>
                    <w:t>.00</w:t>
                  </w:r>
                  <w:r>
                    <w:rPr>
                      <w:rFonts w:hint="eastAsia"/>
                      <w:szCs w:val="21"/>
                    </w:rPr>
                    <w:t>7</w:t>
                  </w:r>
                </w:p>
              </w:tc>
              <w:tc>
                <w:tcPr>
                  <w:tcW w:w="1390" w:type="pct"/>
                </w:tcPr>
                <w:p>
                  <w:pPr>
                    <w:pStyle w:val="89"/>
                    <w:adjustRightInd w:val="0"/>
                    <w:snapToGrid w:val="0"/>
                  </w:pPr>
                  <w:r>
                    <w:rPr>
                      <w:rFonts w:hint="eastAsia"/>
                    </w:rPr>
                    <w:t>袋式除尘器</w:t>
                  </w:r>
                  <w:r>
                    <w:t>+15m排气筒</w:t>
                  </w:r>
                </w:p>
              </w:tc>
              <w:tc>
                <w:tcPr>
                  <w:tcW w:w="597" w:type="pct"/>
                  <w:vAlign w:val="center"/>
                </w:tcPr>
                <w:p>
                  <w:pPr>
                    <w:pStyle w:val="89"/>
                    <w:adjustRightInd w:val="0"/>
                    <w:snapToGrid w:val="0"/>
                  </w:pPr>
                  <w:r>
                    <w:rPr>
                      <w:rFonts w:hint="eastAsia"/>
                    </w:rPr>
                    <w:t>0</w:t>
                  </w:r>
                  <w:r>
                    <w:t>.000</w:t>
                  </w:r>
                  <w:r>
                    <w:rPr>
                      <w:rFonts w:hint="eastAsia"/>
                    </w:rPr>
                    <w:t>1</w:t>
                  </w:r>
                </w:p>
              </w:tc>
              <w:tc>
                <w:tcPr>
                  <w:tcW w:w="678" w:type="pct"/>
                  <w:vAlign w:val="center"/>
                </w:tcPr>
                <w:p>
                  <w:pPr>
                    <w:pStyle w:val="89"/>
                    <w:adjustRightInd w:val="0"/>
                    <w:snapToGrid w:val="0"/>
                  </w:pPr>
                  <w:r>
                    <w:t>0.000</w:t>
                  </w:r>
                  <w:r>
                    <w:rPr>
                      <w:rFonts w:hint="eastAsi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pct"/>
                  <w:vMerge w:val="continue"/>
                  <w:vAlign w:val="center"/>
                </w:tcPr>
                <w:p>
                  <w:pPr>
                    <w:pStyle w:val="89"/>
                    <w:adjustRightInd w:val="0"/>
                    <w:snapToGrid w:val="0"/>
                  </w:pPr>
                </w:p>
              </w:tc>
              <w:tc>
                <w:tcPr>
                  <w:tcW w:w="596" w:type="pct"/>
                  <w:vAlign w:val="center"/>
                </w:tcPr>
                <w:p>
                  <w:pPr>
                    <w:pStyle w:val="89"/>
                    <w:adjustRightInd w:val="0"/>
                    <w:snapToGrid w:val="0"/>
                  </w:pPr>
                  <w:r>
                    <w:rPr>
                      <w:rFonts w:hint="eastAsia"/>
                    </w:rPr>
                    <w:t>无组织</w:t>
                  </w:r>
                </w:p>
              </w:tc>
              <w:tc>
                <w:tcPr>
                  <w:tcW w:w="502" w:type="pct"/>
                  <w:vAlign w:val="center"/>
                </w:tcPr>
                <w:p>
                  <w:pPr>
                    <w:pStyle w:val="89"/>
                    <w:adjustRightInd w:val="0"/>
                    <w:snapToGrid w:val="0"/>
                  </w:pPr>
                  <w:r>
                    <w:t>0.00</w:t>
                  </w:r>
                  <w:r>
                    <w:rPr>
                      <w:rFonts w:hint="eastAsia"/>
                    </w:rPr>
                    <w:t>10</w:t>
                  </w:r>
                </w:p>
              </w:tc>
              <w:tc>
                <w:tcPr>
                  <w:tcW w:w="560" w:type="pct"/>
                  <w:vAlign w:val="center"/>
                </w:tcPr>
                <w:p>
                  <w:pPr>
                    <w:widowControl/>
                    <w:adjustRightInd w:val="0"/>
                    <w:snapToGrid w:val="0"/>
                    <w:spacing w:line="320" w:lineRule="exact"/>
                    <w:jc w:val="center"/>
                    <w:rPr>
                      <w:szCs w:val="21"/>
                    </w:rPr>
                  </w:pPr>
                  <w:r>
                    <w:rPr>
                      <w:rFonts w:hint="eastAsia"/>
                      <w:szCs w:val="21"/>
                    </w:rPr>
                    <w:t>0.001</w:t>
                  </w:r>
                </w:p>
              </w:tc>
              <w:tc>
                <w:tcPr>
                  <w:tcW w:w="1390" w:type="pct"/>
                </w:tcPr>
                <w:p>
                  <w:pPr>
                    <w:pStyle w:val="89"/>
                    <w:adjustRightInd w:val="0"/>
                    <w:snapToGrid w:val="0"/>
                  </w:pPr>
                  <w:r>
                    <w:rPr>
                      <w:rFonts w:hint="eastAsia"/>
                    </w:rPr>
                    <w:t>/</w:t>
                  </w:r>
                </w:p>
              </w:tc>
              <w:tc>
                <w:tcPr>
                  <w:tcW w:w="597" w:type="pct"/>
                  <w:vAlign w:val="center"/>
                </w:tcPr>
                <w:p>
                  <w:pPr>
                    <w:pStyle w:val="89"/>
                    <w:adjustRightInd w:val="0"/>
                    <w:snapToGrid w:val="0"/>
                  </w:pPr>
                  <w:r>
                    <w:t>0.00</w:t>
                  </w:r>
                  <w:r>
                    <w:rPr>
                      <w:rFonts w:hint="eastAsia"/>
                    </w:rPr>
                    <w:t>10</w:t>
                  </w:r>
                </w:p>
              </w:tc>
              <w:tc>
                <w:tcPr>
                  <w:tcW w:w="678" w:type="pct"/>
                  <w:vAlign w:val="center"/>
                </w:tcPr>
                <w:p>
                  <w:pPr>
                    <w:widowControl/>
                    <w:adjustRightInd w:val="0"/>
                    <w:snapToGrid w:val="0"/>
                    <w:spacing w:line="320" w:lineRule="exact"/>
                    <w:jc w:val="center"/>
                    <w:rPr>
                      <w:szCs w:val="21"/>
                    </w:rPr>
                  </w:pPr>
                  <w:r>
                    <w:rPr>
                      <w:rFonts w:hint="eastAsia"/>
                      <w:szCs w:val="21"/>
                    </w:rPr>
                    <w:t>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pct"/>
                  <w:vAlign w:val="center"/>
                </w:tcPr>
                <w:p>
                  <w:pPr>
                    <w:pStyle w:val="89"/>
                    <w:adjustRightInd w:val="0"/>
                    <w:snapToGrid w:val="0"/>
                  </w:pPr>
                  <w:r>
                    <w:rPr>
                      <w:rFonts w:hint="eastAsia"/>
                    </w:rPr>
                    <w:t>焊接</w:t>
                  </w:r>
                  <w:r>
                    <w:t>烟尘</w:t>
                  </w:r>
                  <w:r>
                    <w:rPr>
                      <w:rFonts w:hint="eastAsia"/>
                    </w:rPr>
                    <w:t>—非</w:t>
                  </w:r>
                  <w:r>
                    <w:t>固定</w:t>
                  </w:r>
                  <w:r>
                    <w:rPr>
                      <w:rFonts w:hint="eastAsia"/>
                    </w:rPr>
                    <w:t>区域</w:t>
                  </w:r>
                </w:p>
              </w:tc>
              <w:tc>
                <w:tcPr>
                  <w:tcW w:w="596" w:type="pct"/>
                  <w:vAlign w:val="center"/>
                </w:tcPr>
                <w:p>
                  <w:pPr>
                    <w:pStyle w:val="89"/>
                    <w:adjustRightInd w:val="0"/>
                    <w:snapToGrid w:val="0"/>
                  </w:pPr>
                  <w:r>
                    <w:rPr>
                      <w:rFonts w:hint="eastAsia"/>
                    </w:rPr>
                    <w:t>无组织</w:t>
                  </w:r>
                </w:p>
              </w:tc>
              <w:tc>
                <w:tcPr>
                  <w:tcW w:w="502" w:type="pct"/>
                  <w:vAlign w:val="center"/>
                </w:tcPr>
                <w:p>
                  <w:pPr>
                    <w:pStyle w:val="89"/>
                    <w:adjustRightInd w:val="0"/>
                    <w:snapToGrid w:val="0"/>
                  </w:pPr>
                  <w:r>
                    <w:t>0.00</w:t>
                  </w:r>
                  <w:r>
                    <w:rPr>
                      <w:rFonts w:hint="eastAsia"/>
                    </w:rPr>
                    <w:t>64</w:t>
                  </w:r>
                </w:p>
              </w:tc>
              <w:tc>
                <w:tcPr>
                  <w:tcW w:w="560" w:type="pct"/>
                  <w:vAlign w:val="center"/>
                </w:tcPr>
                <w:p>
                  <w:pPr>
                    <w:pStyle w:val="89"/>
                    <w:adjustRightInd w:val="0"/>
                    <w:snapToGrid w:val="0"/>
                  </w:pPr>
                  <w:r>
                    <w:rPr>
                      <w:rFonts w:hint="eastAsia"/>
                    </w:rPr>
                    <w:t>0.0</w:t>
                  </w:r>
                  <w:r>
                    <w:t>0</w:t>
                  </w:r>
                  <w:r>
                    <w:rPr>
                      <w:rFonts w:hint="eastAsia"/>
                    </w:rPr>
                    <w:t>5</w:t>
                  </w:r>
                </w:p>
              </w:tc>
              <w:tc>
                <w:tcPr>
                  <w:tcW w:w="1390" w:type="pct"/>
                  <w:vAlign w:val="center"/>
                </w:tcPr>
                <w:p>
                  <w:pPr>
                    <w:pStyle w:val="89"/>
                    <w:adjustRightInd w:val="0"/>
                    <w:snapToGrid w:val="0"/>
                  </w:pPr>
                  <w:r>
                    <w:rPr>
                      <w:rFonts w:hint="eastAsia"/>
                    </w:rPr>
                    <w:t>移动式</w:t>
                  </w:r>
                  <w:r>
                    <w:t>焊接烟尘净化器</w:t>
                  </w:r>
                </w:p>
              </w:tc>
              <w:tc>
                <w:tcPr>
                  <w:tcW w:w="597" w:type="pct"/>
                  <w:vAlign w:val="center"/>
                </w:tcPr>
                <w:p>
                  <w:pPr>
                    <w:pStyle w:val="89"/>
                    <w:adjustRightInd w:val="0"/>
                    <w:snapToGrid w:val="0"/>
                  </w:pPr>
                  <w:r>
                    <w:rPr>
                      <w:rFonts w:hint="eastAsia"/>
                    </w:rPr>
                    <w:t>0</w:t>
                  </w:r>
                  <w:r>
                    <w:t>.00</w:t>
                  </w:r>
                  <w:r>
                    <w:rPr>
                      <w:rFonts w:hint="eastAsia"/>
                    </w:rPr>
                    <w:t>12</w:t>
                  </w:r>
                </w:p>
              </w:tc>
              <w:tc>
                <w:tcPr>
                  <w:tcW w:w="678" w:type="pct"/>
                  <w:vAlign w:val="center"/>
                </w:tcPr>
                <w:p>
                  <w:pPr>
                    <w:pStyle w:val="89"/>
                    <w:adjustRightInd w:val="0"/>
                    <w:snapToGrid w:val="0"/>
                  </w:pPr>
                  <w:r>
                    <w:rPr>
                      <w:rFonts w:hint="eastAsia"/>
                    </w:rPr>
                    <w:t>0</w:t>
                  </w:r>
                  <w:r>
                    <w:t>.001</w:t>
                  </w:r>
                </w:p>
                <w:p>
                  <w:pPr>
                    <w:pStyle w:val="89"/>
                    <w:adjustRightInd w:val="0"/>
                    <w:snapToGrid w:val="0"/>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pct"/>
                  <w:vMerge w:val="restart"/>
                  <w:vAlign w:val="center"/>
                </w:tcPr>
                <w:p>
                  <w:pPr>
                    <w:pStyle w:val="89"/>
                    <w:adjustRightInd w:val="0"/>
                    <w:snapToGrid w:val="0"/>
                  </w:pPr>
                  <w:r>
                    <w:rPr>
                      <w:rFonts w:hint="eastAsia"/>
                    </w:rPr>
                    <w:t>切割</w:t>
                  </w:r>
                  <w:r>
                    <w:t>粉尘</w:t>
                  </w:r>
                </w:p>
              </w:tc>
              <w:tc>
                <w:tcPr>
                  <w:tcW w:w="596" w:type="pct"/>
                  <w:vAlign w:val="center"/>
                </w:tcPr>
                <w:p>
                  <w:pPr>
                    <w:pStyle w:val="89"/>
                    <w:adjustRightInd w:val="0"/>
                    <w:snapToGrid w:val="0"/>
                  </w:pPr>
                  <w:r>
                    <w:rPr>
                      <w:rFonts w:hint="eastAsia"/>
                    </w:rPr>
                    <w:t>有组织</w:t>
                  </w:r>
                </w:p>
              </w:tc>
              <w:tc>
                <w:tcPr>
                  <w:tcW w:w="502" w:type="pct"/>
                  <w:vAlign w:val="center"/>
                </w:tcPr>
                <w:p>
                  <w:pPr>
                    <w:adjustRightInd w:val="0"/>
                    <w:snapToGrid w:val="0"/>
                    <w:spacing w:line="320" w:lineRule="exact"/>
                    <w:jc w:val="center"/>
                    <w:rPr>
                      <w:kern w:val="0"/>
                      <w:szCs w:val="21"/>
                    </w:rPr>
                  </w:pPr>
                  <w:r>
                    <w:rPr>
                      <w:rFonts w:hint="eastAsia"/>
                      <w:kern w:val="0"/>
                      <w:szCs w:val="21"/>
                    </w:rPr>
                    <w:t>0</w:t>
                  </w:r>
                  <w:r>
                    <w:rPr>
                      <w:kern w:val="0"/>
                      <w:szCs w:val="21"/>
                    </w:rPr>
                    <w:t>.0</w:t>
                  </w:r>
                  <w:r>
                    <w:rPr>
                      <w:rFonts w:hint="eastAsia"/>
                      <w:kern w:val="0"/>
                      <w:szCs w:val="21"/>
                    </w:rPr>
                    <w:t>27</w:t>
                  </w:r>
                </w:p>
              </w:tc>
              <w:tc>
                <w:tcPr>
                  <w:tcW w:w="560" w:type="pct"/>
                  <w:vAlign w:val="center"/>
                </w:tcPr>
                <w:p>
                  <w:pPr>
                    <w:adjustRightInd w:val="0"/>
                    <w:snapToGrid w:val="0"/>
                    <w:spacing w:line="320" w:lineRule="exact"/>
                    <w:jc w:val="center"/>
                    <w:rPr>
                      <w:kern w:val="0"/>
                      <w:szCs w:val="21"/>
                    </w:rPr>
                  </w:pPr>
                  <w:r>
                    <w:rPr>
                      <w:rFonts w:hint="eastAsia"/>
                      <w:kern w:val="0"/>
                      <w:szCs w:val="21"/>
                    </w:rPr>
                    <w:t>0</w:t>
                  </w:r>
                  <w:r>
                    <w:rPr>
                      <w:kern w:val="0"/>
                      <w:szCs w:val="21"/>
                    </w:rPr>
                    <w:t>.0</w:t>
                  </w:r>
                  <w:r>
                    <w:rPr>
                      <w:rFonts w:hint="eastAsia"/>
                      <w:kern w:val="0"/>
                      <w:szCs w:val="21"/>
                    </w:rPr>
                    <w:t>45</w:t>
                  </w:r>
                </w:p>
              </w:tc>
              <w:tc>
                <w:tcPr>
                  <w:tcW w:w="1390" w:type="pct"/>
                </w:tcPr>
                <w:p>
                  <w:pPr>
                    <w:pStyle w:val="89"/>
                    <w:adjustRightInd w:val="0"/>
                    <w:snapToGrid w:val="0"/>
                  </w:pPr>
                  <w:r>
                    <w:rPr>
                      <w:rFonts w:hint="eastAsia"/>
                    </w:rPr>
                    <w:t>袋式除尘器</w:t>
                  </w:r>
                  <w:r>
                    <w:t>+15m排气筒</w:t>
                  </w:r>
                </w:p>
              </w:tc>
              <w:tc>
                <w:tcPr>
                  <w:tcW w:w="597" w:type="pct"/>
                  <w:vAlign w:val="center"/>
                </w:tcPr>
                <w:p>
                  <w:pPr>
                    <w:adjustRightInd w:val="0"/>
                    <w:snapToGrid w:val="0"/>
                    <w:spacing w:line="320" w:lineRule="exact"/>
                    <w:jc w:val="center"/>
                    <w:rPr>
                      <w:kern w:val="0"/>
                      <w:szCs w:val="21"/>
                    </w:rPr>
                  </w:pPr>
                  <w:r>
                    <w:rPr>
                      <w:rFonts w:hint="eastAsia"/>
                      <w:kern w:val="0"/>
                      <w:szCs w:val="21"/>
                    </w:rPr>
                    <w:t>0</w:t>
                  </w:r>
                  <w:r>
                    <w:rPr>
                      <w:kern w:val="0"/>
                      <w:szCs w:val="21"/>
                    </w:rPr>
                    <w:t>.000</w:t>
                  </w:r>
                  <w:r>
                    <w:rPr>
                      <w:rFonts w:hint="eastAsia"/>
                      <w:kern w:val="0"/>
                      <w:szCs w:val="21"/>
                    </w:rPr>
                    <w:t>3</w:t>
                  </w:r>
                </w:p>
              </w:tc>
              <w:tc>
                <w:tcPr>
                  <w:tcW w:w="678" w:type="pct"/>
                  <w:vAlign w:val="center"/>
                </w:tcPr>
                <w:p>
                  <w:pPr>
                    <w:adjustRightInd w:val="0"/>
                    <w:snapToGrid w:val="0"/>
                    <w:spacing w:line="320" w:lineRule="exact"/>
                    <w:jc w:val="center"/>
                    <w:rPr>
                      <w:kern w:val="0"/>
                      <w:szCs w:val="21"/>
                    </w:rPr>
                  </w:pPr>
                  <w:r>
                    <w:rPr>
                      <w:rFonts w:hint="eastAsia"/>
                      <w:kern w:val="0"/>
                      <w:szCs w:val="21"/>
                    </w:rPr>
                    <w:t>0</w:t>
                  </w:r>
                  <w:r>
                    <w:rPr>
                      <w:kern w:val="0"/>
                      <w:szCs w:val="21"/>
                    </w:rPr>
                    <w:t>.000</w:t>
                  </w:r>
                  <w:r>
                    <w:rPr>
                      <w:rFonts w:hint="eastAsia"/>
                      <w:kern w:val="0"/>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pct"/>
                  <w:vMerge w:val="continue"/>
                  <w:vAlign w:val="center"/>
                </w:tcPr>
                <w:p>
                  <w:pPr>
                    <w:pStyle w:val="89"/>
                    <w:adjustRightInd w:val="0"/>
                    <w:snapToGrid w:val="0"/>
                  </w:pPr>
                </w:p>
              </w:tc>
              <w:tc>
                <w:tcPr>
                  <w:tcW w:w="596" w:type="pct"/>
                  <w:vAlign w:val="center"/>
                </w:tcPr>
                <w:p>
                  <w:pPr>
                    <w:pStyle w:val="89"/>
                    <w:adjustRightInd w:val="0"/>
                    <w:snapToGrid w:val="0"/>
                  </w:pPr>
                  <w:r>
                    <w:rPr>
                      <w:rFonts w:hint="eastAsia"/>
                    </w:rPr>
                    <w:t>无组织</w:t>
                  </w:r>
                </w:p>
              </w:tc>
              <w:tc>
                <w:tcPr>
                  <w:tcW w:w="502" w:type="pct"/>
                  <w:vAlign w:val="center"/>
                </w:tcPr>
                <w:p>
                  <w:pPr>
                    <w:adjustRightInd w:val="0"/>
                    <w:snapToGrid w:val="0"/>
                    <w:spacing w:line="320" w:lineRule="exact"/>
                    <w:jc w:val="center"/>
                    <w:rPr>
                      <w:kern w:val="0"/>
                      <w:szCs w:val="21"/>
                    </w:rPr>
                  </w:pPr>
                  <w:r>
                    <w:rPr>
                      <w:rFonts w:hint="eastAsia"/>
                      <w:kern w:val="0"/>
                      <w:szCs w:val="21"/>
                    </w:rPr>
                    <w:t>0</w:t>
                  </w:r>
                  <w:r>
                    <w:rPr>
                      <w:kern w:val="0"/>
                      <w:szCs w:val="21"/>
                    </w:rPr>
                    <w:t>.00</w:t>
                  </w:r>
                  <w:r>
                    <w:rPr>
                      <w:rFonts w:hint="eastAsia"/>
                      <w:kern w:val="0"/>
                      <w:szCs w:val="21"/>
                    </w:rPr>
                    <w:t>3</w:t>
                  </w:r>
                </w:p>
              </w:tc>
              <w:tc>
                <w:tcPr>
                  <w:tcW w:w="560" w:type="pct"/>
                  <w:vAlign w:val="center"/>
                </w:tcPr>
                <w:p>
                  <w:pPr>
                    <w:adjustRightInd w:val="0"/>
                    <w:snapToGrid w:val="0"/>
                    <w:spacing w:line="320" w:lineRule="exact"/>
                    <w:jc w:val="center"/>
                    <w:rPr>
                      <w:kern w:val="0"/>
                      <w:szCs w:val="21"/>
                    </w:rPr>
                  </w:pPr>
                  <w:r>
                    <w:rPr>
                      <w:rFonts w:hint="eastAsia"/>
                      <w:kern w:val="0"/>
                      <w:szCs w:val="21"/>
                    </w:rPr>
                    <w:t>0</w:t>
                  </w:r>
                  <w:r>
                    <w:rPr>
                      <w:kern w:val="0"/>
                      <w:szCs w:val="21"/>
                    </w:rPr>
                    <w:t>.00</w:t>
                  </w:r>
                  <w:r>
                    <w:rPr>
                      <w:rFonts w:hint="eastAsia"/>
                      <w:kern w:val="0"/>
                      <w:szCs w:val="21"/>
                    </w:rPr>
                    <w:t>5</w:t>
                  </w:r>
                </w:p>
              </w:tc>
              <w:tc>
                <w:tcPr>
                  <w:tcW w:w="1390" w:type="pct"/>
                </w:tcPr>
                <w:p>
                  <w:pPr>
                    <w:pStyle w:val="89"/>
                    <w:adjustRightInd w:val="0"/>
                    <w:snapToGrid w:val="0"/>
                  </w:pPr>
                  <w:r>
                    <w:rPr>
                      <w:rFonts w:hint="eastAsia"/>
                    </w:rPr>
                    <w:t>/</w:t>
                  </w:r>
                </w:p>
              </w:tc>
              <w:tc>
                <w:tcPr>
                  <w:tcW w:w="597" w:type="pct"/>
                  <w:vAlign w:val="center"/>
                </w:tcPr>
                <w:p>
                  <w:pPr>
                    <w:adjustRightInd w:val="0"/>
                    <w:snapToGrid w:val="0"/>
                    <w:spacing w:line="320" w:lineRule="exact"/>
                    <w:jc w:val="center"/>
                    <w:rPr>
                      <w:kern w:val="0"/>
                      <w:szCs w:val="21"/>
                    </w:rPr>
                  </w:pPr>
                  <w:r>
                    <w:rPr>
                      <w:rFonts w:hint="eastAsia"/>
                      <w:kern w:val="0"/>
                      <w:szCs w:val="21"/>
                    </w:rPr>
                    <w:t>0</w:t>
                  </w:r>
                  <w:r>
                    <w:rPr>
                      <w:kern w:val="0"/>
                      <w:szCs w:val="21"/>
                    </w:rPr>
                    <w:t>.00</w:t>
                  </w:r>
                  <w:r>
                    <w:rPr>
                      <w:rFonts w:hint="eastAsia"/>
                      <w:kern w:val="0"/>
                      <w:szCs w:val="21"/>
                    </w:rPr>
                    <w:t>3</w:t>
                  </w:r>
                </w:p>
              </w:tc>
              <w:tc>
                <w:tcPr>
                  <w:tcW w:w="678" w:type="pct"/>
                  <w:vAlign w:val="center"/>
                </w:tcPr>
                <w:p>
                  <w:pPr>
                    <w:adjustRightInd w:val="0"/>
                    <w:snapToGrid w:val="0"/>
                    <w:spacing w:line="320" w:lineRule="exact"/>
                    <w:jc w:val="center"/>
                    <w:rPr>
                      <w:kern w:val="0"/>
                      <w:szCs w:val="21"/>
                    </w:rPr>
                  </w:pPr>
                  <w:r>
                    <w:rPr>
                      <w:rFonts w:hint="eastAsia"/>
                      <w:kern w:val="0"/>
                      <w:szCs w:val="21"/>
                    </w:rPr>
                    <w:t>0</w:t>
                  </w:r>
                  <w:r>
                    <w:rPr>
                      <w:kern w:val="0"/>
                      <w:szCs w:val="21"/>
                    </w:rPr>
                    <w:t>.00</w:t>
                  </w:r>
                  <w:r>
                    <w:rPr>
                      <w:rFonts w:hint="eastAsia"/>
                      <w:kern w:val="0"/>
                      <w:szCs w:val="21"/>
                    </w:rPr>
                    <w:t>5</w:t>
                  </w:r>
                </w:p>
              </w:tc>
            </w:tr>
          </w:tbl>
          <w:p>
            <w:pPr>
              <w:pStyle w:val="2"/>
              <w:adjustRightInd w:val="0"/>
              <w:snapToGrid w:val="0"/>
              <w:spacing w:line="240" w:lineRule="atLeast"/>
              <w:ind w:firstLine="482" w:firstLineChars="200"/>
              <w:jc w:val="left"/>
              <w:rPr>
                <w:rFonts w:hAnsi="宋体"/>
              </w:rPr>
            </w:pPr>
            <w:r>
              <w:rPr>
                <w:rFonts w:hint="eastAsia" w:hAnsi="宋体"/>
              </w:rPr>
              <w:t>注：切割时间为2h/d，焊接时间为4h/d。</w:t>
            </w:r>
          </w:p>
          <w:p>
            <w:pPr>
              <w:pStyle w:val="2"/>
              <w:adjustRightInd w:val="0"/>
              <w:snapToGrid w:val="0"/>
              <w:spacing w:line="500" w:lineRule="exact"/>
              <w:ind w:firstLine="480" w:firstLineChars="200"/>
              <w:jc w:val="left"/>
              <w:rPr>
                <w:rFonts w:hAnsi="宋体"/>
                <w:b w:val="0"/>
              </w:rPr>
            </w:pPr>
            <w:r>
              <w:rPr>
                <w:rFonts w:hint="eastAsia" w:hAnsi="宋体"/>
                <w:b w:val="0"/>
              </w:rPr>
              <w:t>由于各工序运行时间不同，本次评价考虑最不利情况，即各工序同时运行时废气产排情况，见下表32。</w:t>
            </w:r>
          </w:p>
          <w:p>
            <w:pPr>
              <w:autoSpaceDE w:val="0"/>
              <w:autoSpaceDN w:val="0"/>
              <w:adjustRightInd w:val="0"/>
              <w:snapToGrid w:val="0"/>
              <w:spacing w:line="400" w:lineRule="exact"/>
              <w:ind w:left="420"/>
              <w:rPr>
                <w:rFonts w:hAnsi="宋体"/>
                <w:b/>
                <w:sz w:val="24"/>
              </w:rPr>
            </w:pPr>
            <w:r>
              <w:rPr>
                <w:rFonts w:hint="eastAsia" w:hAnsi="宋体"/>
                <w:b/>
                <w:sz w:val="24"/>
              </w:rPr>
              <w:t>表32              各工序同时运行时项目废气产排情况一览表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067"/>
              <w:gridCol w:w="887"/>
              <w:gridCol w:w="1036"/>
              <w:gridCol w:w="1184"/>
              <w:gridCol w:w="1036"/>
              <w:gridCol w:w="1038"/>
              <w:gridCol w:w="12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78" w:type="pct"/>
                  <w:vAlign w:val="center"/>
                </w:tcPr>
                <w:p>
                  <w:pPr>
                    <w:adjustRightInd w:val="0"/>
                    <w:snapToGrid w:val="0"/>
                    <w:spacing w:line="320" w:lineRule="exact"/>
                    <w:jc w:val="center"/>
                    <w:rPr>
                      <w:b/>
                      <w:szCs w:val="21"/>
                    </w:rPr>
                  </w:pPr>
                  <w:r>
                    <w:rPr>
                      <w:rFonts w:hint="eastAsia"/>
                      <w:b/>
                      <w:szCs w:val="21"/>
                    </w:rPr>
                    <w:t>污染物</w:t>
                  </w:r>
                </w:p>
              </w:tc>
              <w:tc>
                <w:tcPr>
                  <w:tcW w:w="1105" w:type="pct"/>
                  <w:vAlign w:val="center"/>
                </w:tcPr>
                <w:p>
                  <w:pPr>
                    <w:adjustRightInd w:val="0"/>
                    <w:snapToGrid w:val="0"/>
                    <w:spacing w:line="320" w:lineRule="exact"/>
                    <w:jc w:val="center"/>
                    <w:rPr>
                      <w:b/>
                      <w:szCs w:val="21"/>
                    </w:rPr>
                  </w:pPr>
                  <w:r>
                    <w:rPr>
                      <w:rFonts w:hint="eastAsia"/>
                      <w:b/>
                      <w:szCs w:val="21"/>
                    </w:rPr>
                    <w:t>项目</w:t>
                  </w:r>
                </w:p>
              </w:tc>
              <w:tc>
                <w:tcPr>
                  <w:tcW w:w="474" w:type="pct"/>
                  <w:vAlign w:val="center"/>
                </w:tcPr>
                <w:p>
                  <w:pPr>
                    <w:adjustRightInd w:val="0"/>
                    <w:snapToGrid w:val="0"/>
                    <w:spacing w:line="320" w:lineRule="exact"/>
                    <w:jc w:val="center"/>
                    <w:rPr>
                      <w:b/>
                      <w:szCs w:val="21"/>
                    </w:rPr>
                  </w:pPr>
                  <w:r>
                    <w:rPr>
                      <w:b/>
                      <w:szCs w:val="21"/>
                    </w:rPr>
                    <w:t>产生量t/a</w:t>
                  </w:r>
                </w:p>
              </w:tc>
              <w:tc>
                <w:tcPr>
                  <w:tcW w:w="554" w:type="pct"/>
                  <w:vAlign w:val="center"/>
                </w:tcPr>
                <w:p>
                  <w:pPr>
                    <w:adjustRightInd w:val="0"/>
                    <w:snapToGrid w:val="0"/>
                    <w:spacing w:line="320" w:lineRule="exact"/>
                    <w:jc w:val="center"/>
                    <w:rPr>
                      <w:b/>
                      <w:szCs w:val="21"/>
                    </w:rPr>
                  </w:pPr>
                  <w:r>
                    <w:rPr>
                      <w:b/>
                      <w:szCs w:val="21"/>
                    </w:rPr>
                    <w:t>产生速率kg/h</w:t>
                  </w:r>
                </w:p>
              </w:tc>
              <w:tc>
                <w:tcPr>
                  <w:tcW w:w="633" w:type="pct"/>
                  <w:vAlign w:val="center"/>
                </w:tcPr>
                <w:p>
                  <w:pPr>
                    <w:adjustRightInd w:val="0"/>
                    <w:snapToGrid w:val="0"/>
                    <w:spacing w:line="320" w:lineRule="exact"/>
                    <w:jc w:val="center"/>
                    <w:rPr>
                      <w:b/>
                      <w:szCs w:val="21"/>
                    </w:rPr>
                  </w:pPr>
                  <w:r>
                    <w:rPr>
                      <w:rFonts w:hint="eastAsia"/>
                      <w:b/>
                      <w:szCs w:val="21"/>
                    </w:rPr>
                    <w:t>产生浓度</w:t>
                  </w:r>
                  <w:r>
                    <w:rPr>
                      <w:b/>
                      <w:szCs w:val="21"/>
                    </w:rPr>
                    <w:t>mg/m</w:t>
                  </w:r>
                  <w:r>
                    <w:rPr>
                      <w:b/>
                      <w:szCs w:val="21"/>
                      <w:vertAlign w:val="superscript"/>
                    </w:rPr>
                    <w:t>3</w:t>
                  </w:r>
                </w:p>
              </w:tc>
              <w:tc>
                <w:tcPr>
                  <w:tcW w:w="554" w:type="pct"/>
                  <w:vAlign w:val="center"/>
                </w:tcPr>
                <w:p>
                  <w:pPr>
                    <w:adjustRightInd w:val="0"/>
                    <w:snapToGrid w:val="0"/>
                    <w:spacing w:line="320" w:lineRule="exact"/>
                    <w:jc w:val="center"/>
                    <w:rPr>
                      <w:b/>
                      <w:szCs w:val="21"/>
                    </w:rPr>
                  </w:pPr>
                  <w:r>
                    <w:rPr>
                      <w:b/>
                      <w:szCs w:val="21"/>
                    </w:rPr>
                    <w:t>排放量t/a</w:t>
                  </w:r>
                </w:p>
              </w:tc>
              <w:tc>
                <w:tcPr>
                  <w:tcW w:w="555" w:type="pct"/>
                  <w:vAlign w:val="center"/>
                </w:tcPr>
                <w:p>
                  <w:pPr>
                    <w:adjustRightInd w:val="0"/>
                    <w:snapToGrid w:val="0"/>
                    <w:spacing w:line="320" w:lineRule="exact"/>
                    <w:jc w:val="center"/>
                    <w:rPr>
                      <w:b/>
                      <w:szCs w:val="21"/>
                    </w:rPr>
                  </w:pPr>
                  <w:r>
                    <w:rPr>
                      <w:b/>
                      <w:szCs w:val="21"/>
                    </w:rPr>
                    <w:t>排放速率kg/h</w:t>
                  </w:r>
                </w:p>
              </w:tc>
              <w:tc>
                <w:tcPr>
                  <w:tcW w:w="647" w:type="pct"/>
                  <w:vAlign w:val="center"/>
                </w:tcPr>
                <w:p>
                  <w:pPr>
                    <w:adjustRightInd w:val="0"/>
                    <w:snapToGrid w:val="0"/>
                    <w:spacing w:line="320" w:lineRule="exact"/>
                    <w:jc w:val="center"/>
                    <w:rPr>
                      <w:b/>
                      <w:szCs w:val="21"/>
                    </w:rPr>
                  </w:pPr>
                  <w:r>
                    <w:rPr>
                      <w:rFonts w:hint="eastAsia"/>
                      <w:b/>
                      <w:szCs w:val="21"/>
                    </w:rPr>
                    <w:t>排放浓度</w:t>
                  </w:r>
                  <w:r>
                    <w:rPr>
                      <w:b/>
                      <w:szCs w:val="21"/>
                    </w:rPr>
                    <w:t>mg/m</w:t>
                  </w:r>
                  <w:r>
                    <w:rPr>
                      <w:b/>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 w:type="pct"/>
                  <w:vMerge w:val="restart"/>
                  <w:vAlign w:val="center"/>
                </w:tcPr>
                <w:p>
                  <w:pPr>
                    <w:pStyle w:val="89"/>
                    <w:adjustRightInd w:val="0"/>
                    <w:snapToGrid w:val="0"/>
                  </w:pPr>
                  <w:r>
                    <w:rPr>
                      <w:rFonts w:hint="eastAsia"/>
                    </w:rPr>
                    <w:t>颗粒物</w:t>
                  </w:r>
                </w:p>
              </w:tc>
              <w:tc>
                <w:tcPr>
                  <w:tcW w:w="1105" w:type="pct"/>
                  <w:vAlign w:val="center"/>
                </w:tcPr>
                <w:p>
                  <w:pPr>
                    <w:pStyle w:val="89"/>
                    <w:adjustRightInd w:val="0"/>
                    <w:snapToGrid w:val="0"/>
                  </w:pPr>
                  <w:r>
                    <w:rPr>
                      <w:rFonts w:hint="eastAsia"/>
                    </w:rPr>
                    <w:t>有组织</w:t>
                  </w:r>
                </w:p>
              </w:tc>
              <w:tc>
                <w:tcPr>
                  <w:tcW w:w="474" w:type="pct"/>
                  <w:vAlign w:val="center"/>
                </w:tcPr>
                <w:p>
                  <w:pPr>
                    <w:pStyle w:val="89"/>
                    <w:adjustRightInd w:val="0"/>
                    <w:snapToGrid w:val="0"/>
                  </w:pPr>
                  <w:r>
                    <w:t>0.0</w:t>
                  </w:r>
                  <w:r>
                    <w:rPr>
                      <w:rFonts w:hint="eastAsia"/>
                    </w:rPr>
                    <w:t>356</w:t>
                  </w:r>
                </w:p>
              </w:tc>
              <w:tc>
                <w:tcPr>
                  <w:tcW w:w="554" w:type="pct"/>
                  <w:vAlign w:val="center"/>
                </w:tcPr>
                <w:p>
                  <w:pPr>
                    <w:widowControl/>
                    <w:spacing w:line="320" w:lineRule="exact"/>
                    <w:jc w:val="center"/>
                    <w:rPr>
                      <w:szCs w:val="21"/>
                    </w:rPr>
                  </w:pPr>
                  <w:r>
                    <w:rPr>
                      <w:rFonts w:hint="eastAsia"/>
                      <w:szCs w:val="21"/>
                    </w:rPr>
                    <w:t>0</w:t>
                  </w:r>
                  <w:r>
                    <w:rPr>
                      <w:szCs w:val="21"/>
                    </w:rPr>
                    <w:t>.0</w:t>
                  </w:r>
                  <w:r>
                    <w:rPr>
                      <w:rFonts w:hint="eastAsia"/>
                      <w:szCs w:val="21"/>
                    </w:rPr>
                    <w:t>52</w:t>
                  </w:r>
                </w:p>
              </w:tc>
              <w:tc>
                <w:tcPr>
                  <w:tcW w:w="633" w:type="pct"/>
                  <w:vAlign w:val="center"/>
                </w:tcPr>
                <w:p>
                  <w:pPr>
                    <w:pStyle w:val="89"/>
                    <w:adjustRightInd w:val="0"/>
                    <w:snapToGrid w:val="0"/>
                  </w:pPr>
                  <w:r>
                    <w:rPr>
                      <w:rFonts w:hint="eastAsia"/>
                    </w:rPr>
                    <w:t>52.0</w:t>
                  </w:r>
                </w:p>
              </w:tc>
              <w:tc>
                <w:tcPr>
                  <w:tcW w:w="554" w:type="pct"/>
                  <w:vAlign w:val="center"/>
                </w:tcPr>
                <w:p>
                  <w:pPr>
                    <w:pStyle w:val="89"/>
                    <w:adjustRightInd w:val="0"/>
                    <w:snapToGrid w:val="0"/>
                  </w:pPr>
                  <w:r>
                    <w:rPr>
                      <w:rFonts w:hint="eastAsia"/>
                    </w:rPr>
                    <w:t>0</w:t>
                  </w:r>
                  <w:r>
                    <w:t>.00</w:t>
                  </w:r>
                  <w:r>
                    <w:rPr>
                      <w:rFonts w:hint="eastAsia"/>
                    </w:rPr>
                    <w:t>04</w:t>
                  </w:r>
                </w:p>
              </w:tc>
              <w:tc>
                <w:tcPr>
                  <w:tcW w:w="555" w:type="pct"/>
                  <w:vAlign w:val="center"/>
                </w:tcPr>
                <w:p>
                  <w:pPr>
                    <w:pStyle w:val="89"/>
                    <w:adjustRightInd w:val="0"/>
                    <w:snapToGrid w:val="0"/>
                  </w:pPr>
                  <w:r>
                    <w:rPr>
                      <w:rFonts w:hint="eastAsia"/>
                    </w:rPr>
                    <w:t>0</w:t>
                  </w:r>
                  <w:r>
                    <w:t>.00</w:t>
                  </w:r>
                  <w:r>
                    <w:rPr>
                      <w:rFonts w:hint="eastAsia"/>
                    </w:rPr>
                    <w:t>05</w:t>
                  </w:r>
                </w:p>
              </w:tc>
              <w:tc>
                <w:tcPr>
                  <w:tcW w:w="647" w:type="pct"/>
                  <w:vAlign w:val="center"/>
                </w:tcPr>
                <w:p>
                  <w:pPr>
                    <w:pStyle w:val="89"/>
                    <w:adjustRightInd w:val="0"/>
                    <w:snapToGrid w:val="0"/>
                  </w:pPr>
                  <w:r>
                    <w:rPr>
                      <w:rFonts w:hint="eastAsia"/>
                    </w:rPr>
                    <w:t>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8" w:type="pct"/>
                  <w:vMerge w:val="continue"/>
                  <w:vAlign w:val="center"/>
                </w:tcPr>
                <w:p>
                  <w:pPr>
                    <w:pStyle w:val="89"/>
                    <w:adjustRightInd w:val="0"/>
                    <w:snapToGrid w:val="0"/>
                  </w:pPr>
                </w:p>
              </w:tc>
              <w:tc>
                <w:tcPr>
                  <w:tcW w:w="1105" w:type="pct"/>
                  <w:vAlign w:val="center"/>
                </w:tcPr>
                <w:p>
                  <w:pPr>
                    <w:pStyle w:val="89"/>
                    <w:adjustRightInd w:val="0"/>
                    <w:snapToGrid w:val="0"/>
                  </w:pPr>
                  <w:r>
                    <w:rPr>
                      <w:rFonts w:hint="eastAsia"/>
                    </w:rPr>
                    <w:t>无组织</w:t>
                  </w:r>
                </w:p>
              </w:tc>
              <w:tc>
                <w:tcPr>
                  <w:tcW w:w="474" w:type="pct"/>
                  <w:vAlign w:val="center"/>
                </w:tcPr>
                <w:p>
                  <w:pPr>
                    <w:pStyle w:val="89"/>
                    <w:adjustRightInd w:val="0"/>
                    <w:snapToGrid w:val="0"/>
                  </w:pPr>
                  <w:r>
                    <w:rPr>
                      <w:rFonts w:hint="eastAsia"/>
                    </w:rPr>
                    <w:t>0</w:t>
                  </w:r>
                  <w:r>
                    <w:t>.0</w:t>
                  </w:r>
                  <w:r>
                    <w:rPr>
                      <w:rFonts w:hint="eastAsia"/>
                    </w:rPr>
                    <w:t>104</w:t>
                  </w:r>
                </w:p>
              </w:tc>
              <w:tc>
                <w:tcPr>
                  <w:tcW w:w="554" w:type="pct"/>
                  <w:vAlign w:val="center"/>
                </w:tcPr>
                <w:p>
                  <w:pPr>
                    <w:widowControl/>
                    <w:spacing w:line="320" w:lineRule="exact"/>
                    <w:jc w:val="center"/>
                    <w:rPr>
                      <w:szCs w:val="21"/>
                    </w:rPr>
                  </w:pPr>
                  <w:r>
                    <w:rPr>
                      <w:rFonts w:hint="eastAsia"/>
                      <w:szCs w:val="21"/>
                    </w:rPr>
                    <w:t>0</w:t>
                  </w:r>
                  <w:r>
                    <w:rPr>
                      <w:szCs w:val="21"/>
                    </w:rPr>
                    <w:t>.0</w:t>
                  </w:r>
                  <w:r>
                    <w:rPr>
                      <w:rFonts w:hint="eastAsia"/>
                      <w:szCs w:val="21"/>
                    </w:rPr>
                    <w:t>11</w:t>
                  </w:r>
                </w:p>
              </w:tc>
              <w:tc>
                <w:tcPr>
                  <w:tcW w:w="633" w:type="pct"/>
                  <w:vAlign w:val="center"/>
                </w:tcPr>
                <w:p>
                  <w:pPr>
                    <w:pStyle w:val="89"/>
                    <w:adjustRightInd w:val="0"/>
                    <w:snapToGrid w:val="0"/>
                  </w:pPr>
                  <w:r>
                    <w:rPr>
                      <w:rFonts w:hint="eastAsia"/>
                    </w:rPr>
                    <w:t>/</w:t>
                  </w:r>
                </w:p>
              </w:tc>
              <w:tc>
                <w:tcPr>
                  <w:tcW w:w="554" w:type="pct"/>
                  <w:vAlign w:val="center"/>
                </w:tcPr>
                <w:p>
                  <w:pPr>
                    <w:pStyle w:val="89"/>
                    <w:adjustRightInd w:val="0"/>
                    <w:snapToGrid w:val="0"/>
                  </w:pPr>
                  <w:r>
                    <w:rPr>
                      <w:rFonts w:hint="eastAsia"/>
                    </w:rPr>
                    <w:t>0</w:t>
                  </w:r>
                  <w:r>
                    <w:t>.00</w:t>
                  </w:r>
                  <w:r>
                    <w:rPr>
                      <w:rFonts w:hint="eastAsia"/>
                    </w:rPr>
                    <w:t>52</w:t>
                  </w:r>
                </w:p>
              </w:tc>
              <w:tc>
                <w:tcPr>
                  <w:tcW w:w="555" w:type="pct"/>
                  <w:vAlign w:val="center"/>
                </w:tcPr>
                <w:p>
                  <w:pPr>
                    <w:widowControl/>
                    <w:spacing w:line="320" w:lineRule="exact"/>
                    <w:jc w:val="center"/>
                    <w:rPr>
                      <w:szCs w:val="21"/>
                    </w:rPr>
                  </w:pPr>
                  <w:r>
                    <w:rPr>
                      <w:rFonts w:hint="eastAsia"/>
                      <w:szCs w:val="21"/>
                    </w:rPr>
                    <w:t>0</w:t>
                  </w:r>
                  <w:r>
                    <w:rPr>
                      <w:szCs w:val="21"/>
                    </w:rPr>
                    <w:t>.00</w:t>
                  </w:r>
                  <w:r>
                    <w:rPr>
                      <w:rFonts w:hint="eastAsia"/>
                      <w:szCs w:val="21"/>
                    </w:rPr>
                    <w:t>7</w:t>
                  </w:r>
                </w:p>
              </w:tc>
              <w:tc>
                <w:tcPr>
                  <w:tcW w:w="647" w:type="pct"/>
                  <w:vAlign w:val="center"/>
                </w:tcPr>
                <w:p>
                  <w:pPr>
                    <w:widowControl/>
                    <w:spacing w:line="320" w:lineRule="exact"/>
                    <w:jc w:val="center"/>
                    <w:rPr>
                      <w:szCs w:val="21"/>
                    </w:rPr>
                  </w:pPr>
                  <w:r>
                    <w:rPr>
                      <w:rFonts w:hint="eastAsia"/>
                      <w:szCs w:val="21"/>
                    </w:rPr>
                    <w:t>/</w:t>
                  </w:r>
                </w:p>
              </w:tc>
            </w:tr>
          </w:tbl>
          <w:p>
            <w:pPr>
              <w:adjustRightInd w:val="0"/>
              <w:snapToGrid w:val="0"/>
              <w:spacing w:line="500" w:lineRule="exact"/>
              <w:ind w:firstLine="480" w:firstLineChars="200"/>
              <w:jc w:val="left"/>
              <w:rPr>
                <w:rFonts w:hAnsi="宋体"/>
                <w:bCs/>
                <w:sz w:val="24"/>
              </w:rPr>
            </w:pPr>
            <w:r>
              <w:rPr>
                <w:rFonts w:hAnsi="宋体"/>
                <w:bCs/>
                <w:sz w:val="24"/>
              </w:rPr>
              <w:t>（2）废水</w:t>
            </w:r>
          </w:p>
          <w:p>
            <w:pPr>
              <w:pStyle w:val="2"/>
              <w:adjustRightInd w:val="0"/>
              <w:snapToGrid w:val="0"/>
              <w:spacing w:line="500" w:lineRule="exact"/>
              <w:ind w:firstLine="480" w:firstLineChars="200"/>
              <w:jc w:val="left"/>
              <w:rPr>
                <w:b w:val="0"/>
              </w:rPr>
            </w:pPr>
            <w:r>
              <w:rPr>
                <w:rFonts w:hAnsi="宋体"/>
                <w:b w:val="0"/>
              </w:rPr>
              <w:t>本项目营运期无生产废水产生，仅为职工生活污水。</w:t>
            </w:r>
          </w:p>
          <w:p>
            <w:pPr>
              <w:adjustRightInd w:val="0"/>
              <w:snapToGrid w:val="0"/>
              <w:spacing w:line="500" w:lineRule="exact"/>
              <w:ind w:firstLine="480" w:firstLineChars="200"/>
              <w:rPr>
                <w:sz w:val="24"/>
              </w:rPr>
            </w:pPr>
            <w:r>
              <w:rPr>
                <w:rFonts w:hAnsi="宋体"/>
                <w:sz w:val="24"/>
              </w:rPr>
              <w:t>项目</w:t>
            </w:r>
            <w:r>
              <w:rPr>
                <w:rFonts w:hint="eastAsia" w:hAnsi="宋体"/>
                <w:sz w:val="24"/>
              </w:rPr>
              <w:t>新增</w:t>
            </w:r>
            <w:r>
              <w:rPr>
                <w:rFonts w:hAnsi="宋体"/>
                <w:sz w:val="24"/>
              </w:rPr>
              <w:t>劳动</w:t>
            </w:r>
            <w:r>
              <w:rPr>
                <w:rFonts w:hint="eastAsia" w:hAnsi="宋体"/>
                <w:sz w:val="24"/>
              </w:rPr>
              <w:t>人</w:t>
            </w:r>
            <w:r>
              <w:rPr>
                <w:rFonts w:hAnsi="宋体"/>
                <w:sz w:val="24"/>
              </w:rPr>
              <w:t>员</w:t>
            </w:r>
            <w:r>
              <w:rPr>
                <w:rFonts w:hint="eastAsia"/>
                <w:sz w:val="24"/>
              </w:rPr>
              <w:t>10</w:t>
            </w:r>
            <w:r>
              <w:rPr>
                <w:rFonts w:hAnsi="宋体"/>
                <w:sz w:val="24"/>
              </w:rPr>
              <w:t>人，年生产</w:t>
            </w:r>
            <w:r>
              <w:rPr>
                <w:rFonts w:hint="eastAsia"/>
                <w:sz w:val="24"/>
              </w:rPr>
              <w:t>30</w:t>
            </w:r>
            <w:r>
              <w:rPr>
                <w:sz w:val="24"/>
              </w:rPr>
              <w:t>0</w:t>
            </w:r>
            <w:r>
              <w:rPr>
                <w:rFonts w:hAnsi="宋体"/>
                <w:sz w:val="24"/>
              </w:rPr>
              <w:t>天，职工</w:t>
            </w:r>
            <w:r>
              <w:rPr>
                <w:rFonts w:hint="eastAsia" w:hAnsi="宋体"/>
                <w:sz w:val="24"/>
              </w:rPr>
              <w:t>均为附近村民，</w:t>
            </w:r>
            <w:r>
              <w:rPr>
                <w:rFonts w:hAnsi="宋体"/>
                <w:sz w:val="24"/>
              </w:rPr>
              <w:t>不在厂区内食宿。职工生活用水量以平均每人</w:t>
            </w:r>
            <w:r>
              <w:rPr>
                <w:sz w:val="24"/>
              </w:rPr>
              <w:t>30L/d</w:t>
            </w:r>
            <w:r>
              <w:rPr>
                <w:rFonts w:hAnsi="宋体"/>
                <w:sz w:val="24"/>
              </w:rPr>
              <w:t>计，则生活用水量为</w:t>
            </w:r>
            <w:r>
              <w:rPr>
                <w:sz w:val="24"/>
              </w:rPr>
              <w:t>0.</w:t>
            </w:r>
            <w:r>
              <w:rPr>
                <w:rFonts w:hint="eastAsia"/>
                <w:sz w:val="24"/>
              </w:rPr>
              <w:t>3</w:t>
            </w:r>
            <w:r>
              <w:rPr>
                <w:sz w:val="24"/>
              </w:rPr>
              <w:t>t/d</w:t>
            </w:r>
            <w:r>
              <w:rPr>
                <w:rFonts w:hAnsi="宋体"/>
                <w:sz w:val="24"/>
              </w:rPr>
              <w:t>（</w:t>
            </w:r>
            <w:r>
              <w:rPr>
                <w:rFonts w:hint="eastAsia"/>
                <w:sz w:val="24"/>
              </w:rPr>
              <w:t>90</w:t>
            </w:r>
            <w:r>
              <w:rPr>
                <w:sz w:val="24"/>
              </w:rPr>
              <w:t>t/a</w:t>
            </w:r>
            <w:r>
              <w:rPr>
                <w:rFonts w:hAnsi="宋体"/>
                <w:sz w:val="24"/>
              </w:rPr>
              <w:t>），排污系数以</w:t>
            </w:r>
            <w:r>
              <w:rPr>
                <w:sz w:val="24"/>
              </w:rPr>
              <w:t>0.8</w:t>
            </w:r>
            <w:r>
              <w:rPr>
                <w:rFonts w:hAnsi="宋体"/>
                <w:sz w:val="24"/>
              </w:rPr>
              <w:t>计，则本项目生活污水产生量为</w:t>
            </w:r>
            <w:r>
              <w:rPr>
                <w:sz w:val="24"/>
              </w:rPr>
              <w:t>0.</w:t>
            </w:r>
            <w:r>
              <w:rPr>
                <w:rFonts w:hint="eastAsia"/>
                <w:sz w:val="24"/>
              </w:rPr>
              <w:t>24</w:t>
            </w:r>
            <w:r>
              <w:rPr>
                <w:sz w:val="24"/>
              </w:rPr>
              <w:t>t/d</w:t>
            </w:r>
            <w:r>
              <w:rPr>
                <w:rFonts w:hAnsi="宋体"/>
                <w:sz w:val="24"/>
              </w:rPr>
              <w:t>（</w:t>
            </w:r>
            <w:r>
              <w:rPr>
                <w:rFonts w:hint="eastAsia"/>
                <w:sz w:val="24"/>
              </w:rPr>
              <w:t>72</w:t>
            </w:r>
            <w:r>
              <w:rPr>
                <w:sz w:val="24"/>
              </w:rPr>
              <w:t>t/a</w:t>
            </w:r>
            <w:r>
              <w:rPr>
                <w:rFonts w:hAnsi="宋体"/>
                <w:sz w:val="24"/>
              </w:rPr>
              <w:t>）。废水</w:t>
            </w:r>
            <w:r>
              <w:rPr>
                <w:rFonts w:hint="eastAsia" w:hAnsi="宋体"/>
                <w:sz w:val="24"/>
              </w:rPr>
              <w:t>各</w:t>
            </w:r>
            <w:r>
              <w:rPr>
                <w:rFonts w:hAnsi="宋体"/>
                <w:sz w:val="24"/>
              </w:rPr>
              <w:t>污染物浓度</w:t>
            </w:r>
            <w:r>
              <w:rPr>
                <w:rFonts w:hint="eastAsia" w:hAnsi="宋体"/>
                <w:sz w:val="24"/>
              </w:rPr>
              <w:t>分别</w:t>
            </w:r>
            <w:r>
              <w:rPr>
                <w:rFonts w:hAnsi="宋体"/>
                <w:sz w:val="24"/>
              </w:rPr>
              <w:t>为：</w:t>
            </w:r>
            <w:r>
              <w:rPr>
                <w:sz w:val="24"/>
              </w:rPr>
              <w:t>COD250mg/L</w:t>
            </w:r>
            <w:r>
              <w:rPr>
                <w:rFonts w:hAnsi="宋体"/>
                <w:sz w:val="24"/>
              </w:rPr>
              <w:t>、</w:t>
            </w:r>
            <w:r>
              <w:rPr>
                <w:sz w:val="24"/>
              </w:rPr>
              <w:t>SS2</w:t>
            </w:r>
            <w:r>
              <w:rPr>
                <w:rFonts w:hint="eastAsia"/>
                <w:sz w:val="24"/>
              </w:rPr>
              <w:t>2</w:t>
            </w:r>
            <w:r>
              <w:rPr>
                <w:sz w:val="24"/>
              </w:rPr>
              <w:t>0mg/L</w:t>
            </w:r>
            <w:r>
              <w:rPr>
                <w:rFonts w:hAnsi="宋体"/>
                <w:sz w:val="24"/>
              </w:rPr>
              <w:t>、</w:t>
            </w:r>
            <w:r>
              <w:rPr>
                <w:sz w:val="24"/>
              </w:rPr>
              <w:t>NH</w:t>
            </w:r>
            <w:r>
              <w:rPr>
                <w:sz w:val="24"/>
                <w:vertAlign w:val="subscript"/>
              </w:rPr>
              <w:t>3</w:t>
            </w:r>
            <w:r>
              <w:rPr>
                <w:sz w:val="24"/>
              </w:rPr>
              <w:t>-N</w:t>
            </w:r>
            <w:r>
              <w:rPr>
                <w:rFonts w:hint="eastAsia"/>
                <w:sz w:val="24"/>
              </w:rPr>
              <w:t>30</w:t>
            </w:r>
            <w:r>
              <w:rPr>
                <w:sz w:val="24"/>
              </w:rPr>
              <w:t>mg/L</w:t>
            </w:r>
            <w:r>
              <w:rPr>
                <w:rFonts w:hAnsi="宋体"/>
                <w:sz w:val="24"/>
              </w:rPr>
              <w:t>、</w:t>
            </w:r>
            <w:r>
              <w:rPr>
                <w:sz w:val="24"/>
              </w:rPr>
              <w:t>TP2mg/L</w:t>
            </w:r>
            <w:r>
              <w:rPr>
                <w:rFonts w:hAnsi="宋体"/>
                <w:sz w:val="24"/>
              </w:rPr>
              <w:t>，</w:t>
            </w:r>
            <w:r>
              <w:rPr>
                <w:rFonts w:hint="eastAsia" w:hAnsi="宋体"/>
                <w:sz w:val="24"/>
              </w:rPr>
              <w:t>废水依托厂区现有配套化粪池（10m</w:t>
            </w:r>
            <w:r>
              <w:rPr>
                <w:rFonts w:hint="eastAsia" w:hAnsi="宋体"/>
                <w:sz w:val="24"/>
                <w:vertAlign w:val="superscript"/>
              </w:rPr>
              <w:t>3</w:t>
            </w:r>
            <w:r>
              <w:rPr>
                <w:rFonts w:hint="eastAsia" w:hAnsi="宋体"/>
                <w:sz w:val="24"/>
              </w:rPr>
              <w:t>）处理后，定期清运不外排，对地表水环境影响较小。</w:t>
            </w:r>
          </w:p>
          <w:p>
            <w:pPr>
              <w:pStyle w:val="2"/>
              <w:adjustRightInd w:val="0"/>
              <w:snapToGrid w:val="0"/>
              <w:spacing w:line="500" w:lineRule="exact"/>
              <w:ind w:firstLine="480" w:firstLineChars="200"/>
              <w:jc w:val="left"/>
              <w:rPr>
                <w:b w:val="0"/>
              </w:rPr>
            </w:pPr>
            <w:r>
              <w:rPr>
                <w:rFonts w:hAnsi="宋体"/>
                <w:b w:val="0"/>
              </w:rPr>
              <w:t>（</w:t>
            </w:r>
            <w:r>
              <w:rPr>
                <w:b w:val="0"/>
              </w:rPr>
              <w:t>3</w:t>
            </w:r>
            <w:r>
              <w:rPr>
                <w:rFonts w:hAnsi="宋体"/>
                <w:b w:val="0"/>
              </w:rPr>
              <w:t>）</w:t>
            </w:r>
            <w:r>
              <w:rPr>
                <w:rFonts w:hint="eastAsia" w:hAnsi="宋体"/>
                <w:b w:val="0"/>
              </w:rPr>
              <w:t>噪声</w:t>
            </w:r>
          </w:p>
          <w:p>
            <w:pPr>
              <w:pStyle w:val="87"/>
            </w:pPr>
            <w:r>
              <w:rPr>
                <w:rFonts w:hint="eastAsia"/>
              </w:rPr>
              <w:t>项目噪声主要来自加工设备运行时产生的噪声。其噪声值约为7</w:t>
            </w:r>
            <w:r>
              <w:t>0</w:t>
            </w:r>
            <w:r>
              <w:rPr>
                <w:rFonts w:hint="eastAsia"/>
              </w:rPr>
              <w:t>～</w:t>
            </w:r>
            <w:r>
              <w:t>90dB</w:t>
            </w:r>
            <w:r>
              <w:rPr>
                <w:rFonts w:hint="eastAsia"/>
              </w:rPr>
              <w:t>（</w:t>
            </w:r>
            <w:r>
              <w:t>A</w:t>
            </w:r>
            <w:r>
              <w:rPr>
                <w:rFonts w:hint="eastAsia"/>
              </w:rPr>
              <w:t>），为有效降低设备噪声，降低本项目噪声对周边环境的影响，确保厂界噪声达到《工业企业厂界环境噪声排放标准》（</w:t>
            </w:r>
            <w:r>
              <w:t>GB12348-2008</w:t>
            </w:r>
            <w:r>
              <w:rPr>
                <w:rFonts w:hint="eastAsia"/>
              </w:rPr>
              <w:t>）中</w:t>
            </w:r>
            <w:r>
              <w:t>2</w:t>
            </w:r>
            <w:r>
              <w:rPr>
                <w:rFonts w:hint="eastAsia"/>
              </w:rPr>
              <w:t>类标准，评价要求建设单位：</w:t>
            </w:r>
          </w:p>
          <w:p>
            <w:pPr>
              <w:pStyle w:val="87"/>
            </w:pPr>
            <w:r>
              <w:rPr>
                <w:rFonts w:hint="eastAsia"/>
              </w:rPr>
              <w:t>①设备选型时尽量用低噪声设备；</w:t>
            </w:r>
          </w:p>
          <w:p>
            <w:pPr>
              <w:pStyle w:val="87"/>
            </w:pPr>
            <w:r>
              <w:rPr>
                <w:rFonts w:hint="eastAsia"/>
              </w:rPr>
              <w:t>②车间合理布置，尽量将高噪声设备布置在车间中部位置；</w:t>
            </w:r>
          </w:p>
          <w:p>
            <w:pPr>
              <w:pStyle w:val="87"/>
            </w:pPr>
            <w:r>
              <w:rPr>
                <w:rFonts w:hint="eastAsia"/>
              </w:rPr>
              <w:t>③加强治理，对高噪声设备根据的自重及振动特性采用合适隔垫、减震器等；</w:t>
            </w:r>
          </w:p>
          <w:p>
            <w:pPr>
              <w:pStyle w:val="87"/>
            </w:pPr>
            <w:r>
              <w:rPr>
                <w:rFonts w:hAnsi="宋体"/>
              </w:rPr>
              <w:t>④加强管理，建立设备定期维护，保养管理制度，以防止设备故障形成的非正常生产噪声，杜绝因设备不正常运转时产生的高噪声现象，加强职工环保意识教育，倡导文明生产，减少人为噪声。</w:t>
            </w:r>
          </w:p>
          <w:p>
            <w:pPr>
              <w:pStyle w:val="87"/>
            </w:pPr>
            <w:r>
              <w:rPr>
                <w:rFonts w:hAnsi="宋体"/>
              </w:rPr>
              <w:t>采取上述措施后，本项目设备噪声源强可降至</w:t>
            </w:r>
            <w:r>
              <w:rPr>
                <w:rFonts w:hint="eastAsia"/>
              </w:rPr>
              <w:t>5</w:t>
            </w:r>
            <w:r>
              <w:t>0~70dB</w:t>
            </w:r>
            <w:r>
              <w:rPr>
                <w:rFonts w:hAnsi="宋体"/>
              </w:rPr>
              <w:t>（</w:t>
            </w:r>
            <w:r>
              <w:t>A</w:t>
            </w:r>
            <w:r>
              <w:rPr>
                <w:rFonts w:hAnsi="宋体"/>
              </w:rPr>
              <w:t>）。</w:t>
            </w:r>
          </w:p>
          <w:p>
            <w:pPr>
              <w:adjustRightInd w:val="0"/>
              <w:snapToGrid w:val="0"/>
              <w:spacing w:line="500" w:lineRule="exact"/>
              <w:ind w:firstLine="480" w:firstLineChars="200"/>
              <w:jc w:val="left"/>
              <w:rPr>
                <w:sz w:val="24"/>
              </w:rPr>
            </w:pPr>
            <w:r>
              <w:rPr>
                <w:rFonts w:hAnsi="宋体"/>
                <w:sz w:val="24"/>
              </w:rPr>
              <w:t>（</w:t>
            </w:r>
            <w:r>
              <w:rPr>
                <w:sz w:val="24"/>
              </w:rPr>
              <w:t>4</w:t>
            </w:r>
            <w:r>
              <w:rPr>
                <w:rFonts w:hAnsi="宋体"/>
                <w:sz w:val="24"/>
              </w:rPr>
              <w:t>）固废</w:t>
            </w:r>
          </w:p>
          <w:p>
            <w:pPr>
              <w:adjustRightInd w:val="0"/>
              <w:snapToGrid w:val="0"/>
              <w:spacing w:line="500" w:lineRule="exact"/>
              <w:ind w:firstLine="480" w:firstLineChars="200"/>
              <w:rPr>
                <w:rFonts w:hAnsi="宋体"/>
                <w:bCs/>
                <w:sz w:val="24"/>
              </w:rPr>
            </w:pPr>
            <w:r>
              <w:rPr>
                <w:rFonts w:hint="eastAsia" w:hAnsi="宋体"/>
                <w:bCs/>
                <w:sz w:val="24"/>
              </w:rPr>
              <w:t>本项目产生的固废主要为袋式除尘器收尘、焊渣、金属屑和废边角料；废切削液、废润滑油以及员工生活垃圾等。</w:t>
            </w:r>
          </w:p>
          <w:p>
            <w:pPr>
              <w:pStyle w:val="2"/>
              <w:adjustRightInd w:val="0"/>
              <w:snapToGrid w:val="0"/>
              <w:spacing w:line="500" w:lineRule="exact"/>
              <w:ind w:firstLine="480" w:firstLineChars="200"/>
              <w:jc w:val="left"/>
              <w:rPr>
                <w:b w:val="0"/>
                <w:bCs w:val="0"/>
              </w:rPr>
            </w:pPr>
            <w:r>
              <w:rPr>
                <w:rFonts w:hint="eastAsia"/>
                <w:b w:val="0"/>
              </w:rPr>
              <w:t>废边角料及金属屑</w:t>
            </w:r>
            <w:r>
              <w:rPr>
                <w:rFonts w:hint="eastAsia"/>
                <w:b w:val="0"/>
                <w:bCs w:val="0"/>
              </w:rPr>
              <w:t>：本项目在机械加工过程中会产生边角料及金属屑，根据建设单位提供资料，废边角料及金属屑约占原材料的1%，项目原料使用量为100t/a，则废边角料及金属屑产生量约为1t/a，废边角料及金属屑属于一般固废，集中收集后暂存于厂区一般固废暂存间（10m</w:t>
            </w:r>
            <w:r>
              <w:rPr>
                <w:rFonts w:hint="eastAsia"/>
                <w:b w:val="0"/>
                <w:bCs w:val="0"/>
                <w:vertAlign w:val="superscript"/>
              </w:rPr>
              <w:t>2</w:t>
            </w:r>
            <w:r>
              <w:rPr>
                <w:rFonts w:hint="eastAsia"/>
                <w:b w:val="0"/>
                <w:bCs w:val="0"/>
              </w:rPr>
              <w:t>），定期外售。</w:t>
            </w:r>
          </w:p>
          <w:p>
            <w:pPr>
              <w:pStyle w:val="2"/>
              <w:adjustRightInd w:val="0"/>
              <w:snapToGrid w:val="0"/>
              <w:spacing w:line="500" w:lineRule="exact"/>
              <w:ind w:firstLine="480" w:firstLineChars="200"/>
              <w:jc w:val="left"/>
              <w:rPr>
                <w:rFonts w:hAnsi="宋体"/>
                <w:b w:val="0"/>
              </w:rPr>
            </w:pPr>
            <w:r>
              <w:rPr>
                <w:rFonts w:hint="eastAsia" w:hAnsi="宋体"/>
                <w:b w:val="0"/>
              </w:rPr>
              <w:t>焊渣：根据《机加工行业环境影响评价中常见污染物源强估算及污染治理》，焊渣=焊条使用量×(1/11 +4%)，则项目焊渣产生量为0.26t/a。焊渣属于一般固废，集中收集后暂存于厂区一般固废暂存间（10m</w:t>
            </w:r>
            <w:r>
              <w:rPr>
                <w:rFonts w:hint="eastAsia" w:hAnsi="宋体"/>
                <w:b w:val="0"/>
                <w:vertAlign w:val="superscript"/>
              </w:rPr>
              <w:t>2</w:t>
            </w:r>
            <w:r>
              <w:rPr>
                <w:rFonts w:hint="eastAsia" w:hAnsi="宋体"/>
                <w:b w:val="0"/>
              </w:rPr>
              <w:t>），定期外售。</w:t>
            </w:r>
          </w:p>
          <w:p>
            <w:pPr>
              <w:pStyle w:val="2"/>
              <w:adjustRightInd w:val="0"/>
              <w:snapToGrid w:val="0"/>
              <w:spacing w:line="500" w:lineRule="exact"/>
              <w:ind w:firstLine="480" w:firstLineChars="200"/>
              <w:jc w:val="both"/>
              <w:rPr>
                <w:rFonts w:hAnsi="宋体"/>
                <w:b w:val="0"/>
              </w:rPr>
            </w:pPr>
            <w:r>
              <w:rPr>
                <w:rFonts w:hint="eastAsia" w:hAnsi="宋体"/>
                <w:b w:val="0"/>
              </w:rPr>
              <w:t>除尘器收尘：根据项目粉尘产生量、收集效率及处理效率计算可得，项目除尘系统收集的粉尘约为0.0404t/a，属于一般固废，集中收集后暂存于厂区一般固废暂存间（10m</w:t>
            </w:r>
            <w:r>
              <w:rPr>
                <w:rFonts w:hint="eastAsia" w:hAnsi="宋体"/>
                <w:b w:val="0"/>
                <w:vertAlign w:val="superscript"/>
              </w:rPr>
              <w:t>2</w:t>
            </w:r>
            <w:r>
              <w:rPr>
                <w:rFonts w:hint="eastAsia" w:hAnsi="宋体"/>
                <w:b w:val="0"/>
              </w:rPr>
              <w:t>），定期外售。</w:t>
            </w:r>
          </w:p>
          <w:p>
            <w:pPr>
              <w:pStyle w:val="2"/>
              <w:adjustRightInd w:val="0"/>
              <w:snapToGrid w:val="0"/>
              <w:spacing w:line="500" w:lineRule="exact"/>
              <w:ind w:firstLine="480" w:firstLineChars="200"/>
              <w:jc w:val="both"/>
              <w:rPr>
                <w:rFonts w:hAnsi="宋体"/>
                <w:b w:val="0"/>
              </w:rPr>
            </w:pPr>
            <w:r>
              <w:rPr>
                <w:rFonts w:hint="eastAsia" w:hAnsi="宋体"/>
                <w:b w:val="0"/>
              </w:rPr>
              <w:t>根据建设单位提供的资料，一般固废暂存于一般固废暂存间后统一外售。企业已在厂房区内建设一间10m</w:t>
            </w:r>
            <w:r>
              <w:rPr>
                <w:rFonts w:hint="eastAsia" w:hAnsi="宋体"/>
                <w:b w:val="0"/>
                <w:vertAlign w:val="superscript"/>
              </w:rPr>
              <w:t>2</w:t>
            </w:r>
            <w:r>
              <w:rPr>
                <w:rFonts w:hint="eastAsia" w:hAnsi="宋体"/>
                <w:b w:val="0"/>
              </w:rPr>
              <w:t>一般固废暂存间，其严格按照《一般工业固体废物贮存、处置场污染控制标准》（GB18599-2001）及2013年修改单的相关要求建设，做到防风、防雨、防扬散、防流失、防渗漏等措施，防渗层渗透系数＜10-7cm/s，并进行场地硬化。</w:t>
            </w:r>
          </w:p>
          <w:p>
            <w:pPr>
              <w:pStyle w:val="2"/>
              <w:adjustRightInd w:val="0"/>
              <w:snapToGrid w:val="0"/>
              <w:spacing w:line="500" w:lineRule="exact"/>
              <w:ind w:firstLine="480" w:firstLineChars="200"/>
              <w:jc w:val="left"/>
              <w:rPr>
                <w:b w:val="0"/>
              </w:rPr>
            </w:pPr>
            <w:r>
              <w:rPr>
                <w:rFonts w:hint="eastAsia"/>
                <w:b w:val="0"/>
              </w:rPr>
              <w:t>废切削液：本项目对工件进行加工时使用切削液，切削液循环使用，约每年更换一次。</w:t>
            </w:r>
            <w:r>
              <w:rPr>
                <w:rFonts w:hint="eastAsia"/>
                <w:b w:val="0"/>
                <w:bCs w:val="0"/>
              </w:rPr>
              <w:t>根据业主提供的资料废切削液的产生量为1t/a，</w:t>
            </w:r>
            <w:r>
              <w:rPr>
                <w:rFonts w:hint="eastAsia"/>
                <w:b w:val="0"/>
              </w:rPr>
              <w:t>暂存于厂内危废物暂存间（5m</w:t>
            </w:r>
            <w:r>
              <w:rPr>
                <w:rFonts w:hint="eastAsia"/>
                <w:b w:val="0"/>
                <w:vertAlign w:val="superscript"/>
              </w:rPr>
              <w:t>2</w:t>
            </w:r>
            <w:r>
              <w:rPr>
                <w:rFonts w:hint="eastAsia"/>
                <w:b w:val="0"/>
              </w:rPr>
              <w:t>），定期交由有资质的单位进行处理。</w:t>
            </w:r>
          </w:p>
          <w:p>
            <w:pPr>
              <w:pStyle w:val="2"/>
              <w:adjustRightInd w:val="0"/>
              <w:snapToGrid w:val="0"/>
              <w:spacing w:line="500" w:lineRule="exact"/>
              <w:ind w:firstLine="480" w:firstLineChars="200"/>
              <w:jc w:val="left"/>
              <w:rPr>
                <w:b w:val="0"/>
              </w:rPr>
            </w:pPr>
            <w:r>
              <w:rPr>
                <w:rFonts w:hint="eastAsia"/>
                <w:b w:val="0"/>
              </w:rPr>
              <w:t>废润滑油：本项目设备维护时会产生废润滑油，</w:t>
            </w:r>
            <w:r>
              <w:rPr>
                <w:rFonts w:hint="eastAsia"/>
                <w:b w:val="0"/>
                <w:bCs w:val="0"/>
              </w:rPr>
              <w:t>根据业主提供的资料废润滑油的产生量为0.1t/a，</w:t>
            </w:r>
            <w:r>
              <w:rPr>
                <w:rFonts w:hint="eastAsia"/>
                <w:b w:val="0"/>
              </w:rPr>
              <w:t>暂存于厂内危废物暂存间，定期交由有资质的单位进行处理。</w:t>
            </w:r>
          </w:p>
          <w:p>
            <w:pPr>
              <w:pStyle w:val="2"/>
              <w:adjustRightInd w:val="0"/>
              <w:snapToGrid w:val="0"/>
              <w:spacing w:line="500" w:lineRule="exact"/>
              <w:ind w:firstLine="480" w:firstLineChars="200"/>
              <w:jc w:val="left"/>
              <w:rPr>
                <w:rFonts w:hAnsi="宋体"/>
                <w:b w:val="0"/>
              </w:rPr>
            </w:pPr>
            <w:r>
              <w:rPr>
                <w:rFonts w:hint="eastAsia" w:hAnsi="宋体"/>
                <w:b w:val="0"/>
              </w:rPr>
              <w:t>根据建设单位提供的资料，危废暂存于危废暂存间定期交由有资质的单位进行处理。企业已在厂区内建设一间5m</w:t>
            </w:r>
            <w:r>
              <w:rPr>
                <w:rFonts w:hint="eastAsia" w:hAnsi="宋体"/>
                <w:b w:val="0"/>
                <w:vertAlign w:val="superscript"/>
              </w:rPr>
              <w:t>2</w:t>
            </w:r>
            <w:r>
              <w:rPr>
                <w:rFonts w:hint="eastAsia" w:hAnsi="宋体"/>
                <w:b w:val="0"/>
              </w:rPr>
              <w:t>危废暂存间，其严格按照《危险废物贮存污染控制标准》（GB18597-2001）及2013年修改单相关要求建设，满足地面硬化并铺设有防渗层，满足“四防”（防风、防雨、防晒、防渗漏）要求，地面和裙脚要用坚固、防渗的材料制造，建筑材料必须与危险废物相容，应满足防渗系数≤10</w:t>
            </w:r>
            <w:r>
              <w:rPr>
                <w:rFonts w:hint="eastAsia" w:hAnsi="宋体"/>
                <w:b w:val="0"/>
                <w:vertAlign w:val="superscript"/>
              </w:rPr>
              <w:t>-10</w:t>
            </w:r>
            <w:r>
              <w:rPr>
                <w:rFonts w:hint="eastAsia" w:hAnsi="宋体"/>
                <w:b w:val="0"/>
              </w:rPr>
              <w:t>cm/s。</w:t>
            </w:r>
          </w:p>
          <w:p>
            <w:pPr>
              <w:pStyle w:val="2"/>
              <w:adjustRightInd w:val="0"/>
              <w:snapToGrid w:val="0"/>
              <w:spacing w:line="500" w:lineRule="exact"/>
              <w:ind w:firstLine="480" w:firstLineChars="200"/>
              <w:jc w:val="left"/>
              <w:rPr>
                <w:rFonts w:hAnsi="宋体"/>
                <w:b w:val="0"/>
              </w:rPr>
            </w:pPr>
            <w:r>
              <w:rPr>
                <w:rFonts w:hint="eastAsia" w:hAnsi="宋体"/>
                <w:b w:val="0"/>
              </w:rPr>
              <w:t>生活垃圾：项目新增人员10人，生活垃圾产生量按每人每天0.5kg，年工作日300天。则员工日常生活垃圾5kg/d、1.5t/a，集中收集后交由环卫部门定期清运。</w:t>
            </w:r>
          </w:p>
          <w:p>
            <w:pPr>
              <w:pStyle w:val="2"/>
              <w:adjustRightInd w:val="0"/>
              <w:snapToGrid w:val="0"/>
              <w:spacing w:line="500" w:lineRule="exact"/>
              <w:ind w:firstLine="480" w:firstLineChars="200"/>
              <w:jc w:val="left"/>
              <w:rPr>
                <w:rFonts w:hAnsi="宋体"/>
                <w:b w:val="0"/>
              </w:rPr>
            </w:pPr>
            <w:r>
              <w:rPr>
                <w:rFonts w:hint="eastAsia" w:hAnsi="宋体"/>
                <w:b w:val="0"/>
              </w:rPr>
              <w:t>综上所述，本项目固废处置率为100%，对周边环境影响较小。</w:t>
            </w:r>
          </w:p>
        </w:tc>
      </w:tr>
    </w:tbl>
    <w:p>
      <w:pPr>
        <w:snapToGrid w:val="0"/>
        <w:rPr>
          <w:rFonts w:eastAsia="黑体"/>
          <w:sz w:val="32"/>
        </w:rPr>
        <w:sectPr>
          <w:pgSz w:w="11907" w:h="16840"/>
          <w:pgMar w:top="1440" w:right="1134" w:bottom="1134" w:left="1440" w:header="851" w:footer="567" w:gutter="0"/>
          <w:cols w:space="720" w:num="1"/>
          <w:docGrid w:type="lines" w:linePitch="312" w:charSpace="0"/>
        </w:sectPr>
      </w:pPr>
    </w:p>
    <w:p>
      <w:pPr>
        <w:snapToGrid w:val="0"/>
        <w:rPr>
          <w:b/>
          <w:sz w:val="32"/>
        </w:rPr>
      </w:pPr>
      <w:r>
        <w:rPr>
          <w:rFonts w:hAnsi="宋体"/>
          <w:b/>
          <w:sz w:val="32"/>
        </w:rPr>
        <w:t>项目主要污染物产生及预计排放情况</w:t>
      </w:r>
    </w:p>
    <w:tbl>
      <w:tblPr>
        <w:tblStyle w:val="2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1134"/>
        <w:gridCol w:w="2127"/>
        <w:gridCol w:w="2126"/>
        <w:gridCol w:w="25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tblHeader/>
          <w:jc w:val="center"/>
        </w:trPr>
        <w:tc>
          <w:tcPr>
            <w:tcW w:w="1242" w:type="dxa"/>
            <w:tcBorders>
              <w:top w:val="single" w:color="000000" w:sz="6" w:space="0"/>
              <w:left w:val="single" w:color="000000" w:sz="6" w:space="0"/>
              <w:bottom w:val="single" w:color="000000" w:sz="6" w:space="0"/>
              <w:right w:val="single" w:color="000000" w:sz="6" w:space="0"/>
            </w:tcBorders>
            <w:vAlign w:val="center"/>
          </w:tcPr>
          <w:p>
            <w:pPr>
              <w:ind w:firstLine="413" w:firstLineChars="196"/>
              <w:rPr>
                <w:b/>
                <w:szCs w:val="21"/>
              </w:rPr>
            </w:pPr>
            <w:r>
              <w:rPr>
                <w:b/>
                <w:szCs w:val="21"/>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3175</wp:posOffset>
                      </wp:positionV>
                      <wp:extent cx="785495" cy="396875"/>
                      <wp:effectExtent l="1905" t="4445" r="12700" b="5080"/>
                      <wp:wrapNone/>
                      <wp:docPr id="69" name="自选图形 1756"/>
                      <wp:cNvGraphicFramePr/>
                      <a:graphic xmlns:a="http://schemas.openxmlformats.org/drawingml/2006/main">
                        <a:graphicData uri="http://schemas.microsoft.com/office/word/2010/wordprocessingShape">
                          <wps:wsp>
                            <wps:cNvCnPr/>
                            <wps:spPr>
                              <a:xfrm flipH="1" flipV="1">
                                <a:off x="0" y="0"/>
                                <a:ext cx="785495" cy="3968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56" o:spid="_x0000_s1026" o:spt="32" type="#_x0000_t32" style="position:absolute;left:0pt;flip:x y;margin-left:-5.45pt;margin-top:0.25pt;height:31.25pt;width:61.85pt;z-index:251658240;mso-width-relative:page;mso-height-relative:page;" filled="f" stroked="t" coordsize="21600,21600" o:gfxdata="UEsDBAoAAAAAAIdO4kAAAAAAAAAAAAAAAAAEAAAAZHJzL1BLAwQUAAAACACHTuJA1SZOjtgAAAAH&#10;AQAADwAAAGRycy9kb3ducmV2LnhtbE2PwU7DMBBE70j8g7VIXFBrp9DQhmx6QKKi6qGiRZydeEki&#10;4nUUu03h63FPcBzNaOZNvjrbTpxo8K1jhGSqQBBXzrRcI7wfXiYLED5oNrpzTAjf5GFVXF/lOjNu&#10;5Dc67UMtYgn7TCM0IfSZlL5qyGo/dT1x9D7dYHWIcqilGfQYy20nZ0ql0uqW40Kje3puqPraHy3C&#10;Q3oo12NFm0e5+xnN9vVjvbmziLc3iXoCEegc/sJwwY/oUESm0h3ZeNEhTBK1jFGEOYiLnczikxIh&#10;vVcgi1z+5y9+AVBLAwQUAAAACACHTuJAbTVRGQYCAAD/AwAADgAAAGRycy9lMm9Eb2MueG1srVO9&#10;jhMxEO6ReAfLPdkkkL9VNlckHBQIInHQO15715L/5PFlk44O8Qx0lLwDvM1J8BY39oYAR5MCF9bY&#10;M/PNfJ/Hy6uD0WQvAihnKzoaDCkRlrta2aai726un8wpgchszbSzoqJHAfRq9fjRsvOlGLvW6VoE&#10;giAWys5XtI3Rl0UBvBWGwcB5YdEpXTAs4jE0RR1Yh+hGF+PhcFp0LtQ+OC4A8HbTO+kJMVwC6KRU&#10;XGwcvzXCxh41CM0iUoJWeaCr3K2Ugsc3UoKIRFcUmca8YxG0d2kvVktWNoH5VvFTC+ySFh5wMkxZ&#10;LHqG2rDIyG1Q/0AZxYMDJ+OAO1P0RLIiyGI0fKDN25Z5kbmg1ODPosP/g+Wv99tAVF3R6YISywy+&#10;+I+PX39++HT3+fvdty9kNJtMk0qdhxKD13YbTifw25AoH2QwRGrlX+I40Wy9T1byIUFyyGofz2qL&#10;QyQcL2fzybPFhBKOrqeL6Xw2SXWKHjAl+wDxhXCGJKOiEANTTRvXzlp8Vxf6Emz/CmKf+CshJWtL&#10;uoouJuNUgeGcSpwPNI1HrmCb3B44reprpXXKgNDs1jqQPUuzktepob/CUpENg7aPy64UxspWsPq5&#10;rUk8ehTR4uehqQUjakq0wL+WrBwZmdKXRKIW2qIkSfte7WTtXH3Mj5DvcS6yaKcZToP35zln//63&#10;q3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Jk6O2AAAAAcBAAAPAAAAAAAAAAEAIAAAACIAAABk&#10;cnMvZG93bnJldi54bWxQSwECFAAUAAAACACHTuJAbTVRGQYCAAD/AwAADgAAAAAAAAABACAAAAAn&#10;AQAAZHJzL2Uyb0RvYy54bWxQSwUGAAAAAAYABgBZAQAAnwUAAAAA&#10;">
                      <v:fill on="f" focussize="0,0"/>
                      <v:stroke color="#000000" joinstyle="round"/>
                      <v:imagedata o:title=""/>
                      <o:lock v:ext="edit" aspectratio="f"/>
                    </v:shape>
                  </w:pict>
                </mc:Fallback>
              </mc:AlternateContent>
            </w:r>
            <w:r>
              <w:rPr>
                <w:rFonts w:hAnsi="宋体"/>
                <w:b/>
                <w:szCs w:val="21"/>
              </w:rPr>
              <w:t>内容</w:t>
            </w:r>
          </w:p>
          <w:p>
            <w:pPr>
              <w:rPr>
                <w:b/>
                <w:szCs w:val="21"/>
              </w:rPr>
            </w:pPr>
            <w:r>
              <w:rPr>
                <w:rFonts w:hAnsi="宋体"/>
                <w:b/>
                <w:szCs w:val="21"/>
              </w:rPr>
              <w:t>类型</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rPr>
                <w:b/>
                <w:szCs w:val="21"/>
              </w:rPr>
            </w:pPr>
            <w:r>
              <w:rPr>
                <w:rFonts w:hAnsi="宋体"/>
                <w:b/>
                <w:szCs w:val="21"/>
              </w:rPr>
              <w:t>排放源（编号）</w:t>
            </w:r>
          </w:p>
        </w:tc>
        <w:tc>
          <w:tcPr>
            <w:tcW w:w="2127" w:type="dxa"/>
            <w:tcBorders>
              <w:top w:val="single" w:color="000000" w:sz="6" w:space="0"/>
              <w:left w:val="single" w:color="000000" w:sz="6" w:space="0"/>
              <w:bottom w:val="single" w:color="000000" w:sz="6" w:space="0"/>
              <w:right w:val="single" w:color="000000" w:sz="6" w:space="0"/>
            </w:tcBorders>
            <w:vAlign w:val="center"/>
          </w:tcPr>
          <w:p>
            <w:pPr>
              <w:jc w:val="center"/>
              <w:rPr>
                <w:b/>
                <w:szCs w:val="21"/>
              </w:rPr>
            </w:pPr>
            <w:r>
              <w:rPr>
                <w:rFonts w:hAnsi="宋体"/>
                <w:b/>
                <w:szCs w:val="21"/>
              </w:rPr>
              <w:t>污染物</w:t>
            </w:r>
          </w:p>
          <w:p>
            <w:pPr>
              <w:jc w:val="center"/>
              <w:rPr>
                <w:b/>
                <w:szCs w:val="21"/>
              </w:rPr>
            </w:pPr>
            <w:r>
              <w:rPr>
                <w:rFonts w:hAnsi="宋体"/>
                <w:b/>
                <w:szCs w:val="21"/>
              </w:rPr>
              <w:t>名称</w:t>
            </w:r>
          </w:p>
        </w:tc>
        <w:tc>
          <w:tcPr>
            <w:tcW w:w="2126" w:type="dxa"/>
            <w:tcBorders>
              <w:top w:val="single" w:color="000000" w:sz="6" w:space="0"/>
              <w:left w:val="single" w:color="000000" w:sz="6" w:space="0"/>
              <w:bottom w:val="single" w:color="000000" w:sz="6" w:space="0"/>
              <w:right w:val="single" w:color="auto" w:sz="4" w:space="0"/>
            </w:tcBorders>
            <w:vAlign w:val="center"/>
          </w:tcPr>
          <w:p>
            <w:pPr>
              <w:jc w:val="center"/>
              <w:rPr>
                <w:b/>
                <w:szCs w:val="21"/>
              </w:rPr>
            </w:pPr>
            <w:r>
              <w:rPr>
                <w:rFonts w:hAnsi="宋体"/>
                <w:b/>
                <w:szCs w:val="21"/>
              </w:rPr>
              <w:t>处理前产生浓度及产生量（单位）</w:t>
            </w:r>
          </w:p>
        </w:tc>
        <w:tc>
          <w:tcPr>
            <w:tcW w:w="2545" w:type="dxa"/>
            <w:tcBorders>
              <w:top w:val="single" w:color="000000" w:sz="6" w:space="0"/>
              <w:left w:val="single" w:color="auto" w:sz="4" w:space="0"/>
              <w:bottom w:val="single" w:color="000000" w:sz="6" w:space="0"/>
              <w:right w:val="single" w:color="000000" w:sz="6" w:space="0"/>
            </w:tcBorders>
            <w:vAlign w:val="center"/>
          </w:tcPr>
          <w:p>
            <w:pPr>
              <w:jc w:val="center"/>
              <w:rPr>
                <w:b/>
                <w:szCs w:val="21"/>
              </w:rPr>
            </w:pPr>
            <w:r>
              <w:rPr>
                <w:rFonts w:hAnsi="宋体"/>
                <w:b/>
                <w:szCs w:val="21"/>
              </w:rPr>
              <w:t>处理后排放浓度及</w:t>
            </w:r>
          </w:p>
          <w:p>
            <w:pPr>
              <w:jc w:val="center"/>
              <w:rPr>
                <w:b/>
                <w:szCs w:val="21"/>
              </w:rPr>
            </w:pPr>
            <w:r>
              <w:rPr>
                <w:rFonts w:hAnsi="宋体"/>
                <w:b/>
                <w:szCs w:val="21"/>
              </w:rPr>
              <w:t>排放量（单位）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tblHeader/>
          <w:jc w:val="center"/>
        </w:trPr>
        <w:tc>
          <w:tcPr>
            <w:tcW w:w="1242" w:type="dxa"/>
            <w:vMerge w:val="restart"/>
            <w:tcBorders>
              <w:top w:val="single" w:color="000000" w:sz="6" w:space="0"/>
              <w:left w:val="single" w:color="000000" w:sz="6" w:space="0"/>
              <w:right w:val="single" w:color="000000" w:sz="6" w:space="0"/>
            </w:tcBorders>
            <w:vAlign w:val="center"/>
          </w:tcPr>
          <w:p>
            <w:pPr>
              <w:jc w:val="center"/>
              <w:rPr>
                <w:b/>
                <w:szCs w:val="21"/>
              </w:rPr>
            </w:pPr>
            <w:r>
              <w:rPr>
                <w:rFonts w:hint="eastAsia" w:hAnsi="宋体"/>
                <w:szCs w:val="21"/>
              </w:rPr>
              <w:t>大气污染物</w:t>
            </w:r>
          </w:p>
        </w:tc>
        <w:tc>
          <w:tcPr>
            <w:tcW w:w="1134" w:type="dxa"/>
            <w:vMerge w:val="restart"/>
            <w:tcBorders>
              <w:top w:val="single" w:color="000000" w:sz="6" w:space="0"/>
              <w:left w:val="single" w:color="000000" w:sz="6" w:space="0"/>
              <w:right w:val="single" w:color="000000" w:sz="6" w:space="0"/>
            </w:tcBorders>
            <w:vAlign w:val="center"/>
          </w:tcPr>
          <w:p>
            <w:pPr>
              <w:jc w:val="center"/>
              <w:rPr>
                <w:rFonts w:hAnsi="宋体"/>
                <w:szCs w:val="21"/>
              </w:rPr>
            </w:pPr>
            <w:r>
              <w:rPr>
                <w:rFonts w:hint="eastAsia"/>
                <w:szCs w:val="21"/>
              </w:rPr>
              <w:t>切割、焊接工序</w:t>
            </w:r>
          </w:p>
        </w:tc>
        <w:tc>
          <w:tcPr>
            <w:tcW w:w="2127" w:type="dxa"/>
            <w:tcBorders>
              <w:top w:val="single" w:color="000000" w:sz="6" w:space="0"/>
              <w:left w:val="single" w:color="000000" w:sz="6" w:space="0"/>
              <w:bottom w:val="single" w:color="000000" w:sz="6" w:space="0"/>
              <w:right w:val="single" w:color="000000" w:sz="6" w:space="0"/>
            </w:tcBorders>
            <w:vAlign w:val="center"/>
          </w:tcPr>
          <w:p>
            <w:pPr>
              <w:jc w:val="center"/>
              <w:rPr>
                <w:rFonts w:hAnsi="宋体"/>
                <w:b/>
                <w:szCs w:val="21"/>
              </w:rPr>
            </w:pPr>
            <w:r>
              <w:rPr>
                <w:rFonts w:hint="eastAsia" w:hAnsi="宋体"/>
                <w:szCs w:val="21"/>
              </w:rPr>
              <w:t>有组织颗粒物</w:t>
            </w:r>
          </w:p>
        </w:tc>
        <w:tc>
          <w:tcPr>
            <w:tcW w:w="2126" w:type="dxa"/>
            <w:tcBorders>
              <w:top w:val="single" w:color="000000" w:sz="6" w:space="0"/>
              <w:left w:val="single" w:color="000000" w:sz="6" w:space="0"/>
              <w:bottom w:val="single" w:color="000000" w:sz="6" w:space="0"/>
              <w:right w:val="single" w:color="auto" w:sz="4" w:space="0"/>
            </w:tcBorders>
            <w:vAlign w:val="center"/>
          </w:tcPr>
          <w:p>
            <w:pPr>
              <w:jc w:val="center"/>
              <w:rPr>
                <w:rFonts w:hAnsi="宋体"/>
                <w:szCs w:val="21"/>
              </w:rPr>
            </w:pPr>
            <w:r>
              <w:rPr>
                <w:rFonts w:hint="eastAsia" w:hAnsi="宋体"/>
                <w:szCs w:val="21"/>
              </w:rPr>
              <w:t>0.0356t/a；52mg/m</w:t>
            </w:r>
            <w:r>
              <w:rPr>
                <w:rFonts w:hint="eastAsia" w:hAnsi="宋体"/>
                <w:szCs w:val="21"/>
                <w:vertAlign w:val="superscript"/>
              </w:rPr>
              <w:t>3</w:t>
            </w:r>
          </w:p>
        </w:tc>
        <w:tc>
          <w:tcPr>
            <w:tcW w:w="2545" w:type="dxa"/>
            <w:tcBorders>
              <w:top w:val="single" w:color="000000" w:sz="6" w:space="0"/>
              <w:left w:val="single" w:color="auto" w:sz="4" w:space="0"/>
              <w:right w:val="single" w:color="000000" w:sz="6" w:space="0"/>
            </w:tcBorders>
            <w:vAlign w:val="center"/>
          </w:tcPr>
          <w:p>
            <w:pPr>
              <w:jc w:val="center"/>
              <w:rPr>
                <w:rFonts w:hAnsi="宋体"/>
                <w:szCs w:val="21"/>
              </w:rPr>
            </w:pPr>
            <w:r>
              <w:rPr>
                <w:rFonts w:hint="eastAsia" w:hAnsi="宋体"/>
                <w:szCs w:val="21"/>
              </w:rPr>
              <w:t>0.0004t/a; 5.2mg/m</w:t>
            </w:r>
            <w:r>
              <w:rPr>
                <w:rFonts w:hint="eastAsia" w:hAnsi="宋体"/>
                <w:szCs w:val="21"/>
                <w:vertAlign w:val="superscript"/>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tblHeader/>
          <w:jc w:val="center"/>
        </w:trPr>
        <w:tc>
          <w:tcPr>
            <w:tcW w:w="1242" w:type="dxa"/>
            <w:vMerge w:val="continue"/>
            <w:tcBorders>
              <w:left w:val="single" w:color="000000" w:sz="6" w:space="0"/>
              <w:right w:val="single" w:color="000000" w:sz="6" w:space="0"/>
            </w:tcBorders>
            <w:vAlign w:val="center"/>
          </w:tcPr>
          <w:p>
            <w:pPr>
              <w:jc w:val="center"/>
              <w:rPr>
                <w:rFonts w:hAnsi="宋体"/>
                <w:szCs w:val="21"/>
              </w:rPr>
            </w:pPr>
          </w:p>
        </w:tc>
        <w:tc>
          <w:tcPr>
            <w:tcW w:w="1134" w:type="dxa"/>
            <w:vMerge w:val="continue"/>
            <w:tcBorders>
              <w:left w:val="single" w:color="000000" w:sz="6" w:space="0"/>
              <w:right w:val="single" w:color="000000" w:sz="6" w:space="0"/>
            </w:tcBorders>
            <w:vAlign w:val="center"/>
          </w:tcPr>
          <w:p>
            <w:pPr>
              <w:jc w:val="center"/>
              <w:rPr>
                <w:rFonts w:hAnsi="宋体"/>
                <w:szCs w:val="21"/>
              </w:rPr>
            </w:pPr>
          </w:p>
        </w:tc>
        <w:tc>
          <w:tcPr>
            <w:tcW w:w="2127" w:type="dxa"/>
            <w:tcBorders>
              <w:top w:val="single" w:color="000000" w:sz="6" w:space="0"/>
              <w:left w:val="single" w:color="000000" w:sz="6" w:space="0"/>
              <w:bottom w:val="single" w:color="000000" w:sz="6" w:space="0"/>
              <w:right w:val="single" w:color="000000" w:sz="6" w:space="0"/>
            </w:tcBorders>
            <w:vAlign w:val="center"/>
          </w:tcPr>
          <w:p>
            <w:pPr>
              <w:jc w:val="center"/>
              <w:rPr>
                <w:rFonts w:hAnsi="宋体"/>
                <w:szCs w:val="21"/>
              </w:rPr>
            </w:pPr>
            <w:r>
              <w:rPr>
                <w:rFonts w:hint="eastAsia" w:hAnsi="宋体"/>
                <w:szCs w:val="21"/>
              </w:rPr>
              <w:t>无组织颗粒物</w:t>
            </w:r>
          </w:p>
        </w:tc>
        <w:tc>
          <w:tcPr>
            <w:tcW w:w="2126" w:type="dxa"/>
            <w:tcBorders>
              <w:top w:val="single" w:color="000000" w:sz="6" w:space="0"/>
              <w:left w:val="single" w:color="000000" w:sz="6" w:space="0"/>
              <w:bottom w:val="single" w:color="000000" w:sz="6" w:space="0"/>
              <w:right w:val="single" w:color="auto" w:sz="4" w:space="0"/>
            </w:tcBorders>
            <w:vAlign w:val="center"/>
          </w:tcPr>
          <w:p>
            <w:pPr>
              <w:jc w:val="center"/>
              <w:rPr>
                <w:rFonts w:hAnsi="宋体"/>
                <w:szCs w:val="21"/>
              </w:rPr>
            </w:pPr>
            <w:r>
              <w:rPr>
                <w:rFonts w:hint="eastAsia" w:hAnsi="宋体"/>
                <w:szCs w:val="21"/>
              </w:rPr>
              <w:t>0.0104t/a</w:t>
            </w:r>
          </w:p>
        </w:tc>
        <w:tc>
          <w:tcPr>
            <w:tcW w:w="2545" w:type="dxa"/>
            <w:tcBorders>
              <w:top w:val="single" w:color="000000" w:sz="6" w:space="0"/>
              <w:left w:val="single" w:color="auto" w:sz="4" w:space="0"/>
              <w:right w:val="single" w:color="000000" w:sz="6" w:space="0"/>
            </w:tcBorders>
            <w:vAlign w:val="center"/>
          </w:tcPr>
          <w:p>
            <w:pPr>
              <w:jc w:val="center"/>
              <w:rPr>
                <w:rFonts w:hAnsi="宋体"/>
                <w:szCs w:val="21"/>
              </w:rPr>
            </w:pPr>
            <w:r>
              <w:rPr>
                <w:rFonts w:hint="eastAsia" w:hAnsi="宋体"/>
                <w:szCs w:val="21"/>
              </w:rPr>
              <w:t>0.0052t/a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tblHeader/>
          <w:jc w:val="center"/>
        </w:trPr>
        <w:tc>
          <w:tcPr>
            <w:tcW w:w="1242" w:type="dxa"/>
            <w:vMerge w:val="restart"/>
            <w:tcBorders>
              <w:top w:val="single" w:color="000000" w:sz="6" w:space="0"/>
              <w:left w:val="single" w:color="000000" w:sz="6" w:space="0"/>
              <w:right w:val="single" w:color="000000" w:sz="6" w:space="0"/>
            </w:tcBorders>
            <w:vAlign w:val="center"/>
          </w:tcPr>
          <w:p>
            <w:pPr>
              <w:jc w:val="center"/>
              <w:rPr>
                <w:szCs w:val="21"/>
              </w:rPr>
            </w:pPr>
            <w:r>
              <w:rPr>
                <w:rFonts w:hAnsi="宋体"/>
                <w:szCs w:val="21"/>
              </w:rPr>
              <w:t>水污</w:t>
            </w:r>
          </w:p>
          <w:p>
            <w:pPr>
              <w:jc w:val="center"/>
              <w:rPr>
                <w:szCs w:val="21"/>
              </w:rPr>
            </w:pPr>
            <w:r>
              <w:rPr>
                <w:rFonts w:hAnsi="宋体"/>
                <w:szCs w:val="21"/>
              </w:rPr>
              <w:t>染物</w:t>
            </w:r>
          </w:p>
        </w:tc>
        <w:tc>
          <w:tcPr>
            <w:tcW w:w="1134" w:type="dxa"/>
            <w:vMerge w:val="restart"/>
            <w:tcBorders>
              <w:top w:val="single" w:color="000000" w:sz="6" w:space="0"/>
              <w:left w:val="single" w:color="000000" w:sz="6" w:space="0"/>
              <w:right w:val="single" w:color="000000" w:sz="6" w:space="0"/>
            </w:tcBorders>
            <w:vAlign w:val="center"/>
          </w:tcPr>
          <w:p>
            <w:pPr>
              <w:spacing w:line="320" w:lineRule="exact"/>
              <w:jc w:val="center"/>
              <w:rPr>
                <w:szCs w:val="21"/>
              </w:rPr>
            </w:pPr>
            <w:r>
              <w:rPr>
                <w:rFonts w:hAnsi="宋体"/>
                <w:szCs w:val="21"/>
              </w:rPr>
              <w:t>生活污水</w:t>
            </w:r>
          </w:p>
        </w:tc>
        <w:tc>
          <w:tcPr>
            <w:tcW w:w="2127" w:type="dxa"/>
            <w:tcBorders>
              <w:top w:val="single" w:color="000000" w:sz="6" w:space="0"/>
              <w:left w:val="single" w:color="000000" w:sz="6" w:space="0"/>
              <w:bottom w:val="single" w:color="000000" w:sz="6" w:space="0"/>
              <w:right w:val="single" w:color="000000" w:sz="6" w:space="0"/>
            </w:tcBorders>
            <w:vAlign w:val="center"/>
          </w:tcPr>
          <w:p>
            <w:pPr>
              <w:jc w:val="center"/>
              <w:rPr>
                <w:szCs w:val="21"/>
              </w:rPr>
            </w:pPr>
            <w:r>
              <w:rPr>
                <w:rFonts w:hAnsi="宋体"/>
                <w:szCs w:val="21"/>
              </w:rPr>
              <w:t>废水量</w:t>
            </w:r>
          </w:p>
        </w:tc>
        <w:tc>
          <w:tcPr>
            <w:tcW w:w="2126" w:type="dxa"/>
            <w:tcBorders>
              <w:top w:val="single" w:color="000000" w:sz="6" w:space="0"/>
              <w:left w:val="single" w:color="000000" w:sz="6" w:space="0"/>
              <w:bottom w:val="single" w:color="000000" w:sz="6" w:space="0"/>
              <w:right w:val="single" w:color="auto" w:sz="4" w:space="0"/>
            </w:tcBorders>
            <w:vAlign w:val="center"/>
          </w:tcPr>
          <w:p>
            <w:pPr>
              <w:jc w:val="center"/>
              <w:rPr>
                <w:szCs w:val="21"/>
              </w:rPr>
            </w:pPr>
            <w:r>
              <w:rPr>
                <w:szCs w:val="21"/>
              </w:rPr>
              <w:t>0.</w:t>
            </w:r>
            <w:r>
              <w:rPr>
                <w:rFonts w:hint="eastAsia"/>
                <w:szCs w:val="21"/>
              </w:rPr>
              <w:t>24</w:t>
            </w:r>
            <w:r>
              <w:rPr>
                <w:szCs w:val="21"/>
              </w:rPr>
              <w:t>t/d</w:t>
            </w:r>
            <w:r>
              <w:rPr>
                <w:rFonts w:hAnsi="宋体"/>
                <w:szCs w:val="21"/>
              </w:rPr>
              <w:t>，</w:t>
            </w:r>
            <w:r>
              <w:rPr>
                <w:rFonts w:hint="eastAsia"/>
                <w:szCs w:val="21"/>
              </w:rPr>
              <w:t>72</w:t>
            </w:r>
            <w:r>
              <w:rPr>
                <w:szCs w:val="21"/>
              </w:rPr>
              <w:t>t/a</w:t>
            </w:r>
          </w:p>
        </w:tc>
        <w:tc>
          <w:tcPr>
            <w:tcW w:w="2545" w:type="dxa"/>
            <w:vMerge w:val="restart"/>
            <w:tcBorders>
              <w:top w:val="single" w:color="000000" w:sz="6" w:space="0"/>
              <w:left w:val="single" w:color="auto" w:sz="4" w:space="0"/>
              <w:right w:val="single" w:color="000000" w:sz="6" w:space="0"/>
            </w:tcBorders>
            <w:vAlign w:val="center"/>
          </w:tcPr>
          <w:p>
            <w:pPr>
              <w:spacing w:line="320" w:lineRule="exact"/>
              <w:jc w:val="center"/>
              <w:rPr>
                <w:b/>
                <w:szCs w:val="21"/>
              </w:rPr>
            </w:pPr>
            <w:r>
              <w:rPr>
                <w:rFonts w:hint="eastAsia" w:hAnsi="宋体"/>
                <w:szCs w:val="21"/>
              </w:rPr>
              <w:t>依托厂区现有化粪池（10m</w:t>
            </w:r>
            <w:r>
              <w:rPr>
                <w:rFonts w:hint="eastAsia" w:hAnsi="宋体"/>
                <w:szCs w:val="21"/>
                <w:vertAlign w:val="superscript"/>
              </w:rPr>
              <w:t>3</w:t>
            </w:r>
            <w:r>
              <w:rPr>
                <w:rFonts w:hint="eastAsia" w:hAnsi="宋体"/>
                <w:szCs w:val="21"/>
              </w:rPr>
              <w:t>）处理后，定期清运，不外排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1242" w:type="dxa"/>
            <w:vMerge w:val="continue"/>
            <w:tcBorders>
              <w:left w:val="single" w:color="000000" w:sz="6" w:space="0"/>
              <w:right w:val="single" w:color="000000" w:sz="6" w:space="0"/>
            </w:tcBorders>
            <w:vAlign w:val="center"/>
          </w:tcPr>
          <w:p>
            <w:pPr>
              <w:jc w:val="center"/>
              <w:rPr>
                <w:szCs w:val="21"/>
              </w:rPr>
            </w:pPr>
          </w:p>
        </w:tc>
        <w:tc>
          <w:tcPr>
            <w:tcW w:w="1134" w:type="dxa"/>
            <w:vMerge w:val="continue"/>
            <w:tcBorders>
              <w:left w:val="single" w:color="000000" w:sz="6" w:space="0"/>
              <w:right w:val="single" w:color="000000" w:sz="6" w:space="0"/>
            </w:tcBorders>
            <w:vAlign w:val="center"/>
          </w:tcPr>
          <w:p>
            <w:pPr>
              <w:spacing w:line="320" w:lineRule="exact"/>
              <w:jc w:val="center"/>
              <w:rPr>
                <w:szCs w:val="21"/>
              </w:rPr>
            </w:pPr>
          </w:p>
        </w:tc>
        <w:tc>
          <w:tcPr>
            <w:tcW w:w="2127" w:type="dxa"/>
            <w:tcBorders>
              <w:top w:val="single" w:color="auto" w:sz="4" w:space="0"/>
              <w:left w:val="single" w:color="000000" w:sz="6" w:space="0"/>
              <w:bottom w:val="single" w:color="auto" w:sz="4" w:space="0"/>
              <w:right w:val="single" w:color="000000" w:sz="6" w:space="0"/>
            </w:tcBorders>
            <w:vAlign w:val="center"/>
          </w:tcPr>
          <w:p>
            <w:pPr>
              <w:spacing w:line="320" w:lineRule="exact"/>
              <w:jc w:val="center"/>
              <w:rPr>
                <w:szCs w:val="21"/>
              </w:rPr>
            </w:pPr>
            <w:r>
              <w:rPr>
                <w:szCs w:val="21"/>
              </w:rPr>
              <w:t>COD</w:t>
            </w:r>
          </w:p>
        </w:tc>
        <w:tc>
          <w:tcPr>
            <w:tcW w:w="2126" w:type="dxa"/>
            <w:tcBorders>
              <w:top w:val="single" w:color="auto" w:sz="4" w:space="0"/>
              <w:left w:val="single" w:color="000000" w:sz="6" w:space="0"/>
              <w:bottom w:val="single" w:color="auto" w:sz="4" w:space="0"/>
              <w:right w:val="single" w:color="auto" w:sz="4" w:space="0"/>
            </w:tcBorders>
            <w:vAlign w:val="center"/>
          </w:tcPr>
          <w:p>
            <w:pPr>
              <w:spacing w:line="320" w:lineRule="exact"/>
              <w:jc w:val="center"/>
              <w:rPr>
                <w:szCs w:val="21"/>
              </w:rPr>
            </w:pPr>
            <w:r>
              <w:rPr>
                <w:szCs w:val="21"/>
              </w:rPr>
              <w:t>250mg/L</w:t>
            </w:r>
            <w:r>
              <w:rPr>
                <w:rFonts w:hAnsi="宋体"/>
                <w:szCs w:val="21"/>
              </w:rPr>
              <w:t>，</w:t>
            </w:r>
            <w:r>
              <w:rPr>
                <w:szCs w:val="21"/>
              </w:rPr>
              <w:t>0.0</w:t>
            </w:r>
            <w:r>
              <w:rPr>
                <w:rFonts w:hint="eastAsia"/>
                <w:szCs w:val="21"/>
              </w:rPr>
              <w:t>18</w:t>
            </w:r>
            <w:r>
              <w:rPr>
                <w:szCs w:val="21"/>
              </w:rPr>
              <w:t>t/a</w:t>
            </w:r>
          </w:p>
        </w:tc>
        <w:tc>
          <w:tcPr>
            <w:tcW w:w="2545" w:type="dxa"/>
            <w:vMerge w:val="continue"/>
            <w:tcBorders>
              <w:left w:val="single" w:color="auto" w:sz="4" w:space="0"/>
              <w:right w:val="single" w:color="000000" w:sz="6" w:space="0"/>
            </w:tcBorders>
            <w:vAlign w:val="center"/>
          </w:tcPr>
          <w:p>
            <w:pPr>
              <w:spacing w:line="32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1242" w:type="dxa"/>
            <w:vMerge w:val="continue"/>
            <w:tcBorders>
              <w:left w:val="single" w:color="000000" w:sz="6" w:space="0"/>
              <w:right w:val="single" w:color="000000" w:sz="6" w:space="0"/>
            </w:tcBorders>
            <w:vAlign w:val="center"/>
          </w:tcPr>
          <w:p>
            <w:pPr>
              <w:widowControl/>
              <w:jc w:val="left"/>
              <w:rPr>
                <w:szCs w:val="21"/>
              </w:rPr>
            </w:pPr>
          </w:p>
        </w:tc>
        <w:tc>
          <w:tcPr>
            <w:tcW w:w="1134" w:type="dxa"/>
            <w:vMerge w:val="continue"/>
            <w:tcBorders>
              <w:left w:val="single" w:color="000000" w:sz="6" w:space="0"/>
              <w:right w:val="single" w:color="000000" w:sz="6" w:space="0"/>
            </w:tcBorders>
            <w:vAlign w:val="center"/>
          </w:tcPr>
          <w:p>
            <w:pPr>
              <w:spacing w:line="320" w:lineRule="exact"/>
              <w:jc w:val="center"/>
              <w:rPr>
                <w:szCs w:val="21"/>
              </w:rPr>
            </w:pPr>
          </w:p>
        </w:tc>
        <w:tc>
          <w:tcPr>
            <w:tcW w:w="2127" w:type="dxa"/>
            <w:tcBorders>
              <w:top w:val="single" w:color="auto" w:sz="4" w:space="0"/>
              <w:left w:val="single" w:color="000000" w:sz="6" w:space="0"/>
              <w:bottom w:val="single" w:color="auto" w:sz="4" w:space="0"/>
              <w:right w:val="single" w:color="000000" w:sz="6" w:space="0"/>
            </w:tcBorders>
            <w:vAlign w:val="center"/>
          </w:tcPr>
          <w:p>
            <w:pPr>
              <w:spacing w:line="320" w:lineRule="exact"/>
              <w:jc w:val="center"/>
              <w:rPr>
                <w:szCs w:val="21"/>
              </w:rPr>
            </w:pPr>
            <w:r>
              <w:rPr>
                <w:szCs w:val="21"/>
              </w:rPr>
              <w:t>SS</w:t>
            </w:r>
          </w:p>
        </w:tc>
        <w:tc>
          <w:tcPr>
            <w:tcW w:w="2126" w:type="dxa"/>
            <w:tcBorders>
              <w:top w:val="single" w:color="auto" w:sz="4" w:space="0"/>
              <w:left w:val="single" w:color="000000" w:sz="6" w:space="0"/>
              <w:bottom w:val="single" w:color="auto" w:sz="4" w:space="0"/>
              <w:right w:val="single" w:color="auto" w:sz="4" w:space="0"/>
            </w:tcBorders>
            <w:vAlign w:val="center"/>
          </w:tcPr>
          <w:p>
            <w:pPr>
              <w:spacing w:line="320" w:lineRule="exact"/>
              <w:jc w:val="center"/>
              <w:rPr>
                <w:szCs w:val="21"/>
              </w:rPr>
            </w:pPr>
            <w:r>
              <w:rPr>
                <w:szCs w:val="21"/>
              </w:rPr>
              <w:t>2</w:t>
            </w:r>
            <w:r>
              <w:rPr>
                <w:rFonts w:hint="eastAsia"/>
                <w:szCs w:val="21"/>
              </w:rPr>
              <w:t>2</w:t>
            </w:r>
            <w:r>
              <w:rPr>
                <w:szCs w:val="21"/>
              </w:rPr>
              <w:t>0mg/L</w:t>
            </w:r>
            <w:r>
              <w:rPr>
                <w:rFonts w:hAnsi="宋体"/>
                <w:szCs w:val="21"/>
              </w:rPr>
              <w:t>，</w:t>
            </w:r>
            <w:r>
              <w:rPr>
                <w:szCs w:val="21"/>
              </w:rPr>
              <w:t>0.0</w:t>
            </w:r>
            <w:r>
              <w:rPr>
                <w:rFonts w:hint="eastAsia"/>
                <w:szCs w:val="21"/>
              </w:rPr>
              <w:t>16</w:t>
            </w:r>
            <w:r>
              <w:rPr>
                <w:szCs w:val="21"/>
              </w:rPr>
              <w:t>t/a</w:t>
            </w:r>
          </w:p>
        </w:tc>
        <w:tc>
          <w:tcPr>
            <w:tcW w:w="2545" w:type="dxa"/>
            <w:vMerge w:val="continue"/>
            <w:tcBorders>
              <w:left w:val="single" w:color="auto" w:sz="4" w:space="0"/>
              <w:right w:val="single" w:color="000000" w:sz="6" w:space="0"/>
            </w:tcBorders>
            <w:vAlign w:val="center"/>
          </w:tcPr>
          <w:p>
            <w:pPr>
              <w:widowControl/>
              <w:jc w:val="left"/>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1242" w:type="dxa"/>
            <w:vMerge w:val="continue"/>
            <w:tcBorders>
              <w:left w:val="single" w:color="000000" w:sz="6" w:space="0"/>
              <w:right w:val="single" w:color="000000" w:sz="6" w:space="0"/>
            </w:tcBorders>
            <w:vAlign w:val="center"/>
          </w:tcPr>
          <w:p>
            <w:pPr>
              <w:widowControl/>
              <w:jc w:val="left"/>
              <w:rPr>
                <w:szCs w:val="21"/>
              </w:rPr>
            </w:pPr>
          </w:p>
        </w:tc>
        <w:tc>
          <w:tcPr>
            <w:tcW w:w="1134" w:type="dxa"/>
            <w:vMerge w:val="continue"/>
            <w:tcBorders>
              <w:left w:val="single" w:color="000000" w:sz="6" w:space="0"/>
              <w:right w:val="single" w:color="000000" w:sz="6" w:space="0"/>
            </w:tcBorders>
            <w:vAlign w:val="center"/>
          </w:tcPr>
          <w:p>
            <w:pPr>
              <w:spacing w:line="320" w:lineRule="exact"/>
              <w:jc w:val="center"/>
              <w:rPr>
                <w:szCs w:val="21"/>
              </w:rPr>
            </w:pPr>
          </w:p>
        </w:tc>
        <w:tc>
          <w:tcPr>
            <w:tcW w:w="2127" w:type="dxa"/>
            <w:tcBorders>
              <w:top w:val="single" w:color="auto" w:sz="4" w:space="0"/>
              <w:left w:val="single" w:color="000000" w:sz="6" w:space="0"/>
              <w:bottom w:val="single" w:color="auto" w:sz="4" w:space="0"/>
              <w:right w:val="single" w:color="000000" w:sz="6" w:space="0"/>
            </w:tcBorders>
            <w:vAlign w:val="center"/>
          </w:tcPr>
          <w:p>
            <w:pPr>
              <w:spacing w:line="320" w:lineRule="exact"/>
              <w:jc w:val="center"/>
              <w:rPr>
                <w:szCs w:val="21"/>
              </w:rPr>
            </w:pPr>
            <w:r>
              <w:rPr>
                <w:szCs w:val="21"/>
              </w:rPr>
              <w:t>NH</w:t>
            </w:r>
            <w:r>
              <w:rPr>
                <w:szCs w:val="21"/>
                <w:vertAlign w:val="subscript"/>
              </w:rPr>
              <w:t>3</w:t>
            </w:r>
            <w:r>
              <w:rPr>
                <w:szCs w:val="21"/>
              </w:rPr>
              <w:t>-N</w:t>
            </w:r>
          </w:p>
        </w:tc>
        <w:tc>
          <w:tcPr>
            <w:tcW w:w="2126" w:type="dxa"/>
            <w:tcBorders>
              <w:top w:val="single" w:color="auto" w:sz="4" w:space="0"/>
              <w:left w:val="single" w:color="000000" w:sz="6" w:space="0"/>
              <w:bottom w:val="single" w:color="auto" w:sz="4" w:space="0"/>
              <w:right w:val="single" w:color="auto" w:sz="4" w:space="0"/>
            </w:tcBorders>
            <w:vAlign w:val="center"/>
          </w:tcPr>
          <w:p>
            <w:pPr>
              <w:spacing w:line="320" w:lineRule="exact"/>
              <w:jc w:val="center"/>
              <w:rPr>
                <w:szCs w:val="21"/>
              </w:rPr>
            </w:pPr>
            <w:r>
              <w:rPr>
                <w:rFonts w:hint="eastAsia"/>
                <w:szCs w:val="21"/>
              </w:rPr>
              <w:t>30</w:t>
            </w:r>
            <w:r>
              <w:rPr>
                <w:szCs w:val="21"/>
              </w:rPr>
              <w:t>mg/L</w:t>
            </w:r>
            <w:r>
              <w:rPr>
                <w:rFonts w:hAnsi="宋体"/>
                <w:szCs w:val="21"/>
              </w:rPr>
              <w:t>，</w:t>
            </w:r>
            <w:r>
              <w:rPr>
                <w:szCs w:val="21"/>
              </w:rPr>
              <w:t>0.00</w:t>
            </w:r>
            <w:r>
              <w:rPr>
                <w:rFonts w:hint="eastAsia"/>
                <w:szCs w:val="21"/>
              </w:rPr>
              <w:t>2</w:t>
            </w:r>
            <w:r>
              <w:rPr>
                <w:szCs w:val="21"/>
              </w:rPr>
              <w:t>t/a</w:t>
            </w:r>
          </w:p>
        </w:tc>
        <w:tc>
          <w:tcPr>
            <w:tcW w:w="2545" w:type="dxa"/>
            <w:vMerge w:val="continue"/>
            <w:tcBorders>
              <w:left w:val="single" w:color="auto" w:sz="4" w:space="0"/>
              <w:right w:val="single" w:color="000000" w:sz="6" w:space="0"/>
            </w:tcBorders>
            <w:vAlign w:val="center"/>
          </w:tcPr>
          <w:p>
            <w:pPr>
              <w:widowControl/>
              <w:jc w:val="left"/>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1242" w:type="dxa"/>
            <w:vMerge w:val="continue"/>
            <w:tcBorders>
              <w:left w:val="single" w:color="000000" w:sz="6" w:space="0"/>
              <w:bottom w:val="single" w:color="000000" w:sz="6" w:space="0"/>
              <w:right w:val="single" w:color="000000" w:sz="6" w:space="0"/>
            </w:tcBorders>
            <w:vAlign w:val="center"/>
          </w:tcPr>
          <w:p>
            <w:pPr>
              <w:widowControl/>
              <w:jc w:val="left"/>
              <w:rPr>
                <w:szCs w:val="21"/>
              </w:rPr>
            </w:pPr>
          </w:p>
        </w:tc>
        <w:tc>
          <w:tcPr>
            <w:tcW w:w="1134" w:type="dxa"/>
            <w:vMerge w:val="continue"/>
            <w:tcBorders>
              <w:left w:val="single" w:color="000000" w:sz="6" w:space="0"/>
              <w:bottom w:val="single" w:color="000000" w:sz="6" w:space="0"/>
              <w:right w:val="single" w:color="000000" w:sz="6" w:space="0"/>
            </w:tcBorders>
            <w:vAlign w:val="center"/>
          </w:tcPr>
          <w:p>
            <w:pPr>
              <w:spacing w:line="320" w:lineRule="exact"/>
              <w:jc w:val="center"/>
              <w:rPr>
                <w:szCs w:val="21"/>
              </w:rPr>
            </w:pPr>
          </w:p>
        </w:tc>
        <w:tc>
          <w:tcPr>
            <w:tcW w:w="2127" w:type="dxa"/>
            <w:tcBorders>
              <w:top w:val="single" w:color="auto" w:sz="4" w:space="0"/>
              <w:left w:val="single" w:color="000000" w:sz="6" w:space="0"/>
              <w:bottom w:val="single" w:color="auto" w:sz="4" w:space="0"/>
              <w:right w:val="single" w:color="000000" w:sz="6" w:space="0"/>
            </w:tcBorders>
            <w:vAlign w:val="center"/>
          </w:tcPr>
          <w:p>
            <w:pPr>
              <w:spacing w:line="320" w:lineRule="exact"/>
              <w:jc w:val="center"/>
              <w:rPr>
                <w:szCs w:val="21"/>
              </w:rPr>
            </w:pPr>
            <w:r>
              <w:rPr>
                <w:szCs w:val="21"/>
              </w:rPr>
              <w:t>TP</w:t>
            </w:r>
          </w:p>
        </w:tc>
        <w:tc>
          <w:tcPr>
            <w:tcW w:w="2126" w:type="dxa"/>
            <w:tcBorders>
              <w:top w:val="single" w:color="auto" w:sz="4" w:space="0"/>
              <w:left w:val="single" w:color="000000" w:sz="6" w:space="0"/>
              <w:bottom w:val="single" w:color="auto" w:sz="4" w:space="0"/>
              <w:right w:val="single" w:color="auto" w:sz="4" w:space="0"/>
            </w:tcBorders>
            <w:vAlign w:val="center"/>
          </w:tcPr>
          <w:p>
            <w:pPr>
              <w:spacing w:line="320" w:lineRule="exact"/>
              <w:jc w:val="center"/>
              <w:rPr>
                <w:szCs w:val="21"/>
              </w:rPr>
            </w:pPr>
            <w:r>
              <w:rPr>
                <w:szCs w:val="21"/>
              </w:rPr>
              <w:t>2mg/L</w:t>
            </w:r>
            <w:r>
              <w:rPr>
                <w:rFonts w:hAnsi="宋体"/>
                <w:szCs w:val="21"/>
              </w:rPr>
              <w:t>，</w:t>
            </w:r>
            <w:r>
              <w:rPr>
                <w:szCs w:val="21"/>
              </w:rPr>
              <w:t>0.000</w:t>
            </w:r>
            <w:r>
              <w:rPr>
                <w:rFonts w:hint="eastAsia"/>
                <w:szCs w:val="21"/>
              </w:rPr>
              <w:t>1</w:t>
            </w:r>
            <w:r>
              <w:rPr>
                <w:szCs w:val="21"/>
              </w:rPr>
              <w:t>t/a</w:t>
            </w:r>
          </w:p>
        </w:tc>
        <w:tc>
          <w:tcPr>
            <w:tcW w:w="2545" w:type="dxa"/>
            <w:vMerge w:val="continue"/>
            <w:tcBorders>
              <w:left w:val="single" w:color="auto" w:sz="4" w:space="0"/>
              <w:bottom w:val="single" w:color="000000" w:sz="6" w:space="0"/>
              <w:right w:val="single" w:color="000000" w:sz="6" w:space="0"/>
            </w:tcBorders>
            <w:vAlign w:val="center"/>
          </w:tcPr>
          <w:p>
            <w:pPr>
              <w:widowControl/>
              <w:jc w:val="left"/>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12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szCs w:val="21"/>
              </w:rPr>
            </w:pPr>
            <w:r>
              <w:rPr>
                <w:rFonts w:hAnsi="宋体"/>
                <w:szCs w:val="21"/>
              </w:rPr>
              <w:t>固</w:t>
            </w:r>
          </w:p>
          <w:p>
            <w:pPr>
              <w:jc w:val="center"/>
              <w:rPr>
                <w:szCs w:val="21"/>
              </w:rPr>
            </w:pPr>
            <w:r>
              <w:rPr>
                <w:rFonts w:hAnsi="宋体"/>
                <w:szCs w:val="21"/>
              </w:rPr>
              <w:t>体</w:t>
            </w:r>
          </w:p>
          <w:p>
            <w:pPr>
              <w:jc w:val="center"/>
              <w:rPr>
                <w:szCs w:val="21"/>
              </w:rPr>
            </w:pPr>
            <w:r>
              <w:rPr>
                <w:rFonts w:hAnsi="宋体"/>
                <w:szCs w:val="21"/>
              </w:rPr>
              <w:t>废</w:t>
            </w:r>
          </w:p>
          <w:p>
            <w:pPr>
              <w:jc w:val="center"/>
              <w:rPr>
                <w:szCs w:val="21"/>
              </w:rPr>
            </w:pPr>
            <w:r>
              <w:rPr>
                <w:rFonts w:hAnsi="宋体"/>
                <w:szCs w:val="21"/>
              </w:rPr>
              <w:t>物</w:t>
            </w:r>
          </w:p>
        </w:tc>
        <w:tc>
          <w:tcPr>
            <w:tcW w:w="1134" w:type="dxa"/>
            <w:vMerge w:val="restart"/>
            <w:tcBorders>
              <w:top w:val="single" w:color="000000" w:sz="6" w:space="0"/>
              <w:left w:val="single" w:color="000000" w:sz="6" w:space="0"/>
              <w:right w:val="single" w:color="000000" w:sz="6" w:space="0"/>
            </w:tcBorders>
            <w:vAlign w:val="center"/>
          </w:tcPr>
          <w:p>
            <w:pPr>
              <w:spacing w:line="360" w:lineRule="exact"/>
              <w:jc w:val="center"/>
              <w:rPr>
                <w:szCs w:val="21"/>
              </w:rPr>
            </w:pPr>
            <w:r>
              <w:rPr>
                <w:rFonts w:hAnsi="宋体"/>
                <w:szCs w:val="21"/>
              </w:rPr>
              <w:t>一般固废</w:t>
            </w:r>
          </w:p>
        </w:tc>
        <w:tc>
          <w:tcPr>
            <w:tcW w:w="2127" w:type="dxa"/>
            <w:tcBorders>
              <w:top w:val="single" w:color="auto" w:sz="4" w:space="0"/>
              <w:left w:val="single" w:color="000000" w:sz="6" w:space="0"/>
              <w:bottom w:val="single" w:color="auto" w:sz="4" w:space="0"/>
              <w:right w:val="single" w:color="000000" w:sz="6" w:space="0"/>
            </w:tcBorders>
            <w:vAlign w:val="center"/>
          </w:tcPr>
          <w:p>
            <w:pPr>
              <w:spacing w:line="360" w:lineRule="exact"/>
              <w:jc w:val="center"/>
              <w:rPr>
                <w:szCs w:val="21"/>
              </w:rPr>
            </w:pPr>
            <w:r>
              <w:rPr>
                <w:rFonts w:hint="eastAsia"/>
                <w:szCs w:val="21"/>
              </w:rPr>
              <w:t>袋式除尘器收尘</w:t>
            </w:r>
          </w:p>
        </w:tc>
        <w:tc>
          <w:tcPr>
            <w:tcW w:w="2126" w:type="dxa"/>
            <w:tcBorders>
              <w:top w:val="single" w:color="auto" w:sz="4" w:space="0"/>
              <w:left w:val="single" w:color="000000" w:sz="6" w:space="0"/>
              <w:bottom w:val="single" w:color="auto" w:sz="4" w:space="0"/>
              <w:right w:val="single" w:color="auto" w:sz="4" w:space="0"/>
            </w:tcBorders>
            <w:vAlign w:val="center"/>
          </w:tcPr>
          <w:p>
            <w:pPr>
              <w:spacing w:line="360" w:lineRule="exact"/>
              <w:jc w:val="center"/>
              <w:rPr>
                <w:szCs w:val="21"/>
              </w:rPr>
            </w:pPr>
            <w:r>
              <w:rPr>
                <w:rFonts w:hint="eastAsia"/>
                <w:szCs w:val="21"/>
              </w:rPr>
              <w:t>0.0404t</w:t>
            </w:r>
            <w:r>
              <w:rPr>
                <w:szCs w:val="21"/>
              </w:rPr>
              <w:t>/a</w:t>
            </w:r>
          </w:p>
        </w:tc>
        <w:tc>
          <w:tcPr>
            <w:tcW w:w="2545"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szCs w:val="21"/>
              </w:rPr>
            </w:pPr>
            <w:r>
              <w:rPr>
                <w:rFonts w:hAnsi="宋体"/>
                <w:szCs w:val="21"/>
              </w:rPr>
              <w:t>定期外售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12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Ansi="宋体"/>
                <w:szCs w:val="21"/>
              </w:rPr>
            </w:pPr>
          </w:p>
        </w:tc>
        <w:tc>
          <w:tcPr>
            <w:tcW w:w="1134" w:type="dxa"/>
            <w:vMerge w:val="continue"/>
            <w:tcBorders>
              <w:top w:val="single" w:color="000000" w:sz="6" w:space="0"/>
              <w:left w:val="single" w:color="000000" w:sz="6" w:space="0"/>
              <w:right w:val="single" w:color="000000" w:sz="6" w:space="0"/>
            </w:tcBorders>
            <w:vAlign w:val="center"/>
          </w:tcPr>
          <w:p>
            <w:pPr>
              <w:spacing w:line="360" w:lineRule="exact"/>
              <w:jc w:val="center"/>
              <w:rPr>
                <w:rFonts w:hAnsi="宋体"/>
                <w:szCs w:val="21"/>
              </w:rPr>
            </w:pPr>
          </w:p>
        </w:tc>
        <w:tc>
          <w:tcPr>
            <w:tcW w:w="2127" w:type="dxa"/>
            <w:tcBorders>
              <w:top w:val="single" w:color="auto" w:sz="4" w:space="0"/>
              <w:left w:val="single" w:color="000000" w:sz="6" w:space="0"/>
              <w:bottom w:val="single" w:color="auto" w:sz="4" w:space="0"/>
              <w:right w:val="single" w:color="000000" w:sz="6" w:space="0"/>
            </w:tcBorders>
            <w:vAlign w:val="center"/>
          </w:tcPr>
          <w:p>
            <w:pPr>
              <w:spacing w:line="360" w:lineRule="exact"/>
              <w:jc w:val="center"/>
              <w:rPr>
                <w:szCs w:val="21"/>
              </w:rPr>
            </w:pPr>
            <w:r>
              <w:rPr>
                <w:rFonts w:hint="eastAsia"/>
                <w:szCs w:val="21"/>
              </w:rPr>
              <w:t>废边角料及金属屑</w:t>
            </w:r>
          </w:p>
        </w:tc>
        <w:tc>
          <w:tcPr>
            <w:tcW w:w="2126" w:type="dxa"/>
            <w:tcBorders>
              <w:top w:val="single" w:color="auto" w:sz="4" w:space="0"/>
              <w:left w:val="single" w:color="000000" w:sz="6" w:space="0"/>
              <w:bottom w:val="single" w:color="auto" w:sz="4" w:space="0"/>
              <w:right w:val="single" w:color="auto" w:sz="4" w:space="0"/>
            </w:tcBorders>
            <w:vAlign w:val="center"/>
          </w:tcPr>
          <w:p>
            <w:pPr>
              <w:spacing w:line="360" w:lineRule="exact"/>
              <w:jc w:val="center"/>
              <w:rPr>
                <w:szCs w:val="21"/>
              </w:rPr>
            </w:pPr>
            <w:r>
              <w:rPr>
                <w:rFonts w:hint="eastAsia"/>
                <w:szCs w:val="21"/>
              </w:rPr>
              <w:t>1</w:t>
            </w:r>
            <w:r>
              <w:rPr>
                <w:szCs w:val="21"/>
              </w:rPr>
              <w:t>t/a</w:t>
            </w:r>
          </w:p>
        </w:tc>
        <w:tc>
          <w:tcPr>
            <w:tcW w:w="2545"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rFonts w:hAnsi="宋体"/>
                <w:szCs w:val="21"/>
              </w:rPr>
            </w:pPr>
            <w:r>
              <w:rPr>
                <w:rFonts w:hint="eastAsia" w:hAnsi="宋体"/>
                <w:szCs w:val="21"/>
              </w:rPr>
              <w:t>定期外售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12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Ansi="宋体"/>
                <w:szCs w:val="21"/>
              </w:rPr>
            </w:pPr>
          </w:p>
        </w:tc>
        <w:tc>
          <w:tcPr>
            <w:tcW w:w="1134" w:type="dxa"/>
            <w:vMerge w:val="continue"/>
            <w:tcBorders>
              <w:top w:val="single" w:color="000000" w:sz="6" w:space="0"/>
              <w:left w:val="single" w:color="000000" w:sz="6" w:space="0"/>
              <w:right w:val="single" w:color="000000" w:sz="6" w:space="0"/>
            </w:tcBorders>
            <w:vAlign w:val="center"/>
          </w:tcPr>
          <w:p>
            <w:pPr>
              <w:spacing w:line="360" w:lineRule="exact"/>
              <w:jc w:val="center"/>
              <w:rPr>
                <w:rFonts w:hAnsi="宋体"/>
                <w:szCs w:val="21"/>
              </w:rPr>
            </w:pPr>
          </w:p>
        </w:tc>
        <w:tc>
          <w:tcPr>
            <w:tcW w:w="2127" w:type="dxa"/>
            <w:tcBorders>
              <w:top w:val="single" w:color="auto" w:sz="4" w:space="0"/>
              <w:left w:val="single" w:color="000000" w:sz="6" w:space="0"/>
              <w:bottom w:val="single" w:color="auto" w:sz="4" w:space="0"/>
              <w:right w:val="single" w:color="000000" w:sz="6" w:space="0"/>
            </w:tcBorders>
            <w:vAlign w:val="center"/>
          </w:tcPr>
          <w:p>
            <w:pPr>
              <w:spacing w:line="360" w:lineRule="exact"/>
              <w:jc w:val="center"/>
              <w:rPr>
                <w:szCs w:val="21"/>
              </w:rPr>
            </w:pPr>
            <w:r>
              <w:rPr>
                <w:rFonts w:hint="eastAsia"/>
                <w:szCs w:val="21"/>
              </w:rPr>
              <w:t>焊渣</w:t>
            </w:r>
          </w:p>
        </w:tc>
        <w:tc>
          <w:tcPr>
            <w:tcW w:w="2126" w:type="dxa"/>
            <w:tcBorders>
              <w:top w:val="single" w:color="auto" w:sz="4" w:space="0"/>
              <w:left w:val="single" w:color="000000" w:sz="6" w:space="0"/>
              <w:bottom w:val="single" w:color="auto" w:sz="4" w:space="0"/>
              <w:right w:val="single" w:color="auto" w:sz="4" w:space="0"/>
            </w:tcBorders>
            <w:vAlign w:val="center"/>
          </w:tcPr>
          <w:p>
            <w:pPr>
              <w:spacing w:line="360" w:lineRule="exact"/>
              <w:jc w:val="center"/>
              <w:rPr>
                <w:szCs w:val="21"/>
              </w:rPr>
            </w:pPr>
            <w:r>
              <w:rPr>
                <w:rFonts w:hint="eastAsia"/>
                <w:szCs w:val="21"/>
              </w:rPr>
              <w:t>0.26</w:t>
            </w:r>
            <w:r>
              <w:rPr>
                <w:szCs w:val="21"/>
              </w:rPr>
              <w:t>t/a</w:t>
            </w:r>
          </w:p>
        </w:tc>
        <w:tc>
          <w:tcPr>
            <w:tcW w:w="2545"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rFonts w:hAnsi="宋体"/>
                <w:szCs w:val="21"/>
              </w:rPr>
            </w:pPr>
            <w:r>
              <w:rPr>
                <w:rFonts w:hint="eastAsia" w:hAnsi="宋体"/>
                <w:szCs w:val="21"/>
              </w:rPr>
              <w:t>厂内重复使用，不可用的资源化处置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12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Ansi="宋体"/>
                <w:szCs w:val="21"/>
              </w:rPr>
            </w:pPr>
          </w:p>
        </w:tc>
        <w:tc>
          <w:tcPr>
            <w:tcW w:w="1134" w:type="dxa"/>
            <w:vMerge w:val="restart"/>
            <w:tcBorders>
              <w:top w:val="single" w:color="000000" w:sz="6" w:space="0"/>
              <w:left w:val="single" w:color="000000" w:sz="6" w:space="0"/>
              <w:right w:val="single" w:color="000000" w:sz="6" w:space="0"/>
            </w:tcBorders>
            <w:vAlign w:val="center"/>
          </w:tcPr>
          <w:p>
            <w:pPr>
              <w:spacing w:line="360" w:lineRule="exact"/>
              <w:jc w:val="center"/>
              <w:rPr>
                <w:rFonts w:hAnsi="宋体"/>
                <w:szCs w:val="21"/>
              </w:rPr>
            </w:pPr>
            <w:r>
              <w:rPr>
                <w:rFonts w:hint="eastAsia" w:hAnsi="宋体"/>
                <w:szCs w:val="21"/>
              </w:rPr>
              <w:t>危险废物</w:t>
            </w:r>
          </w:p>
        </w:tc>
        <w:tc>
          <w:tcPr>
            <w:tcW w:w="2127" w:type="dxa"/>
            <w:tcBorders>
              <w:top w:val="single" w:color="auto" w:sz="4" w:space="0"/>
              <w:left w:val="single" w:color="000000" w:sz="6" w:space="0"/>
              <w:bottom w:val="single" w:color="auto" w:sz="4" w:space="0"/>
              <w:right w:val="single" w:color="000000" w:sz="6" w:space="0"/>
            </w:tcBorders>
            <w:vAlign w:val="center"/>
          </w:tcPr>
          <w:p>
            <w:pPr>
              <w:spacing w:line="360" w:lineRule="exact"/>
              <w:jc w:val="center"/>
              <w:rPr>
                <w:szCs w:val="21"/>
              </w:rPr>
            </w:pPr>
            <w:r>
              <w:rPr>
                <w:rFonts w:hint="eastAsia"/>
                <w:szCs w:val="21"/>
              </w:rPr>
              <w:t>废切削液</w:t>
            </w:r>
          </w:p>
        </w:tc>
        <w:tc>
          <w:tcPr>
            <w:tcW w:w="2126" w:type="dxa"/>
            <w:tcBorders>
              <w:top w:val="single" w:color="auto" w:sz="4" w:space="0"/>
              <w:left w:val="single" w:color="000000" w:sz="6" w:space="0"/>
              <w:bottom w:val="single" w:color="auto" w:sz="4" w:space="0"/>
              <w:right w:val="single" w:color="auto" w:sz="4" w:space="0"/>
            </w:tcBorders>
            <w:vAlign w:val="center"/>
          </w:tcPr>
          <w:p>
            <w:pPr>
              <w:spacing w:line="360" w:lineRule="exact"/>
              <w:jc w:val="center"/>
              <w:rPr>
                <w:szCs w:val="21"/>
              </w:rPr>
            </w:pPr>
            <w:r>
              <w:rPr>
                <w:rFonts w:hint="eastAsia"/>
                <w:szCs w:val="21"/>
              </w:rPr>
              <w:t>1</w:t>
            </w:r>
            <w:r>
              <w:rPr>
                <w:szCs w:val="21"/>
              </w:rPr>
              <w:t>t/a</w:t>
            </w:r>
          </w:p>
        </w:tc>
        <w:tc>
          <w:tcPr>
            <w:tcW w:w="2545" w:type="dxa"/>
            <w:vMerge w:val="restart"/>
            <w:tcBorders>
              <w:top w:val="single" w:color="000000" w:sz="6" w:space="0"/>
              <w:left w:val="single" w:color="auto" w:sz="4" w:space="0"/>
              <w:right w:val="single" w:color="000000" w:sz="6" w:space="0"/>
            </w:tcBorders>
            <w:vAlign w:val="center"/>
          </w:tcPr>
          <w:p>
            <w:pPr>
              <w:spacing w:line="360" w:lineRule="exact"/>
              <w:jc w:val="center"/>
              <w:rPr>
                <w:rFonts w:hAnsi="宋体"/>
                <w:szCs w:val="21"/>
              </w:rPr>
            </w:pPr>
            <w:r>
              <w:rPr>
                <w:rFonts w:hint="eastAsia" w:hAnsi="宋体"/>
                <w:szCs w:val="21"/>
              </w:rPr>
              <w:t>暂存于厂区危废暂存间，定期交由有资质的单位进行处理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12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Ansi="宋体"/>
                <w:szCs w:val="21"/>
              </w:rPr>
            </w:pPr>
          </w:p>
        </w:tc>
        <w:tc>
          <w:tcPr>
            <w:tcW w:w="1134" w:type="dxa"/>
            <w:vMerge w:val="continue"/>
            <w:tcBorders>
              <w:left w:val="single" w:color="000000" w:sz="6" w:space="0"/>
              <w:right w:val="single" w:color="000000" w:sz="6" w:space="0"/>
            </w:tcBorders>
            <w:vAlign w:val="center"/>
          </w:tcPr>
          <w:p>
            <w:pPr>
              <w:spacing w:line="360" w:lineRule="exact"/>
              <w:jc w:val="center"/>
              <w:rPr>
                <w:rFonts w:hAnsi="宋体"/>
                <w:szCs w:val="21"/>
              </w:rPr>
            </w:pPr>
          </w:p>
        </w:tc>
        <w:tc>
          <w:tcPr>
            <w:tcW w:w="2127" w:type="dxa"/>
            <w:tcBorders>
              <w:top w:val="single" w:color="auto" w:sz="4" w:space="0"/>
              <w:left w:val="single" w:color="000000" w:sz="6" w:space="0"/>
              <w:bottom w:val="single" w:color="auto" w:sz="4" w:space="0"/>
              <w:right w:val="single" w:color="000000" w:sz="6" w:space="0"/>
            </w:tcBorders>
            <w:vAlign w:val="center"/>
          </w:tcPr>
          <w:p>
            <w:pPr>
              <w:spacing w:line="360" w:lineRule="exact"/>
              <w:jc w:val="center"/>
              <w:rPr>
                <w:szCs w:val="21"/>
              </w:rPr>
            </w:pPr>
            <w:r>
              <w:rPr>
                <w:rFonts w:hint="eastAsia"/>
                <w:szCs w:val="21"/>
              </w:rPr>
              <w:t>废润滑油</w:t>
            </w:r>
          </w:p>
        </w:tc>
        <w:tc>
          <w:tcPr>
            <w:tcW w:w="2126" w:type="dxa"/>
            <w:tcBorders>
              <w:top w:val="single" w:color="auto" w:sz="4" w:space="0"/>
              <w:left w:val="single" w:color="000000" w:sz="6" w:space="0"/>
              <w:bottom w:val="single" w:color="auto" w:sz="4" w:space="0"/>
              <w:right w:val="single" w:color="auto" w:sz="4" w:space="0"/>
            </w:tcBorders>
            <w:vAlign w:val="center"/>
          </w:tcPr>
          <w:p>
            <w:pPr>
              <w:spacing w:line="360" w:lineRule="exact"/>
              <w:jc w:val="center"/>
              <w:rPr>
                <w:szCs w:val="21"/>
              </w:rPr>
            </w:pPr>
            <w:r>
              <w:rPr>
                <w:rFonts w:hint="eastAsia"/>
                <w:szCs w:val="21"/>
              </w:rPr>
              <w:t>0.1</w:t>
            </w:r>
            <w:r>
              <w:rPr>
                <w:szCs w:val="21"/>
              </w:rPr>
              <w:t>t/a</w:t>
            </w:r>
          </w:p>
        </w:tc>
        <w:tc>
          <w:tcPr>
            <w:tcW w:w="2545" w:type="dxa"/>
            <w:vMerge w:val="continue"/>
            <w:tcBorders>
              <w:left w:val="single" w:color="auto" w:sz="4" w:space="0"/>
              <w:bottom w:val="single" w:color="000000" w:sz="6" w:space="0"/>
              <w:right w:val="single" w:color="000000" w:sz="6" w:space="0"/>
            </w:tcBorders>
            <w:vAlign w:val="center"/>
          </w:tcPr>
          <w:p>
            <w:pPr>
              <w:spacing w:line="360" w:lineRule="exact"/>
              <w:jc w:val="center"/>
              <w:rPr>
                <w:rFonts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12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Ansi="宋体"/>
                <w:szCs w:val="21"/>
              </w:rPr>
            </w:pPr>
          </w:p>
        </w:tc>
        <w:tc>
          <w:tcPr>
            <w:tcW w:w="1134" w:type="dxa"/>
            <w:tcBorders>
              <w:top w:val="single" w:color="000000" w:sz="6" w:space="0"/>
              <w:left w:val="single" w:color="000000" w:sz="6" w:space="0"/>
              <w:right w:val="single" w:color="000000" w:sz="6" w:space="0"/>
            </w:tcBorders>
            <w:vAlign w:val="center"/>
          </w:tcPr>
          <w:p>
            <w:pPr>
              <w:widowControl/>
              <w:jc w:val="left"/>
              <w:rPr>
                <w:szCs w:val="21"/>
              </w:rPr>
            </w:pPr>
            <w:r>
              <w:rPr>
                <w:rFonts w:hAnsi="宋体"/>
                <w:szCs w:val="21"/>
              </w:rPr>
              <w:t>生活垃圾</w:t>
            </w:r>
          </w:p>
        </w:tc>
        <w:tc>
          <w:tcPr>
            <w:tcW w:w="2127" w:type="dxa"/>
            <w:tcBorders>
              <w:top w:val="single" w:color="auto" w:sz="4" w:space="0"/>
              <w:left w:val="single" w:color="000000" w:sz="6" w:space="0"/>
              <w:bottom w:val="single" w:color="auto" w:sz="4" w:space="0"/>
              <w:right w:val="single" w:color="000000" w:sz="6" w:space="0"/>
            </w:tcBorders>
            <w:vAlign w:val="center"/>
          </w:tcPr>
          <w:p>
            <w:pPr>
              <w:spacing w:line="360" w:lineRule="exact"/>
              <w:jc w:val="center"/>
              <w:rPr>
                <w:szCs w:val="21"/>
              </w:rPr>
            </w:pPr>
            <w:r>
              <w:rPr>
                <w:rFonts w:hAnsi="宋体"/>
                <w:szCs w:val="21"/>
              </w:rPr>
              <w:t>生活垃圾</w:t>
            </w:r>
          </w:p>
        </w:tc>
        <w:tc>
          <w:tcPr>
            <w:tcW w:w="2126" w:type="dxa"/>
            <w:tcBorders>
              <w:top w:val="single" w:color="auto" w:sz="4" w:space="0"/>
              <w:left w:val="single" w:color="000000" w:sz="6" w:space="0"/>
              <w:bottom w:val="single" w:color="auto" w:sz="4" w:space="0"/>
              <w:right w:val="single" w:color="auto" w:sz="4" w:space="0"/>
            </w:tcBorders>
            <w:vAlign w:val="center"/>
          </w:tcPr>
          <w:p>
            <w:pPr>
              <w:spacing w:line="360" w:lineRule="exact"/>
              <w:jc w:val="center"/>
              <w:rPr>
                <w:szCs w:val="21"/>
              </w:rPr>
            </w:pPr>
            <w:r>
              <w:rPr>
                <w:rFonts w:hint="eastAsia"/>
                <w:szCs w:val="21"/>
              </w:rPr>
              <w:t>1.5</w:t>
            </w:r>
            <w:r>
              <w:rPr>
                <w:szCs w:val="21"/>
              </w:rPr>
              <w:t>t/a</w:t>
            </w:r>
          </w:p>
        </w:tc>
        <w:tc>
          <w:tcPr>
            <w:tcW w:w="2545"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szCs w:val="21"/>
              </w:rPr>
            </w:pPr>
            <w:r>
              <w:rPr>
                <w:rFonts w:hAnsi="宋体"/>
                <w:szCs w:val="21"/>
              </w:rPr>
              <w:t>环卫部门定期清运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1242" w:type="dxa"/>
            <w:tcBorders>
              <w:top w:val="single" w:color="000000" w:sz="6" w:space="0"/>
              <w:left w:val="single" w:color="000000" w:sz="6" w:space="0"/>
              <w:bottom w:val="single" w:color="000000" w:sz="6" w:space="0"/>
              <w:right w:val="single" w:color="000000" w:sz="6" w:space="0"/>
            </w:tcBorders>
            <w:vAlign w:val="center"/>
          </w:tcPr>
          <w:p>
            <w:pPr>
              <w:jc w:val="center"/>
              <w:rPr>
                <w:szCs w:val="21"/>
              </w:rPr>
            </w:pPr>
            <w:r>
              <w:rPr>
                <w:rFonts w:hAnsi="宋体"/>
                <w:szCs w:val="21"/>
              </w:rPr>
              <w:t>噪</w:t>
            </w:r>
          </w:p>
          <w:p>
            <w:pPr>
              <w:jc w:val="center"/>
              <w:rPr>
                <w:szCs w:val="21"/>
              </w:rPr>
            </w:pPr>
            <w:r>
              <w:rPr>
                <w:rFonts w:hAnsi="宋体"/>
                <w:szCs w:val="21"/>
              </w:rPr>
              <w:t>声</w:t>
            </w:r>
          </w:p>
        </w:tc>
        <w:tc>
          <w:tcPr>
            <w:tcW w:w="7932" w:type="dxa"/>
            <w:gridSpan w:val="4"/>
            <w:tcBorders>
              <w:top w:val="single" w:color="000000" w:sz="6" w:space="0"/>
              <w:left w:val="single" w:color="000000" w:sz="6" w:space="0"/>
              <w:bottom w:val="single" w:color="auto" w:sz="4" w:space="0"/>
              <w:right w:val="single" w:color="000000" w:sz="6" w:space="0"/>
            </w:tcBorders>
            <w:vAlign w:val="center"/>
          </w:tcPr>
          <w:p>
            <w:pPr>
              <w:adjustRightInd w:val="0"/>
              <w:spacing w:line="360" w:lineRule="exact"/>
              <w:ind w:firstLine="420" w:firstLineChars="200"/>
              <w:rPr>
                <w:szCs w:val="21"/>
              </w:rPr>
            </w:pPr>
            <w:r>
              <w:rPr>
                <w:rFonts w:hAnsi="宋体"/>
                <w:szCs w:val="21"/>
              </w:rPr>
              <w:t>本项目噪声源主要为设备噪声，设备噪声源强约为</w:t>
            </w:r>
            <w:r>
              <w:rPr>
                <w:rFonts w:hint="eastAsia"/>
                <w:szCs w:val="21"/>
              </w:rPr>
              <w:t>7</w:t>
            </w:r>
            <w:r>
              <w:rPr>
                <w:szCs w:val="21"/>
              </w:rPr>
              <w:t>0~90dB(A)</w:t>
            </w:r>
            <w:r>
              <w:rPr>
                <w:rFonts w:hAnsi="宋体"/>
                <w:szCs w:val="21"/>
              </w:rPr>
              <w:t>，经过基础减振、隔声等措施处理后，厂界噪声能够满足《工业企业厂界环境噪声排放标准》（</w:t>
            </w:r>
            <w:r>
              <w:rPr>
                <w:szCs w:val="21"/>
              </w:rPr>
              <w:t>GB12348-2008</w:t>
            </w:r>
            <w:r>
              <w:rPr>
                <w:rFonts w:hAnsi="宋体"/>
                <w:szCs w:val="21"/>
              </w:rPr>
              <w:t>）</w:t>
            </w:r>
            <w:r>
              <w:rPr>
                <w:szCs w:val="21"/>
              </w:rPr>
              <w:t>2</w:t>
            </w:r>
            <w:r>
              <w:rPr>
                <w:rFonts w:hAnsi="宋体"/>
                <w:szCs w:val="21"/>
              </w:rPr>
              <w:t>类标准要求，对周围环境影响较小。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9174" w:type="dxa"/>
            <w:gridSpan w:val="5"/>
            <w:tcBorders>
              <w:top w:val="single" w:color="000000" w:sz="6" w:space="0"/>
              <w:left w:val="single" w:color="000000" w:sz="6" w:space="0"/>
              <w:bottom w:val="single" w:color="auto" w:sz="4" w:space="0"/>
              <w:right w:val="single" w:color="000000" w:sz="6" w:space="0"/>
            </w:tcBorders>
          </w:tcPr>
          <w:p>
            <w:pPr>
              <w:pStyle w:val="5"/>
              <w:adjustRightInd w:val="0"/>
              <w:snapToGrid w:val="0"/>
              <w:spacing w:line="500" w:lineRule="exact"/>
              <w:ind w:firstLine="0"/>
              <w:textAlignment w:val="baseline"/>
              <w:rPr>
                <w:b/>
                <w:kern w:val="2"/>
                <w:sz w:val="21"/>
                <w:szCs w:val="21"/>
              </w:rPr>
            </w:pPr>
            <w:r>
              <w:rPr>
                <w:rFonts w:hAnsi="宋体"/>
                <w:b/>
                <w:kern w:val="2"/>
                <w:sz w:val="21"/>
                <w:szCs w:val="21"/>
              </w:rPr>
              <w:t>主要生态影响：</w:t>
            </w:r>
          </w:p>
          <w:p>
            <w:pPr>
              <w:pStyle w:val="5"/>
              <w:adjustRightInd w:val="0"/>
              <w:snapToGrid w:val="0"/>
              <w:spacing w:line="500" w:lineRule="exact"/>
              <w:ind w:firstLineChars="200"/>
              <w:textAlignment w:val="baseline"/>
              <w:rPr>
                <w:kern w:val="2"/>
                <w:sz w:val="21"/>
                <w:szCs w:val="21"/>
              </w:rPr>
            </w:pPr>
            <w:r>
              <w:rPr>
                <w:rFonts w:hAnsi="宋体"/>
                <w:kern w:val="2"/>
                <w:sz w:val="21"/>
                <w:szCs w:val="21"/>
              </w:rPr>
              <w:t>本项目位于</w:t>
            </w:r>
            <w:r>
              <w:rPr>
                <w:rFonts w:hint="eastAsia" w:hAnsi="宋体"/>
                <w:kern w:val="2"/>
                <w:sz w:val="21"/>
                <w:szCs w:val="21"/>
              </w:rPr>
              <w:t>新乡市新乡县朗公庙镇曲水村北</w:t>
            </w:r>
            <w:r>
              <w:rPr>
                <w:rFonts w:hAnsi="宋体"/>
                <w:kern w:val="2"/>
                <w:sz w:val="21"/>
                <w:szCs w:val="21"/>
              </w:rPr>
              <w:t>，</w:t>
            </w:r>
            <w:r>
              <w:rPr>
                <w:rFonts w:hint="eastAsia" w:hAnsi="宋体"/>
                <w:kern w:val="2"/>
                <w:sz w:val="21"/>
                <w:szCs w:val="21"/>
              </w:rPr>
              <w:t>在现有厂房内进行扩建，</w:t>
            </w:r>
            <w:r>
              <w:rPr>
                <w:rFonts w:hAnsi="宋体"/>
                <w:kern w:val="2"/>
                <w:sz w:val="21"/>
                <w:szCs w:val="21"/>
              </w:rPr>
              <w:t>厂址周围为人工生态环境，无敏感生态物种，故本项目实施后对周围生态环境影响较小。</w:t>
            </w:r>
          </w:p>
          <w:p>
            <w:pPr>
              <w:rPr>
                <w:szCs w:val="21"/>
              </w:rPr>
            </w:pPr>
          </w:p>
          <w:p>
            <w:pPr>
              <w:pStyle w:val="2"/>
              <w:rPr>
                <w:sz w:val="21"/>
                <w:szCs w:val="21"/>
              </w:rPr>
            </w:pPr>
          </w:p>
          <w:p>
            <w:pPr>
              <w:rPr>
                <w:szCs w:val="21"/>
              </w:rPr>
            </w:pPr>
          </w:p>
          <w:p>
            <w:pPr>
              <w:pStyle w:val="2"/>
              <w:rPr>
                <w:sz w:val="21"/>
                <w:szCs w:val="21"/>
              </w:rPr>
            </w:pPr>
          </w:p>
          <w:p>
            <w:pPr>
              <w:rPr>
                <w:szCs w:val="21"/>
              </w:rPr>
            </w:pPr>
          </w:p>
          <w:p>
            <w:pPr>
              <w:pStyle w:val="2"/>
              <w:rPr>
                <w:sz w:val="21"/>
                <w:szCs w:val="21"/>
              </w:rPr>
            </w:pPr>
          </w:p>
          <w:p>
            <w:pPr>
              <w:pStyle w:val="2"/>
              <w:rPr>
                <w:sz w:val="21"/>
                <w:szCs w:val="21"/>
              </w:rPr>
            </w:pPr>
          </w:p>
        </w:tc>
      </w:tr>
    </w:tbl>
    <w:p>
      <w:pPr>
        <w:snapToGrid w:val="0"/>
        <w:rPr>
          <w:rFonts w:eastAsia="黑体"/>
          <w:sz w:val="32"/>
        </w:rPr>
        <w:sectPr>
          <w:pgSz w:w="11907" w:h="16840"/>
          <w:pgMar w:top="1440" w:right="1134" w:bottom="1134" w:left="1440" w:header="851" w:footer="567" w:gutter="0"/>
          <w:cols w:space="720" w:num="1"/>
          <w:docGrid w:type="lines" w:linePitch="312" w:charSpace="0"/>
        </w:sectPr>
      </w:pPr>
    </w:p>
    <w:p>
      <w:pPr>
        <w:snapToGrid w:val="0"/>
        <w:rPr>
          <w:rFonts w:eastAsia="黑体"/>
          <w:sz w:val="32"/>
        </w:rPr>
      </w:pPr>
      <w:r>
        <w:rPr>
          <w:rFonts w:hint="eastAsia" w:eastAsia="黑体"/>
          <w:sz w:val="32"/>
        </w:rPr>
        <w:t>环</w:t>
      </w:r>
      <w:r>
        <w:rPr>
          <w:rFonts w:eastAsia="黑体"/>
          <w:sz w:val="32"/>
        </w:rPr>
        <w:t>境影响分析</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3" w:hRule="atLeast"/>
          <w:jc w:val="center"/>
        </w:trPr>
        <w:tc>
          <w:tcPr>
            <w:tcW w:w="5000" w:type="pct"/>
          </w:tcPr>
          <w:p>
            <w:pPr>
              <w:pStyle w:val="87"/>
              <w:rPr>
                <w:rFonts w:hAnsi="宋体"/>
                <w:snapToGrid w:val="0"/>
              </w:rPr>
            </w:pPr>
            <w:r>
              <w:rPr>
                <w:rFonts w:hint="eastAsia" w:hAnsi="宋体"/>
                <w:snapToGrid w:val="0"/>
              </w:rPr>
              <w:t>经现场勘查，本项目在现有厂房内进行扩建，项目建设期仅为设备进厂安装，环境影响较小。因此，本次环评不再分析施工期对周围环境的影响。</w:t>
            </w:r>
          </w:p>
          <w:p>
            <w:pPr>
              <w:adjustRightInd w:val="0"/>
              <w:snapToGrid w:val="0"/>
              <w:spacing w:line="500" w:lineRule="exact"/>
              <w:rPr>
                <w:b/>
                <w:sz w:val="24"/>
              </w:rPr>
            </w:pPr>
            <w:r>
              <w:rPr>
                <w:rFonts w:hint="eastAsia" w:hAnsi="宋体"/>
                <w:b/>
                <w:sz w:val="24"/>
              </w:rPr>
              <w:t>一.</w:t>
            </w:r>
            <w:r>
              <w:rPr>
                <w:rFonts w:hAnsi="宋体"/>
                <w:b/>
                <w:sz w:val="24"/>
              </w:rPr>
              <w:t>营运期环境影响分析</w:t>
            </w:r>
          </w:p>
          <w:p>
            <w:pPr>
              <w:adjustRightInd w:val="0"/>
              <w:snapToGrid w:val="0"/>
              <w:spacing w:line="500" w:lineRule="exact"/>
              <w:rPr>
                <w:rFonts w:hAnsi="宋体"/>
                <w:bCs/>
                <w:sz w:val="24"/>
              </w:rPr>
            </w:pPr>
            <w:r>
              <w:rPr>
                <w:rFonts w:hint="eastAsia"/>
                <w:b/>
                <w:bCs/>
                <w:sz w:val="24"/>
              </w:rPr>
              <w:t>1.大气环境影响分析</w:t>
            </w:r>
          </w:p>
          <w:p>
            <w:pPr>
              <w:pStyle w:val="2"/>
              <w:adjustRightInd w:val="0"/>
              <w:snapToGrid w:val="0"/>
              <w:spacing w:line="500" w:lineRule="exact"/>
              <w:ind w:firstLine="480" w:firstLineChars="200"/>
              <w:jc w:val="left"/>
              <w:rPr>
                <w:rFonts w:hAnsi="宋体"/>
                <w:b w:val="0"/>
                <w:u w:val="single"/>
              </w:rPr>
            </w:pPr>
            <w:r>
              <w:rPr>
                <w:rFonts w:hint="eastAsia" w:hAnsi="宋体"/>
                <w:b w:val="0"/>
                <w:u w:val="single"/>
              </w:rPr>
              <w:t>本项目产生的废气主要为切割工序产生的切割粉尘和焊接工序产生的焊接烟尘。</w:t>
            </w:r>
          </w:p>
          <w:p>
            <w:pPr>
              <w:pStyle w:val="2"/>
              <w:adjustRightInd w:val="0"/>
              <w:snapToGrid w:val="0"/>
              <w:spacing w:line="500" w:lineRule="exact"/>
              <w:ind w:firstLine="480" w:firstLineChars="200"/>
              <w:jc w:val="left"/>
              <w:rPr>
                <w:rFonts w:hAnsi="宋体"/>
                <w:b w:val="0"/>
                <w:u w:val="single"/>
              </w:rPr>
            </w:pPr>
            <w:r>
              <w:rPr>
                <w:rFonts w:hint="eastAsia" w:hAnsi="宋体"/>
                <w:b w:val="0"/>
                <w:u w:val="single"/>
              </w:rPr>
              <w:t>（1）废气分析</w:t>
            </w:r>
          </w:p>
          <w:p>
            <w:pPr>
              <w:pStyle w:val="2"/>
              <w:tabs>
                <w:tab w:val="left" w:pos="5622"/>
              </w:tabs>
              <w:adjustRightInd w:val="0"/>
              <w:snapToGrid w:val="0"/>
              <w:spacing w:line="500" w:lineRule="exact"/>
              <w:ind w:firstLine="480" w:firstLineChars="200"/>
              <w:jc w:val="left"/>
              <w:rPr>
                <w:rFonts w:hAnsi="宋体"/>
                <w:b w:val="0"/>
                <w:u w:val="single"/>
              </w:rPr>
            </w:pPr>
            <w:r>
              <w:rPr>
                <w:rFonts w:hint="eastAsia" w:hAnsi="宋体"/>
                <w:b w:val="0"/>
                <w:u w:val="single"/>
              </w:rPr>
              <w:t>项目在切割过程中会产生粉尘，设置固定的切割区域，切割机的切割平台下方设置集气装置，切割粉尘收集后通入一套袋式除尘器处理，处理达标后经1根15m高排气筒排放。焊接烟尘，体积较小的设置固定焊接区域，该部分焊接烟尘设置集气罩收集，收集后与切割粉尘经同1套袋式除尘器处理达标后经1根15m高排气筒排放；大体积工件焊接产生的焊接烟尘设置移动式焊接烟尘净化器进行处理，共设置3台移动式焊接烟尘净化器，处理后在车间排放。</w:t>
            </w:r>
          </w:p>
          <w:p>
            <w:pPr>
              <w:pStyle w:val="2"/>
              <w:tabs>
                <w:tab w:val="left" w:pos="5622"/>
              </w:tabs>
              <w:adjustRightInd w:val="0"/>
              <w:snapToGrid w:val="0"/>
              <w:spacing w:line="500" w:lineRule="exact"/>
              <w:ind w:firstLine="480" w:firstLineChars="200"/>
              <w:jc w:val="left"/>
              <w:rPr>
                <w:rFonts w:hAnsi="宋体"/>
                <w:b w:val="0"/>
              </w:rPr>
            </w:pPr>
            <w:r>
              <w:rPr>
                <w:rFonts w:hint="eastAsia" w:hAnsi="宋体"/>
                <w:b w:val="0"/>
              </w:rPr>
              <w:t>由工程分析可知，表25内容，各工序同时运行时废气有组织产生量为0.0356t/a，产生速率为0.052kg/h，产生浓度为52mg/m</w:t>
            </w:r>
            <w:r>
              <w:rPr>
                <w:rFonts w:hint="eastAsia" w:hAnsi="宋体"/>
                <w:b w:val="0"/>
                <w:vertAlign w:val="superscript"/>
              </w:rPr>
              <w:t>3</w:t>
            </w:r>
            <w:r>
              <w:rPr>
                <w:rFonts w:hint="eastAsia" w:hAnsi="宋体"/>
                <w:b w:val="0"/>
              </w:rPr>
              <w:t>，排放量为0.0004t/a，排放速率为0.0005kg/h，排放浓度为5.2mg/m</w:t>
            </w:r>
            <w:r>
              <w:rPr>
                <w:rFonts w:hint="eastAsia" w:hAnsi="宋体"/>
                <w:b w:val="0"/>
                <w:vertAlign w:val="superscript"/>
              </w:rPr>
              <w:t>3</w:t>
            </w:r>
            <w:r>
              <w:rPr>
                <w:rFonts w:hint="eastAsia" w:hAnsi="宋体"/>
                <w:b w:val="0"/>
              </w:rPr>
              <w:t>；无组织产生量为0.0104t/a，排放量为0.0052t/a。</w:t>
            </w:r>
          </w:p>
          <w:p>
            <w:pPr>
              <w:pStyle w:val="2"/>
              <w:tabs>
                <w:tab w:val="left" w:pos="5622"/>
              </w:tabs>
              <w:adjustRightInd w:val="0"/>
              <w:snapToGrid w:val="0"/>
              <w:spacing w:line="500" w:lineRule="exact"/>
              <w:ind w:firstLine="480" w:firstLineChars="200"/>
              <w:jc w:val="left"/>
              <w:rPr>
                <w:rFonts w:hAnsi="宋体"/>
                <w:b w:val="0"/>
              </w:rPr>
            </w:pPr>
            <w:r>
              <w:rPr>
                <w:rFonts w:hint="eastAsia" w:hAnsi="宋体"/>
                <w:b w:val="0"/>
              </w:rPr>
              <w:t>项目废气能够满足《大气污染物综合排放标准》（GB16297-1996）中二级标准（最高允许排放浓度：120mg/m</w:t>
            </w:r>
            <w:r>
              <w:rPr>
                <w:rFonts w:hint="eastAsia" w:hAnsi="宋体"/>
                <w:b w:val="0"/>
                <w:vertAlign w:val="superscript"/>
              </w:rPr>
              <w:t>3</w:t>
            </w:r>
            <w:r>
              <w:rPr>
                <w:rFonts w:hint="eastAsia" w:hAnsi="宋体"/>
                <w:b w:val="0"/>
              </w:rPr>
              <w:t>，15m高排气筒最高允许排放速率3.5kg/h；周界外浓度最高点：1.0mg/m</w:t>
            </w:r>
            <w:r>
              <w:rPr>
                <w:rFonts w:hint="eastAsia" w:hAnsi="宋体"/>
                <w:b w:val="0"/>
                <w:vertAlign w:val="superscript"/>
              </w:rPr>
              <w:t>3</w:t>
            </w:r>
            <w:r>
              <w:rPr>
                <w:rFonts w:hint="eastAsia" w:hAnsi="宋体"/>
                <w:b w:val="0"/>
              </w:rPr>
              <w:t>），同时也能满足《新乡市生态环境局关于进一步规范工业企业颗粒物排放限值的通知》（2020年7月31日）中其他所有涉气工业企业排放口颗粒物排放浓度不高于10mg/m</w:t>
            </w:r>
            <w:r>
              <w:rPr>
                <w:rFonts w:hint="eastAsia" w:hAnsi="宋体"/>
                <w:b w:val="0"/>
                <w:vertAlign w:val="superscript"/>
              </w:rPr>
              <w:t>3</w:t>
            </w:r>
            <w:r>
              <w:rPr>
                <w:rFonts w:hint="eastAsia" w:hAnsi="宋体"/>
                <w:b w:val="0"/>
              </w:rPr>
              <w:t>，厂界颗粒物排放浓度不高于0.5 mg/m</w:t>
            </w:r>
            <w:r>
              <w:rPr>
                <w:rFonts w:hint="eastAsia" w:hAnsi="宋体"/>
                <w:b w:val="0"/>
                <w:vertAlign w:val="superscript"/>
              </w:rPr>
              <w:t>3</w:t>
            </w:r>
            <w:r>
              <w:rPr>
                <w:rFonts w:hint="eastAsia" w:hAnsi="宋体"/>
                <w:b w:val="0"/>
              </w:rPr>
              <w:t>。故对周围环境影响较小。</w:t>
            </w:r>
          </w:p>
          <w:p>
            <w:pPr>
              <w:pStyle w:val="2"/>
              <w:tabs>
                <w:tab w:val="left" w:pos="5622"/>
              </w:tabs>
              <w:adjustRightInd w:val="0"/>
              <w:snapToGrid w:val="0"/>
              <w:spacing w:line="500" w:lineRule="exact"/>
              <w:ind w:firstLine="480" w:firstLineChars="200"/>
              <w:jc w:val="left"/>
              <w:rPr>
                <w:rFonts w:hAnsi="宋体"/>
                <w:b w:val="0"/>
              </w:rPr>
            </w:pPr>
            <w:r>
              <w:rPr>
                <w:rFonts w:hint="eastAsia" w:hAnsi="宋体"/>
                <w:b w:val="0"/>
              </w:rPr>
              <w:t>（2）环境空气影响预测及评价</w:t>
            </w:r>
            <w:r>
              <w:rPr>
                <w:rFonts w:hAnsi="宋体"/>
                <w:b w:val="0"/>
              </w:rPr>
              <w:tab/>
            </w:r>
          </w:p>
          <w:p>
            <w:pPr>
              <w:adjustRightInd w:val="0"/>
              <w:spacing w:line="500" w:lineRule="exact"/>
              <w:ind w:firstLine="480" w:firstLineChars="200"/>
              <w:rPr>
                <w:color w:val="000000"/>
                <w:sz w:val="24"/>
              </w:rPr>
            </w:pPr>
            <w:r>
              <w:rPr>
                <w:color w:val="000000"/>
                <w:sz w:val="24"/>
              </w:rPr>
              <w:fldChar w:fldCharType="begin"/>
            </w:r>
            <w:r>
              <w:rPr>
                <w:color w:val="000000"/>
                <w:sz w:val="24"/>
              </w:rPr>
              <w:instrText xml:space="preserve"> </w:instrText>
            </w:r>
            <w:r>
              <w:rPr>
                <w:rFonts w:hint="eastAsia"/>
                <w:color w:val="000000"/>
                <w:sz w:val="24"/>
              </w:rPr>
              <w:instrText xml:space="preserve">= 1 \* GB3</w:instrText>
            </w:r>
            <w:r>
              <w:rPr>
                <w:color w:val="000000"/>
                <w:sz w:val="24"/>
              </w:rPr>
              <w:instrText xml:space="preserve"> </w:instrText>
            </w:r>
            <w:r>
              <w:rPr>
                <w:color w:val="000000"/>
                <w:sz w:val="24"/>
              </w:rPr>
              <w:fldChar w:fldCharType="separate"/>
            </w:r>
            <w:r>
              <w:rPr>
                <w:rFonts w:hint="eastAsia"/>
                <w:color w:val="000000"/>
                <w:sz w:val="24"/>
              </w:rPr>
              <w:t>①</w:t>
            </w:r>
            <w:r>
              <w:rPr>
                <w:color w:val="000000"/>
                <w:sz w:val="24"/>
              </w:rPr>
              <w:fldChar w:fldCharType="end"/>
            </w:r>
            <w:r>
              <w:rPr>
                <w:color w:val="000000"/>
                <w:sz w:val="24"/>
              </w:rPr>
              <w:t>预测因子和评价标准</w:t>
            </w:r>
          </w:p>
          <w:p>
            <w:pPr>
              <w:adjustRightInd w:val="0"/>
              <w:snapToGrid w:val="0"/>
              <w:spacing w:line="500" w:lineRule="exact"/>
              <w:ind w:firstLine="480" w:firstLineChars="200"/>
              <w:rPr>
                <w:snapToGrid w:val="0"/>
                <w:color w:val="000000"/>
                <w:kern w:val="0"/>
                <w:sz w:val="24"/>
              </w:rPr>
            </w:pPr>
            <w:r>
              <w:rPr>
                <w:snapToGrid w:val="0"/>
                <w:color w:val="000000"/>
                <w:kern w:val="0"/>
                <w:sz w:val="24"/>
              </w:rPr>
              <w:t>本次评价使用《环境影响评价技术导则大气环境》（HJ2.2-2018）中推荐的估算模型AERSCREEN，判定运营期大气环境影响评价等级。</w:t>
            </w:r>
          </w:p>
          <w:p>
            <w:pPr>
              <w:adjustRightInd w:val="0"/>
              <w:snapToGrid w:val="0"/>
              <w:spacing w:line="500" w:lineRule="exact"/>
              <w:ind w:firstLine="480" w:firstLineChars="200"/>
              <w:rPr>
                <w:snapToGrid w:val="0"/>
                <w:color w:val="000000"/>
                <w:kern w:val="0"/>
                <w:sz w:val="24"/>
              </w:rPr>
            </w:pPr>
            <w:r>
              <w:rPr>
                <w:snapToGrid w:val="0"/>
                <w:color w:val="000000"/>
                <w:kern w:val="0"/>
                <w:sz w:val="24"/>
              </w:rPr>
              <w:t>根据工程分析，本项目涉及排放的废气主要有：</w:t>
            </w:r>
            <w:r>
              <w:rPr>
                <w:bCs/>
                <w:color w:val="000000"/>
                <w:sz w:val="24"/>
              </w:rPr>
              <w:t>颗粒物</w:t>
            </w:r>
            <w:r>
              <w:rPr>
                <w:snapToGrid w:val="0"/>
                <w:color w:val="000000"/>
                <w:kern w:val="0"/>
                <w:sz w:val="24"/>
              </w:rPr>
              <w:t>。评价因子和评价标准见下表</w:t>
            </w:r>
            <w:r>
              <w:rPr>
                <w:rFonts w:hint="eastAsia"/>
                <w:snapToGrid w:val="0"/>
                <w:color w:val="000000"/>
                <w:kern w:val="0"/>
                <w:sz w:val="24"/>
              </w:rPr>
              <w:t>33</w:t>
            </w:r>
            <w:r>
              <w:rPr>
                <w:snapToGrid w:val="0"/>
                <w:color w:val="000000"/>
                <w:kern w:val="0"/>
                <w:sz w:val="24"/>
              </w:rPr>
              <w:t>。</w:t>
            </w:r>
          </w:p>
          <w:p>
            <w:pPr>
              <w:adjustRightInd w:val="0"/>
              <w:snapToGrid w:val="0"/>
              <w:spacing w:line="440" w:lineRule="exact"/>
              <w:ind w:firstLine="482" w:firstLineChars="200"/>
              <w:rPr>
                <w:b/>
                <w:bCs/>
                <w:color w:val="000000"/>
                <w:sz w:val="24"/>
              </w:rPr>
            </w:pPr>
            <w:r>
              <w:rPr>
                <w:b/>
                <w:bCs/>
                <w:color w:val="000000"/>
                <w:sz w:val="24"/>
              </w:rPr>
              <w:t>表</w:t>
            </w:r>
            <w:r>
              <w:rPr>
                <w:rFonts w:hint="eastAsia"/>
                <w:b/>
                <w:bCs/>
                <w:color w:val="000000"/>
                <w:sz w:val="24"/>
              </w:rPr>
              <w:t>33</w:t>
            </w:r>
            <w:r>
              <w:rPr>
                <w:b/>
                <w:bCs/>
                <w:color w:val="000000"/>
                <w:sz w:val="24"/>
              </w:rPr>
              <w:t xml:space="preserve">               评价因子和评价标准表</w:t>
            </w:r>
          </w:p>
          <w:tbl>
            <w:tblPr>
              <w:tblStyle w:val="27"/>
              <w:tblW w:w="5000"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967"/>
              <w:gridCol w:w="1045"/>
              <w:gridCol w:w="1708"/>
              <w:gridCol w:w="5613"/>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518" w:type="pct"/>
                  <w:tcBorders>
                    <w:bottom w:val="single" w:color="000000" w:sz="8" w:space="0"/>
                  </w:tcBorders>
                  <w:vAlign w:val="center"/>
                </w:tcPr>
                <w:p>
                  <w:pPr>
                    <w:pStyle w:val="61"/>
                    <w:kinsoku w:val="0"/>
                    <w:overflowPunct w:val="0"/>
                    <w:snapToGrid w:val="0"/>
                    <w:jc w:val="center"/>
                    <w:rPr>
                      <w:rFonts w:ascii="Times New Roman" w:hAnsi="Times New Roman"/>
                      <w:b/>
                      <w:color w:val="000000"/>
                      <w:kern w:val="2"/>
                      <w:sz w:val="21"/>
                      <w:szCs w:val="21"/>
                    </w:rPr>
                  </w:pPr>
                  <w:r>
                    <w:rPr>
                      <w:rFonts w:ascii="Times New Roman" w:hAnsi="宋体"/>
                      <w:b/>
                      <w:color w:val="000000"/>
                      <w:kern w:val="2"/>
                      <w:sz w:val="21"/>
                      <w:szCs w:val="21"/>
                    </w:rPr>
                    <w:t>评价因子</w:t>
                  </w:r>
                </w:p>
              </w:tc>
              <w:tc>
                <w:tcPr>
                  <w:tcW w:w="560" w:type="pct"/>
                  <w:tcBorders>
                    <w:bottom w:val="single" w:color="000000" w:sz="8" w:space="0"/>
                  </w:tcBorders>
                  <w:vAlign w:val="center"/>
                </w:tcPr>
                <w:p>
                  <w:pPr>
                    <w:pStyle w:val="61"/>
                    <w:kinsoku w:val="0"/>
                    <w:overflowPunct w:val="0"/>
                    <w:snapToGrid w:val="0"/>
                    <w:jc w:val="center"/>
                    <w:rPr>
                      <w:rFonts w:ascii="Times New Roman" w:hAnsi="Times New Roman"/>
                      <w:b/>
                      <w:color w:val="000000"/>
                      <w:kern w:val="2"/>
                      <w:sz w:val="21"/>
                      <w:szCs w:val="21"/>
                    </w:rPr>
                  </w:pPr>
                  <w:r>
                    <w:rPr>
                      <w:rFonts w:ascii="Times New Roman" w:hAnsi="宋体"/>
                      <w:b/>
                      <w:color w:val="000000"/>
                      <w:kern w:val="2"/>
                      <w:sz w:val="21"/>
                      <w:szCs w:val="21"/>
                    </w:rPr>
                    <w:t>平均时段</w:t>
                  </w:r>
                </w:p>
              </w:tc>
              <w:tc>
                <w:tcPr>
                  <w:tcW w:w="915" w:type="pct"/>
                  <w:tcBorders>
                    <w:bottom w:val="single" w:color="000000" w:sz="8" w:space="0"/>
                  </w:tcBorders>
                  <w:vAlign w:val="center"/>
                </w:tcPr>
                <w:p>
                  <w:pPr>
                    <w:pStyle w:val="61"/>
                    <w:kinsoku w:val="0"/>
                    <w:overflowPunct w:val="0"/>
                    <w:snapToGrid w:val="0"/>
                    <w:jc w:val="center"/>
                    <w:rPr>
                      <w:rFonts w:ascii="Times New Roman" w:hAnsi="Times New Roman"/>
                      <w:b/>
                      <w:color w:val="000000"/>
                      <w:kern w:val="2"/>
                      <w:sz w:val="21"/>
                      <w:szCs w:val="21"/>
                    </w:rPr>
                  </w:pPr>
                  <w:r>
                    <w:rPr>
                      <w:rFonts w:ascii="Times New Roman" w:hAnsi="宋体"/>
                      <w:b/>
                      <w:color w:val="000000"/>
                      <w:kern w:val="2"/>
                      <w:sz w:val="21"/>
                      <w:szCs w:val="21"/>
                    </w:rPr>
                    <w:t>标准值（</w:t>
                  </w:r>
                  <w:r>
                    <w:rPr>
                      <w:rFonts w:ascii="Times New Roman" w:hAnsi="Times New Roman"/>
                      <w:b/>
                      <w:color w:val="000000"/>
                      <w:kern w:val="2"/>
                      <w:sz w:val="21"/>
                      <w:szCs w:val="21"/>
                    </w:rPr>
                    <w:t>μg/m</w:t>
                  </w:r>
                  <w:r>
                    <w:rPr>
                      <w:rFonts w:ascii="Times New Roman" w:hAnsi="Times New Roman"/>
                      <w:b/>
                      <w:color w:val="000000"/>
                      <w:kern w:val="2"/>
                      <w:sz w:val="21"/>
                      <w:szCs w:val="21"/>
                      <w:vertAlign w:val="superscript"/>
                    </w:rPr>
                    <w:t>3</w:t>
                  </w:r>
                  <w:r>
                    <w:rPr>
                      <w:rFonts w:ascii="Times New Roman" w:hAnsi="宋体"/>
                      <w:b/>
                      <w:color w:val="000000"/>
                      <w:kern w:val="2"/>
                      <w:sz w:val="21"/>
                      <w:szCs w:val="21"/>
                    </w:rPr>
                    <w:t>）</w:t>
                  </w:r>
                </w:p>
              </w:tc>
              <w:tc>
                <w:tcPr>
                  <w:tcW w:w="3007" w:type="pct"/>
                  <w:tcBorders>
                    <w:bottom w:val="single" w:color="000000" w:sz="8" w:space="0"/>
                  </w:tcBorders>
                  <w:vAlign w:val="center"/>
                </w:tcPr>
                <w:p>
                  <w:pPr>
                    <w:pStyle w:val="61"/>
                    <w:kinsoku w:val="0"/>
                    <w:overflowPunct w:val="0"/>
                    <w:snapToGrid w:val="0"/>
                    <w:jc w:val="center"/>
                    <w:rPr>
                      <w:rFonts w:ascii="Times New Roman" w:hAnsi="Times New Roman"/>
                      <w:b/>
                      <w:color w:val="000000"/>
                      <w:kern w:val="2"/>
                      <w:sz w:val="21"/>
                      <w:szCs w:val="21"/>
                    </w:rPr>
                  </w:pPr>
                  <w:r>
                    <w:rPr>
                      <w:rFonts w:ascii="Times New Roman" w:hAnsi="宋体"/>
                      <w:b/>
                      <w:color w:val="000000"/>
                      <w:kern w:val="2"/>
                      <w:sz w:val="21"/>
                      <w:szCs w:val="21"/>
                    </w:rPr>
                    <w:t>标准来源</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8" w:type="pct"/>
                  <w:tcBorders>
                    <w:top w:val="single" w:color="000000" w:sz="8" w:space="0"/>
                    <w:bottom w:val="single" w:color="000000" w:sz="8" w:space="0"/>
                  </w:tcBorders>
                  <w:vAlign w:val="center"/>
                </w:tcPr>
                <w:p>
                  <w:pPr>
                    <w:jc w:val="center"/>
                    <w:textAlignment w:val="baseline"/>
                    <w:rPr>
                      <w:color w:val="000000"/>
                      <w:szCs w:val="21"/>
                    </w:rPr>
                  </w:pPr>
                  <w:r>
                    <w:rPr>
                      <w:rFonts w:hint="eastAsia"/>
                      <w:color w:val="000000"/>
                      <w:szCs w:val="21"/>
                    </w:rPr>
                    <w:t>颗粒物（PM10）</w:t>
                  </w:r>
                </w:p>
              </w:tc>
              <w:tc>
                <w:tcPr>
                  <w:tcW w:w="560" w:type="pct"/>
                  <w:tcBorders>
                    <w:top w:val="single" w:color="000000" w:sz="8" w:space="0"/>
                    <w:bottom w:val="single" w:color="000000" w:sz="8" w:space="0"/>
                  </w:tcBorders>
                  <w:vAlign w:val="center"/>
                </w:tcPr>
                <w:p>
                  <w:pPr>
                    <w:jc w:val="center"/>
                    <w:textAlignment w:val="baseline"/>
                    <w:rPr>
                      <w:color w:val="000000"/>
                      <w:szCs w:val="21"/>
                    </w:rPr>
                  </w:pPr>
                  <w:r>
                    <w:rPr>
                      <w:szCs w:val="21"/>
                    </w:rPr>
                    <w:t>1 h</w:t>
                  </w:r>
                </w:p>
              </w:tc>
              <w:tc>
                <w:tcPr>
                  <w:tcW w:w="915" w:type="pct"/>
                  <w:tcBorders>
                    <w:top w:val="single" w:color="000000" w:sz="8" w:space="0"/>
                    <w:bottom w:val="single" w:color="000000" w:sz="8" w:space="0"/>
                  </w:tcBorders>
                  <w:vAlign w:val="center"/>
                </w:tcPr>
                <w:p>
                  <w:pPr>
                    <w:jc w:val="center"/>
                    <w:textAlignment w:val="baseline"/>
                    <w:rPr>
                      <w:color w:val="000000"/>
                      <w:szCs w:val="21"/>
                    </w:rPr>
                  </w:pPr>
                  <w:r>
                    <w:rPr>
                      <w:rFonts w:hint="eastAsia"/>
                      <w:szCs w:val="21"/>
                    </w:rPr>
                    <w:t>45</w:t>
                  </w:r>
                  <w:r>
                    <w:rPr>
                      <w:szCs w:val="21"/>
                    </w:rPr>
                    <w:t>0</w:t>
                  </w:r>
                  <w:r>
                    <w:rPr>
                      <w:color w:val="000000"/>
                      <w:szCs w:val="21"/>
                    </w:rPr>
                    <w:t>μg/m</w:t>
                  </w:r>
                  <w:r>
                    <w:rPr>
                      <w:color w:val="000000"/>
                      <w:szCs w:val="21"/>
                      <w:vertAlign w:val="superscript"/>
                    </w:rPr>
                    <w:t>3</w:t>
                  </w:r>
                </w:p>
              </w:tc>
              <w:tc>
                <w:tcPr>
                  <w:tcW w:w="3007" w:type="pct"/>
                  <w:vMerge w:val="restart"/>
                  <w:tcBorders>
                    <w:top w:val="single" w:color="000000" w:sz="8" w:space="0"/>
                  </w:tcBorders>
                  <w:vAlign w:val="center"/>
                </w:tcPr>
                <w:p>
                  <w:pPr>
                    <w:pStyle w:val="61"/>
                    <w:kinsoku w:val="0"/>
                    <w:overflowPunct w:val="0"/>
                    <w:snapToGrid w:val="0"/>
                    <w:jc w:val="center"/>
                    <w:rPr>
                      <w:rFonts w:ascii="Times New Roman" w:hAnsi="Times New Roman"/>
                      <w:color w:val="000000"/>
                      <w:sz w:val="21"/>
                      <w:szCs w:val="21"/>
                      <w:lang w:eastAsia="zh-CN"/>
                    </w:rPr>
                  </w:pPr>
                  <w:r>
                    <w:rPr>
                      <w:rFonts w:hint="eastAsia" w:ascii="Times New Roman" w:hAnsi="宋体"/>
                      <w:color w:val="000000"/>
                      <w:sz w:val="21"/>
                      <w:szCs w:val="21"/>
                      <w:lang w:eastAsia="zh-CN"/>
                    </w:rPr>
                    <w:t>《环境空气质量标准》（GB3095-2012）日均值3倍计</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8" w:type="pct"/>
                  <w:tcBorders>
                    <w:top w:val="single" w:color="000000" w:sz="8" w:space="0"/>
                  </w:tcBorders>
                  <w:vAlign w:val="center"/>
                </w:tcPr>
                <w:p>
                  <w:pPr>
                    <w:jc w:val="center"/>
                    <w:textAlignment w:val="baseline"/>
                    <w:rPr>
                      <w:color w:val="000000"/>
                      <w:szCs w:val="21"/>
                    </w:rPr>
                  </w:pPr>
                  <w:r>
                    <w:rPr>
                      <w:rFonts w:hint="eastAsia"/>
                      <w:color w:val="000000"/>
                      <w:szCs w:val="21"/>
                    </w:rPr>
                    <w:t>颗粒物（TSP）</w:t>
                  </w:r>
                </w:p>
              </w:tc>
              <w:tc>
                <w:tcPr>
                  <w:tcW w:w="560" w:type="pct"/>
                  <w:tcBorders>
                    <w:top w:val="single" w:color="000000" w:sz="8" w:space="0"/>
                  </w:tcBorders>
                  <w:vAlign w:val="center"/>
                </w:tcPr>
                <w:p>
                  <w:pPr>
                    <w:jc w:val="center"/>
                    <w:textAlignment w:val="baseline"/>
                    <w:rPr>
                      <w:szCs w:val="21"/>
                    </w:rPr>
                  </w:pPr>
                  <w:r>
                    <w:rPr>
                      <w:rFonts w:hint="eastAsia"/>
                      <w:szCs w:val="21"/>
                    </w:rPr>
                    <w:t>1h</w:t>
                  </w:r>
                </w:p>
              </w:tc>
              <w:tc>
                <w:tcPr>
                  <w:tcW w:w="915" w:type="pct"/>
                  <w:tcBorders>
                    <w:top w:val="single" w:color="000000" w:sz="8" w:space="0"/>
                  </w:tcBorders>
                  <w:vAlign w:val="center"/>
                </w:tcPr>
                <w:p>
                  <w:pPr>
                    <w:jc w:val="center"/>
                    <w:textAlignment w:val="baseline"/>
                    <w:rPr>
                      <w:szCs w:val="21"/>
                    </w:rPr>
                  </w:pPr>
                  <w:r>
                    <w:rPr>
                      <w:rFonts w:hint="eastAsia"/>
                      <w:szCs w:val="21"/>
                    </w:rPr>
                    <w:t>900</w:t>
                  </w:r>
                  <w:r>
                    <w:rPr>
                      <w:color w:val="000000"/>
                      <w:szCs w:val="21"/>
                    </w:rPr>
                    <w:t>μg/m</w:t>
                  </w:r>
                  <w:r>
                    <w:rPr>
                      <w:color w:val="000000"/>
                      <w:szCs w:val="21"/>
                      <w:vertAlign w:val="superscript"/>
                    </w:rPr>
                    <w:t>3</w:t>
                  </w:r>
                </w:p>
              </w:tc>
              <w:tc>
                <w:tcPr>
                  <w:tcW w:w="3007" w:type="pct"/>
                  <w:vMerge w:val="continue"/>
                  <w:vAlign w:val="center"/>
                </w:tcPr>
                <w:p>
                  <w:pPr>
                    <w:pStyle w:val="61"/>
                    <w:kinsoku w:val="0"/>
                    <w:overflowPunct w:val="0"/>
                    <w:snapToGrid w:val="0"/>
                    <w:jc w:val="center"/>
                    <w:rPr>
                      <w:rFonts w:ascii="Times New Roman" w:hAnsi="宋体"/>
                      <w:color w:val="000000"/>
                      <w:sz w:val="21"/>
                      <w:szCs w:val="21"/>
                      <w:lang w:eastAsia="zh-CN"/>
                    </w:rPr>
                  </w:pPr>
                </w:p>
              </w:tc>
            </w:tr>
          </w:tbl>
          <w:p>
            <w:pPr>
              <w:adjustRightInd w:val="0"/>
              <w:spacing w:line="500" w:lineRule="exact"/>
              <w:ind w:firstLine="480" w:firstLineChars="200"/>
              <w:rPr>
                <w:color w:val="000000"/>
                <w:sz w:val="24"/>
              </w:rPr>
            </w:pPr>
            <w:r>
              <w:rPr>
                <w:color w:val="000000"/>
                <w:sz w:val="24"/>
              </w:rPr>
              <w:fldChar w:fldCharType="begin"/>
            </w:r>
            <w:r>
              <w:rPr>
                <w:color w:val="000000"/>
                <w:sz w:val="24"/>
              </w:rPr>
              <w:instrText xml:space="preserve"> </w:instrText>
            </w:r>
            <w:r>
              <w:rPr>
                <w:rFonts w:hint="eastAsia"/>
                <w:color w:val="000000"/>
                <w:sz w:val="24"/>
              </w:rPr>
              <w:instrText xml:space="preserve">= 2 \* GB3</w:instrText>
            </w:r>
            <w:r>
              <w:rPr>
                <w:color w:val="000000"/>
                <w:sz w:val="24"/>
              </w:rPr>
              <w:instrText xml:space="preserve"> </w:instrText>
            </w:r>
            <w:r>
              <w:rPr>
                <w:color w:val="000000"/>
                <w:sz w:val="24"/>
              </w:rPr>
              <w:fldChar w:fldCharType="separate"/>
            </w:r>
            <w:r>
              <w:rPr>
                <w:rFonts w:hint="eastAsia"/>
                <w:color w:val="000000"/>
                <w:sz w:val="24"/>
              </w:rPr>
              <w:t>②</w:t>
            </w:r>
            <w:r>
              <w:rPr>
                <w:color w:val="000000"/>
                <w:sz w:val="24"/>
              </w:rPr>
              <w:fldChar w:fldCharType="end"/>
            </w:r>
            <w:r>
              <w:rPr>
                <w:rFonts w:hint="eastAsia"/>
                <w:color w:val="000000"/>
                <w:sz w:val="24"/>
              </w:rPr>
              <w:t>估算模型参数</w:t>
            </w:r>
          </w:p>
          <w:p>
            <w:pPr>
              <w:adjustRightInd w:val="0"/>
              <w:spacing w:line="500" w:lineRule="exact"/>
              <w:ind w:firstLine="480" w:firstLineChars="200"/>
            </w:pPr>
            <w:r>
              <w:rPr>
                <w:rFonts w:hint="eastAsia"/>
                <w:color w:val="000000"/>
                <w:sz w:val="24"/>
              </w:rPr>
              <w:t>本次大气预测根据《环境影响评价技术导则大气环境》HJ2.2-2018中的规定，利用导则推荐的估算模式AERSCREEN计算工程主要污染源污染物的最大落地浓度及其出现距离，估算模型参数见表34</w:t>
            </w:r>
            <w:r>
              <w:rPr>
                <w:rFonts w:hint="eastAsia"/>
              </w:rPr>
              <w:t>。</w:t>
            </w:r>
          </w:p>
          <w:p>
            <w:pPr>
              <w:adjustRightInd w:val="0"/>
              <w:snapToGrid w:val="0"/>
              <w:spacing w:line="440" w:lineRule="exact"/>
              <w:ind w:firstLine="482" w:firstLineChars="200"/>
              <w:rPr>
                <w:b/>
                <w:bCs/>
                <w:color w:val="000000"/>
                <w:sz w:val="24"/>
              </w:rPr>
            </w:pPr>
            <w:r>
              <w:rPr>
                <w:b/>
                <w:bCs/>
                <w:color w:val="000000"/>
                <w:sz w:val="24"/>
              </w:rPr>
              <w:t>表</w:t>
            </w:r>
            <w:r>
              <w:rPr>
                <w:rFonts w:hint="eastAsia"/>
                <w:b/>
                <w:bCs/>
                <w:color w:val="000000"/>
                <w:sz w:val="24"/>
              </w:rPr>
              <w:t>34</w:t>
            </w:r>
            <w:r>
              <w:rPr>
                <w:b/>
                <w:bCs/>
                <w:color w:val="000000"/>
                <w:sz w:val="24"/>
              </w:rPr>
              <w:t xml:space="preserve">                  估算模型参数表</w:t>
            </w:r>
          </w:p>
          <w:tbl>
            <w:tblPr>
              <w:tblStyle w:val="27"/>
              <w:tblW w:w="4999"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3231"/>
              <w:gridCol w:w="3140"/>
              <w:gridCol w:w="2960"/>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413" w:type="pct"/>
                  <w:gridSpan w:val="2"/>
                  <w:tcBorders>
                    <w:bottom w:val="single" w:color="000000" w:sz="8" w:space="0"/>
                  </w:tcBorders>
                  <w:vAlign w:val="center"/>
                </w:tcPr>
                <w:p>
                  <w:pPr>
                    <w:jc w:val="center"/>
                    <w:rPr>
                      <w:color w:val="000000"/>
                      <w:szCs w:val="21"/>
                    </w:rPr>
                  </w:pPr>
                  <w:r>
                    <w:rPr>
                      <w:rFonts w:hAnsi="宋体"/>
                      <w:color w:val="000000"/>
                      <w:szCs w:val="21"/>
                    </w:rPr>
                    <w:t>参数</w:t>
                  </w:r>
                </w:p>
              </w:tc>
              <w:tc>
                <w:tcPr>
                  <w:tcW w:w="1586" w:type="pct"/>
                  <w:tcBorders>
                    <w:bottom w:val="single" w:color="000000" w:sz="8" w:space="0"/>
                  </w:tcBorders>
                  <w:vAlign w:val="center"/>
                </w:tcPr>
                <w:p>
                  <w:pPr>
                    <w:jc w:val="center"/>
                    <w:rPr>
                      <w:color w:val="000000"/>
                      <w:szCs w:val="21"/>
                    </w:rPr>
                  </w:pPr>
                  <w:r>
                    <w:rPr>
                      <w:rFonts w:hAnsi="宋体"/>
                      <w:color w:val="000000"/>
                      <w:szCs w:val="21"/>
                    </w:rPr>
                    <w:t>取值</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731" w:type="pct"/>
                  <w:vMerge w:val="restart"/>
                  <w:tcBorders>
                    <w:top w:val="single" w:color="000000" w:sz="8" w:space="0"/>
                  </w:tcBorders>
                  <w:vAlign w:val="center"/>
                </w:tcPr>
                <w:p>
                  <w:pPr>
                    <w:jc w:val="center"/>
                    <w:rPr>
                      <w:color w:val="000000"/>
                      <w:szCs w:val="21"/>
                    </w:rPr>
                  </w:pPr>
                  <w:r>
                    <w:rPr>
                      <w:rFonts w:hAnsi="宋体"/>
                      <w:color w:val="000000"/>
                      <w:szCs w:val="21"/>
                    </w:rPr>
                    <w:t>城市</w:t>
                  </w:r>
                  <w:r>
                    <w:rPr>
                      <w:color w:val="000000"/>
                      <w:szCs w:val="21"/>
                    </w:rPr>
                    <w:t>/</w:t>
                  </w:r>
                  <w:r>
                    <w:rPr>
                      <w:rFonts w:hAnsi="宋体"/>
                      <w:color w:val="000000"/>
                      <w:szCs w:val="21"/>
                    </w:rPr>
                    <w:t>农村选项</w:t>
                  </w:r>
                </w:p>
              </w:tc>
              <w:tc>
                <w:tcPr>
                  <w:tcW w:w="1681" w:type="pct"/>
                  <w:tcBorders>
                    <w:top w:val="single" w:color="000000" w:sz="8" w:space="0"/>
                  </w:tcBorders>
                  <w:vAlign w:val="center"/>
                </w:tcPr>
                <w:p>
                  <w:pPr>
                    <w:jc w:val="center"/>
                    <w:rPr>
                      <w:color w:val="000000"/>
                      <w:szCs w:val="21"/>
                    </w:rPr>
                  </w:pPr>
                  <w:r>
                    <w:rPr>
                      <w:rFonts w:hAnsi="宋体"/>
                      <w:color w:val="000000"/>
                      <w:szCs w:val="21"/>
                    </w:rPr>
                    <w:t>城市</w:t>
                  </w:r>
                  <w:r>
                    <w:rPr>
                      <w:color w:val="000000"/>
                      <w:szCs w:val="21"/>
                    </w:rPr>
                    <w:t>/</w:t>
                  </w:r>
                  <w:r>
                    <w:rPr>
                      <w:rFonts w:hAnsi="宋体"/>
                      <w:color w:val="000000"/>
                      <w:szCs w:val="21"/>
                    </w:rPr>
                    <w:t>农村</w:t>
                  </w:r>
                </w:p>
              </w:tc>
              <w:tc>
                <w:tcPr>
                  <w:tcW w:w="1586" w:type="pct"/>
                  <w:tcBorders>
                    <w:top w:val="single" w:color="000000" w:sz="8" w:space="0"/>
                  </w:tcBorders>
                  <w:vAlign w:val="center"/>
                </w:tcPr>
                <w:p>
                  <w:pPr>
                    <w:jc w:val="center"/>
                    <w:rPr>
                      <w:color w:val="000000"/>
                      <w:szCs w:val="21"/>
                    </w:rPr>
                  </w:pPr>
                  <w:r>
                    <w:rPr>
                      <w:rFonts w:hAnsi="宋体"/>
                      <w:color w:val="000000"/>
                      <w:szCs w:val="21"/>
                    </w:rPr>
                    <w:t>农村</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731" w:type="pct"/>
                  <w:vMerge w:val="continue"/>
                  <w:vAlign w:val="center"/>
                </w:tcPr>
                <w:p>
                  <w:pPr>
                    <w:jc w:val="center"/>
                    <w:rPr>
                      <w:color w:val="000000"/>
                      <w:szCs w:val="21"/>
                    </w:rPr>
                  </w:pPr>
                </w:p>
              </w:tc>
              <w:tc>
                <w:tcPr>
                  <w:tcW w:w="1681" w:type="pct"/>
                  <w:vAlign w:val="center"/>
                </w:tcPr>
                <w:p>
                  <w:pPr>
                    <w:jc w:val="center"/>
                    <w:rPr>
                      <w:color w:val="000000"/>
                      <w:szCs w:val="21"/>
                    </w:rPr>
                  </w:pPr>
                  <w:r>
                    <w:rPr>
                      <w:rFonts w:hAnsi="宋体"/>
                      <w:color w:val="000000"/>
                      <w:szCs w:val="21"/>
                    </w:rPr>
                    <w:t>人口数（城市选项时）</w:t>
                  </w:r>
                </w:p>
              </w:tc>
              <w:tc>
                <w:tcPr>
                  <w:tcW w:w="1586" w:type="pct"/>
                  <w:vAlign w:val="center"/>
                </w:tcPr>
                <w:p>
                  <w:pPr>
                    <w:jc w:val="center"/>
                    <w:rPr>
                      <w:color w:val="000000"/>
                      <w:szCs w:val="21"/>
                    </w:rPr>
                  </w:pPr>
                  <w:r>
                    <w:rPr>
                      <w:color w:val="000000"/>
                      <w:szCs w:val="21"/>
                    </w:rPr>
                    <w:t>/</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413" w:type="pct"/>
                  <w:gridSpan w:val="2"/>
                  <w:vAlign w:val="center"/>
                </w:tcPr>
                <w:p>
                  <w:pPr>
                    <w:jc w:val="center"/>
                    <w:rPr>
                      <w:color w:val="000000"/>
                      <w:szCs w:val="21"/>
                    </w:rPr>
                  </w:pPr>
                  <w:r>
                    <w:rPr>
                      <w:rFonts w:hAnsi="宋体"/>
                      <w:color w:val="000000"/>
                      <w:szCs w:val="21"/>
                    </w:rPr>
                    <w:t>最高环境温度</w:t>
                  </w:r>
                  <w:r>
                    <w:rPr>
                      <w:color w:val="000000"/>
                      <w:szCs w:val="21"/>
                    </w:rPr>
                    <w:t>/</w:t>
                  </w:r>
                  <w:r>
                    <w:rPr>
                      <w:rFonts w:ascii="宋体" w:hAnsi="宋体"/>
                      <w:color w:val="000000"/>
                      <w:szCs w:val="21"/>
                    </w:rPr>
                    <w:t>℃</w:t>
                  </w:r>
                </w:p>
              </w:tc>
              <w:tc>
                <w:tcPr>
                  <w:tcW w:w="1586" w:type="pct"/>
                  <w:vAlign w:val="center"/>
                </w:tcPr>
                <w:p>
                  <w:pPr>
                    <w:jc w:val="center"/>
                    <w:rPr>
                      <w:szCs w:val="21"/>
                    </w:rPr>
                  </w:pPr>
                  <w:r>
                    <w:rPr>
                      <w:szCs w:val="21"/>
                    </w:rPr>
                    <w:t>42.1</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413" w:type="pct"/>
                  <w:gridSpan w:val="2"/>
                  <w:vAlign w:val="center"/>
                </w:tcPr>
                <w:p>
                  <w:pPr>
                    <w:jc w:val="center"/>
                    <w:rPr>
                      <w:color w:val="000000"/>
                      <w:szCs w:val="21"/>
                    </w:rPr>
                  </w:pPr>
                  <w:r>
                    <w:rPr>
                      <w:rFonts w:hAnsi="宋体"/>
                      <w:color w:val="000000"/>
                      <w:szCs w:val="21"/>
                    </w:rPr>
                    <w:t>最低环境温度</w:t>
                  </w:r>
                  <w:r>
                    <w:rPr>
                      <w:color w:val="000000"/>
                      <w:szCs w:val="21"/>
                    </w:rPr>
                    <w:t>/</w:t>
                  </w:r>
                  <w:r>
                    <w:rPr>
                      <w:rFonts w:ascii="宋体" w:hAnsi="宋体"/>
                      <w:color w:val="000000"/>
                      <w:szCs w:val="21"/>
                    </w:rPr>
                    <w:t>℃</w:t>
                  </w:r>
                </w:p>
              </w:tc>
              <w:tc>
                <w:tcPr>
                  <w:tcW w:w="1586" w:type="pct"/>
                  <w:vAlign w:val="center"/>
                </w:tcPr>
                <w:p>
                  <w:pPr>
                    <w:jc w:val="center"/>
                    <w:rPr>
                      <w:szCs w:val="21"/>
                    </w:rPr>
                  </w:pPr>
                  <w:r>
                    <w:rPr>
                      <w:szCs w:val="21"/>
                    </w:rPr>
                    <w:t>-21.3</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413" w:type="pct"/>
                  <w:gridSpan w:val="2"/>
                  <w:vAlign w:val="center"/>
                </w:tcPr>
                <w:p>
                  <w:pPr>
                    <w:jc w:val="center"/>
                    <w:rPr>
                      <w:color w:val="000000"/>
                      <w:szCs w:val="21"/>
                    </w:rPr>
                  </w:pPr>
                  <w:r>
                    <w:rPr>
                      <w:rFonts w:hAnsi="宋体"/>
                      <w:color w:val="000000"/>
                      <w:szCs w:val="21"/>
                    </w:rPr>
                    <w:t>土地利用类型</w:t>
                  </w:r>
                </w:p>
              </w:tc>
              <w:tc>
                <w:tcPr>
                  <w:tcW w:w="1586" w:type="pct"/>
                  <w:vAlign w:val="center"/>
                </w:tcPr>
                <w:p>
                  <w:pPr>
                    <w:jc w:val="center"/>
                    <w:rPr>
                      <w:color w:val="000000"/>
                      <w:szCs w:val="21"/>
                    </w:rPr>
                  </w:pPr>
                  <w:r>
                    <w:rPr>
                      <w:rFonts w:hAnsi="宋体"/>
                      <w:color w:val="000000"/>
                      <w:szCs w:val="21"/>
                    </w:rPr>
                    <w:t>农田</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413" w:type="pct"/>
                  <w:gridSpan w:val="2"/>
                  <w:vAlign w:val="center"/>
                </w:tcPr>
                <w:p>
                  <w:pPr>
                    <w:jc w:val="center"/>
                    <w:rPr>
                      <w:color w:val="000000"/>
                      <w:szCs w:val="21"/>
                    </w:rPr>
                  </w:pPr>
                  <w:r>
                    <w:rPr>
                      <w:rFonts w:hAnsi="宋体"/>
                      <w:color w:val="000000"/>
                      <w:szCs w:val="21"/>
                    </w:rPr>
                    <w:t>区域湿度条件</w:t>
                  </w:r>
                </w:p>
              </w:tc>
              <w:tc>
                <w:tcPr>
                  <w:tcW w:w="1586" w:type="pct"/>
                  <w:vAlign w:val="center"/>
                </w:tcPr>
                <w:p>
                  <w:pPr>
                    <w:jc w:val="center"/>
                    <w:rPr>
                      <w:color w:val="000000"/>
                      <w:szCs w:val="21"/>
                    </w:rPr>
                  </w:pPr>
                  <w:r>
                    <w:rPr>
                      <w:rFonts w:hAnsi="宋体"/>
                      <w:color w:val="000000"/>
                      <w:szCs w:val="21"/>
                    </w:rPr>
                    <w:t>中等湿度</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731" w:type="pct"/>
                  <w:vMerge w:val="restart"/>
                  <w:vAlign w:val="center"/>
                </w:tcPr>
                <w:p>
                  <w:pPr>
                    <w:jc w:val="center"/>
                    <w:rPr>
                      <w:color w:val="000000"/>
                      <w:szCs w:val="21"/>
                    </w:rPr>
                  </w:pPr>
                  <w:r>
                    <w:rPr>
                      <w:rFonts w:hAnsi="宋体"/>
                      <w:color w:val="000000"/>
                      <w:szCs w:val="21"/>
                    </w:rPr>
                    <w:t>是否考虑地形</w:t>
                  </w:r>
                </w:p>
              </w:tc>
              <w:tc>
                <w:tcPr>
                  <w:tcW w:w="1681" w:type="pct"/>
                  <w:vAlign w:val="center"/>
                </w:tcPr>
                <w:p>
                  <w:pPr>
                    <w:jc w:val="center"/>
                    <w:rPr>
                      <w:color w:val="000000"/>
                      <w:szCs w:val="21"/>
                    </w:rPr>
                  </w:pPr>
                  <w:r>
                    <w:rPr>
                      <w:rFonts w:hAnsi="宋体"/>
                      <w:color w:val="000000"/>
                      <w:szCs w:val="21"/>
                    </w:rPr>
                    <w:t>考虑地形</w:t>
                  </w:r>
                </w:p>
              </w:tc>
              <w:tc>
                <w:tcPr>
                  <w:tcW w:w="1586" w:type="pct"/>
                  <w:vAlign w:val="center"/>
                </w:tcPr>
                <w:p>
                  <w:pPr>
                    <w:jc w:val="center"/>
                    <w:rPr>
                      <w:color w:val="000000"/>
                      <w:szCs w:val="21"/>
                    </w:rPr>
                  </w:pPr>
                  <w:r>
                    <w:rPr>
                      <w:rFonts w:hAnsi="宋体"/>
                      <w:color w:val="000000"/>
                      <w:szCs w:val="21"/>
                    </w:rPr>
                    <w:t>是</w:t>
                  </w:r>
                  <w:r>
                    <w:rPr>
                      <w:color w:val="000000"/>
                      <w:szCs w:val="21"/>
                    </w:rPr>
                    <w:tab/>
                  </w:r>
                  <w:r>
                    <w:rPr>
                      <w:color w:val="000000"/>
                      <w:szCs w:val="21"/>
                    </w:rPr>
                    <w:t></w:t>
                  </w:r>
                  <w:r>
                    <w:rPr>
                      <w:rFonts w:hAnsi="宋体"/>
                      <w:color w:val="000000"/>
                      <w:szCs w:val="21"/>
                    </w:rPr>
                    <w:t>否</w:t>
                  </w:r>
                  <w:r>
                    <w:rPr>
                      <w:color w:val="000000"/>
                      <w:szCs w:val="21"/>
                    </w:rPr>
                    <w:sym w:font="Wingdings 2" w:char="0052"/>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731" w:type="pct"/>
                  <w:vMerge w:val="continue"/>
                  <w:vAlign w:val="center"/>
                </w:tcPr>
                <w:p>
                  <w:pPr>
                    <w:jc w:val="center"/>
                    <w:rPr>
                      <w:color w:val="000000"/>
                      <w:szCs w:val="21"/>
                    </w:rPr>
                  </w:pPr>
                </w:p>
              </w:tc>
              <w:tc>
                <w:tcPr>
                  <w:tcW w:w="1681" w:type="pct"/>
                  <w:vAlign w:val="center"/>
                </w:tcPr>
                <w:p>
                  <w:pPr>
                    <w:jc w:val="center"/>
                    <w:rPr>
                      <w:color w:val="000000"/>
                      <w:szCs w:val="21"/>
                    </w:rPr>
                  </w:pPr>
                  <w:r>
                    <w:rPr>
                      <w:rFonts w:hAnsi="宋体"/>
                      <w:color w:val="000000"/>
                      <w:szCs w:val="21"/>
                    </w:rPr>
                    <w:t>地形数据分辨率</w:t>
                  </w:r>
                  <w:r>
                    <w:rPr>
                      <w:color w:val="000000"/>
                      <w:szCs w:val="21"/>
                    </w:rPr>
                    <w:t>/m</w:t>
                  </w:r>
                </w:p>
              </w:tc>
              <w:tc>
                <w:tcPr>
                  <w:tcW w:w="1586" w:type="pct"/>
                  <w:vAlign w:val="center"/>
                </w:tcPr>
                <w:p>
                  <w:pPr>
                    <w:jc w:val="center"/>
                    <w:rPr>
                      <w:color w:val="000000"/>
                      <w:szCs w:val="21"/>
                    </w:rPr>
                  </w:pPr>
                  <w:r>
                    <w:rPr>
                      <w:color w:val="000000"/>
                      <w:szCs w:val="21"/>
                    </w:rPr>
                    <w:t>/</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731" w:type="pct"/>
                  <w:vMerge w:val="restart"/>
                  <w:vAlign w:val="center"/>
                </w:tcPr>
                <w:p>
                  <w:pPr>
                    <w:jc w:val="center"/>
                    <w:rPr>
                      <w:color w:val="000000"/>
                      <w:szCs w:val="21"/>
                    </w:rPr>
                  </w:pPr>
                  <w:r>
                    <w:rPr>
                      <w:rFonts w:hAnsi="宋体"/>
                      <w:color w:val="000000"/>
                      <w:szCs w:val="21"/>
                    </w:rPr>
                    <w:t>是否考虑海岸线熏烟</w:t>
                  </w:r>
                </w:p>
              </w:tc>
              <w:tc>
                <w:tcPr>
                  <w:tcW w:w="1681" w:type="pct"/>
                  <w:vAlign w:val="center"/>
                </w:tcPr>
                <w:p>
                  <w:pPr>
                    <w:jc w:val="center"/>
                    <w:rPr>
                      <w:color w:val="000000"/>
                      <w:szCs w:val="21"/>
                    </w:rPr>
                  </w:pPr>
                  <w:r>
                    <w:rPr>
                      <w:rFonts w:hAnsi="宋体"/>
                      <w:color w:val="000000"/>
                      <w:szCs w:val="21"/>
                    </w:rPr>
                    <w:t>考虑岸线熏烟</w:t>
                  </w:r>
                </w:p>
              </w:tc>
              <w:tc>
                <w:tcPr>
                  <w:tcW w:w="1586" w:type="pct"/>
                  <w:vAlign w:val="center"/>
                </w:tcPr>
                <w:p>
                  <w:pPr>
                    <w:jc w:val="center"/>
                    <w:rPr>
                      <w:color w:val="000000"/>
                      <w:szCs w:val="21"/>
                    </w:rPr>
                  </w:pPr>
                  <w:r>
                    <w:rPr>
                      <w:rFonts w:hAnsi="宋体"/>
                      <w:color w:val="000000"/>
                      <w:szCs w:val="21"/>
                    </w:rPr>
                    <w:t>是</w:t>
                  </w:r>
                  <w:r>
                    <w:rPr>
                      <w:color w:val="000000"/>
                      <w:szCs w:val="21"/>
                    </w:rPr>
                    <w:tab/>
                  </w:r>
                  <w:r>
                    <w:rPr>
                      <w:color w:val="000000"/>
                      <w:szCs w:val="21"/>
                    </w:rPr>
                    <w:t></w:t>
                  </w:r>
                  <w:r>
                    <w:rPr>
                      <w:rFonts w:hAnsi="宋体"/>
                      <w:color w:val="000000"/>
                      <w:szCs w:val="21"/>
                    </w:rPr>
                    <w:t>否</w:t>
                  </w:r>
                  <w:r>
                    <w:rPr>
                      <w:color w:val="000000"/>
                      <w:szCs w:val="21"/>
                    </w:rPr>
                    <w:sym w:font="Wingdings 2" w:char="0052"/>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731" w:type="pct"/>
                  <w:vMerge w:val="continue"/>
                  <w:vAlign w:val="center"/>
                </w:tcPr>
                <w:p>
                  <w:pPr>
                    <w:jc w:val="center"/>
                    <w:rPr>
                      <w:color w:val="000000"/>
                      <w:szCs w:val="21"/>
                    </w:rPr>
                  </w:pPr>
                </w:p>
              </w:tc>
              <w:tc>
                <w:tcPr>
                  <w:tcW w:w="1681" w:type="pct"/>
                  <w:vAlign w:val="center"/>
                </w:tcPr>
                <w:p>
                  <w:pPr>
                    <w:jc w:val="center"/>
                    <w:rPr>
                      <w:color w:val="000000"/>
                      <w:szCs w:val="21"/>
                    </w:rPr>
                  </w:pPr>
                  <w:r>
                    <w:rPr>
                      <w:rFonts w:hAnsi="宋体"/>
                      <w:color w:val="000000"/>
                      <w:szCs w:val="21"/>
                    </w:rPr>
                    <w:t>岸线距离</w:t>
                  </w:r>
                  <w:r>
                    <w:rPr>
                      <w:color w:val="000000"/>
                      <w:szCs w:val="21"/>
                    </w:rPr>
                    <w:t>/m</w:t>
                  </w:r>
                </w:p>
              </w:tc>
              <w:tc>
                <w:tcPr>
                  <w:tcW w:w="1586" w:type="pct"/>
                  <w:vAlign w:val="center"/>
                </w:tcPr>
                <w:p>
                  <w:pPr>
                    <w:jc w:val="center"/>
                    <w:rPr>
                      <w:color w:val="000000"/>
                      <w:szCs w:val="21"/>
                    </w:rPr>
                  </w:pPr>
                  <w:r>
                    <w:rPr>
                      <w:rFonts w:hAnsi="宋体"/>
                      <w:color w:val="000000"/>
                      <w:szCs w:val="21"/>
                    </w:rPr>
                    <w:t>否</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731" w:type="pct"/>
                  <w:vMerge w:val="continue"/>
                  <w:vAlign w:val="center"/>
                </w:tcPr>
                <w:p>
                  <w:pPr>
                    <w:jc w:val="center"/>
                    <w:rPr>
                      <w:color w:val="000000"/>
                      <w:szCs w:val="21"/>
                    </w:rPr>
                  </w:pPr>
                </w:p>
              </w:tc>
              <w:tc>
                <w:tcPr>
                  <w:tcW w:w="1681" w:type="pct"/>
                  <w:vAlign w:val="center"/>
                </w:tcPr>
                <w:p>
                  <w:pPr>
                    <w:jc w:val="center"/>
                    <w:rPr>
                      <w:color w:val="000000"/>
                      <w:szCs w:val="21"/>
                    </w:rPr>
                  </w:pPr>
                  <w:r>
                    <w:rPr>
                      <w:rFonts w:hAnsi="宋体"/>
                      <w:color w:val="000000"/>
                      <w:szCs w:val="21"/>
                    </w:rPr>
                    <w:t>岸线方向</w:t>
                  </w:r>
                  <w:r>
                    <w:rPr>
                      <w:color w:val="000000"/>
                      <w:szCs w:val="21"/>
                    </w:rPr>
                    <w:t>/°</w:t>
                  </w:r>
                </w:p>
              </w:tc>
              <w:tc>
                <w:tcPr>
                  <w:tcW w:w="1586" w:type="pct"/>
                  <w:vAlign w:val="center"/>
                </w:tcPr>
                <w:p>
                  <w:pPr>
                    <w:jc w:val="center"/>
                    <w:rPr>
                      <w:color w:val="000000"/>
                      <w:szCs w:val="21"/>
                    </w:rPr>
                  </w:pPr>
                  <w:r>
                    <w:rPr>
                      <w:rFonts w:hAnsi="宋体"/>
                      <w:color w:val="000000"/>
                      <w:szCs w:val="21"/>
                    </w:rPr>
                    <w:t>否</w:t>
                  </w:r>
                </w:p>
              </w:tc>
            </w:tr>
          </w:tbl>
          <w:p>
            <w:pPr>
              <w:adjustRightInd w:val="0"/>
              <w:spacing w:line="500" w:lineRule="exact"/>
              <w:ind w:firstLine="480" w:firstLineChars="200"/>
              <w:rPr>
                <w:color w:val="000000"/>
                <w:sz w:val="24"/>
              </w:rPr>
            </w:pPr>
            <w:r>
              <w:rPr>
                <w:color w:val="000000"/>
                <w:sz w:val="24"/>
              </w:rPr>
              <w:fldChar w:fldCharType="begin"/>
            </w:r>
            <w:r>
              <w:rPr>
                <w:color w:val="000000"/>
                <w:sz w:val="24"/>
              </w:rPr>
              <w:instrText xml:space="preserve"> </w:instrText>
            </w:r>
            <w:r>
              <w:rPr>
                <w:rFonts w:hint="eastAsia"/>
                <w:color w:val="000000"/>
                <w:sz w:val="24"/>
              </w:rPr>
              <w:instrText xml:space="preserve">= 3 \* GB3</w:instrText>
            </w:r>
            <w:r>
              <w:rPr>
                <w:color w:val="000000"/>
                <w:sz w:val="24"/>
              </w:rPr>
              <w:instrText xml:space="preserve"> </w:instrText>
            </w:r>
            <w:r>
              <w:rPr>
                <w:color w:val="000000"/>
                <w:sz w:val="24"/>
              </w:rPr>
              <w:fldChar w:fldCharType="separate"/>
            </w:r>
            <w:r>
              <w:rPr>
                <w:rFonts w:hint="eastAsia"/>
                <w:color w:val="000000"/>
                <w:sz w:val="24"/>
              </w:rPr>
              <w:t>③</w:t>
            </w:r>
            <w:r>
              <w:rPr>
                <w:color w:val="000000"/>
                <w:sz w:val="24"/>
              </w:rPr>
              <w:fldChar w:fldCharType="end"/>
            </w:r>
            <w:r>
              <w:rPr>
                <w:rFonts w:hint="eastAsia"/>
                <w:color w:val="000000"/>
                <w:sz w:val="24"/>
              </w:rPr>
              <w:t>污染源调查</w:t>
            </w:r>
          </w:p>
          <w:p>
            <w:pPr>
              <w:pStyle w:val="2"/>
              <w:adjustRightInd w:val="0"/>
              <w:snapToGrid w:val="0"/>
              <w:spacing w:line="500" w:lineRule="exact"/>
              <w:ind w:firstLine="480" w:firstLineChars="200"/>
              <w:jc w:val="left"/>
              <w:rPr>
                <w:b w:val="0"/>
                <w:bCs w:val="0"/>
                <w:color w:val="000000"/>
              </w:rPr>
            </w:pPr>
            <w:r>
              <w:rPr>
                <w:rFonts w:hint="eastAsia"/>
                <w:b w:val="0"/>
                <w:bCs w:val="0"/>
                <w:color w:val="000000"/>
              </w:rPr>
              <w:t>项目喷砂废气全部负压抽吸到一套袋式除尘器进行处理，处理达标后经由1根15m高的排气筒排放。项目污染源参数见表35、36。</w:t>
            </w:r>
          </w:p>
          <w:p>
            <w:pPr>
              <w:adjustRightInd w:val="0"/>
              <w:snapToGrid w:val="0"/>
              <w:spacing w:line="440" w:lineRule="exact"/>
              <w:ind w:firstLine="482" w:firstLineChars="200"/>
              <w:rPr>
                <w:b/>
                <w:bCs/>
                <w:color w:val="000000"/>
                <w:sz w:val="24"/>
              </w:rPr>
            </w:pPr>
            <w:r>
              <w:rPr>
                <w:rFonts w:hint="eastAsia"/>
                <w:b/>
                <w:bCs/>
                <w:color w:val="000000"/>
                <w:sz w:val="24"/>
              </w:rPr>
              <w:t xml:space="preserve">表35              </w:t>
            </w:r>
            <w:r>
              <w:rPr>
                <w:rFonts w:hint="eastAsia"/>
                <w:b/>
                <w:bCs/>
                <w:color w:val="FF0000"/>
                <w:sz w:val="24"/>
              </w:rPr>
              <w:t xml:space="preserve">  </w:t>
            </w:r>
            <w:r>
              <w:rPr>
                <w:rFonts w:hint="eastAsia"/>
                <w:b/>
                <w:bCs/>
                <w:color w:val="000000"/>
                <w:sz w:val="24"/>
              </w:rPr>
              <w:t>点源估算模式参数表</w:t>
            </w:r>
          </w:p>
          <w:tbl>
            <w:tblPr>
              <w:tblStyle w:val="27"/>
              <w:tblW w:w="4997"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748"/>
              <w:gridCol w:w="1000"/>
              <w:gridCol w:w="1037"/>
              <w:gridCol w:w="1105"/>
              <w:gridCol w:w="897"/>
              <w:gridCol w:w="1168"/>
              <w:gridCol w:w="702"/>
              <w:gridCol w:w="2670"/>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01" w:type="pct"/>
                  <w:vMerge w:val="restart"/>
                  <w:vAlign w:val="center"/>
                </w:tcPr>
                <w:p>
                  <w:pPr>
                    <w:snapToGrid w:val="0"/>
                    <w:jc w:val="center"/>
                    <w:rPr>
                      <w:b/>
                      <w:szCs w:val="21"/>
                    </w:rPr>
                  </w:pPr>
                  <w:r>
                    <w:rPr>
                      <w:b/>
                      <w:szCs w:val="21"/>
                    </w:rPr>
                    <w:t>名称</w:t>
                  </w:r>
                </w:p>
              </w:tc>
              <w:tc>
                <w:tcPr>
                  <w:tcW w:w="536" w:type="pct"/>
                  <w:vMerge w:val="restart"/>
                  <w:vAlign w:val="center"/>
                </w:tcPr>
                <w:p>
                  <w:pPr>
                    <w:snapToGrid w:val="0"/>
                    <w:jc w:val="center"/>
                    <w:rPr>
                      <w:b/>
                      <w:szCs w:val="21"/>
                    </w:rPr>
                  </w:pPr>
                  <w:r>
                    <w:rPr>
                      <w:b/>
                      <w:szCs w:val="21"/>
                    </w:rPr>
                    <w:t>排气筒高度/m</w:t>
                  </w:r>
                </w:p>
              </w:tc>
              <w:tc>
                <w:tcPr>
                  <w:tcW w:w="556" w:type="pct"/>
                  <w:vMerge w:val="restart"/>
                  <w:vAlign w:val="center"/>
                </w:tcPr>
                <w:p>
                  <w:pPr>
                    <w:snapToGrid w:val="0"/>
                    <w:jc w:val="center"/>
                    <w:rPr>
                      <w:b/>
                      <w:szCs w:val="21"/>
                    </w:rPr>
                  </w:pPr>
                  <w:r>
                    <w:rPr>
                      <w:b/>
                      <w:szCs w:val="21"/>
                    </w:rPr>
                    <w:t>排气筒出口内径/m</w:t>
                  </w:r>
                </w:p>
              </w:tc>
              <w:tc>
                <w:tcPr>
                  <w:tcW w:w="592" w:type="pct"/>
                  <w:vMerge w:val="restart"/>
                  <w:vAlign w:val="center"/>
                </w:tcPr>
                <w:p>
                  <w:pPr>
                    <w:snapToGrid w:val="0"/>
                    <w:jc w:val="center"/>
                    <w:rPr>
                      <w:b/>
                      <w:szCs w:val="21"/>
                    </w:rPr>
                  </w:pPr>
                  <w:r>
                    <w:rPr>
                      <w:b/>
                      <w:szCs w:val="21"/>
                    </w:rPr>
                    <w:t>烟气流速/（m</w:t>
                  </w:r>
                  <w:r>
                    <w:rPr>
                      <w:b/>
                      <w:szCs w:val="21"/>
                      <w:vertAlign w:val="superscript"/>
                    </w:rPr>
                    <w:t>3</w:t>
                  </w:r>
                  <w:r>
                    <w:rPr>
                      <w:b/>
                      <w:szCs w:val="21"/>
                    </w:rPr>
                    <w:t>/</w:t>
                  </w:r>
                  <w:r>
                    <w:rPr>
                      <w:rFonts w:hint="eastAsia"/>
                      <w:b/>
                      <w:szCs w:val="21"/>
                    </w:rPr>
                    <w:t>h</w:t>
                  </w:r>
                  <w:r>
                    <w:rPr>
                      <w:b/>
                      <w:szCs w:val="21"/>
                    </w:rPr>
                    <w:t>）</w:t>
                  </w:r>
                </w:p>
              </w:tc>
              <w:tc>
                <w:tcPr>
                  <w:tcW w:w="481" w:type="pct"/>
                  <w:vMerge w:val="restart"/>
                  <w:vAlign w:val="center"/>
                </w:tcPr>
                <w:p>
                  <w:pPr>
                    <w:snapToGrid w:val="0"/>
                    <w:jc w:val="center"/>
                    <w:rPr>
                      <w:b/>
                      <w:szCs w:val="21"/>
                    </w:rPr>
                  </w:pPr>
                  <w:r>
                    <w:rPr>
                      <w:b/>
                      <w:szCs w:val="21"/>
                    </w:rPr>
                    <w:t>烟气温度/℃</w:t>
                  </w:r>
                </w:p>
              </w:tc>
              <w:tc>
                <w:tcPr>
                  <w:tcW w:w="626" w:type="pct"/>
                  <w:vMerge w:val="restart"/>
                  <w:vAlign w:val="center"/>
                </w:tcPr>
                <w:p>
                  <w:pPr>
                    <w:snapToGrid w:val="0"/>
                    <w:jc w:val="center"/>
                    <w:rPr>
                      <w:b/>
                      <w:szCs w:val="21"/>
                    </w:rPr>
                  </w:pPr>
                  <w:r>
                    <w:rPr>
                      <w:b/>
                      <w:szCs w:val="21"/>
                    </w:rPr>
                    <w:t>年排放</w:t>
                  </w:r>
                  <w:r>
                    <w:rPr>
                      <w:rFonts w:hint="eastAsia"/>
                      <w:b/>
                      <w:szCs w:val="21"/>
                    </w:rPr>
                    <w:t>最大</w:t>
                  </w:r>
                  <w:r>
                    <w:rPr>
                      <w:b/>
                      <w:szCs w:val="21"/>
                    </w:rPr>
                    <w:t>小时数/h</w:t>
                  </w:r>
                </w:p>
              </w:tc>
              <w:tc>
                <w:tcPr>
                  <w:tcW w:w="376" w:type="pct"/>
                  <w:vMerge w:val="restart"/>
                  <w:vAlign w:val="center"/>
                </w:tcPr>
                <w:p>
                  <w:pPr>
                    <w:snapToGrid w:val="0"/>
                    <w:jc w:val="center"/>
                    <w:rPr>
                      <w:b/>
                      <w:szCs w:val="21"/>
                    </w:rPr>
                  </w:pPr>
                  <w:r>
                    <w:rPr>
                      <w:b/>
                      <w:szCs w:val="21"/>
                    </w:rPr>
                    <w:t>排放工况</w:t>
                  </w:r>
                </w:p>
              </w:tc>
              <w:tc>
                <w:tcPr>
                  <w:tcW w:w="1431" w:type="pct"/>
                  <w:vAlign w:val="center"/>
                </w:tcPr>
                <w:p>
                  <w:pPr>
                    <w:snapToGrid w:val="0"/>
                    <w:jc w:val="center"/>
                    <w:rPr>
                      <w:b/>
                      <w:szCs w:val="21"/>
                    </w:rPr>
                  </w:pPr>
                  <w:r>
                    <w:rPr>
                      <w:b/>
                      <w:szCs w:val="21"/>
                    </w:rPr>
                    <w:t>污染物排放速率/（kg/h）</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01" w:type="pct"/>
                  <w:vMerge w:val="continue"/>
                  <w:tcBorders>
                    <w:bottom w:val="single" w:color="000000" w:sz="8" w:space="0"/>
                  </w:tcBorders>
                  <w:vAlign w:val="center"/>
                </w:tcPr>
                <w:p>
                  <w:pPr>
                    <w:snapToGrid w:val="0"/>
                    <w:jc w:val="center"/>
                    <w:rPr>
                      <w:b/>
                      <w:szCs w:val="21"/>
                    </w:rPr>
                  </w:pPr>
                </w:p>
              </w:tc>
              <w:tc>
                <w:tcPr>
                  <w:tcW w:w="536" w:type="pct"/>
                  <w:vMerge w:val="continue"/>
                  <w:tcBorders>
                    <w:bottom w:val="single" w:color="000000" w:sz="8" w:space="0"/>
                  </w:tcBorders>
                  <w:vAlign w:val="center"/>
                </w:tcPr>
                <w:p>
                  <w:pPr>
                    <w:snapToGrid w:val="0"/>
                    <w:jc w:val="center"/>
                    <w:rPr>
                      <w:b/>
                      <w:szCs w:val="21"/>
                    </w:rPr>
                  </w:pPr>
                </w:p>
              </w:tc>
              <w:tc>
                <w:tcPr>
                  <w:tcW w:w="556" w:type="pct"/>
                  <w:vMerge w:val="continue"/>
                  <w:tcBorders>
                    <w:bottom w:val="single" w:color="000000" w:sz="8" w:space="0"/>
                  </w:tcBorders>
                  <w:vAlign w:val="center"/>
                </w:tcPr>
                <w:p>
                  <w:pPr>
                    <w:snapToGrid w:val="0"/>
                    <w:jc w:val="center"/>
                    <w:rPr>
                      <w:b/>
                      <w:szCs w:val="21"/>
                    </w:rPr>
                  </w:pPr>
                </w:p>
              </w:tc>
              <w:tc>
                <w:tcPr>
                  <w:tcW w:w="592" w:type="pct"/>
                  <w:vMerge w:val="continue"/>
                  <w:tcBorders>
                    <w:bottom w:val="single" w:color="000000" w:sz="8" w:space="0"/>
                  </w:tcBorders>
                  <w:vAlign w:val="center"/>
                </w:tcPr>
                <w:p>
                  <w:pPr>
                    <w:snapToGrid w:val="0"/>
                    <w:jc w:val="center"/>
                    <w:rPr>
                      <w:b/>
                      <w:szCs w:val="21"/>
                    </w:rPr>
                  </w:pPr>
                </w:p>
              </w:tc>
              <w:tc>
                <w:tcPr>
                  <w:tcW w:w="481" w:type="pct"/>
                  <w:vMerge w:val="continue"/>
                  <w:tcBorders>
                    <w:bottom w:val="single" w:color="000000" w:sz="8" w:space="0"/>
                  </w:tcBorders>
                  <w:vAlign w:val="center"/>
                </w:tcPr>
                <w:p>
                  <w:pPr>
                    <w:snapToGrid w:val="0"/>
                    <w:jc w:val="center"/>
                    <w:rPr>
                      <w:b/>
                      <w:szCs w:val="21"/>
                    </w:rPr>
                  </w:pPr>
                </w:p>
              </w:tc>
              <w:tc>
                <w:tcPr>
                  <w:tcW w:w="626" w:type="pct"/>
                  <w:vMerge w:val="continue"/>
                  <w:tcBorders>
                    <w:bottom w:val="single" w:color="000000" w:sz="8" w:space="0"/>
                  </w:tcBorders>
                  <w:vAlign w:val="center"/>
                </w:tcPr>
                <w:p>
                  <w:pPr>
                    <w:snapToGrid w:val="0"/>
                    <w:jc w:val="center"/>
                    <w:rPr>
                      <w:b/>
                      <w:szCs w:val="21"/>
                    </w:rPr>
                  </w:pPr>
                </w:p>
              </w:tc>
              <w:tc>
                <w:tcPr>
                  <w:tcW w:w="376" w:type="pct"/>
                  <w:vMerge w:val="continue"/>
                  <w:tcBorders>
                    <w:bottom w:val="single" w:color="000000" w:sz="8" w:space="0"/>
                  </w:tcBorders>
                  <w:vAlign w:val="center"/>
                </w:tcPr>
                <w:p>
                  <w:pPr>
                    <w:snapToGrid w:val="0"/>
                    <w:jc w:val="center"/>
                    <w:rPr>
                      <w:b/>
                      <w:szCs w:val="21"/>
                    </w:rPr>
                  </w:pPr>
                </w:p>
              </w:tc>
              <w:tc>
                <w:tcPr>
                  <w:tcW w:w="1431" w:type="pct"/>
                  <w:tcBorders>
                    <w:bottom w:val="single" w:color="000000" w:sz="8" w:space="0"/>
                  </w:tcBorders>
                  <w:vAlign w:val="center"/>
                </w:tcPr>
                <w:p>
                  <w:pPr>
                    <w:snapToGrid w:val="0"/>
                    <w:jc w:val="center"/>
                    <w:rPr>
                      <w:b/>
                      <w:szCs w:val="21"/>
                    </w:rPr>
                  </w:pPr>
                  <w:r>
                    <w:rPr>
                      <w:b/>
                      <w:szCs w:val="21"/>
                    </w:rPr>
                    <w:t>颗粒物</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01" w:type="pct"/>
                  <w:tcBorders>
                    <w:top w:val="single" w:color="000000" w:sz="8" w:space="0"/>
                  </w:tcBorders>
                  <w:vAlign w:val="center"/>
                </w:tcPr>
                <w:p>
                  <w:pPr>
                    <w:snapToGrid w:val="0"/>
                    <w:jc w:val="center"/>
                    <w:rPr>
                      <w:szCs w:val="21"/>
                    </w:rPr>
                  </w:pPr>
                  <w:r>
                    <w:rPr>
                      <w:szCs w:val="21"/>
                    </w:rPr>
                    <w:t>P</w:t>
                  </w:r>
                  <w:r>
                    <w:rPr>
                      <w:szCs w:val="21"/>
                      <w:vertAlign w:val="subscript"/>
                    </w:rPr>
                    <w:t>1</w:t>
                  </w:r>
                </w:p>
              </w:tc>
              <w:tc>
                <w:tcPr>
                  <w:tcW w:w="536" w:type="pct"/>
                  <w:tcBorders>
                    <w:top w:val="single" w:color="000000" w:sz="8" w:space="0"/>
                  </w:tcBorders>
                  <w:vAlign w:val="center"/>
                </w:tcPr>
                <w:p>
                  <w:pPr>
                    <w:snapToGrid w:val="0"/>
                    <w:jc w:val="center"/>
                    <w:rPr>
                      <w:szCs w:val="21"/>
                    </w:rPr>
                  </w:pPr>
                  <w:r>
                    <w:rPr>
                      <w:szCs w:val="21"/>
                    </w:rPr>
                    <w:t>15</w:t>
                  </w:r>
                </w:p>
              </w:tc>
              <w:tc>
                <w:tcPr>
                  <w:tcW w:w="556" w:type="pct"/>
                  <w:tcBorders>
                    <w:top w:val="single" w:color="000000" w:sz="8" w:space="0"/>
                  </w:tcBorders>
                  <w:vAlign w:val="center"/>
                </w:tcPr>
                <w:p>
                  <w:pPr>
                    <w:snapToGrid w:val="0"/>
                    <w:jc w:val="center"/>
                    <w:rPr>
                      <w:color w:val="000000"/>
                      <w:szCs w:val="21"/>
                    </w:rPr>
                  </w:pPr>
                  <w:r>
                    <w:rPr>
                      <w:color w:val="000000"/>
                      <w:szCs w:val="21"/>
                    </w:rPr>
                    <w:t>0.</w:t>
                  </w:r>
                  <w:r>
                    <w:rPr>
                      <w:rFonts w:hint="eastAsia"/>
                      <w:color w:val="000000"/>
                      <w:szCs w:val="21"/>
                    </w:rPr>
                    <w:t>3</w:t>
                  </w:r>
                </w:p>
              </w:tc>
              <w:tc>
                <w:tcPr>
                  <w:tcW w:w="592" w:type="pct"/>
                  <w:tcBorders>
                    <w:top w:val="single" w:color="000000" w:sz="8" w:space="0"/>
                  </w:tcBorders>
                  <w:vAlign w:val="center"/>
                </w:tcPr>
                <w:p>
                  <w:pPr>
                    <w:snapToGrid w:val="0"/>
                    <w:jc w:val="center"/>
                    <w:rPr>
                      <w:szCs w:val="21"/>
                    </w:rPr>
                  </w:pPr>
                  <w:r>
                    <w:rPr>
                      <w:rFonts w:hint="eastAsia"/>
                      <w:szCs w:val="21"/>
                    </w:rPr>
                    <w:t>1000</w:t>
                  </w:r>
                </w:p>
              </w:tc>
              <w:tc>
                <w:tcPr>
                  <w:tcW w:w="481" w:type="pct"/>
                  <w:tcBorders>
                    <w:top w:val="single" w:color="000000" w:sz="8" w:space="0"/>
                  </w:tcBorders>
                  <w:vAlign w:val="center"/>
                </w:tcPr>
                <w:p>
                  <w:pPr>
                    <w:snapToGrid w:val="0"/>
                    <w:jc w:val="center"/>
                    <w:rPr>
                      <w:szCs w:val="21"/>
                    </w:rPr>
                  </w:pPr>
                  <w:r>
                    <w:rPr>
                      <w:szCs w:val="21"/>
                    </w:rPr>
                    <w:t>2</w:t>
                  </w:r>
                  <w:r>
                    <w:rPr>
                      <w:rFonts w:hint="eastAsia"/>
                      <w:szCs w:val="21"/>
                    </w:rPr>
                    <w:t>5</w:t>
                  </w:r>
                </w:p>
              </w:tc>
              <w:tc>
                <w:tcPr>
                  <w:tcW w:w="626" w:type="pct"/>
                  <w:tcBorders>
                    <w:top w:val="single" w:color="000000" w:sz="8" w:space="0"/>
                  </w:tcBorders>
                  <w:vAlign w:val="center"/>
                </w:tcPr>
                <w:p>
                  <w:pPr>
                    <w:snapToGrid w:val="0"/>
                    <w:jc w:val="center"/>
                    <w:rPr>
                      <w:szCs w:val="21"/>
                    </w:rPr>
                  </w:pPr>
                  <w:r>
                    <w:rPr>
                      <w:rFonts w:hint="eastAsia"/>
                      <w:szCs w:val="21"/>
                    </w:rPr>
                    <w:t>1200</w:t>
                  </w:r>
                </w:p>
              </w:tc>
              <w:tc>
                <w:tcPr>
                  <w:tcW w:w="376" w:type="pct"/>
                  <w:tcBorders>
                    <w:top w:val="single" w:color="000000" w:sz="8" w:space="0"/>
                  </w:tcBorders>
                  <w:vAlign w:val="center"/>
                </w:tcPr>
                <w:p>
                  <w:pPr>
                    <w:snapToGrid w:val="0"/>
                    <w:jc w:val="center"/>
                    <w:rPr>
                      <w:szCs w:val="21"/>
                    </w:rPr>
                  </w:pPr>
                  <w:r>
                    <w:rPr>
                      <w:szCs w:val="21"/>
                    </w:rPr>
                    <w:t>正常</w:t>
                  </w:r>
                </w:p>
              </w:tc>
              <w:tc>
                <w:tcPr>
                  <w:tcW w:w="1431" w:type="pct"/>
                  <w:tcBorders>
                    <w:top w:val="single" w:color="000000" w:sz="8" w:space="0"/>
                  </w:tcBorders>
                  <w:vAlign w:val="center"/>
                </w:tcPr>
                <w:p>
                  <w:pPr>
                    <w:snapToGrid w:val="0"/>
                    <w:jc w:val="center"/>
                    <w:rPr>
                      <w:szCs w:val="21"/>
                    </w:rPr>
                  </w:pPr>
                  <w:r>
                    <w:rPr>
                      <w:rFonts w:hint="eastAsia"/>
                      <w:szCs w:val="21"/>
                    </w:rPr>
                    <w:t>0.0005</w:t>
                  </w:r>
                </w:p>
              </w:tc>
            </w:tr>
          </w:tbl>
          <w:p>
            <w:pPr>
              <w:adjustRightInd w:val="0"/>
              <w:snapToGrid w:val="0"/>
              <w:spacing w:line="440" w:lineRule="exact"/>
              <w:ind w:firstLine="482" w:firstLineChars="200"/>
              <w:rPr>
                <w:b/>
                <w:bCs/>
                <w:color w:val="000000"/>
                <w:sz w:val="24"/>
              </w:rPr>
            </w:pPr>
            <w:r>
              <w:rPr>
                <w:rFonts w:hint="eastAsia"/>
                <w:b/>
                <w:bCs/>
                <w:color w:val="000000"/>
                <w:sz w:val="24"/>
              </w:rPr>
              <w:t>表36           项目无组织废气估算模式参数表（矩形面源）</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48"/>
              <w:gridCol w:w="1536"/>
              <w:gridCol w:w="1536"/>
              <w:gridCol w:w="1939"/>
              <w:gridCol w:w="1443"/>
              <w:gridCol w:w="14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76" w:type="pct"/>
                  <w:vMerge w:val="restart"/>
                  <w:vAlign w:val="center"/>
                </w:tcPr>
                <w:p>
                  <w:pPr>
                    <w:adjustRightInd w:val="0"/>
                    <w:snapToGrid w:val="0"/>
                    <w:spacing w:line="320" w:lineRule="exact"/>
                    <w:jc w:val="center"/>
                    <w:rPr>
                      <w:b/>
                      <w:szCs w:val="21"/>
                    </w:rPr>
                  </w:pPr>
                  <w:r>
                    <w:rPr>
                      <w:rFonts w:hint="eastAsia"/>
                      <w:b/>
                      <w:szCs w:val="21"/>
                    </w:rPr>
                    <w:t>污染源名称</w:t>
                  </w:r>
                </w:p>
              </w:tc>
              <w:tc>
                <w:tcPr>
                  <w:tcW w:w="2685" w:type="pct"/>
                  <w:gridSpan w:val="3"/>
                  <w:vAlign w:val="center"/>
                </w:tcPr>
                <w:p>
                  <w:pPr>
                    <w:adjustRightInd w:val="0"/>
                    <w:snapToGrid w:val="0"/>
                    <w:spacing w:line="320" w:lineRule="exact"/>
                    <w:jc w:val="center"/>
                    <w:rPr>
                      <w:b/>
                      <w:szCs w:val="21"/>
                    </w:rPr>
                  </w:pPr>
                  <w:r>
                    <w:rPr>
                      <w:rFonts w:hint="eastAsia"/>
                      <w:b/>
                      <w:szCs w:val="21"/>
                    </w:rPr>
                    <w:t>矩形面源</w:t>
                  </w:r>
                </w:p>
              </w:tc>
              <w:tc>
                <w:tcPr>
                  <w:tcW w:w="773" w:type="pct"/>
                  <w:vMerge w:val="restart"/>
                  <w:vAlign w:val="center"/>
                </w:tcPr>
                <w:p>
                  <w:pPr>
                    <w:adjustRightInd w:val="0"/>
                    <w:snapToGrid w:val="0"/>
                    <w:spacing w:line="320" w:lineRule="exact"/>
                    <w:jc w:val="center"/>
                    <w:rPr>
                      <w:b/>
                      <w:szCs w:val="21"/>
                    </w:rPr>
                  </w:pPr>
                  <w:r>
                    <w:rPr>
                      <w:rFonts w:hint="eastAsia"/>
                      <w:b/>
                      <w:szCs w:val="21"/>
                    </w:rPr>
                    <w:t>污染因子</w:t>
                  </w:r>
                </w:p>
              </w:tc>
              <w:tc>
                <w:tcPr>
                  <w:tcW w:w="766" w:type="pct"/>
                  <w:vMerge w:val="restart"/>
                  <w:vAlign w:val="center"/>
                </w:tcPr>
                <w:p>
                  <w:pPr>
                    <w:adjustRightInd w:val="0"/>
                    <w:snapToGrid w:val="0"/>
                    <w:spacing w:line="320" w:lineRule="exact"/>
                    <w:jc w:val="center"/>
                    <w:rPr>
                      <w:b/>
                      <w:szCs w:val="21"/>
                    </w:rPr>
                  </w:pPr>
                  <w:r>
                    <w:rPr>
                      <w:rFonts w:hint="eastAsia"/>
                      <w:b/>
                      <w:szCs w:val="21"/>
                    </w:rPr>
                    <w:t>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76" w:type="pct"/>
                  <w:vMerge w:val="continue"/>
                  <w:vAlign w:val="center"/>
                </w:tcPr>
                <w:p>
                  <w:pPr>
                    <w:adjustRightInd w:val="0"/>
                    <w:snapToGrid w:val="0"/>
                    <w:spacing w:line="320" w:lineRule="exact"/>
                    <w:jc w:val="center"/>
                    <w:rPr>
                      <w:szCs w:val="21"/>
                    </w:rPr>
                  </w:pPr>
                </w:p>
              </w:tc>
              <w:tc>
                <w:tcPr>
                  <w:tcW w:w="823" w:type="pct"/>
                  <w:vAlign w:val="center"/>
                </w:tcPr>
                <w:p>
                  <w:pPr>
                    <w:adjustRightInd w:val="0"/>
                    <w:snapToGrid w:val="0"/>
                    <w:spacing w:line="320" w:lineRule="exact"/>
                    <w:jc w:val="center"/>
                    <w:rPr>
                      <w:b/>
                      <w:szCs w:val="21"/>
                    </w:rPr>
                  </w:pPr>
                  <w:r>
                    <w:rPr>
                      <w:rFonts w:hint="eastAsia"/>
                      <w:b/>
                      <w:szCs w:val="21"/>
                    </w:rPr>
                    <w:t>长度</w:t>
                  </w:r>
                  <w:r>
                    <w:rPr>
                      <w:b/>
                      <w:szCs w:val="21"/>
                    </w:rPr>
                    <w:t>（</w:t>
                  </w:r>
                  <w:r>
                    <w:rPr>
                      <w:rFonts w:hint="eastAsia"/>
                      <w:b/>
                      <w:szCs w:val="21"/>
                    </w:rPr>
                    <w:t>m</w:t>
                  </w:r>
                  <w:r>
                    <w:rPr>
                      <w:b/>
                      <w:szCs w:val="21"/>
                    </w:rPr>
                    <w:t>）</w:t>
                  </w:r>
                </w:p>
              </w:tc>
              <w:tc>
                <w:tcPr>
                  <w:tcW w:w="823" w:type="pct"/>
                  <w:vAlign w:val="center"/>
                </w:tcPr>
                <w:p>
                  <w:pPr>
                    <w:adjustRightInd w:val="0"/>
                    <w:snapToGrid w:val="0"/>
                    <w:spacing w:line="320" w:lineRule="exact"/>
                    <w:jc w:val="center"/>
                    <w:rPr>
                      <w:b/>
                      <w:szCs w:val="21"/>
                    </w:rPr>
                  </w:pPr>
                  <w:r>
                    <w:rPr>
                      <w:rFonts w:hint="eastAsia"/>
                      <w:b/>
                      <w:szCs w:val="21"/>
                    </w:rPr>
                    <w:t>宽度</w:t>
                  </w:r>
                  <w:r>
                    <w:rPr>
                      <w:b/>
                      <w:szCs w:val="21"/>
                    </w:rPr>
                    <w:t>（</w:t>
                  </w:r>
                  <w:r>
                    <w:rPr>
                      <w:rFonts w:hint="eastAsia"/>
                      <w:b/>
                      <w:szCs w:val="21"/>
                    </w:rPr>
                    <w:t>m</w:t>
                  </w:r>
                  <w:r>
                    <w:rPr>
                      <w:b/>
                      <w:szCs w:val="21"/>
                    </w:rPr>
                    <w:t>）</w:t>
                  </w:r>
                </w:p>
              </w:tc>
              <w:tc>
                <w:tcPr>
                  <w:tcW w:w="1039" w:type="pct"/>
                  <w:vAlign w:val="center"/>
                </w:tcPr>
                <w:p>
                  <w:pPr>
                    <w:adjustRightInd w:val="0"/>
                    <w:snapToGrid w:val="0"/>
                    <w:spacing w:line="320" w:lineRule="exact"/>
                    <w:jc w:val="center"/>
                    <w:rPr>
                      <w:b/>
                      <w:szCs w:val="21"/>
                    </w:rPr>
                  </w:pPr>
                  <w:r>
                    <w:rPr>
                      <w:rFonts w:hint="eastAsia"/>
                      <w:b/>
                      <w:szCs w:val="21"/>
                    </w:rPr>
                    <w:t>有效高度（m）</w:t>
                  </w:r>
                </w:p>
              </w:tc>
              <w:tc>
                <w:tcPr>
                  <w:tcW w:w="773" w:type="pct"/>
                  <w:vMerge w:val="continue"/>
                  <w:vAlign w:val="center"/>
                </w:tcPr>
                <w:p>
                  <w:pPr>
                    <w:adjustRightInd w:val="0"/>
                    <w:snapToGrid w:val="0"/>
                    <w:spacing w:line="320" w:lineRule="exact"/>
                    <w:jc w:val="center"/>
                    <w:rPr>
                      <w:szCs w:val="21"/>
                    </w:rPr>
                  </w:pPr>
                </w:p>
              </w:tc>
              <w:tc>
                <w:tcPr>
                  <w:tcW w:w="766" w:type="pct"/>
                  <w:vMerge w:val="continue"/>
                  <w:vAlign w:val="center"/>
                </w:tcPr>
                <w:p>
                  <w:pPr>
                    <w:adjustRightInd w:val="0"/>
                    <w:snapToGrid w:val="0"/>
                    <w:spacing w:line="320" w:lineRule="exact"/>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76" w:type="pct"/>
                  <w:vAlign w:val="center"/>
                </w:tcPr>
                <w:p>
                  <w:pPr>
                    <w:adjustRightInd w:val="0"/>
                    <w:snapToGrid w:val="0"/>
                    <w:spacing w:line="320" w:lineRule="exact"/>
                    <w:jc w:val="center"/>
                    <w:rPr>
                      <w:szCs w:val="21"/>
                    </w:rPr>
                  </w:pPr>
                  <w:r>
                    <w:rPr>
                      <w:rFonts w:hint="eastAsia"/>
                      <w:szCs w:val="21"/>
                    </w:rPr>
                    <w:t>生产车间</w:t>
                  </w:r>
                </w:p>
              </w:tc>
              <w:tc>
                <w:tcPr>
                  <w:tcW w:w="823" w:type="pct"/>
                  <w:vAlign w:val="center"/>
                </w:tcPr>
                <w:p>
                  <w:pPr>
                    <w:adjustRightInd w:val="0"/>
                    <w:snapToGrid w:val="0"/>
                    <w:spacing w:line="320" w:lineRule="exact"/>
                    <w:jc w:val="center"/>
                    <w:rPr>
                      <w:szCs w:val="21"/>
                    </w:rPr>
                  </w:pPr>
                  <w:r>
                    <w:rPr>
                      <w:rFonts w:hint="eastAsia"/>
                      <w:szCs w:val="21"/>
                    </w:rPr>
                    <w:t>50</w:t>
                  </w:r>
                </w:p>
              </w:tc>
              <w:tc>
                <w:tcPr>
                  <w:tcW w:w="823" w:type="pct"/>
                  <w:vAlign w:val="center"/>
                </w:tcPr>
                <w:p>
                  <w:pPr>
                    <w:adjustRightInd w:val="0"/>
                    <w:snapToGrid w:val="0"/>
                    <w:spacing w:line="320" w:lineRule="exact"/>
                    <w:jc w:val="center"/>
                    <w:rPr>
                      <w:szCs w:val="21"/>
                    </w:rPr>
                  </w:pPr>
                  <w:r>
                    <w:rPr>
                      <w:rFonts w:hint="eastAsia"/>
                      <w:szCs w:val="21"/>
                    </w:rPr>
                    <w:t>14</w:t>
                  </w:r>
                </w:p>
              </w:tc>
              <w:tc>
                <w:tcPr>
                  <w:tcW w:w="1039" w:type="pct"/>
                  <w:vAlign w:val="center"/>
                </w:tcPr>
                <w:p>
                  <w:pPr>
                    <w:adjustRightInd w:val="0"/>
                    <w:snapToGrid w:val="0"/>
                    <w:spacing w:line="320" w:lineRule="exact"/>
                    <w:jc w:val="center"/>
                    <w:rPr>
                      <w:szCs w:val="21"/>
                    </w:rPr>
                  </w:pPr>
                  <w:r>
                    <w:rPr>
                      <w:szCs w:val="21"/>
                    </w:rPr>
                    <w:t>9</w:t>
                  </w:r>
                </w:p>
              </w:tc>
              <w:tc>
                <w:tcPr>
                  <w:tcW w:w="773" w:type="pct"/>
                  <w:vAlign w:val="center"/>
                </w:tcPr>
                <w:p>
                  <w:pPr>
                    <w:adjustRightInd w:val="0"/>
                    <w:snapToGrid w:val="0"/>
                    <w:spacing w:line="320" w:lineRule="exact"/>
                    <w:jc w:val="center"/>
                    <w:rPr>
                      <w:szCs w:val="21"/>
                    </w:rPr>
                  </w:pPr>
                  <w:r>
                    <w:rPr>
                      <w:rFonts w:hint="eastAsia"/>
                      <w:szCs w:val="21"/>
                    </w:rPr>
                    <w:t>颗粒物</w:t>
                  </w:r>
                </w:p>
              </w:tc>
              <w:tc>
                <w:tcPr>
                  <w:tcW w:w="766" w:type="pct"/>
                  <w:vAlign w:val="center"/>
                </w:tcPr>
                <w:p>
                  <w:pPr>
                    <w:pStyle w:val="89"/>
                    <w:adjustRightInd w:val="0"/>
                    <w:snapToGrid w:val="0"/>
                  </w:pPr>
                  <w:r>
                    <w:rPr>
                      <w:rFonts w:hint="eastAsia"/>
                    </w:rPr>
                    <w:t>0.</w:t>
                  </w:r>
                  <w:r>
                    <w:t>00</w:t>
                  </w:r>
                  <w:r>
                    <w:rPr>
                      <w:rFonts w:hint="eastAsia"/>
                    </w:rPr>
                    <w:t>7</w:t>
                  </w:r>
                </w:p>
              </w:tc>
            </w:tr>
          </w:tbl>
          <w:p>
            <w:pPr>
              <w:adjustRightInd w:val="0"/>
              <w:snapToGrid w:val="0"/>
              <w:spacing w:line="500" w:lineRule="exact"/>
              <w:ind w:firstLine="480" w:firstLineChars="200"/>
              <w:rPr>
                <w:color w:val="000000"/>
                <w:sz w:val="24"/>
              </w:rPr>
            </w:pPr>
            <w:r>
              <w:rPr>
                <w:color w:val="000000"/>
                <w:sz w:val="24"/>
              </w:rPr>
              <w:fldChar w:fldCharType="begin"/>
            </w:r>
            <w:r>
              <w:rPr>
                <w:color w:val="000000"/>
                <w:sz w:val="24"/>
              </w:rPr>
              <w:instrText xml:space="preserve"> </w:instrText>
            </w:r>
            <w:r>
              <w:rPr>
                <w:rFonts w:hint="eastAsia"/>
                <w:color w:val="000000"/>
                <w:sz w:val="24"/>
              </w:rPr>
              <w:instrText xml:space="preserve">= 4 \* GB3</w:instrText>
            </w:r>
            <w:r>
              <w:rPr>
                <w:color w:val="000000"/>
                <w:sz w:val="24"/>
              </w:rPr>
              <w:instrText xml:space="preserve"> </w:instrText>
            </w:r>
            <w:r>
              <w:rPr>
                <w:color w:val="000000"/>
                <w:sz w:val="24"/>
              </w:rPr>
              <w:fldChar w:fldCharType="separate"/>
            </w:r>
            <w:r>
              <w:rPr>
                <w:rFonts w:hint="eastAsia"/>
                <w:color w:val="000000"/>
                <w:sz w:val="24"/>
              </w:rPr>
              <w:t>④</w:t>
            </w:r>
            <w:r>
              <w:rPr>
                <w:color w:val="000000"/>
                <w:sz w:val="24"/>
              </w:rPr>
              <w:fldChar w:fldCharType="end"/>
            </w:r>
            <w:r>
              <w:rPr>
                <w:rFonts w:hint="eastAsia"/>
                <w:color w:val="000000"/>
                <w:sz w:val="24"/>
              </w:rPr>
              <w:t>预测结果分析</w:t>
            </w:r>
          </w:p>
          <w:p>
            <w:pPr>
              <w:adjustRightInd w:val="0"/>
              <w:snapToGrid w:val="0"/>
              <w:spacing w:line="500" w:lineRule="exact"/>
              <w:ind w:firstLine="480" w:firstLineChars="200"/>
              <w:rPr>
                <w:snapToGrid w:val="0"/>
                <w:color w:val="000000"/>
                <w:kern w:val="0"/>
                <w:sz w:val="24"/>
              </w:rPr>
            </w:pPr>
            <w:r>
              <w:rPr>
                <w:snapToGrid w:val="0"/>
                <w:color w:val="000000"/>
                <w:kern w:val="0"/>
                <w:sz w:val="24"/>
              </w:rPr>
              <w:t>采用《环境影响评价技术导则大气环境》（HJ2.2-2018）中推荐的估算模型AERSCREEN预测</w:t>
            </w:r>
            <w:r>
              <w:rPr>
                <w:snapToGrid w:val="0"/>
                <w:kern w:val="0"/>
                <w:sz w:val="24"/>
              </w:rPr>
              <w:t>全厂</w:t>
            </w:r>
            <w:r>
              <w:rPr>
                <w:snapToGrid w:val="0"/>
                <w:color w:val="000000"/>
                <w:kern w:val="0"/>
                <w:sz w:val="24"/>
              </w:rPr>
              <w:t>废气排放对周围大气环境的影响，预测结果见下表</w:t>
            </w:r>
            <w:r>
              <w:rPr>
                <w:rFonts w:hint="eastAsia"/>
                <w:snapToGrid w:val="0"/>
                <w:color w:val="000000"/>
                <w:kern w:val="0"/>
                <w:sz w:val="24"/>
              </w:rPr>
              <w:t>37</w:t>
            </w:r>
            <w:r>
              <w:rPr>
                <w:snapToGrid w:val="0"/>
                <w:color w:val="000000"/>
                <w:kern w:val="0"/>
                <w:sz w:val="24"/>
              </w:rPr>
              <w:t>。</w:t>
            </w:r>
          </w:p>
          <w:p>
            <w:pPr>
              <w:adjustRightInd w:val="0"/>
              <w:snapToGrid w:val="0"/>
              <w:spacing w:line="440" w:lineRule="exact"/>
              <w:ind w:firstLine="482" w:firstLineChars="200"/>
              <w:rPr>
                <w:b/>
                <w:bCs/>
                <w:color w:val="000000"/>
                <w:sz w:val="24"/>
              </w:rPr>
            </w:pPr>
            <w:r>
              <w:rPr>
                <w:b/>
                <w:bCs/>
                <w:color w:val="000000"/>
                <w:sz w:val="24"/>
              </w:rPr>
              <w:t>表</w:t>
            </w:r>
            <w:r>
              <w:rPr>
                <w:rFonts w:hint="eastAsia"/>
                <w:b/>
                <w:bCs/>
                <w:color w:val="000000"/>
                <w:sz w:val="24"/>
              </w:rPr>
              <w:t>37</w:t>
            </w:r>
            <w:r>
              <w:rPr>
                <w:b/>
                <w:bCs/>
                <w:color w:val="000000"/>
                <w:sz w:val="24"/>
              </w:rPr>
              <w:t xml:space="preserve">          AERSCREEN估算模型计算结果一览表</w:t>
            </w:r>
          </w:p>
          <w:tbl>
            <w:tblPr>
              <w:tblStyle w:val="27"/>
              <w:tblW w:w="4997"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766"/>
              <w:gridCol w:w="1283"/>
              <w:gridCol w:w="1073"/>
              <w:gridCol w:w="2093"/>
              <w:gridCol w:w="1627"/>
              <w:gridCol w:w="1121"/>
              <w:gridCol w:w="1364"/>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411" w:type="pct"/>
                  <w:tcBorders>
                    <w:bottom w:val="single" w:color="000000" w:sz="8" w:space="0"/>
                  </w:tcBorders>
                  <w:vAlign w:val="center"/>
                </w:tcPr>
                <w:p>
                  <w:pPr>
                    <w:snapToGrid w:val="0"/>
                    <w:jc w:val="center"/>
                    <w:rPr>
                      <w:b/>
                      <w:color w:val="000000"/>
                      <w:szCs w:val="21"/>
                    </w:rPr>
                  </w:pPr>
                  <w:r>
                    <w:rPr>
                      <w:rFonts w:hAnsi="宋体"/>
                      <w:b/>
                      <w:color w:val="000000"/>
                      <w:szCs w:val="21"/>
                    </w:rPr>
                    <w:t>排放方式</w:t>
                  </w:r>
                </w:p>
              </w:tc>
              <w:tc>
                <w:tcPr>
                  <w:tcW w:w="688" w:type="pct"/>
                  <w:tcBorders>
                    <w:bottom w:val="single" w:color="000000" w:sz="8" w:space="0"/>
                  </w:tcBorders>
                  <w:vAlign w:val="center"/>
                </w:tcPr>
                <w:p>
                  <w:pPr>
                    <w:snapToGrid w:val="0"/>
                    <w:jc w:val="center"/>
                    <w:rPr>
                      <w:b/>
                      <w:color w:val="000000"/>
                      <w:szCs w:val="21"/>
                    </w:rPr>
                  </w:pPr>
                  <w:r>
                    <w:rPr>
                      <w:rFonts w:hAnsi="宋体"/>
                      <w:b/>
                      <w:color w:val="000000"/>
                      <w:szCs w:val="21"/>
                    </w:rPr>
                    <w:t>污染源</w:t>
                  </w:r>
                </w:p>
              </w:tc>
              <w:tc>
                <w:tcPr>
                  <w:tcW w:w="575" w:type="pct"/>
                  <w:tcBorders>
                    <w:bottom w:val="single" w:color="000000" w:sz="8" w:space="0"/>
                  </w:tcBorders>
                  <w:vAlign w:val="center"/>
                </w:tcPr>
                <w:p>
                  <w:pPr>
                    <w:snapToGrid w:val="0"/>
                    <w:jc w:val="center"/>
                    <w:rPr>
                      <w:b/>
                      <w:color w:val="000000"/>
                      <w:szCs w:val="21"/>
                    </w:rPr>
                  </w:pPr>
                  <w:r>
                    <w:rPr>
                      <w:rFonts w:hAnsi="宋体"/>
                      <w:b/>
                      <w:color w:val="000000"/>
                      <w:szCs w:val="21"/>
                    </w:rPr>
                    <w:t>污染物</w:t>
                  </w:r>
                </w:p>
              </w:tc>
              <w:tc>
                <w:tcPr>
                  <w:tcW w:w="1122" w:type="pct"/>
                  <w:tcBorders>
                    <w:bottom w:val="single" w:color="000000" w:sz="8" w:space="0"/>
                  </w:tcBorders>
                  <w:vAlign w:val="center"/>
                </w:tcPr>
                <w:p>
                  <w:pPr>
                    <w:snapToGrid w:val="0"/>
                    <w:jc w:val="center"/>
                    <w:rPr>
                      <w:b/>
                      <w:color w:val="000000"/>
                      <w:szCs w:val="21"/>
                    </w:rPr>
                  </w:pPr>
                  <w:r>
                    <w:rPr>
                      <w:rFonts w:hAnsi="宋体"/>
                      <w:b/>
                      <w:color w:val="000000"/>
                      <w:szCs w:val="21"/>
                    </w:rPr>
                    <w:t>下风向质量浓度</w:t>
                  </w:r>
                  <w:r>
                    <w:rPr>
                      <w:b/>
                      <w:color w:val="000000"/>
                      <w:szCs w:val="21"/>
                    </w:rPr>
                    <w:t>Ci</w:t>
                  </w:r>
                  <w:r>
                    <w:rPr>
                      <w:rFonts w:hAnsi="宋体"/>
                      <w:b/>
                      <w:color w:val="000000"/>
                      <w:szCs w:val="21"/>
                    </w:rPr>
                    <w:t>（</w:t>
                  </w:r>
                  <w:r>
                    <w:rPr>
                      <w:b/>
                      <w:color w:val="000000"/>
                      <w:szCs w:val="21"/>
                    </w:rPr>
                    <w:t>μg/m</w:t>
                  </w:r>
                  <w:r>
                    <w:rPr>
                      <w:b/>
                      <w:color w:val="000000"/>
                      <w:szCs w:val="21"/>
                      <w:vertAlign w:val="superscript"/>
                    </w:rPr>
                    <w:t>3</w:t>
                  </w:r>
                  <w:r>
                    <w:rPr>
                      <w:rFonts w:hAnsi="宋体"/>
                      <w:b/>
                      <w:color w:val="000000"/>
                      <w:szCs w:val="21"/>
                    </w:rPr>
                    <w:t>）</w:t>
                  </w:r>
                </w:p>
              </w:tc>
              <w:tc>
                <w:tcPr>
                  <w:tcW w:w="872" w:type="pct"/>
                  <w:tcBorders>
                    <w:bottom w:val="single" w:color="000000" w:sz="8" w:space="0"/>
                  </w:tcBorders>
                  <w:vAlign w:val="center"/>
                </w:tcPr>
                <w:p>
                  <w:pPr>
                    <w:snapToGrid w:val="0"/>
                    <w:jc w:val="center"/>
                    <w:rPr>
                      <w:b/>
                      <w:color w:val="000000"/>
                      <w:szCs w:val="21"/>
                    </w:rPr>
                  </w:pPr>
                  <w:r>
                    <w:rPr>
                      <w:rFonts w:hAnsi="宋体"/>
                      <w:b/>
                      <w:color w:val="000000"/>
                      <w:szCs w:val="21"/>
                    </w:rPr>
                    <w:t>占标率</w:t>
                  </w:r>
                  <w:r>
                    <w:rPr>
                      <w:b/>
                      <w:color w:val="000000"/>
                      <w:szCs w:val="21"/>
                    </w:rPr>
                    <w:t>Pi</w:t>
                  </w:r>
                  <w:r>
                    <w:rPr>
                      <w:rFonts w:hAnsi="宋体"/>
                      <w:b/>
                      <w:color w:val="000000"/>
                      <w:szCs w:val="21"/>
                    </w:rPr>
                    <w:t>（</w:t>
                  </w:r>
                  <w:r>
                    <w:rPr>
                      <w:b/>
                      <w:color w:val="000000"/>
                      <w:szCs w:val="21"/>
                    </w:rPr>
                    <w:t>%</w:t>
                  </w:r>
                  <w:r>
                    <w:rPr>
                      <w:rFonts w:hAnsi="宋体"/>
                      <w:b/>
                      <w:color w:val="000000"/>
                      <w:szCs w:val="21"/>
                    </w:rPr>
                    <w:t>）</w:t>
                  </w:r>
                </w:p>
              </w:tc>
              <w:tc>
                <w:tcPr>
                  <w:tcW w:w="601" w:type="pct"/>
                  <w:tcBorders>
                    <w:bottom w:val="single" w:color="000000" w:sz="8" w:space="0"/>
                  </w:tcBorders>
                  <w:vAlign w:val="center"/>
                </w:tcPr>
                <w:p>
                  <w:pPr>
                    <w:snapToGrid w:val="0"/>
                    <w:jc w:val="center"/>
                    <w:rPr>
                      <w:b/>
                      <w:color w:val="000000"/>
                      <w:szCs w:val="21"/>
                    </w:rPr>
                  </w:pPr>
                  <w:r>
                    <w:rPr>
                      <w:rFonts w:hAnsi="宋体"/>
                      <w:b/>
                      <w:color w:val="000000"/>
                      <w:szCs w:val="21"/>
                    </w:rPr>
                    <w:t>出现距离（</w:t>
                  </w:r>
                  <w:r>
                    <w:rPr>
                      <w:b/>
                      <w:color w:val="000000"/>
                      <w:szCs w:val="21"/>
                    </w:rPr>
                    <w:t>m</w:t>
                  </w:r>
                  <w:r>
                    <w:rPr>
                      <w:rFonts w:hAnsi="宋体"/>
                      <w:b/>
                      <w:color w:val="000000"/>
                      <w:szCs w:val="21"/>
                    </w:rPr>
                    <w:t>）</w:t>
                  </w:r>
                </w:p>
              </w:tc>
              <w:tc>
                <w:tcPr>
                  <w:tcW w:w="731" w:type="pct"/>
                  <w:tcBorders>
                    <w:bottom w:val="single" w:color="000000" w:sz="8" w:space="0"/>
                  </w:tcBorders>
                  <w:vAlign w:val="center"/>
                </w:tcPr>
                <w:p>
                  <w:pPr>
                    <w:snapToGrid w:val="0"/>
                    <w:jc w:val="center"/>
                    <w:rPr>
                      <w:b/>
                      <w:color w:val="000000"/>
                      <w:szCs w:val="21"/>
                    </w:rPr>
                  </w:pPr>
                  <w:r>
                    <w:rPr>
                      <w:rFonts w:hAnsi="宋体"/>
                      <w:b/>
                      <w:color w:val="000000"/>
                      <w:szCs w:val="21"/>
                    </w:rPr>
                    <w:t>标准值</w:t>
                  </w:r>
                  <w:r>
                    <w:rPr>
                      <w:b/>
                      <w:color w:val="000000"/>
                      <w:szCs w:val="21"/>
                    </w:rPr>
                    <w:t>Coi*</w:t>
                  </w:r>
                  <w:r>
                    <w:rPr>
                      <w:rFonts w:hAnsi="宋体"/>
                      <w:b/>
                      <w:color w:val="000000"/>
                      <w:szCs w:val="21"/>
                    </w:rPr>
                    <w:t>（</w:t>
                  </w:r>
                  <w:r>
                    <w:rPr>
                      <w:b/>
                      <w:color w:val="000000"/>
                      <w:szCs w:val="21"/>
                    </w:rPr>
                    <w:t>μg/m</w:t>
                  </w:r>
                  <w:r>
                    <w:rPr>
                      <w:b/>
                      <w:color w:val="000000"/>
                      <w:szCs w:val="21"/>
                      <w:vertAlign w:val="superscript"/>
                    </w:rPr>
                    <w:t>3</w:t>
                  </w:r>
                  <w:r>
                    <w:rPr>
                      <w:rFonts w:hAnsi="宋体"/>
                      <w:b/>
                      <w:color w:val="000000"/>
                      <w:szCs w:val="21"/>
                    </w:rPr>
                    <w:t>）</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411" w:type="pct"/>
                  <w:vAlign w:val="center"/>
                </w:tcPr>
                <w:p>
                  <w:pPr>
                    <w:snapToGrid w:val="0"/>
                    <w:jc w:val="center"/>
                    <w:rPr>
                      <w:rFonts w:hAnsi="宋体"/>
                      <w:color w:val="000000"/>
                      <w:szCs w:val="21"/>
                    </w:rPr>
                  </w:pPr>
                  <w:r>
                    <w:rPr>
                      <w:rFonts w:hint="eastAsia" w:hAnsi="宋体"/>
                      <w:color w:val="000000"/>
                      <w:szCs w:val="21"/>
                    </w:rPr>
                    <w:t>点源</w:t>
                  </w:r>
                </w:p>
              </w:tc>
              <w:tc>
                <w:tcPr>
                  <w:tcW w:w="688" w:type="pct"/>
                  <w:vAlign w:val="center"/>
                </w:tcPr>
                <w:p>
                  <w:pPr>
                    <w:snapToGrid w:val="0"/>
                    <w:jc w:val="center"/>
                    <w:rPr>
                      <w:rFonts w:hAnsi="宋体"/>
                      <w:b/>
                      <w:color w:val="000000"/>
                      <w:szCs w:val="21"/>
                    </w:rPr>
                  </w:pPr>
                  <w:r>
                    <w:rPr>
                      <w:rFonts w:hint="eastAsia"/>
                      <w:szCs w:val="21"/>
                    </w:rPr>
                    <w:t>排气筒</w:t>
                  </w:r>
                  <w:r>
                    <w:rPr>
                      <w:szCs w:val="21"/>
                    </w:rPr>
                    <w:t>P</w:t>
                  </w:r>
                  <w:r>
                    <w:rPr>
                      <w:szCs w:val="21"/>
                      <w:vertAlign w:val="subscript"/>
                    </w:rPr>
                    <w:t>1</w:t>
                  </w:r>
                </w:p>
              </w:tc>
              <w:tc>
                <w:tcPr>
                  <w:tcW w:w="575" w:type="pct"/>
                  <w:vMerge w:val="restart"/>
                  <w:vAlign w:val="center"/>
                </w:tcPr>
                <w:p>
                  <w:pPr>
                    <w:snapToGrid w:val="0"/>
                    <w:jc w:val="center"/>
                    <w:rPr>
                      <w:rFonts w:hAnsi="宋体"/>
                      <w:b/>
                      <w:color w:val="000000"/>
                      <w:szCs w:val="21"/>
                    </w:rPr>
                  </w:pPr>
                  <w:r>
                    <w:rPr>
                      <w:rFonts w:hint="eastAsia" w:hAnsi="宋体"/>
                      <w:szCs w:val="21"/>
                    </w:rPr>
                    <w:t>颗粒物</w:t>
                  </w:r>
                </w:p>
              </w:tc>
              <w:tc>
                <w:tcPr>
                  <w:tcW w:w="1122" w:type="pct"/>
                  <w:vAlign w:val="center"/>
                </w:tcPr>
                <w:p>
                  <w:pPr>
                    <w:snapToGrid w:val="0"/>
                    <w:jc w:val="center"/>
                    <w:rPr>
                      <w:rFonts w:hAnsi="宋体"/>
                      <w:color w:val="000000"/>
                      <w:szCs w:val="21"/>
                    </w:rPr>
                  </w:pPr>
                  <w:r>
                    <w:rPr>
                      <w:rFonts w:hint="eastAsia" w:hAnsi="宋体"/>
                      <w:color w:val="000000"/>
                      <w:szCs w:val="21"/>
                    </w:rPr>
                    <w:t>0.0117</w:t>
                  </w:r>
                </w:p>
              </w:tc>
              <w:tc>
                <w:tcPr>
                  <w:tcW w:w="872" w:type="pct"/>
                  <w:vAlign w:val="center"/>
                </w:tcPr>
                <w:p>
                  <w:pPr>
                    <w:snapToGrid w:val="0"/>
                    <w:jc w:val="center"/>
                    <w:rPr>
                      <w:rFonts w:hAnsi="宋体"/>
                      <w:color w:val="000000"/>
                      <w:szCs w:val="21"/>
                    </w:rPr>
                  </w:pPr>
                  <w:r>
                    <w:rPr>
                      <w:rFonts w:hint="eastAsia" w:hAnsi="宋体"/>
                      <w:color w:val="000000"/>
                      <w:szCs w:val="21"/>
                    </w:rPr>
                    <w:t>0.000026</w:t>
                  </w:r>
                </w:p>
              </w:tc>
              <w:tc>
                <w:tcPr>
                  <w:tcW w:w="601" w:type="pct"/>
                  <w:vAlign w:val="center"/>
                </w:tcPr>
                <w:p>
                  <w:pPr>
                    <w:snapToGrid w:val="0"/>
                    <w:jc w:val="center"/>
                    <w:rPr>
                      <w:rFonts w:hAnsi="宋体"/>
                      <w:color w:val="000000"/>
                      <w:szCs w:val="21"/>
                    </w:rPr>
                  </w:pPr>
                  <w:r>
                    <w:rPr>
                      <w:rFonts w:hint="eastAsia" w:hAnsi="宋体"/>
                      <w:color w:val="000000"/>
                      <w:szCs w:val="21"/>
                    </w:rPr>
                    <w:t>49</w:t>
                  </w:r>
                </w:p>
              </w:tc>
              <w:tc>
                <w:tcPr>
                  <w:tcW w:w="731" w:type="pct"/>
                  <w:vAlign w:val="center"/>
                </w:tcPr>
                <w:p>
                  <w:pPr>
                    <w:snapToGrid w:val="0"/>
                    <w:jc w:val="center"/>
                    <w:rPr>
                      <w:rFonts w:hAnsi="宋体"/>
                      <w:color w:val="000000"/>
                      <w:szCs w:val="21"/>
                    </w:rPr>
                  </w:pPr>
                  <w:r>
                    <w:rPr>
                      <w:rFonts w:hint="eastAsia" w:hAnsi="宋体"/>
                      <w:color w:val="000000"/>
                      <w:szCs w:val="21"/>
                    </w:rPr>
                    <w:t>450</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411" w:type="pct"/>
                  <w:vAlign w:val="center"/>
                </w:tcPr>
                <w:p>
                  <w:pPr>
                    <w:snapToGrid w:val="0"/>
                    <w:jc w:val="center"/>
                    <w:rPr>
                      <w:rFonts w:hAnsi="宋体"/>
                      <w:color w:val="000000"/>
                      <w:szCs w:val="21"/>
                    </w:rPr>
                  </w:pPr>
                  <w:r>
                    <w:rPr>
                      <w:rFonts w:hint="eastAsia" w:hAnsi="宋体"/>
                      <w:color w:val="000000"/>
                      <w:szCs w:val="21"/>
                    </w:rPr>
                    <w:t>面源</w:t>
                  </w:r>
                </w:p>
              </w:tc>
              <w:tc>
                <w:tcPr>
                  <w:tcW w:w="688" w:type="pct"/>
                  <w:vAlign w:val="center"/>
                </w:tcPr>
                <w:p>
                  <w:pPr>
                    <w:snapToGrid w:val="0"/>
                    <w:jc w:val="center"/>
                    <w:rPr>
                      <w:szCs w:val="21"/>
                    </w:rPr>
                  </w:pPr>
                  <w:r>
                    <w:rPr>
                      <w:rFonts w:hint="eastAsia"/>
                      <w:szCs w:val="21"/>
                    </w:rPr>
                    <w:t>生产车间</w:t>
                  </w:r>
                </w:p>
              </w:tc>
              <w:tc>
                <w:tcPr>
                  <w:tcW w:w="575" w:type="pct"/>
                  <w:vMerge w:val="continue"/>
                  <w:vAlign w:val="center"/>
                </w:tcPr>
                <w:p>
                  <w:pPr>
                    <w:snapToGrid w:val="0"/>
                    <w:jc w:val="center"/>
                    <w:rPr>
                      <w:rFonts w:hAnsi="宋体"/>
                      <w:szCs w:val="21"/>
                    </w:rPr>
                  </w:pPr>
                </w:p>
              </w:tc>
              <w:tc>
                <w:tcPr>
                  <w:tcW w:w="1122" w:type="pct"/>
                  <w:vAlign w:val="center"/>
                </w:tcPr>
                <w:p>
                  <w:pPr>
                    <w:snapToGrid w:val="0"/>
                    <w:jc w:val="center"/>
                    <w:rPr>
                      <w:rFonts w:hAnsi="宋体"/>
                      <w:color w:val="000000"/>
                      <w:szCs w:val="21"/>
                    </w:rPr>
                  </w:pPr>
                  <w:r>
                    <w:rPr>
                      <w:rFonts w:hint="eastAsia" w:hAnsi="宋体"/>
                      <w:color w:val="000000"/>
                      <w:szCs w:val="21"/>
                    </w:rPr>
                    <w:t>1.3538</w:t>
                  </w:r>
                </w:p>
              </w:tc>
              <w:tc>
                <w:tcPr>
                  <w:tcW w:w="872" w:type="pct"/>
                  <w:vAlign w:val="center"/>
                </w:tcPr>
                <w:p>
                  <w:pPr>
                    <w:snapToGrid w:val="0"/>
                    <w:jc w:val="center"/>
                    <w:rPr>
                      <w:rFonts w:hAnsi="宋体"/>
                      <w:color w:val="000000"/>
                      <w:szCs w:val="21"/>
                    </w:rPr>
                  </w:pPr>
                  <w:r>
                    <w:rPr>
                      <w:rFonts w:hint="eastAsia" w:hAnsi="宋体"/>
                      <w:color w:val="000000"/>
                      <w:szCs w:val="21"/>
                    </w:rPr>
                    <w:t>0.30</w:t>
                  </w:r>
                </w:p>
              </w:tc>
              <w:tc>
                <w:tcPr>
                  <w:tcW w:w="601" w:type="pct"/>
                  <w:vAlign w:val="center"/>
                </w:tcPr>
                <w:p>
                  <w:pPr>
                    <w:snapToGrid w:val="0"/>
                    <w:jc w:val="center"/>
                    <w:rPr>
                      <w:rFonts w:hAnsi="宋体"/>
                      <w:color w:val="000000"/>
                      <w:szCs w:val="21"/>
                    </w:rPr>
                  </w:pPr>
                  <w:r>
                    <w:rPr>
                      <w:rFonts w:hint="eastAsia" w:hAnsi="宋体"/>
                      <w:color w:val="000000"/>
                      <w:szCs w:val="21"/>
                    </w:rPr>
                    <w:t>19</w:t>
                  </w:r>
                </w:p>
              </w:tc>
              <w:tc>
                <w:tcPr>
                  <w:tcW w:w="731" w:type="pct"/>
                  <w:vAlign w:val="center"/>
                </w:tcPr>
                <w:p>
                  <w:pPr>
                    <w:snapToGrid w:val="0"/>
                    <w:jc w:val="center"/>
                    <w:rPr>
                      <w:rFonts w:hAnsi="宋体"/>
                      <w:color w:val="000000"/>
                      <w:szCs w:val="21"/>
                    </w:rPr>
                  </w:pPr>
                  <w:r>
                    <w:rPr>
                      <w:rFonts w:hint="eastAsia" w:hAnsi="宋体"/>
                      <w:color w:val="000000"/>
                      <w:szCs w:val="21"/>
                    </w:rPr>
                    <w:t>450</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099" w:type="pct"/>
                  <w:gridSpan w:val="2"/>
                  <w:tcBorders>
                    <w:bottom w:val="single" w:color="000000" w:sz="8" w:space="0"/>
                  </w:tcBorders>
                  <w:vAlign w:val="center"/>
                </w:tcPr>
                <w:p>
                  <w:pPr>
                    <w:snapToGrid w:val="0"/>
                    <w:jc w:val="center"/>
                    <w:rPr>
                      <w:szCs w:val="21"/>
                    </w:rPr>
                  </w:pPr>
                  <w:r>
                    <w:rPr>
                      <w:rFonts w:hint="eastAsia"/>
                      <w:szCs w:val="21"/>
                    </w:rPr>
                    <w:t>各源最大值</w:t>
                  </w:r>
                </w:p>
              </w:tc>
              <w:tc>
                <w:tcPr>
                  <w:tcW w:w="575" w:type="pct"/>
                  <w:tcBorders>
                    <w:bottom w:val="single" w:color="000000" w:sz="8" w:space="0"/>
                  </w:tcBorders>
                  <w:vAlign w:val="center"/>
                </w:tcPr>
                <w:p>
                  <w:pPr>
                    <w:snapToGrid w:val="0"/>
                    <w:jc w:val="center"/>
                    <w:rPr>
                      <w:rFonts w:hAnsi="宋体"/>
                      <w:szCs w:val="21"/>
                    </w:rPr>
                  </w:pPr>
                  <w:r>
                    <w:rPr>
                      <w:rFonts w:hint="eastAsia" w:hAnsi="宋体"/>
                      <w:szCs w:val="21"/>
                    </w:rPr>
                    <w:t>颗粒物</w:t>
                  </w:r>
                </w:p>
              </w:tc>
              <w:tc>
                <w:tcPr>
                  <w:tcW w:w="1122" w:type="pct"/>
                  <w:tcBorders>
                    <w:bottom w:val="single" w:color="000000" w:sz="8" w:space="0"/>
                  </w:tcBorders>
                  <w:vAlign w:val="center"/>
                </w:tcPr>
                <w:p>
                  <w:pPr>
                    <w:snapToGrid w:val="0"/>
                    <w:jc w:val="center"/>
                    <w:rPr>
                      <w:rFonts w:hAnsi="宋体"/>
                      <w:color w:val="000000"/>
                      <w:szCs w:val="21"/>
                    </w:rPr>
                  </w:pPr>
                  <w:r>
                    <w:rPr>
                      <w:rFonts w:hint="eastAsia" w:hAnsi="宋体"/>
                      <w:color w:val="000000"/>
                      <w:szCs w:val="21"/>
                    </w:rPr>
                    <w:t>1.3538</w:t>
                  </w:r>
                </w:p>
              </w:tc>
              <w:tc>
                <w:tcPr>
                  <w:tcW w:w="872" w:type="pct"/>
                  <w:tcBorders>
                    <w:bottom w:val="single" w:color="000000" w:sz="8" w:space="0"/>
                  </w:tcBorders>
                  <w:vAlign w:val="center"/>
                </w:tcPr>
                <w:p>
                  <w:pPr>
                    <w:snapToGrid w:val="0"/>
                    <w:jc w:val="center"/>
                    <w:rPr>
                      <w:rFonts w:hAnsi="宋体"/>
                      <w:color w:val="000000"/>
                      <w:szCs w:val="21"/>
                    </w:rPr>
                  </w:pPr>
                  <w:r>
                    <w:rPr>
                      <w:rFonts w:hint="eastAsia" w:hAnsi="宋体"/>
                      <w:color w:val="000000"/>
                      <w:szCs w:val="21"/>
                    </w:rPr>
                    <w:t>0.30</w:t>
                  </w:r>
                </w:p>
              </w:tc>
              <w:tc>
                <w:tcPr>
                  <w:tcW w:w="601" w:type="pct"/>
                  <w:tcBorders>
                    <w:bottom w:val="single" w:color="000000" w:sz="8" w:space="0"/>
                  </w:tcBorders>
                  <w:vAlign w:val="center"/>
                </w:tcPr>
                <w:p>
                  <w:pPr>
                    <w:snapToGrid w:val="0"/>
                    <w:jc w:val="center"/>
                    <w:rPr>
                      <w:rFonts w:hAnsi="宋体"/>
                      <w:color w:val="FF0000"/>
                      <w:szCs w:val="21"/>
                    </w:rPr>
                  </w:pPr>
                </w:p>
              </w:tc>
              <w:tc>
                <w:tcPr>
                  <w:tcW w:w="731" w:type="pct"/>
                  <w:tcBorders>
                    <w:bottom w:val="single" w:color="000000" w:sz="8" w:space="0"/>
                  </w:tcBorders>
                  <w:vAlign w:val="center"/>
                </w:tcPr>
                <w:p>
                  <w:pPr>
                    <w:snapToGrid w:val="0"/>
                    <w:jc w:val="center"/>
                    <w:rPr>
                      <w:rFonts w:hAnsi="宋体"/>
                      <w:color w:val="000000"/>
                      <w:szCs w:val="21"/>
                    </w:rPr>
                  </w:pPr>
                </w:p>
              </w:tc>
            </w:tr>
          </w:tbl>
          <w:p>
            <w:pPr>
              <w:adjustRightInd w:val="0"/>
              <w:snapToGrid w:val="0"/>
              <w:spacing w:line="500" w:lineRule="exact"/>
              <w:ind w:firstLine="480" w:firstLineChars="200"/>
              <w:rPr>
                <w:color w:val="000000"/>
                <w:sz w:val="24"/>
              </w:rPr>
            </w:pPr>
            <w:r>
              <w:rPr>
                <w:color w:val="000000"/>
                <w:sz w:val="24"/>
              </w:rPr>
              <w:fldChar w:fldCharType="begin"/>
            </w:r>
            <w:r>
              <w:rPr>
                <w:color w:val="000000"/>
                <w:sz w:val="24"/>
              </w:rPr>
              <w:instrText xml:space="preserve"> </w:instrText>
            </w:r>
            <w:r>
              <w:rPr>
                <w:rFonts w:hint="eastAsia"/>
                <w:color w:val="000000"/>
                <w:sz w:val="24"/>
              </w:rPr>
              <w:instrText xml:space="preserve">= 5 \* GB3</w:instrText>
            </w:r>
            <w:r>
              <w:rPr>
                <w:color w:val="000000"/>
                <w:sz w:val="24"/>
              </w:rPr>
              <w:instrText xml:space="preserve"> </w:instrText>
            </w:r>
            <w:r>
              <w:rPr>
                <w:color w:val="000000"/>
                <w:sz w:val="24"/>
              </w:rPr>
              <w:fldChar w:fldCharType="separate"/>
            </w:r>
            <w:r>
              <w:rPr>
                <w:rFonts w:hint="eastAsia"/>
                <w:color w:val="000000"/>
                <w:sz w:val="24"/>
              </w:rPr>
              <w:t>⑤</w:t>
            </w:r>
            <w:r>
              <w:rPr>
                <w:color w:val="000000"/>
                <w:sz w:val="24"/>
              </w:rPr>
              <w:fldChar w:fldCharType="end"/>
            </w:r>
            <w:r>
              <w:rPr>
                <w:rFonts w:hint="eastAsia"/>
                <w:color w:val="000000"/>
                <w:sz w:val="24"/>
              </w:rPr>
              <w:t>评价等级判定</w:t>
            </w:r>
          </w:p>
          <w:p>
            <w:pPr>
              <w:pStyle w:val="2"/>
              <w:adjustRightInd w:val="0"/>
              <w:snapToGrid w:val="0"/>
              <w:spacing w:line="500" w:lineRule="exact"/>
              <w:ind w:firstLine="480" w:firstLineChars="200"/>
              <w:jc w:val="left"/>
              <w:rPr>
                <w:b w:val="0"/>
                <w:bCs w:val="0"/>
                <w:snapToGrid w:val="0"/>
                <w:color w:val="000000"/>
                <w:kern w:val="0"/>
              </w:rPr>
            </w:pPr>
            <w:r>
              <w:rPr>
                <w:rFonts w:hint="eastAsia"/>
                <w:b w:val="0"/>
                <w:bCs w:val="0"/>
                <w:snapToGrid w:val="0"/>
                <w:color w:val="000000"/>
                <w:kern w:val="0"/>
              </w:rPr>
              <w:t>由上表结果看出：全厂大气污染源排放的污染物经估算模式预测，颗粒物落地最大浓度值以及最大占标率分别为1.3538μg/m</w:t>
            </w:r>
            <w:r>
              <w:rPr>
                <w:rFonts w:hint="eastAsia"/>
                <w:b w:val="0"/>
                <w:bCs w:val="0"/>
                <w:snapToGrid w:val="0"/>
                <w:color w:val="000000"/>
                <w:kern w:val="0"/>
                <w:vertAlign w:val="superscript"/>
              </w:rPr>
              <w:t>3</w:t>
            </w:r>
            <w:r>
              <w:rPr>
                <w:rFonts w:hint="eastAsia"/>
                <w:b w:val="0"/>
                <w:bCs w:val="0"/>
                <w:snapToGrid w:val="0"/>
                <w:color w:val="000000"/>
                <w:kern w:val="0"/>
              </w:rPr>
              <w:t>和0.3%；根据《环境影响评价技术导则大气环境》（HJ2.2-2018）的大气评价工作分级依据，分级依据见下表。</w:t>
            </w:r>
          </w:p>
          <w:p>
            <w:pPr>
              <w:adjustRightInd w:val="0"/>
              <w:snapToGrid w:val="0"/>
              <w:spacing w:line="440" w:lineRule="exact"/>
              <w:ind w:firstLine="482" w:firstLineChars="200"/>
              <w:rPr>
                <w:b/>
                <w:bCs/>
                <w:color w:val="000000"/>
                <w:sz w:val="24"/>
              </w:rPr>
            </w:pPr>
            <w:r>
              <w:rPr>
                <w:rFonts w:hint="eastAsia"/>
                <w:b/>
                <w:bCs/>
                <w:color w:val="000000"/>
                <w:sz w:val="24"/>
              </w:rPr>
              <w:t>表38             大气评价工作分级判据</w:t>
            </w:r>
          </w:p>
          <w:tbl>
            <w:tblPr>
              <w:tblStyle w:val="27"/>
              <w:tblW w:w="5000"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4140"/>
              <w:gridCol w:w="5193"/>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2218" w:type="pct"/>
                </w:tcPr>
                <w:p>
                  <w:pPr>
                    <w:pStyle w:val="61"/>
                    <w:kinsoku w:val="0"/>
                    <w:overflowPunct w:val="0"/>
                    <w:spacing w:before="56"/>
                    <w:ind w:left="101"/>
                    <w:jc w:val="center"/>
                    <w:rPr>
                      <w:b/>
                      <w:color w:val="000000"/>
                      <w:kern w:val="2"/>
                      <w:sz w:val="21"/>
                      <w:szCs w:val="21"/>
                      <w:lang w:eastAsia="zh-CN"/>
                    </w:rPr>
                  </w:pPr>
                  <w:r>
                    <w:rPr>
                      <w:b/>
                      <w:color w:val="000000"/>
                      <w:kern w:val="2"/>
                      <w:sz w:val="21"/>
                      <w:szCs w:val="21"/>
                      <w:lang w:eastAsia="zh-CN"/>
                    </w:rPr>
                    <w:t>评价工作等级</w:t>
                  </w:r>
                </w:p>
              </w:tc>
              <w:tc>
                <w:tcPr>
                  <w:tcW w:w="2782" w:type="pct"/>
                </w:tcPr>
                <w:p>
                  <w:pPr>
                    <w:pStyle w:val="61"/>
                    <w:kinsoku w:val="0"/>
                    <w:overflowPunct w:val="0"/>
                    <w:spacing w:before="56"/>
                    <w:ind w:left="1591"/>
                    <w:rPr>
                      <w:b/>
                      <w:color w:val="000000"/>
                      <w:kern w:val="2"/>
                      <w:sz w:val="21"/>
                      <w:szCs w:val="21"/>
                      <w:lang w:eastAsia="zh-CN"/>
                    </w:rPr>
                  </w:pPr>
                  <w:r>
                    <w:rPr>
                      <w:b/>
                      <w:color w:val="000000"/>
                      <w:kern w:val="2"/>
                      <w:sz w:val="21"/>
                      <w:szCs w:val="21"/>
                      <w:lang w:eastAsia="zh-CN"/>
                    </w:rPr>
                    <w:t>评价工作分级依据</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18" w:type="pct"/>
                </w:tcPr>
                <w:p>
                  <w:pPr>
                    <w:pStyle w:val="61"/>
                    <w:kinsoku w:val="0"/>
                    <w:overflowPunct w:val="0"/>
                    <w:spacing w:before="28"/>
                    <w:ind w:left="96"/>
                    <w:jc w:val="center"/>
                    <w:rPr>
                      <w:color w:val="000000"/>
                      <w:kern w:val="2"/>
                      <w:sz w:val="21"/>
                      <w:szCs w:val="21"/>
                      <w:lang w:eastAsia="zh-CN"/>
                    </w:rPr>
                  </w:pPr>
                  <w:r>
                    <w:rPr>
                      <w:color w:val="000000"/>
                      <w:kern w:val="2"/>
                      <w:sz w:val="21"/>
                      <w:szCs w:val="21"/>
                      <w:lang w:eastAsia="zh-CN"/>
                    </w:rPr>
                    <w:t>一级</w:t>
                  </w:r>
                </w:p>
              </w:tc>
              <w:tc>
                <w:tcPr>
                  <w:tcW w:w="2782" w:type="pct"/>
                </w:tcPr>
                <w:p>
                  <w:pPr>
                    <w:pStyle w:val="61"/>
                    <w:kinsoku w:val="0"/>
                    <w:overflowPunct w:val="0"/>
                    <w:spacing w:before="28"/>
                    <w:ind w:left="1898"/>
                    <w:rPr>
                      <w:color w:val="000000"/>
                      <w:kern w:val="2"/>
                      <w:sz w:val="21"/>
                      <w:szCs w:val="21"/>
                      <w:lang w:eastAsia="zh-CN"/>
                    </w:rPr>
                  </w:pPr>
                  <w:r>
                    <w:rPr>
                      <w:color w:val="000000"/>
                      <w:kern w:val="2"/>
                      <w:sz w:val="21"/>
                      <w:szCs w:val="21"/>
                      <w:lang w:eastAsia="zh-CN"/>
                    </w:rPr>
                    <w:t>Pmax≥10%</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218" w:type="pct"/>
                </w:tcPr>
                <w:p>
                  <w:pPr>
                    <w:pStyle w:val="61"/>
                    <w:kinsoku w:val="0"/>
                    <w:overflowPunct w:val="0"/>
                    <w:spacing w:before="27"/>
                    <w:ind w:left="96"/>
                    <w:jc w:val="center"/>
                    <w:rPr>
                      <w:color w:val="000000"/>
                      <w:kern w:val="2"/>
                      <w:sz w:val="21"/>
                      <w:szCs w:val="21"/>
                      <w:lang w:eastAsia="zh-CN"/>
                    </w:rPr>
                  </w:pPr>
                  <w:r>
                    <w:rPr>
                      <w:color w:val="000000"/>
                      <w:kern w:val="2"/>
                      <w:sz w:val="21"/>
                      <w:szCs w:val="21"/>
                      <w:lang w:eastAsia="zh-CN"/>
                    </w:rPr>
                    <w:t>二级</w:t>
                  </w:r>
                </w:p>
              </w:tc>
              <w:tc>
                <w:tcPr>
                  <w:tcW w:w="2782" w:type="pct"/>
                </w:tcPr>
                <w:p>
                  <w:pPr>
                    <w:pStyle w:val="61"/>
                    <w:kinsoku w:val="0"/>
                    <w:overflowPunct w:val="0"/>
                    <w:spacing w:before="27"/>
                    <w:ind w:left="1651"/>
                    <w:rPr>
                      <w:color w:val="000000"/>
                      <w:kern w:val="2"/>
                      <w:sz w:val="21"/>
                      <w:szCs w:val="21"/>
                      <w:lang w:eastAsia="zh-CN"/>
                    </w:rPr>
                  </w:pPr>
                  <w:r>
                    <w:rPr>
                      <w:color w:val="000000"/>
                      <w:kern w:val="2"/>
                      <w:sz w:val="21"/>
                      <w:szCs w:val="21"/>
                      <w:lang w:eastAsia="zh-CN"/>
                    </w:rPr>
                    <w:t>1%</w:t>
                  </w:r>
                  <w:r>
                    <w:rPr>
                      <w:color w:val="000000"/>
                      <w:kern w:val="2"/>
                      <w:lang w:eastAsia="zh-CN"/>
                    </w:rPr>
                    <w:t>≤</w:t>
                  </w:r>
                  <w:r>
                    <w:rPr>
                      <w:color w:val="000000"/>
                      <w:kern w:val="2"/>
                      <w:sz w:val="21"/>
                      <w:szCs w:val="21"/>
                      <w:lang w:eastAsia="zh-CN"/>
                    </w:rPr>
                    <w:t>Pmax＜10%</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2218" w:type="pct"/>
                </w:tcPr>
                <w:p>
                  <w:pPr>
                    <w:pStyle w:val="61"/>
                    <w:kinsoku w:val="0"/>
                    <w:overflowPunct w:val="0"/>
                    <w:spacing w:before="28"/>
                    <w:ind w:left="96"/>
                    <w:jc w:val="center"/>
                    <w:rPr>
                      <w:color w:val="000000"/>
                      <w:kern w:val="2"/>
                      <w:sz w:val="21"/>
                      <w:szCs w:val="21"/>
                      <w:lang w:eastAsia="zh-CN"/>
                    </w:rPr>
                  </w:pPr>
                  <w:r>
                    <w:rPr>
                      <w:color w:val="000000"/>
                      <w:kern w:val="2"/>
                      <w:sz w:val="21"/>
                      <w:szCs w:val="21"/>
                      <w:lang w:eastAsia="zh-CN"/>
                    </w:rPr>
                    <w:t>三级</w:t>
                  </w:r>
                </w:p>
              </w:tc>
              <w:tc>
                <w:tcPr>
                  <w:tcW w:w="2782" w:type="pct"/>
                </w:tcPr>
                <w:p>
                  <w:pPr>
                    <w:pStyle w:val="61"/>
                    <w:kinsoku w:val="0"/>
                    <w:overflowPunct w:val="0"/>
                    <w:spacing w:before="28"/>
                    <w:ind w:left="431"/>
                    <w:jc w:val="center"/>
                    <w:rPr>
                      <w:color w:val="000000"/>
                      <w:kern w:val="2"/>
                      <w:sz w:val="21"/>
                      <w:szCs w:val="21"/>
                      <w:lang w:eastAsia="zh-CN"/>
                    </w:rPr>
                  </w:pPr>
                  <w:r>
                    <w:rPr>
                      <w:color w:val="000000"/>
                      <w:kern w:val="2"/>
                      <w:sz w:val="21"/>
                      <w:szCs w:val="21"/>
                      <w:lang w:eastAsia="zh-CN"/>
                    </w:rPr>
                    <w:t>Pmax＜1%</w:t>
                  </w:r>
                </w:p>
              </w:tc>
            </w:tr>
          </w:tbl>
          <w:p>
            <w:pPr>
              <w:adjustRightInd w:val="0"/>
              <w:snapToGrid w:val="0"/>
              <w:spacing w:line="500" w:lineRule="exact"/>
              <w:ind w:firstLine="480" w:firstLineChars="200"/>
              <w:rPr>
                <w:color w:val="000000"/>
                <w:sz w:val="24"/>
              </w:rPr>
            </w:pPr>
            <w:r>
              <w:rPr>
                <w:rFonts w:hint="eastAsia"/>
                <w:color w:val="000000"/>
                <w:sz w:val="24"/>
              </w:rPr>
              <w:t>结合估算结果可知，本项目大气评价等级应为三级，根据《环境影响评价技术导则 大气环境》（HJ2.2-2018）要求：“不再进行进一步预测与评价，不进行污染物排放量核算。”</w:t>
            </w:r>
          </w:p>
          <w:p>
            <w:pPr>
              <w:pStyle w:val="87"/>
            </w:pPr>
            <w:r>
              <w:rPr>
                <w:rFonts w:hint="eastAsia"/>
              </w:rPr>
              <w:t>（3）</w:t>
            </w:r>
            <w:r>
              <w:rPr>
                <w:rFonts w:hAnsi="宋体"/>
              </w:rPr>
              <w:t>卫生防护距离</w:t>
            </w:r>
          </w:p>
          <w:p>
            <w:pPr>
              <w:adjustRightInd w:val="0"/>
              <w:snapToGrid w:val="0"/>
              <w:spacing w:line="500" w:lineRule="exact"/>
              <w:ind w:firstLine="480" w:firstLineChars="200"/>
              <w:rPr>
                <w:sz w:val="24"/>
                <w:szCs w:val="20"/>
              </w:rPr>
            </w:pPr>
            <w:r>
              <w:rPr>
                <w:rFonts w:hAnsi="宋体"/>
                <w:sz w:val="24"/>
                <w:szCs w:val="20"/>
              </w:rPr>
              <w:t>根据《制定地方大气污染物排放标准的技术方法》（</w:t>
            </w:r>
            <w:r>
              <w:rPr>
                <w:sz w:val="24"/>
                <w:szCs w:val="20"/>
              </w:rPr>
              <w:t>GB/TB13201-91</w:t>
            </w:r>
            <w:r>
              <w:rPr>
                <w:rFonts w:hAnsi="宋体"/>
                <w:sz w:val="24"/>
                <w:szCs w:val="20"/>
              </w:rPr>
              <w:t>）的有关规定，需对项目无组织废气做卫生防护距离分析，其预测模式可按下式计算：</w:t>
            </w:r>
          </w:p>
          <w:p>
            <w:pPr>
              <w:adjustRightInd w:val="0"/>
              <w:snapToGrid w:val="0"/>
              <w:spacing w:line="500" w:lineRule="exact"/>
              <w:ind w:firstLine="480" w:firstLineChars="200"/>
              <w:jc w:val="center"/>
              <w:rPr>
                <w:sz w:val="24"/>
                <w:szCs w:val="20"/>
              </w:rPr>
            </w:pPr>
            <w:r>
              <w:rPr>
                <w:position w:val="-30"/>
                <w:sz w:val="24"/>
                <w:szCs w:val="20"/>
              </w:rPr>
              <w:drawing>
                <wp:inline distT="0" distB="0" distL="0" distR="0">
                  <wp:extent cx="250825" cy="426085"/>
                  <wp:effectExtent l="0" t="0" r="0"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5"/>
                          <a:srcRect/>
                          <a:stretch>
                            <a:fillRect/>
                          </a:stretch>
                        </pic:blipFill>
                        <pic:spPr>
                          <a:xfrm>
                            <a:off x="0" y="0"/>
                            <a:ext cx="250825" cy="426085"/>
                          </a:xfrm>
                          <a:prstGeom prst="rect">
                            <a:avLst/>
                          </a:prstGeom>
                          <a:noFill/>
                          <a:ln w="9525">
                            <a:noFill/>
                            <a:miter lim="800000"/>
                            <a:headEnd/>
                            <a:tailEnd/>
                          </a:ln>
                        </pic:spPr>
                      </pic:pic>
                    </a:graphicData>
                  </a:graphic>
                </wp:inline>
              </w:drawing>
            </w:r>
            <w:r>
              <w:rPr>
                <w:sz w:val="24"/>
                <w:szCs w:val="20"/>
                <w:vertAlign w:val="subscript"/>
              </w:rPr>
              <w:t>=</w:t>
            </w:r>
            <w:r>
              <w:rPr>
                <w:position w:val="-22"/>
                <w:sz w:val="24"/>
                <w:szCs w:val="20"/>
                <w:vertAlign w:val="subscript"/>
              </w:rPr>
              <w:drawing>
                <wp:inline distT="0" distB="0" distL="0" distR="0">
                  <wp:extent cx="501015" cy="388620"/>
                  <wp:effectExtent l="0" t="0" r="0" b="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noChangeArrowheads="1"/>
                          </pic:cNvPicPr>
                        </pic:nvPicPr>
                        <pic:blipFill>
                          <a:blip r:embed="rId6"/>
                          <a:srcRect/>
                          <a:stretch>
                            <a:fillRect/>
                          </a:stretch>
                        </pic:blipFill>
                        <pic:spPr>
                          <a:xfrm>
                            <a:off x="0" y="0"/>
                            <a:ext cx="501015" cy="388620"/>
                          </a:xfrm>
                          <a:prstGeom prst="rect">
                            <a:avLst/>
                          </a:prstGeom>
                          <a:noFill/>
                          <a:ln w="9525">
                            <a:noFill/>
                            <a:miter lim="800000"/>
                            <a:headEnd/>
                            <a:tailEnd/>
                          </a:ln>
                        </pic:spPr>
                      </pic:pic>
                    </a:graphicData>
                  </a:graphic>
                </wp:inline>
              </w:drawing>
            </w:r>
            <w:r>
              <w:rPr>
                <w:sz w:val="24"/>
                <w:szCs w:val="20"/>
              </w:rPr>
              <w:t>+</w:t>
            </w:r>
            <w:r>
              <w:rPr>
                <w:position w:val="-10"/>
                <w:sz w:val="24"/>
                <w:szCs w:val="20"/>
              </w:rPr>
              <w:drawing>
                <wp:inline distT="0" distB="0" distL="0" distR="0">
                  <wp:extent cx="839470" cy="225425"/>
                  <wp:effectExtent l="0" t="0" r="0" b="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noChangeArrowheads="1"/>
                          </pic:cNvPicPr>
                        </pic:nvPicPr>
                        <pic:blipFill>
                          <a:blip r:embed="rId7"/>
                          <a:srcRect/>
                          <a:stretch>
                            <a:fillRect/>
                          </a:stretch>
                        </pic:blipFill>
                        <pic:spPr>
                          <a:xfrm>
                            <a:off x="0" y="0"/>
                            <a:ext cx="839470" cy="225425"/>
                          </a:xfrm>
                          <a:prstGeom prst="rect">
                            <a:avLst/>
                          </a:prstGeom>
                          <a:noFill/>
                          <a:ln w="9525">
                            <a:noFill/>
                            <a:miter lim="800000"/>
                            <a:headEnd/>
                            <a:tailEnd/>
                          </a:ln>
                        </pic:spPr>
                      </pic:pic>
                    </a:graphicData>
                  </a:graphic>
                </wp:inline>
              </w:drawing>
            </w:r>
            <w:r>
              <w:rPr>
                <w:position w:val="-10"/>
                <w:sz w:val="24"/>
                <w:szCs w:val="20"/>
              </w:rPr>
              <w:drawing>
                <wp:inline distT="0" distB="0" distL="0" distR="0">
                  <wp:extent cx="113030" cy="225425"/>
                  <wp:effectExtent l="0" t="0" r="0" b="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noChangeArrowheads="1"/>
                          </pic:cNvPicPr>
                        </pic:nvPicPr>
                        <pic:blipFill>
                          <a:blip r:embed="rId8"/>
                          <a:srcRect/>
                          <a:stretch>
                            <a:fillRect/>
                          </a:stretch>
                        </pic:blipFill>
                        <pic:spPr>
                          <a:xfrm>
                            <a:off x="0" y="0"/>
                            <a:ext cx="113030" cy="225425"/>
                          </a:xfrm>
                          <a:prstGeom prst="rect">
                            <a:avLst/>
                          </a:prstGeom>
                          <a:noFill/>
                          <a:ln w="9525">
                            <a:noFill/>
                            <a:miter lim="800000"/>
                            <a:headEnd/>
                            <a:tailEnd/>
                          </a:ln>
                        </pic:spPr>
                      </pic:pic>
                    </a:graphicData>
                  </a:graphic>
                </wp:inline>
              </w:drawing>
            </w:r>
          </w:p>
          <w:p>
            <w:pPr>
              <w:adjustRightInd w:val="0"/>
              <w:snapToGrid w:val="0"/>
              <w:spacing w:line="500" w:lineRule="exact"/>
              <w:ind w:firstLine="480" w:firstLineChars="200"/>
              <w:rPr>
                <w:sz w:val="24"/>
                <w:szCs w:val="20"/>
              </w:rPr>
            </w:pPr>
            <w:r>
              <w:rPr>
                <w:rFonts w:hAnsi="宋体"/>
                <w:sz w:val="24"/>
                <w:szCs w:val="20"/>
              </w:rPr>
              <w:t>式中：</w:t>
            </w:r>
            <w:r>
              <w:rPr>
                <w:position w:val="-12"/>
                <w:sz w:val="24"/>
              </w:rPr>
              <w:drawing>
                <wp:inline distT="0" distB="0" distL="0" distR="0">
                  <wp:extent cx="225425" cy="225425"/>
                  <wp:effectExtent l="0" t="0" r="3175" b="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noChangeArrowheads="1"/>
                          </pic:cNvPicPr>
                        </pic:nvPicPr>
                        <pic:blipFill>
                          <a:blip r:embed="rId9"/>
                          <a:srcRect/>
                          <a:stretch>
                            <a:fillRect/>
                          </a:stretch>
                        </pic:blipFill>
                        <pic:spPr>
                          <a:xfrm>
                            <a:off x="0" y="0"/>
                            <a:ext cx="225425" cy="225425"/>
                          </a:xfrm>
                          <a:prstGeom prst="rect">
                            <a:avLst/>
                          </a:prstGeom>
                          <a:noFill/>
                          <a:ln w="9525">
                            <a:noFill/>
                            <a:miter lim="800000"/>
                            <a:headEnd/>
                            <a:tailEnd/>
                          </a:ln>
                        </pic:spPr>
                      </pic:pic>
                    </a:graphicData>
                  </a:graphic>
                </wp:inline>
              </w:drawing>
            </w:r>
            <w:r>
              <w:rPr>
                <w:sz w:val="24"/>
                <w:szCs w:val="20"/>
              </w:rPr>
              <w:t>—</w:t>
            </w:r>
            <w:r>
              <w:rPr>
                <w:rFonts w:hAnsi="宋体"/>
                <w:sz w:val="24"/>
                <w:szCs w:val="20"/>
              </w:rPr>
              <w:t>标准浓度值（</w:t>
            </w:r>
            <w:r>
              <w:rPr>
                <w:sz w:val="24"/>
                <w:szCs w:val="20"/>
              </w:rPr>
              <w:t>mg/m</w:t>
            </w:r>
            <w:r>
              <w:rPr>
                <w:sz w:val="24"/>
                <w:szCs w:val="20"/>
                <w:vertAlign w:val="superscript"/>
              </w:rPr>
              <w:t>3</w:t>
            </w:r>
            <w:r>
              <w:rPr>
                <w:rFonts w:hAnsi="宋体"/>
                <w:sz w:val="24"/>
                <w:szCs w:val="20"/>
              </w:rPr>
              <w:t>）；</w:t>
            </w:r>
          </w:p>
          <w:p>
            <w:pPr>
              <w:numPr>
                <w:ilvl w:val="0"/>
                <w:numId w:val="1"/>
              </w:numPr>
              <w:adjustRightInd w:val="0"/>
              <w:snapToGrid w:val="0"/>
              <w:spacing w:line="500" w:lineRule="exact"/>
              <w:ind w:left="0" w:firstLine="200"/>
              <w:rPr>
                <w:sz w:val="24"/>
                <w:szCs w:val="20"/>
              </w:rPr>
            </w:pPr>
            <w:r>
              <w:rPr>
                <w:sz w:val="24"/>
                <w:szCs w:val="20"/>
              </w:rPr>
              <w:t xml:space="preserve">       L—</w:t>
            </w:r>
            <w:r>
              <w:rPr>
                <w:rFonts w:hAnsi="宋体"/>
                <w:sz w:val="24"/>
                <w:szCs w:val="20"/>
              </w:rPr>
              <w:t>工业企业所需卫生防护距离，</w:t>
            </w:r>
            <w:r>
              <w:rPr>
                <w:sz w:val="24"/>
                <w:szCs w:val="20"/>
              </w:rPr>
              <w:t>m</w:t>
            </w:r>
            <w:r>
              <w:rPr>
                <w:rFonts w:hAnsi="宋体"/>
                <w:sz w:val="24"/>
                <w:szCs w:val="20"/>
              </w:rPr>
              <w:t>；</w:t>
            </w:r>
          </w:p>
          <w:p>
            <w:pPr>
              <w:adjustRightInd w:val="0"/>
              <w:snapToGrid w:val="0"/>
              <w:spacing w:line="500" w:lineRule="exact"/>
              <w:ind w:firstLine="1200" w:firstLineChars="500"/>
              <w:rPr>
                <w:sz w:val="24"/>
                <w:szCs w:val="20"/>
              </w:rPr>
            </w:pPr>
            <w:r>
              <w:rPr>
                <w:sz w:val="24"/>
                <w:szCs w:val="20"/>
              </w:rPr>
              <w:t>r—</w:t>
            </w:r>
            <w:r>
              <w:rPr>
                <w:rFonts w:hAnsi="宋体"/>
                <w:sz w:val="24"/>
                <w:szCs w:val="20"/>
              </w:rPr>
              <w:t>有害气体无组织排放源所在生产单元的等效半径，</w:t>
            </w:r>
            <w:r>
              <w:rPr>
                <w:sz w:val="24"/>
                <w:szCs w:val="20"/>
              </w:rPr>
              <w:t>m</w:t>
            </w:r>
            <w:r>
              <w:rPr>
                <w:rFonts w:hAnsi="宋体"/>
                <w:sz w:val="24"/>
                <w:szCs w:val="20"/>
              </w:rPr>
              <w:t>。根据该生产单元占地面积</w:t>
            </w:r>
            <w:r>
              <w:rPr>
                <w:sz w:val="24"/>
                <w:szCs w:val="20"/>
              </w:rPr>
              <w:t>S</w:t>
            </w:r>
            <w:r>
              <w:rPr>
                <w:rFonts w:hAnsi="宋体"/>
                <w:sz w:val="24"/>
                <w:szCs w:val="20"/>
              </w:rPr>
              <w:t>（</w:t>
            </w:r>
            <w:r>
              <w:rPr>
                <w:sz w:val="24"/>
                <w:szCs w:val="20"/>
              </w:rPr>
              <w:t>m</w:t>
            </w:r>
            <w:r>
              <w:rPr>
                <w:sz w:val="24"/>
                <w:szCs w:val="20"/>
                <w:vertAlign w:val="superscript"/>
              </w:rPr>
              <w:t>2</w:t>
            </w:r>
            <w:r>
              <w:rPr>
                <w:rFonts w:hAnsi="宋体"/>
                <w:sz w:val="24"/>
                <w:szCs w:val="20"/>
              </w:rPr>
              <w:t>）计算；</w:t>
            </w:r>
          </w:p>
          <w:p>
            <w:pPr>
              <w:adjustRightInd w:val="0"/>
              <w:snapToGrid w:val="0"/>
              <w:spacing w:line="500" w:lineRule="exact"/>
              <w:ind w:firstLine="1200" w:firstLineChars="500"/>
              <w:rPr>
                <w:sz w:val="24"/>
                <w:szCs w:val="20"/>
              </w:rPr>
            </w:pPr>
            <w:r>
              <w:rPr>
                <w:sz w:val="24"/>
                <w:szCs w:val="20"/>
              </w:rPr>
              <w:t>A</w:t>
            </w:r>
            <w:r>
              <w:rPr>
                <w:rFonts w:hAnsi="宋体"/>
                <w:sz w:val="24"/>
                <w:szCs w:val="20"/>
              </w:rPr>
              <w:t>、</w:t>
            </w:r>
            <w:r>
              <w:rPr>
                <w:sz w:val="24"/>
                <w:szCs w:val="20"/>
              </w:rPr>
              <w:t>B</w:t>
            </w:r>
            <w:r>
              <w:rPr>
                <w:rFonts w:hAnsi="宋体"/>
                <w:sz w:val="24"/>
                <w:szCs w:val="20"/>
              </w:rPr>
              <w:t>、</w:t>
            </w:r>
            <w:r>
              <w:rPr>
                <w:sz w:val="24"/>
                <w:szCs w:val="20"/>
              </w:rPr>
              <w:t>C</w:t>
            </w:r>
            <w:r>
              <w:rPr>
                <w:rFonts w:hAnsi="宋体"/>
                <w:sz w:val="24"/>
                <w:szCs w:val="20"/>
              </w:rPr>
              <w:t>、</w:t>
            </w:r>
            <w:r>
              <w:rPr>
                <w:sz w:val="24"/>
                <w:szCs w:val="20"/>
              </w:rPr>
              <w:t>D—</w:t>
            </w:r>
            <w:r>
              <w:rPr>
                <w:rFonts w:hAnsi="宋体"/>
                <w:sz w:val="24"/>
                <w:szCs w:val="20"/>
              </w:rPr>
              <w:t>卫生防护距离计算系数，无因次；</w:t>
            </w:r>
          </w:p>
          <w:p>
            <w:pPr>
              <w:adjustRightInd w:val="0"/>
              <w:snapToGrid w:val="0"/>
              <w:spacing w:line="500" w:lineRule="exact"/>
              <w:ind w:firstLine="1200" w:firstLineChars="500"/>
              <w:rPr>
                <w:sz w:val="24"/>
                <w:szCs w:val="20"/>
              </w:rPr>
            </w:pPr>
            <w:r>
              <w:rPr>
                <w:position w:val="-12"/>
                <w:sz w:val="24"/>
                <w:szCs w:val="20"/>
              </w:rPr>
              <w:drawing>
                <wp:inline distT="0" distB="0" distL="0" distR="0">
                  <wp:extent cx="225425" cy="225425"/>
                  <wp:effectExtent l="19050" t="0" r="3175" b="0"/>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noChangeArrowheads="1"/>
                          </pic:cNvPicPr>
                        </pic:nvPicPr>
                        <pic:blipFill>
                          <a:blip r:embed="rId10"/>
                          <a:srcRect/>
                          <a:stretch>
                            <a:fillRect/>
                          </a:stretch>
                        </pic:blipFill>
                        <pic:spPr>
                          <a:xfrm>
                            <a:off x="0" y="0"/>
                            <a:ext cx="225425" cy="225425"/>
                          </a:xfrm>
                          <a:prstGeom prst="rect">
                            <a:avLst/>
                          </a:prstGeom>
                          <a:noFill/>
                          <a:ln w="9525">
                            <a:noFill/>
                            <a:miter lim="800000"/>
                            <a:headEnd/>
                            <a:tailEnd/>
                          </a:ln>
                        </pic:spPr>
                      </pic:pic>
                    </a:graphicData>
                  </a:graphic>
                </wp:inline>
              </w:drawing>
            </w:r>
            <w:r>
              <w:rPr>
                <w:sz w:val="24"/>
                <w:szCs w:val="20"/>
              </w:rPr>
              <w:t>—</w:t>
            </w:r>
            <w:r>
              <w:rPr>
                <w:rFonts w:hAnsi="宋体"/>
                <w:sz w:val="24"/>
                <w:szCs w:val="20"/>
              </w:rPr>
              <w:t>工业企业有害气体无组织排放量可以达到的控制水平。</w:t>
            </w:r>
          </w:p>
          <w:p>
            <w:pPr>
              <w:adjustRightInd w:val="0"/>
              <w:snapToGrid w:val="0"/>
              <w:spacing w:line="500" w:lineRule="exact"/>
              <w:ind w:firstLine="480" w:firstLineChars="200"/>
              <w:rPr>
                <w:sz w:val="24"/>
                <w:szCs w:val="20"/>
              </w:rPr>
            </w:pPr>
            <w:r>
              <w:rPr>
                <w:rFonts w:hAnsi="宋体"/>
                <w:sz w:val="24"/>
                <w:szCs w:val="20"/>
              </w:rPr>
              <w:t>依照上述公式无组织排放单元卫生防护距离计算参数及其结果见表</w:t>
            </w:r>
            <w:r>
              <w:rPr>
                <w:rFonts w:hint="eastAsia" w:hAnsi="宋体"/>
                <w:sz w:val="24"/>
                <w:szCs w:val="20"/>
              </w:rPr>
              <w:t>39</w:t>
            </w:r>
            <w:r>
              <w:rPr>
                <w:rFonts w:hAnsi="宋体"/>
                <w:sz w:val="24"/>
                <w:szCs w:val="20"/>
              </w:rPr>
              <w:t>。</w:t>
            </w:r>
          </w:p>
          <w:p>
            <w:pPr>
              <w:adjustRightInd w:val="0"/>
              <w:snapToGrid w:val="0"/>
              <w:spacing w:line="500" w:lineRule="exact"/>
              <w:ind w:firstLine="482" w:firstLineChars="200"/>
              <w:rPr>
                <w:b/>
                <w:bCs/>
                <w:color w:val="000000"/>
                <w:sz w:val="24"/>
              </w:rPr>
            </w:pPr>
            <w:r>
              <w:rPr>
                <w:b/>
                <w:bCs/>
                <w:color w:val="000000"/>
                <w:sz w:val="24"/>
              </w:rPr>
              <w:t>表</w:t>
            </w:r>
            <w:r>
              <w:rPr>
                <w:rFonts w:hint="eastAsia"/>
                <w:b/>
                <w:bCs/>
                <w:color w:val="000000"/>
                <w:sz w:val="24"/>
              </w:rPr>
              <w:t>39</w:t>
            </w:r>
            <w:r>
              <w:rPr>
                <w:b/>
                <w:bCs/>
                <w:color w:val="000000"/>
                <w:sz w:val="24"/>
              </w:rPr>
              <w:t xml:space="preserve">  </w:t>
            </w:r>
            <w:r>
              <w:rPr>
                <w:rFonts w:hint="eastAsia"/>
                <w:b/>
                <w:bCs/>
                <w:color w:val="000000"/>
                <w:sz w:val="24"/>
              </w:rPr>
              <w:t xml:space="preserve">       </w:t>
            </w:r>
            <w:r>
              <w:rPr>
                <w:b/>
                <w:bCs/>
                <w:color w:val="000000"/>
                <w:sz w:val="24"/>
              </w:rPr>
              <w:t>无组织排放单元卫生防护距离计算参数及其结果</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57"/>
              <w:gridCol w:w="1008"/>
              <w:gridCol w:w="1012"/>
              <w:gridCol w:w="866"/>
              <w:gridCol w:w="866"/>
              <w:gridCol w:w="866"/>
              <w:gridCol w:w="866"/>
              <w:gridCol w:w="1443"/>
              <w:gridCol w:w="13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566" w:type="pct"/>
                  <w:vMerge w:val="restart"/>
                  <w:vAlign w:val="center"/>
                </w:tcPr>
                <w:p>
                  <w:pPr>
                    <w:adjustRightInd w:val="0"/>
                    <w:snapToGrid w:val="0"/>
                    <w:jc w:val="center"/>
                    <w:rPr>
                      <w:b/>
                      <w:szCs w:val="21"/>
                    </w:rPr>
                  </w:pPr>
                  <w:r>
                    <w:rPr>
                      <w:rFonts w:hAnsi="宋体"/>
                      <w:b/>
                      <w:szCs w:val="21"/>
                    </w:rPr>
                    <w:t>无组织</w:t>
                  </w:r>
                </w:p>
                <w:p>
                  <w:pPr>
                    <w:adjustRightInd w:val="0"/>
                    <w:snapToGrid w:val="0"/>
                    <w:jc w:val="center"/>
                    <w:rPr>
                      <w:b/>
                      <w:szCs w:val="21"/>
                    </w:rPr>
                  </w:pPr>
                  <w:r>
                    <w:rPr>
                      <w:rFonts w:hAnsi="宋体"/>
                      <w:b/>
                      <w:szCs w:val="21"/>
                    </w:rPr>
                    <w:t>排放源</w:t>
                  </w:r>
                </w:p>
              </w:tc>
              <w:tc>
                <w:tcPr>
                  <w:tcW w:w="540" w:type="pct"/>
                  <w:vMerge w:val="restart"/>
                  <w:vAlign w:val="center"/>
                </w:tcPr>
                <w:p>
                  <w:pPr>
                    <w:adjustRightInd w:val="0"/>
                    <w:snapToGrid w:val="0"/>
                    <w:jc w:val="center"/>
                    <w:rPr>
                      <w:b/>
                      <w:szCs w:val="21"/>
                    </w:rPr>
                  </w:pPr>
                  <w:r>
                    <w:rPr>
                      <w:rFonts w:hAnsi="宋体"/>
                      <w:b/>
                      <w:szCs w:val="21"/>
                    </w:rPr>
                    <w:t>污染物</w:t>
                  </w:r>
                </w:p>
              </w:tc>
              <w:tc>
                <w:tcPr>
                  <w:tcW w:w="542" w:type="pct"/>
                  <w:vMerge w:val="restart"/>
                  <w:vAlign w:val="center"/>
                </w:tcPr>
                <w:p>
                  <w:pPr>
                    <w:adjustRightInd w:val="0"/>
                    <w:snapToGrid w:val="0"/>
                    <w:jc w:val="center"/>
                    <w:rPr>
                      <w:b/>
                      <w:szCs w:val="21"/>
                    </w:rPr>
                  </w:pPr>
                  <w:r>
                    <w:rPr>
                      <w:rFonts w:hAnsi="宋体"/>
                      <w:b/>
                      <w:szCs w:val="21"/>
                    </w:rPr>
                    <w:t>排放量</w:t>
                  </w:r>
                </w:p>
                <w:p>
                  <w:pPr>
                    <w:adjustRightInd w:val="0"/>
                    <w:snapToGrid w:val="0"/>
                    <w:jc w:val="center"/>
                    <w:rPr>
                      <w:b/>
                      <w:szCs w:val="21"/>
                    </w:rPr>
                  </w:pPr>
                  <w:r>
                    <w:rPr>
                      <w:rFonts w:hint="eastAsia"/>
                      <w:b/>
                      <w:szCs w:val="21"/>
                    </w:rPr>
                    <w:t>kg</w:t>
                  </w:r>
                  <w:r>
                    <w:rPr>
                      <w:b/>
                      <w:szCs w:val="21"/>
                    </w:rPr>
                    <w:t>/</w:t>
                  </w:r>
                  <w:r>
                    <w:rPr>
                      <w:rFonts w:hint="eastAsia"/>
                      <w:b/>
                      <w:szCs w:val="21"/>
                    </w:rPr>
                    <w:t>h</w:t>
                  </w:r>
                </w:p>
              </w:tc>
              <w:tc>
                <w:tcPr>
                  <w:tcW w:w="1856" w:type="pct"/>
                  <w:gridSpan w:val="4"/>
                  <w:vAlign w:val="center"/>
                </w:tcPr>
                <w:p>
                  <w:pPr>
                    <w:adjustRightInd w:val="0"/>
                    <w:snapToGrid w:val="0"/>
                    <w:jc w:val="center"/>
                    <w:rPr>
                      <w:b/>
                      <w:szCs w:val="21"/>
                    </w:rPr>
                  </w:pPr>
                  <w:r>
                    <w:rPr>
                      <w:rFonts w:hAnsi="宋体"/>
                      <w:b/>
                      <w:szCs w:val="21"/>
                    </w:rPr>
                    <w:t>计算参数</w:t>
                  </w:r>
                </w:p>
              </w:tc>
              <w:tc>
                <w:tcPr>
                  <w:tcW w:w="773" w:type="pct"/>
                  <w:vMerge w:val="restart"/>
                  <w:vAlign w:val="center"/>
                </w:tcPr>
                <w:p>
                  <w:pPr>
                    <w:adjustRightInd w:val="0"/>
                    <w:snapToGrid w:val="0"/>
                    <w:jc w:val="center"/>
                    <w:rPr>
                      <w:b/>
                      <w:szCs w:val="21"/>
                    </w:rPr>
                  </w:pPr>
                  <w:r>
                    <w:rPr>
                      <w:rFonts w:hAnsi="宋体"/>
                      <w:b/>
                      <w:szCs w:val="21"/>
                    </w:rPr>
                    <w:t>卫生防护距离计算值</w:t>
                  </w:r>
                  <w:r>
                    <w:rPr>
                      <w:b/>
                      <w:szCs w:val="21"/>
                    </w:rPr>
                    <w:t>m</w:t>
                  </w:r>
                </w:p>
              </w:tc>
              <w:tc>
                <w:tcPr>
                  <w:tcW w:w="722" w:type="pct"/>
                  <w:vMerge w:val="restart"/>
                  <w:vAlign w:val="center"/>
                </w:tcPr>
                <w:p>
                  <w:pPr>
                    <w:adjustRightInd w:val="0"/>
                    <w:snapToGrid w:val="0"/>
                    <w:jc w:val="center"/>
                    <w:rPr>
                      <w:b/>
                      <w:szCs w:val="21"/>
                    </w:rPr>
                  </w:pPr>
                  <w:r>
                    <w:rPr>
                      <w:rFonts w:hAnsi="宋体"/>
                      <w:b/>
                      <w:szCs w:val="21"/>
                    </w:rPr>
                    <w:t>卫生防护距离</w:t>
                  </w:r>
                  <w:r>
                    <w:rPr>
                      <w:b/>
                      <w:szCs w:val="21"/>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566" w:type="pct"/>
                  <w:vMerge w:val="continue"/>
                  <w:vAlign w:val="center"/>
                </w:tcPr>
                <w:p>
                  <w:pPr>
                    <w:widowControl/>
                    <w:jc w:val="left"/>
                    <w:rPr>
                      <w:b/>
                      <w:szCs w:val="21"/>
                    </w:rPr>
                  </w:pPr>
                </w:p>
              </w:tc>
              <w:tc>
                <w:tcPr>
                  <w:tcW w:w="540" w:type="pct"/>
                  <w:vMerge w:val="continue"/>
                  <w:vAlign w:val="center"/>
                </w:tcPr>
                <w:p>
                  <w:pPr>
                    <w:widowControl/>
                    <w:jc w:val="left"/>
                    <w:rPr>
                      <w:b/>
                      <w:szCs w:val="21"/>
                    </w:rPr>
                  </w:pPr>
                </w:p>
              </w:tc>
              <w:tc>
                <w:tcPr>
                  <w:tcW w:w="542" w:type="pct"/>
                  <w:vMerge w:val="continue"/>
                  <w:vAlign w:val="center"/>
                </w:tcPr>
                <w:p>
                  <w:pPr>
                    <w:widowControl/>
                    <w:jc w:val="left"/>
                    <w:rPr>
                      <w:b/>
                      <w:szCs w:val="21"/>
                    </w:rPr>
                  </w:pPr>
                </w:p>
              </w:tc>
              <w:tc>
                <w:tcPr>
                  <w:tcW w:w="464" w:type="pct"/>
                  <w:vAlign w:val="center"/>
                </w:tcPr>
                <w:p>
                  <w:pPr>
                    <w:adjustRightInd w:val="0"/>
                    <w:snapToGrid w:val="0"/>
                    <w:jc w:val="center"/>
                    <w:rPr>
                      <w:b/>
                      <w:szCs w:val="21"/>
                    </w:rPr>
                  </w:pPr>
                  <w:r>
                    <w:rPr>
                      <w:b/>
                      <w:szCs w:val="21"/>
                    </w:rPr>
                    <w:t>A</w:t>
                  </w:r>
                </w:p>
              </w:tc>
              <w:tc>
                <w:tcPr>
                  <w:tcW w:w="464" w:type="pct"/>
                  <w:vAlign w:val="center"/>
                </w:tcPr>
                <w:p>
                  <w:pPr>
                    <w:adjustRightInd w:val="0"/>
                    <w:snapToGrid w:val="0"/>
                    <w:jc w:val="center"/>
                    <w:rPr>
                      <w:b/>
                      <w:szCs w:val="21"/>
                    </w:rPr>
                  </w:pPr>
                  <w:r>
                    <w:rPr>
                      <w:b/>
                      <w:szCs w:val="21"/>
                    </w:rPr>
                    <w:t>B</w:t>
                  </w:r>
                </w:p>
              </w:tc>
              <w:tc>
                <w:tcPr>
                  <w:tcW w:w="464" w:type="pct"/>
                  <w:vAlign w:val="center"/>
                </w:tcPr>
                <w:p>
                  <w:pPr>
                    <w:adjustRightInd w:val="0"/>
                    <w:snapToGrid w:val="0"/>
                    <w:jc w:val="center"/>
                    <w:rPr>
                      <w:b/>
                      <w:szCs w:val="21"/>
                    </w:rPr>
                  </w:pPr>
                  <w:r>
                    <w:rPr>
                      <w:b/>
                      <w:szCs w:val="21"/>
                    </w:rPr>
                    <w:t>C</w:t>
                  </w:r>
                </w:p>
              </w:tc>
              <w:tc>
                <w:tcPr>
                  <w:tcW w:w="464" w:type="pct"/>
                  <w:vAlign w:val="center"/>
                </w:tcPr>
                <w:p>
                  <w:pPr>
                    <w:adjustRightInd w:val="0"/>
                    <w:snapToGrid w:val="0"/>
                    <w:jc w:val="center"/>
                    <w:rPr>
                      <w:b/>
                      <w:szCs w:val="21"/>
                    </w:rPr>
                  </w:pPr>
                  <w:r>
                    <w:rPr>
                      <w:b/>
                      <w:szCs w:val="21"/>
                    </w:rPr>
                    <w:t>D</w:t>
                  </w:r>
                </w:p>
              </w:tc>
              <w:tc>
                <w:tcPr>
                  <w:tcW w:w="773" w:type="pct"/>
                  <w:vMerge w:val="continue"/>
                  <w:vAlign w:val="center"/>
                </w:tcPr>
                <w:p>
                  <w:pPr>
                    <w:widowControl/>
                    <w:jc w:val="left"/>
                    <w:rPr>
                      <w:b/>
                      <w:szCs w:val="21"/>
                    </w:rPr>
                  </w:pPr>
                </w:p>
              </w:tc>
              <w:tc>
                <w:tcPr>
                  <w:tcW w:w="722" w:type="pct"/>
                  <w:vMerge w:val="continue"/>
                  <w:vAlign w:val="center"/>
                </w:tcPr>
                <w:p>
                  <w:pPr>
                    <w:widowControl/>
                    <w:jc w:val="left"/>
                    <w:rPr>
                      <w:b/>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6" w:type="pct"/>
                  <w:vAlign w:val="center"/>
                </w:tcPr>
                <w:p>
                  <w:pPr>
                    <w:adjustRightInd w:val="0"/>
                    <w:snapToGrid w:val="0"/>
                    <w:jc w:val="center"/>
                    <w:rPr>
                      <w:szCs w:val="21"/>
                    </w:rPr>
                  </w:pPr>
                  <w:r>
                    <w:rPr>
                      <w:rFonts w:hAnsi="宋体"/>
                      <w:szCs w:val="21"/>
                    </w:rPr>
                    <w:t>生产车间</w:t>
                  </w:r>
                </w:p>
              </w:tc>
              <w:tc>
                <w:tcPr>
                  <w:tcW w:w="540" w:type="pct"/>
                  <w:vAlign w:val="center"/>
                </w:tcPr>
                <w:p>
                  <w:pPr>
                    <w:spacing w:beforeLines="20" w:afterLines="20"/>
                    <w:jc w:val="center"/>
                    <w:rPr>
                      <w:snapToGrid w:val="0"/>
                      <w:szCs w:val="21"/>
                    </w:rPr>
                  </w:pPr>
                  <w:r>
                    <w:rPr>
                      <w:rFonts w:hAnsi="宋体"/>
                      <w:szCs w:val="21"/>
                    </w:rPr>
                    <w:t>颗粒物</w:t>
                  </w:r>
                </w:p>
              </w:tc>
              <w:tc>
                <w:tcPr>
                  <w:tcW w:w="542" w:type="pct"/>
                  <w:vAlign w:val="center"/>
                </w:tcPr>
                <w:p>
                  <w:pPr>
                    <w:adjustRightInd w:val="0"/>
                    <w:snapToGrid w:val="0"/>
                    <w:jc w:val="center"/>
                    <w:rPr>
                      <w:szCs w:val="21"/>
                    </w:rPr>
                  </w:pPr>
                  <w:r>
                    <w:rPr>
                      <w:rFonts w:hint="eastAsia"/>
                      <w:szCs w:val="21"/>
                    </w:rPr>
                    <w:t>0.007</w:t>
                  </w:r>
                </w:p>
              </w:tc>
              <w:tc>
                <w:tcPr>
                  <w:tcW w:w="464" w:type="pct"/>
                  <w:vAlign w:val="center"/>
                </w:tcPr>
                <w:p>
                  <w:pPr>
                    <w:adjustRightInd w:val="0"/>
                    <w:snapToGrid w:val="0"/>
                    <w:jc w:val="center"/>
                    <w:rPr>
                      <w:szCs w:val="21"/>
                    </w:rPr>
                  </w:pPr>
                  <w:r>
                    <w:rPr>
                      <w:rFonts w:hint="eastAsia"/>
                      <w:szCs w:val="21"/>
                    </w:rPr>
                    <w:t>700</w:t>
                  </w:r>
                </w:p>
              </w:tc>
              <w:tc>
                <w:tcPr>
                  <w:tcW w:w="464" w:type="pct"/>
                  <w:vAlign w:val="center"/>
                </w:tcPr>
                <w:p>
                  <w:pPr>
                    <w:adjustRightInd w:val="0"/>
                    <w:snapToGrid w:val="0"/>
                    <w:jc w:val="center"/>
                    <w:rPr>
                      <w:szCs w:val="21"/>
                    </w:rPr>
                  </w:pPr>
                  <w:r>
                    <w:rPr>
                      <w:szCs w:val="21"/>
                    </w:rPr>
                    <w:t>0.0</w:t>
                  </w:r>
                  <w:r>
                    <w:rPr>
                      <w:rFonts w:hint="eastAsia"/>
                      <w:szCs w:val="21"/>
                    </w:rPr>
                    <w:t>21</w:t>
                  </w:r>
                </w:p>
              </w:tc>
              <w:tc>
                <w:tcPr>
                  <w:tcW w:w="464" w:type="pct"/>
                  <w:vAlign w:val="center"/>
                </w:tcPr>
                <w:p>
                  <w:pPr>
                    <w:adjustRightInd w:val="0"/>
                    <w:snapToGrid w:val="0"/>
                    <w:jc w:val="center"/>
                    <w:rPr>
                      <w:szCs w:val="21"/>
                    </w:rPr>
                  </w:pPr>
                  <w:r>
                    <w:rPr>
                      <w:szCs w:val="21"/>
                    </w:rPr>
                    <w:t>1.85</w:t>
                  </w:r>
                </w:p>
              </w:tc>
              <w:tc>
                <w:tcPr>
                  <w:tcW w:w="464" w:type="pct"/>
                  <w:vAlign w:val="center"/>
                </w:tcPr>
                <w:p>
                  <w:pPr>
                    <w:adjustRightInd w:val="0"/>
                    <w:snapToGrid w:val="0"/>
                    <w:jc w:val="center"/>
                    <w:rPr>
                      <w:szCs w:val="21"/>
                    </w:rPr>
                  </w:pPr>
                  <w:r>
                    <w:rPr>
                      <w:szCs w:val="21"/>
                    </w:rPr>
                    <w:t>0.</w:t>
                  </w:r>
                  <w:r>
                    <w:rPr>
                      <w:rFonts w:hint="eastAsia"/>
                      <w:szCs w:val="21"/>
                    </w:rPr>
                    <w:t>84</w:t>
                  </w:r>
                </w:p>
              </w:tc>
              <w:tc>
                <w:tcPr>
                  <w:tcW w:w="773" w:type="pct"/>
                  <w:vAlign w:val="center"/>
                </w:tcPr>
                <w:p>
                  <w:pPr>
                    <w:adjustRightInd w:val="0"/>
                    <w:snapToGrid w:val="0"/>
                    <w:jc w:val="center"/>
                    <w:rPr>
                      <w:szCs w:val="21"/>
                    </w:rPr>
                  </w:pPr>
                  <w:r>
                    <w:rPr>
                      <w:rFonts w:hint="eastAsia"/>
                      <w:szCs w:val="21"/>
                    </w:rPr>
                    <w:t>9.268</w:t>
                  </w:r>
                </w:p>
              </w:tc>
              <w:tc>
                <w:tcPr>
                  <w:tcW w:w="722" w:type="pct"/>
                  <w:vAlign w:val="center"/>
                </w:tcPr>
                <w:p>
                  <w:pPr>
                    <w:adjustRightInd w:val="0"/>
                    <w:snapToGrid w:val="0"/>
                    <w:jc w:val="center"/>
                    <w:rPr>
                      <w:szCs w:val="21"/>
                    </w:rPr>
                  </w:pPr>
                  <w:r>
                    <w:rPr>
                      <w:rFonts w:hint="eastAsia"/>
                      <w:szCs w:val="21"/>
                    </w:rPr>
                    <w:t>50</w:t>
                  </w:r>
                </w:p>
              </w:tc>
            </w:tr>
          </w:tbl>
          <w:p>
            <w:pPr>
              <w:adjustRightInd w:val="0"/>
              <w:snapToGrid w:val="0"/>
              <w:spacing w:beforeLines="50" w:line="500" w:lineRule="exact"/>
              <w:ind w:firstLine="480" w:firstLineChars="200"/>
              <w:rPr>
                <w:rFonts w:hAnsi="宋体"/>
                <w:bCs/>
                <w:color w:val="000000"/>
                <w:sz w:val="24"/>
              </w:rPr>
            </w:pPr>
            <w:r>
              <w:rPr>
                <w:rFonts w:hint="eastAsia" w:hAnsi="宋体"/>
                <w:bCs/>
                <w:color w:val="000000"/>
                <w:sz w:val="24"/>
              </w:rPr>
              <w:t>按照《制定地方大气污染物排放标准的技术方法》（GB/T3840-91）计算可知，生产车间卫生防护距离为50m，则本项目的卫生防护距离为50m。根据项目车间在厂区的位置，确定本项目卫生防护距离为：东厂界外40m，南厂界外50m，西厂界外20m，北厂界外0m。项目卫生防护距离范围内无环境敏感目标，符合卫生防护距离相关规定要求，卫生防护距离包络图详见附图四。项目厂址四周为工业企业和道路，周边无食品加工厂等其他与本项目不相容的企业存在，同时评价要求，在卫生防护距离范围内不得新建居民住宅、医院、机关、科研单位等环境敏感点。</w:t>
            </w:r>
          </w:p>
          <w:p>
            <w:pPr>
              <w:pStyle w:val="97"/>
              <w:ind w:firstLine="470"/>
              <w:rPr>
                <w:b w:val="0"/>
              </w:rPr>
            </w:pPr>
            <w:r>
              <w:rPr>
                <w:rFonts w:hint="eastAsia"/>
                <w:b w:val="0"/>
              </w:rPr>
              <w:t>（4）污染物排放量核算情况汇总</w:t>
            </w:r>
          </w:p>
          <w:p>
            <w:pPr>
              <w:pStyle w:val="87"/>
              <w:rPr>
                <w:snapToGrid w:val="0"/>
              </w:rPr>
            </w:pPr>
            <w:r>
              <w:rPr>
                <w:rFonts w:hint="eastAsia"/>
                <w:snapToGrid w:val="0"/>
              </w:rPr>
              <w:t>根据《环境影响评价技术导则 大气环境》（HJ2.2-2018）可知三级评价项目不进行进一步预测与评价，只对污染物排放量进行核算。本项目评价等级为三级，则只需对本项目污染物排放量进行核算即可。</w:t>
            </w:r>
          </w:p>
          <w:p>
            <w:pPr>
              <w:pStyle w:val="87"/>
              <w:rPr>
                <w:bCs/>
              </w:rPr>
            </w:pPr>
            <w:r>
              <w:rPr>
                <w:bCs/>
              </w:rPr>
              <w:fldChar w:fldCharType="begin"/>
            </w:r>
            <w:r>
              <w:rPr>
                <w:bCs/>
              </w:rPr>
              <w:instrText xml:space="preserve"> </w:instrText>
            </w:r>
            <w:r>
              <w:rPr>
                <w:rFonts w:hint="eastAsia"/>
                <w:bCs/>
              </w:rPr>
              <w:instrText xml:space="preserve">= 1 \* GB3</w:instrText>
            </w:r>
            <w:r>
              <w:rPr>
                <w:bCs/>
              </w:rPr>
              <w:instrText xml:space="preserve"> </w:instrText>
            </w:r>
            <w:r>
              <w:rPr>
                <w:bCs/>
              </w:rPr>
              <w:fldChar w:fldCharType="separate"/>
            </w:r>
            <w:r>
              <w:rPr>
                <w:rFonts w:hint="eastAsia"/>
                <w:bCs/>
              </w:rPr>
              <w:t>①</w:t>
            </w:r>
            <w:r>
              <w:rPr>
                <w:bCs/>
              </w:rPr>
              <w:fldChar w:fldCharType="end"/>
            </w:r>
            <w:r>
              <w:rPr>
                <w:bCs/>
              </w:rPr>
              <w:t>有组织排放量核算</w:t>
            </w:r>
          </w:p>
          <w:p>
            <w:pPr>
              <w:pStyle w:val="87"/>
            </w:pPr>
            <w:r>
              <w:t>项目有组织排放量核算一览表见下表。</w:t>
            </w:r>
          </w:p>
          <w:p>
            <w:pPr>
              <w:pStyle w:val="92"/>
              <w:spacing w:after="62"/>
              <w:ind w:firstLine="472"/>
              <w:rPr>
                <w:sz w:val="24"/>
                <w:szCs w:val="24"/>
              </w:rPr>
            </w:pPr>
            <w:r>
              <w:rPr>
                <w:sz w:val="24"/>
                <w:szCs w:val="24"/>
              </w:rPr>
              <w:t>表</w:t>
            </w:r>
            <w:r>
              <w:rPr>
                <w:rFonts w:hint="eastAsia"/>
                <w:sz w:val="24"/>
                <w:szCs w:val="24"/>
              </w:rPr>
              <w:t xml:space="preserve">40            </w:t>
            </w:r>
            <w:r>
              <w:rPr>
                <w:sz w:val="24"/>
                <w:szCs w:val="24"/>
              </w:rPr>
              <w:t>大气污染物有组织排放量核算一览表</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1855"/>
              <w:gridCol w:w="1874"/>
              <w:gridCol w:w="1870"/>
              <w:gridCol w:w="18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0" w:type="pct"/>
                  <w:vAlign w:val="center"/>
                </w:tcPr>
                <w:p>
                  <w:pPr>
                    <w:adjustRightInd w:val="0"/>
                    <w:snapToGrid w:val="0"/>
                    <w:spacing w:line="320" w:lineRule="exact"/>
                    <w:jc w:val="center"/>
                    <w:rPr>
                      <w:b/>
                      <w:szCs w:val="21"/>
                    </w:rPr>
                  </w:pPr>
                  <w:r>
                    <w:rPr>
                      <w:rFonts w:hAnsi="宋体"/>
                      <w:b/>
                      <w:szCs w:val="21"/>
                    </w:rPr>
                    <w:t>排放口编号</w:t>
                  </w:r>
                </w:p>
              </w:tc>
              <w:tc>
                <w:tcPr>
                  <w:tcW w:w="994" w:type="pct"/>
                  <w:vAlign w:val="center"/>
                </w:tcPr>
                <w:p>
                  <w:pPr>
                    <w:adjustRightInd w:val="0"/>
                    <w:snapToGrid w:val="0"/>
                    <w:spacing w:line="320" w:lineRule="exact"/>
                    <w:jc w:val="center"/>
                    <w:rPr>
                      <w:b/>
                      <w:szCs w:val="21"/>
                    </w:rPr>
                  </w:pPr>
                  <w:r>
                    <w:rPr>
                      <w:rFonts w:hAnsi="宋体"/>
                      <w:b/>
                      <w:szCs w:val="21"/>
                    </w:rPr>
                    <w:t>污染物</w:t>
                  </w:r>
                </w:p>
              </w:tc>
              <w:tc>
                <w:tcPr>
                  <w:tcW w:w="1004" w:type="pct"/>
                  <w:vAlign w:val="center"/>
                </w:tcPr>
                <w:p>
                  <w:pPr>
                    <w:adjustRightInd w:val="0"/>
                    <w:snapToGrid w:val="0"/>
                    <w:spacing w:line="320" w:lineRule="exact"/>
                    <w:jc w:val="center"/>
                    <w:rPr>
                      <w:b/>
                      <w:szCs w:val="21"/>
                    </w:rPr>
                  </w:pPr>
                  <w:r>
                    <w:rPr>
                      <w:rFonts w:hAnsi="宋体"/>
                      <w:b/>
                      <w:szCs w:val="21"/>
                    </w:rPr>
                    <w:t>核算排放浓度（</w:t>
                  </w:r>
                  <w:r>
                    <w:rPr>
                      <w:b/>
                      <w:szCs w:val="21"/>
                    </w:rPr>
                    <w:t>mg/m</w:t>
                  </w:r>
                  <w:r>
                    <w:rPr>
                      <w:b/>
                      <w:szCs w:val="21"/>
                      <w:vertAlign w:val="superscript"/>
                    </w:rPr>
                    <w:t>3</w:t>
                  </w:r>
                  <w:r>
                    <w:rPr>
                      <w:rFonts w:hAnsi="宋体"/>
                      <w:b/>
                      <w:szCs w:val="21"/>
                    </w:rPr>
                    <w:t>）</w:t>
                  </w:r>
                </w:p>
              </w:tc>
              <w:tc>
                <w:tcPr>
                  <w:tcW w:w="1002" w:type="pct"/>
                  <w:vAlign w:val="center"/>
                </w:tcPr>
                <w:p>
                  <w:pPr>
                    <w:adjustRightInd w:val="0"/>
                    <w:snapToGrid w:val="0"/>
                    <w:spacing w:line="320" w:lineRule="exact"/>
                    <w:jc w:val="center"/>
                    <w:rPr>
                      <w:b/>
                      <w:szCs w:val="21"/>
                    </w:rPr>
                  </w:pPr>
                  <w:r>
                    <w:rPr>
                      <w:rFonts w:hAnsi="宋体"/>
                      <w:b/>
                      <w:szCs w:val="21"/>
                    </w:rPr>
                    <w:t>核算排放速率（</w:t>
                  </w:r>
                  <w:r>
                    <w:rPr>
                      <w:b/>
                      <w:szCs w:val="21"/>
                    </w:rPr>
                    <w:t>kg/h</w:t>
                  </w:r>
                  <w:r>
                    <w:rPr>
                      <w:rFonts w:hAnsi="宋体"/>
                      <w:b/>
                      <w:szCs w:val="21"/>
                    </w:rPr>
                    <w:t>）</w:t>
                  </w:r>
                </w:p>
              </w:tc>
              <w:tc>
                <w:tcPr>
                  <w:tcW w:w="1001" w:type="pct"/>
                  <w:vAlign w:val="center"/>
                </w:tcPr>
                <w:p>
                  <w:pPr>
                    <w:adjustRightInd w:val="0"/>
                    <w:snapToGrid w:val="0"/>
                    <w:spacing w:line="320" w:lineRule="exact"/>
                    <w:jc w:val="center"/>
                    <w:rPr>
                      <w:b/>
                      <w:szCs w:val="21"/>
                    </w:rPr>
                  </w:pPr>
                  <w:r>
                    <w:rPr>
                      <w:rFonts w:hAnsi="宋体"/>
                      <w:b/>
                      <w:szCs w:val="21"/>
                    </w:rPr>
                    <w:t>核算年排放量（</w:t>
                  </w:r>
                  <w:r>
                    <w:rPr>
                      <w:b/>
                      <w:szCs w:val="21"/>
                    </w:rPr>
                    <w:t>t/a</w:t>
                  </w:r>
                  <w:r>
                    <w:rPr>
                      <w:rFonts w:hAnsi="宋体"/>
                      <w:b/>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0" w:type="pct"/>
                  <w:vAlign w:val="center"/>
                </w:tcPr>
                <w:p>
                  <w:pPr>
                    <w:adjustRightInd w:val="0"/>
                    <w:snapToGrid w:val="0"/>
                    <w:spacing w:line="320" w:lineRule="exact"/>
                    <w:jc w:val="center"/>
                    <w:rPr>
                      <w:szCs w:val="21"/>
                    </w:rPr>
                  </w:pPr>
                  <w:r>
                    <w:rPr>
                      <w:rFonts w:hAnsi="宋体"/>
                      <w:szCs w:val="21"/>
                    </w:rPr>
                    <w:t>点源</w:t>
                  </w:r>
                  <w:r>
                    <w:rPr>
                      <w:szCs w:val="21"/>
                    </w:rPr>
                    <w:t>1</w:t>
                  </w:r>
                </w:p>
              </w:tc>
              <w:tc>
                <w:tcPr>
                  <w:tcW w:w="994" w:type="pct"/>
                  <w:vAlign w:val="center"/>
                </w:tcPr>
                <w:p>
                  <w:pPr>
                    <w:adjustRightInd w:val="0"/>
                    <w:snapToGrid w:val="0"/>
                    <w:spacing w:line="320" w:lineRule="exact"/>
                    <w:jc w:val="center"/>
                    <w:rPr>
                      <w:szCs w:val="21"/>
                    </w:rPr>
                  </w:pPr>
                  <w:r>
                    <w:rPr>
                      <w:rFonts w:hAnsi="宋体"/>
                      <w:szCs w:val="21"/>
                    </w:rPr>
                    <w:t>颗粒物</w:t>
                  </w:r>
                </w:p>
              </w:tc>
              <w:tc>
                <w:tcPr>
                  <w:tcW w:w="1004" w:type="pct"/>
                  <w:vAlign w:val="center"/>
                </w:tcPr>
                <w:p>
                  <w:pPr>
                    <w:adjustRightInd w:val="0"/>
                    <w:snapToGrid w:val="0"/>
                    <w:spacing w:line="320" w:lineRule="exact"/>
                    <w:jc w:val="center"/>
                    <w:rPr>
                      <w:szCs w:val="21"/>
                    </w:rPr>
                  </w:pPr>
                  <w:r>
                    <w:rPr>
                      <w:rFonts w:hint="eastAsia"/>
                      <w:kern w:val="0"/>
                      <w:szCs w:val="21"/>
                    </w:rPr>
                    <w:t>5.2</w:t>
                  </w:r>
                </w:p>
              </w:tc>
              <w:tc>
                <w:tcPr>
                  <w:tcW w:w="1002" w:type="pct"/>
                  <w:vAlign w:val="center"/>
                </w:tcPr>
                <w:p>
                  <w:pPr>
                    <w:adjustRightInd w:val="0"/>
                    <w:snapToGrid w:val="0"/>
                    <w:spacing w:line="320" w:lineRule="exact"/>
                    <w:jc w:val="center"/>
                    <w:rPr>
                      <w:szCs w:val="21"/>
                    </w:rPr>
                  </w:pPr>
                  <w:r>
                    <w:rPr>
                      <w:szCs w:val="21"/>
                    </w:rPr>
                    <w:t>0.00</w:t>
                  </w:r>
                  <w:r>
                    <w:rPr>
                      <w:rFonts w:hint="eastAsia"/>
                      <w:szCs w:val="21"/>
                    </w:rPr>
                    <w:t>05</w:t>
                  </w:r>
                </w:p>
              </w:tc>
              <w:tc>
                <w:tcPr>
                  <w:tcW w:w="1001" w:type="pct"/>
                  <w:vAlign w:val="center"/>
                </w:tcPr>
                <w:p>
                  <w:pPr>
                    <w:spacing w:line="320" w:lineRule="exact"/>
                    <w:jc w:val="center"/>
                    <w:rPr>
                      <w:szCs w:val="21"/>
                    </w:rPr>
                  </w:pPr>
                  <w:r>
                    <w:rPr>
                      <w:szCs w:val="21"/>
                    </w:rPr>
                    <w:t>0.00</w:t>
                  </w:r>
                  <w:r>
                    <w:rPr>
                      <w:rFonts w:hint="eastAsia"/>
                      <w:szCs w:val="21"/>
                    </w:rPr>
                    <w:t>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0" w:type="pct"/>
                  <w:vAlign w:val="center"/>
                </w:tcPr>
                <w:p>
                  <w:pPr>
                    <w:adjustRightInd w:val="0"/>
                    <w:snapToGrid w:val="0"/>
                    <w:spacing w:line="320" w:lineRule="exact"/>
                    <w:jc w:val="center"/>
                    <w:rPr>
                      <w:szCs w:val="21"/>
                    </w:rPr>
                  </w:pPr>
                  <w:r>
                    <w:rPr>
                      <w:rFonts w:hAnsi="宋体"/>
                      <w:szCs w:val="21"/>
                    </w:rPr>
                    <w:t>有组织排放总计</w:t>
                  </w:r>
                </w:p>
              </w:tc>
              <w:tc>
                <w:tcPr>
                  <w:tcW w:w="3000" w:type="pct"/>
                  <w:gridSpan w:val="3"/>
                  <w:vAlign w:val="center"/>
                </w:tcPr>
                <w:p>
                  <w:pPr>
                    <w:adjustRightInd w:val="0"/>
                    <w:snapToGrid w:val="0"/>
                    <w:spacing w:line="320" w:lineRule="exact"/>
                    <w:jc w:val="center"/>
                    <w:rPr>
                      <w:szCs w:val="21"/>
                    </w:rPr>
                  </w:pPr>
                  <w:r>
                    <w:rPr>
                      <w:rFonts w:hAnsi="宋体"/>
                      <w:szCs w:val="21"/>
                    </w:rPr>
                    <w:t>颗粒物</w:t>
                  </w:r>
                </w:p>
              </w:tc>
              <w:tc>
                <w:tcPr>
                  <w:tcW w:w="1001" w:type="pct"/>
                  <w:vAlign w:val="center"/>
                </w:tcPr>
                <w:p>
                  <w:pPr>
                    <w:spacing w:line="320" w:lineRule="exact"/>
                    <w:jc w:val="center"/>
                    <w:rPr>
                      <w:szCs w:val="21"/>
                    </w:rPr>
                  </w:pPr>
                  <w:r>
                    <w:rPr>
                      <w:szCs w:val="21"/>
                    </w:rPr>
                    <w:t>0.00</w:t>
                  </w:r>
                  <w:r>
                    <w:rPr>
                      <w:rFonts w:hint="eastAsia"/>
                      <w:szCs w:val="21"/>
                    </w:rPr>
                    <w:t>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vAlign w:val="center"/>
                </w:tcPr>
                <w:p>
                  <w:pPr>
                    <w:spacing w:line="320" w:lineRule="exact"/>
                    <w:jc w:val="center"/>
                    <w:rPr>
                      <w:szCs w:val="21"/>
                    </w:rPr>
                  </w:pPr>
                  <w:r>
                    <w:rPr>
                      <w:rFonts w:hAnsi="宋体"/>
                      <w:szCs w:val="21"/>
                    </w:rPr>
                    <w:t>排放口编号：根据《固定污染源（水、大气）编码规则》编码制定</w:t>
                  </w:r>
                </w:p>
              </w:tc>
            </w:tr>
          </w:tbl>
          <w:p>
            <w:pPr>
              <w:pStyle w:val="87"/>
              <w:rPr>
                <w:bCs/>
              </w:rPr>
            </w:pPr>
            <w:r>
              <w:rPr>
                <w:bCs/>
              </w:rPr>
              <w:fldChar w:fldCharType="begin"/>
            </w:r>
            <w:r>
              <w:rPr>
                <w:bCs/>
              </w:rPr>
              <w:instrText xml:space="preserve"> </w:instrText>
            </w:r>
            <w:r>
              <w:rPr>
                <w:rFonts w:hint="eastAsia"/>
                <w:bCs/>
              </w:rPr>
              <w:instrText xml:space="preserve">= 2 \* GB3</w:instrText>
            </w:r>
            <w:r>
              <w:rPr>
                <w:bCs/>
              </w:rPr>
              <w:instrText xml:space="preserve"> </w:instrText>
            </w:r>
            <w:r>
              <w:rPr>
                <w:bCs/>
              </w:rPr>
              <w:fldChar w:fldCharType="separate"/>
            </w:r>
            <w:r>
              <w:rPr>
                <w:rFonts w:hint="eastAsia"/>
                <w:bCs/>
              </w:rPr>
              <w:t>②</w:t>
            </w:r>
            <w:r>
              <w:rPr>
                <w:bCs/>
              </w:rPr>
              <w:fldChar w:fldCharType="end"/>
            </w:r>
            <w:r>
              <w:rPr>
                <w:bCs/>
              </w:rPr>
              <w:t>无组织排放量核算</w:t>
            </w:r>
          </w:p>
          <w:p>
            <w:pPr>
              <w:pStyle w:val="87"/>
            </w:pPr>
            <w:r>
              <w:t>项目无组织排放量核算一览表见下表。</w:t>
            </w:r>
          </w:p>
          <w:p>
            <w:pPr>
              <w:pStyle w:val="92"/>
              <w:spacing w:after="62"/>
              <w:ind w:firstLine="472"/>
              <w:rPr>
                <w:sz w:val="24"/>
                <w:szCs w:val="24"/>
              </w:rPr>
            </w:pPr>
            <w:r>
              <w:rPr>
                <w:sz w:val="24"/>
                <w:szCs w:val="24"/>
              </w:rPr>
              <w:t>表</w:t>
            </w:r>
            <w:r>
              <w:rPr>
                <w:rFonts w:hint="eastAsia"/>
                <w:sz w:val="24"/>
                <w:szCs w:val="24"/>
              </w:rPr>
              <w:t xml:space="preserve">41           </w:t>
            </w:r>
            <w:r>
              <w:rPr>
                <w:sz w:val="24"/>
                <w:szCs w:val="24"/>
              </w:rPr>
              <w:t>大气污染物无组织排放量核算一览表</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176"/>
              <w:gridCol w:w="1176"/>
              <w:gridCol w:w="1470"/>
              <w:gridCol w:w="1943"/>
              <w:gridCol w:w="1640"/>
              <w:gridCol w:w="9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4" w:type="pct"/>
                  <w:vMerge w:val="restart"/>
                  <w:vAlign w:val="center"/>
                </w:tcPr>
                <w:p>
                  <w:pPr>
                    <w:spacing w:line="320" w:lineRule="exact"/>
                    <w:jc w:val="center"/>
                    <w:rPr>
                      <w:b/>
                      <w:szCs w:val="21"/>
                    </w:rPr>
                  </w:pPr>
                  <w:r>
                    <w:rPr>
                      <w:b/>
                      <w:szCs w:val="21"/>
                    </w:rPr>
                    <w:t>排放口编号</w:t>
                  </w:r>
                </w:p>
              </w:tc>
              <w:tc>
                <w:tcPr>
                  <w:tcW w:w="633" w:type="pct"/>
                  <w:vMerge w:val="restart"/>
                  <w:vAlign w:val="center"/>
                </w:tcPr>
                <w:p>
                  <w:pPr>
                    <w:spacing w:line="320" w:lineRule="exact"/>
                    <w:jc w:val="center"/>
                    <w:rPr>
                      <w:b/>
                      <w:szCs w:val="21"/>
                    </w:rPr>
                  </w:pPr>
                  <w:r>
                    <w:rPr>
                      <w:b/>
                      <w:szCs w:val="21"/>
                    </w:rPr>
                    <w:t>产污</w:t>
                  </w:r>
                </w:p>
                <w:p>
                  <w:pPr>
                    <w:spacing w:line="320" w:lineRule="exact"/>
                    <w:jc w:val="center"/>
                    <w:rPr>
                      <w:b/>
                      <w:szCs w:val="21"/>
                    </w:rPr>
                  </w:pPr>
                  <w:r>
                    <w:rPr>
                      <w:b/>
                      <w:szCs w:val="21"/>
                    </w:rPr>
                    <w:t>环节</w:t>
                  </w:r>
                </w:p>
              </w:tc>
              <w:tc>
                <w:tcPr>
                  <w:tcW w:w="633" w:type="pct"/>
                  <w:vMerge w:val="restart"/>
                  <w:vAlign w:val="center"/>
                </w:tcPr>
                <w:p>
                  <w:pPr>
                    <w:spacing w:line="320" w:lineRule="exact"/>
                    <w:jc w:val="center"/>
                    <w:rPr>
                      <w:b/>
                      <w:szCs w:val="21"/>
                    </w:rPr>
                  </w:pPr>
                  <w:r>
                    <w:rPr>
                      <w:b/>
                      <w:szCs w:val="21"/>
                    </w:rPr>
                    <w:t>污染物</w:t>
                  </w:r>
                </w:p>
              </w:tc>
              <w:tc>
                <w:tcPr>
                  <w:tcW w:w="791" w:type="pct"/>
                  <w:vMerge w:val="restart"/>
                  <w:vAlign w:val="center"/>
                </w:tcPr>
                <w:p>
                  <w:pPr>
                    <w:spacing w:line="320" w:lineRule="exact"/>
                    <w:jc w:val="center"/>
                    <w:rPr>
                      <w:b/>
                      <w:szCs w:val="21"/>
                    </w:rPr>
                  </w:pPr>
                  <w:r>
                    <w:rPr>
                      <w:b/>
                      <w:szCs w:val="21"/>
                    </w:rPr>
                    <w:t>主要污染防治措施</w:t>
                  </w:r>
                </w:p>
              </w:tc>
              <w:tc>
                <w:tcPr>
                  <w:tcW w:w="1903" w:type="pct"/>
                  <w:gridSpan w:val="2"/>
                  <w:vAlign w:val="center"/>
                </w:tcPr>
                <w:p>
                  <w:pPr>
                    <w:spacing w:line="320" w:lineRule="exact"/>
                    <w:jc w:val="center"/>
                    <w:rPr>
                      <w:b/>
                      <w:szCs w:val="21"/>
                    </w:rPr>
                  </w:pPr>
                  <w:r>
                    <w:rPr>
                      <w:b/>
                      <w:szCs w:val="21"/>
                    </w:rPr>
                    <w:t>国家或地方污染物排放标准</w:t>
                  </w:r>
                </w:p>
              </w:tc>
              <w:tc>
                <w:tcPr>
                  <w:tcW w:w="486" w:type="pct"/>
                  <w:vMerge w:val="restart"/>
                  <w:vAlign w:val="center"/>
                </w:tcPr>
                <w:p>
                  <w:pPr>
                    <w:spacing w:line="320" w:lineRule="exact"/>
                    <w:jc w:val="center"/>
                    <w:rPr>
                      <w:b/>
                      <w:szCs w:val="21"/>
                    </w:rPr>
                  </w:pPr>
                  <w:r>
                    <w:rPr>
                      <w:b/>
                      <w:szCs w:val="21"/>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4" w:type="pct"/>
                  <w:vMerge w:val="continue"/>
                  <w:vAlign w:val="center"/>
                </w:tcPr>
                <w:p>
                  <w:pPr>
                    <w:spacing w:line="320" w:lineRule="exact"/>
                    <w:jc w:val="center"/>
                    <w:rPr>
                      <w:b/>
                      <w:szCs w:val="21"/>
                    </w:rPr>
                  </w:pPr>
                </w:p>
              </w:tc>
              <w:tc>
                <w:tcPr>
                  <w:tcW w:w="633" w:type="pct"/>
                  <w:vMerge w:val="continue"/>
                  <w:vAlign w:val="center"/>
                </w:tcPr>
                <w:p>
                  <w:pPr>
                    <w:spacing w:line="320" w:lineRule="exact"/>
                    <w:jc w:val="center"/>
                    <w:rPr>
                      <w:b/>
                      <w:szCs w:val="21"/>
                    </w:rPr>
                  </w:pPr>
                </w:p>
              </w:tc>
              <w:tc>
                <w:tcPr>
                  <w:tcW w:w="633" w:type="pct"/>
                  <w:vMerge w:val="continue"/>
                  <w:vAlign w:val="center"/>
                </w:tcPr>
                <w:p>
                  <w:pPr>
                    <w:spacing w:line="320" w:lineRule="exact"/>
                    <w:jc w:val="center"/>
                    <w:rPr>
                      <w:b/>
                      <w:szCs w:val="21"/>
                    </w:rPr>
                  </w:pPr>
                </w:p>
              </w:tc>
              <w:tc>
                <w:tcPr>
                  <w:tcW w:w="791" w:type="pct"/>
                  <w:vMerge w:val="continue"/>
                  <w:vAlign w:val="center"/>
                </w:tcPr>
                <w:p>
                  <w:pPr>
                    <w:spacing w:line="320" w:lineRule="exact"/>
                    <w:jc w:val="center"/>
                    <w:rPr>
                      <w:b/>
                      <w:szCs w:val="21"/>
                    </w:rPr>
                  </w:pPr>
                </w:p>
              </w:tc>
              <w:tc>
                <w:tcPr>
                  <w:tcW w:w="1021" w:type="pct"/>
                  <w:vAlign w:val="center"/>
                </w:tcPr>
                <w:p>
                  <w:pPr>
                    <w:spacing w:line="320" w:lineRule="exact"/>
                    <w:jc w:val="center"/>
                    <w:rPr>
                      <w:b/>
                      <w:szCs w:val="21"/>
                    </w:rPr>
                  </w:pPr>
                  <w:r>
                    <w:rPr>
                      <w:b/>
                      <w:szCs w:val="21"/>
                    </w:rPr>
                    <w:t>标准名称</w:t>
                  </w:r>
                </w:p>
              </w:tc>
              <w:tc>
                <w:tcPr>
                  <w:tcW w:w="882" w:type="pct"/>
                  <w:vAlign w:val="center"/>
                </w:tcPr>
                <w:p>
                  <w:pPr>
                    <w:spacing w:line="320" w:lineRule="exact"/>
                    <w:jc w:val="center"/>
                    <w:rPr>
                      <w:b/>
                      <w:szCs w:val="21"/>
                    </w:rPr>
                  </w:pPr>
                  <w:r>
                    <w:rPr>
                      <w:b/>
                      <w:szCs w:val="21"/>
                    </w:rPr>
                    <w:t>浓度限值（mg/m</w:t>
                  </w:r>
                  <w:r>
                    <w:rPr>
                      <w:b/>
                      <w:szCs w:val="21"/>
                      <w:vertAlign w:val="superscript"/>
                    </w:rPr>
                    <w:t>3</w:t>
                  </w:r>
                  <w:r>
                    <w:rPr>
                      <w:b/>
                      <w:szCs w:val="21"/>
                    </w:rPr>
                    <w:t>）</w:t>
                  </w:r>
                </w:p>
              </w:tc>
              <w:tc>
                <w:tcPr>
                  <w:tcW w:w="486" w:type="pct"/>
                  <w:vMerge w:val="continue"/>
                  <w:vAlign w:val="center"/>
                </w:tcPr>
                <w:p>
                  <w:pPr>
                    <w:spacing w:line="320" w:lineRule="exact"/>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4" w:type="pct"/>
                  <w:vMerge w:val="restart"/>
                  <w:vAlign w:val="center"/>
                </w:tcPr>
                <w:p>
                  <w:pPr>
                    <w:spacing w:line="320" w:lineRule="exact"/>
                    <w:jc w:val="center"/>
                    <w:rPr>
                      <w:szCs w:val="21"/>
                    </w:rPr>
                  </w:pPr>
                  <w:r>
                    <w:rPr>
                      <w:rFonts w:hint="eastAsia"/>
                      <w:szCs w:val="21"/>
                    </w:rPr>
                    <w:t>生产车间</w:t>
                  </w:r>
                </w:p>
              </w:tc>
              <w:tc>
                <w:tcPr>
                  <w:tcW w:w="633" w:type="pct"/>
                  <w:vAlign w:val="center"/>
                </w:tcPr>
                <w:p>
                  <w:pPr>
                    <w:spacing w:line="320" w:lineRule="exact"/>
                    <w:jc w:val="center"/>
                    <w:rPr>
                      <w:szCs w:val="21"/>
                    </w:rPr>
                  </w:pPr>
                  <w:r>
                    <w:rPr>
                      <w:rFonts w:hint="eastAsia"/>
                      <w:szCs w:val="21"/>
                    </w:rPr>
                    <w:t>非固定</w:t>
                  </w:r>
                  <w:r>
                    <w:rPr>
                      <w:szCs w:val="21"/>
                    </w:rPr>
                    <w:t>区域焊接</w:t>
                  </w:r>
                </w:p>
              </w:tc>
              <w:tc>
                <w:tcPr>
                  <w:tcW w:w="633" w:type="pct"/>
                  <w:vAlign w:val="center"/>
                </w:tcPr>
                <w:p>
                  <w:pPr>
                    <w:spacing w:line="320" w:lineRule="exact"/>
                    <w:jc w:val="center"/>
                    <w:rPr>
                      <w:szCs w:val="21"/>
                    </w:rPr>
                  </w:pPr>
                  <w:r>
                    <w:rPr>
                      <w:rFonts w:hint="eastAsia"/>
                      <w:szCs w:val="21"/>
                    </w:rPr>
                    <w:t>颗粒物</w:t>
                  </w:r>
                </w:p>
              </w:tc>
              <w:tc>
                <w:tcPr>
                  <w:tcW w:w="791" w:type="pct"/>
                  <w:vAlign w:val="center"/>
                </w:tcPr>
                <w:p>
                  <w:pPr>
                    <w:pStyle w:val="89"/>
                    <w:adjustRightInd w:val="0"/>
                    <w:snapToGrid w:val="0"/>
                  </w:pPr>
                  <w:r>
                    <w:rPr>
                      <w:rFonts w:hint="eastAsia"/>
                    </w:rPr>
                    <w:t>移动式</w:t>
                  </w:r>
                  <w:r>
                    <w:t>焊接烟尘净化器</w:t>
                  </w:r>
                </w:p>
              </w:tc>
              <w:tc>
                <w:tcPr>
                  <w:tcW w:w="1021" w:type="pct"/>
                  <w:vMerge w:val="restart"/>
                  <w:vAlign w:val="center"/>
                </w:tcPr>
                <w:p>
                  <w:pPr>
                    <w:spacing w:line="320" w:lineRule="exact"/>
                    <w:jc w:val="center"/>
                    <w:rPr>
                      <w:szCs w:val="21"/>
                    </w:rPr>
                  </w:pPr>
                  <w:r>
                    <w:rPr>
                      <w:szCs w:val="21"/>
                    </w:rPr>
                    <w:t>《大气污染物综合排放标准》（GB16297-1996）</w:t>
                  </w:r>
                </w:p>
              </w:tc>
              <w:tc>
                <w:tcPr>
                  <w:tcW w:w="882" w:type="pct"/>
                  <w:vMerge w:val="restart"/>
                  <w:vAlign w:val="center"/>
                </w:tcPr>
                <w:p>
                  <w:pPr>
                    <w:spacing w:line="320" w:lineRule="exact"/>
                    <w:jc w:val="center"/>
                    <w:rPr>
                      <w:szCs w:val="21"/>
                    </w:rPr>
                  </w:pPr>
                  <w:r>
                    <w:rPr>
                      <w:bCs/>
                      <w:szCs w:val="21"/>
                    </w:rPr>
                    <w:t>1.0</w:t>
                  </w:r>
                </w:p>
              </w:tc>
              <w:tc>
                <w:tcPr>
                  <w:tcW w:w="486" w:type="pct"/>
                  <w:vAlign w:val="center"/>
                </w:tcPr>
                <w:p>
                  <w:pPr>
                    <w:pStyle w:val="89"/>
                    <w:adjustRightInd w:val="0"/>
                    <w:snapToGrid w:val="0"/>
                  </w:pPr>
                  <w:r>
                    <w:t>0.00</w:t>
                  </w:r>
                  <w:r>
                    <w:rPr>
                      <w:rFonts w:hint="eastAsia"/>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4" w:type="pct"/>
                  <w:vMerge w:val="continue"/>
                  <w:vAlign w:val="center"/>
                </w:tcPr>
                <w:p>
                  <w:pPr>
                    <w:spacing w:line="320" w:lineRule="exact"/>
                    <w:jc w:val="center"/>
                    <w:rPr>
                      <w:szCs w:val="21"/>
                    </w:rPr>
                  </w:pPr>
                </w:p>
              </w:tc>
              <w:tc>
                <w:tcPr>
                  <w:tcW w:w="633" w:type="pct"/>
                  <w:vAlign w:val="center"/>
                </w:tcPr>
                <w:p>
                  <w:pPr>
                    <w:spacing w:line="320" w:lineRule="exact"/>
                    <w:jc w:val="center"/>
                    <w:rPr>
                      <w:szCs w:val="21"/>
                    </w:rPr>
                  </w:pPr>
                  <w:r>
                    <w:rPr>
                      <w:szCs w:val="21"/>
                    </w:rPr>
                    <w:t>固定区域焊接</w:t>
                  </w:r>
                </w:p>
              </w:tc>
              <w:tc>
                <w:tcPr>
                  <w:tcW w:w="633" w:type="pct"/>
                  <w:vAlign w:val="center"/>
                </w:tcPr>
                <w:p>
                  <w:pPr>
                    <w:spacing w:line="320" w:lineRule="exact"/>
                    <w:jc w:val="center"/>
                    <w:rPr>
                      <w:szCs w:val="21"/>
                    </w:rPr>
                  </w:pPr>
                  <w:r>
                    <w:rPr>
                      <w:rFonts w:hint="eastAsia"/>
                      <w:szCs w:val="21"/>
                    </w:rPr>
                    <w:t>颗粒物</w:t>
                  </w:r>
                </w:p>
              </w:tc>
              <w:tc>
                <w:tcPr>
                  <w:tcW w:w="791" w:type="pct"/>
                  <w:vMerge w:val="restart"/>
                  <w:vAlign w:val="center"/>
                </w:tcPr>
                <w:p>
                  <w:pPr>
                    <w:adjustRightInd w:val="0"/>
                    <w:snapToGrid w:val="0"/>
                    <w:spacing w:line="320" w:lineRule="exact"/>
                    <w:jc w:val="center"/>
                    <w:rPr>
                      <w:kern w:val="0"/>
                      <w:szCs w:val="21"/>
                    </w:rPr>
                  </w:pPr>
                  <w:r>
                    <w:rPr>
                      <w:rFonts w:hint="eastAsia"/>
                      <w:kern w:val="0"/>
                      <w:szCs w:val="21"/>
                    </w:rPr>
                    <w:t>袋式除尘器</w:t>
                  </w:r>
                  <w:r>
                    <w:rPr>
                      <w:kern w:val="0"/>
                      <w:szCs w:val="21"/>
                    </w:rPr>
                    <w:t>+15m</w:t>
                  </w:r>
                  <w:r>
                    <w:rPr>
                      <w:rFonts w:hint="eastAsia"/>
                      <w:kern w:val="0"/>
                      <w:szCs w:val="21"/>
                    </w:rPr>
                    <w:t>排气筒</w:t>
                  </w:r>
                </w:p>
              </w:tc>
              <w:tc>
                <w:tcPr>
                  <w:tcW w:w="1021" w:type="pct"/>
                  <w:vMerge w:val="continue"/>
                  <w:vAlign w:val="center"/>
                </w:tcPr>
                <w:p>
                  <w:pPr>
                    <w:spacing w:line="320" w:lineRule="exact"/>
                    <w:jc w:val="center"/>
                    <w:rPr>
                      <w:szCs w:val="21"/>
                    </w:rPr>
                  </w:pPr>
                </w:p>
              </w:tc>
              <w:tc>
                <w:tcPr>
                  <w:tcW w:w="882" w:type="pct"/>
                  <w:vMerge w:val="continue"/>
                  <w:vAlign w:val="center"/>
                </w:tcPr>
                <w:p>
                  <w:pPr>
                    <w:spacing w:line="320" w:lineRule="exact"/>
                    <w:jc w:val="center"/>
                    <w:rPr>
                      <w:bCs/>
                      <w:szCs w:val="21"/>
                    </w:rPr>
                  </w:pPr>
                </w:p>
              </w:tc>
              <w:tc>
                <w:tcPr>
                  <w:tcW w:w="486" w:type="pct"/>
                  <w:vAlign w:val="center"/>
                </w:tcPr>
                <w:p>
                  <w:pPr>
                    <w:spacing w:line="320" w:lineRule="exact"/>
                    <w:jc w:val="center"/>
                    <w:rPr>
                      <w:sz w:val="22"/>
                    </w:rPr>
                  </w:pPr>
                  <w:r>
                    <w:rPr>
                      <w:szCs w:val="21"/>
                    </w:rPr>
                    <w:t>0.00</w:t>
                  </w:r>
                  <w:r>
                    <w:rPr>
                      <w:rFonts w:hint="eastAsia"/>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4" w:type="pct"/>
                  <w:vMerge w:val="continue"/>
                  <w:vAlign w:val="center"/>
                </w:tcPr>
                <w:p>
                  <w:pPr>
                    <w:spacing w:line="320" w:lineRule="exact"/>
                    <w:jc w:val="center"/>
                    <w:rPr>
                      <w:szCs w:val="21"/>
                    </w:rPr>
                  </w:pPr>
                </w:p>
              </w:tc>
              <w:tc>
                <w:tcPr>
                  <w:tcW w:w="633" w:type="pct"/>
                  <w:vAlign w:val="center"/>
                </w:tcPr>
                <w:p>
                  <w:pPr>
                    <w:spacing w:line="320" w:lineRule="exact"/>
                    <w:jc w:val="center"/>
                    <w:rPr>
                      <w:szCs w:val="21"/>
                    </w:rPr>
                  </w:pPr>
                  <w:r>
                    <w:rPr>
                      <w:rFonts w:hint="eastAsia"/>
                      <w:szCs w:val="21"/>
                    </w:rPr>
                    <w:t>切割</w:t>
                  </w:r>
                </w:p>
              </w:tc>
              <w:tc>
                <w:tcPr>
                  <w:tcW w:w="633" w:type="pct"/>
                  <w:vAlign w:val="center"/>
                </w:tcPr>
                <w:p>
                  <w:pPr>
                    <w:spacing w:line="320" w:lineRule="exact"/>
                    <w:jc w:val="center"/>
                    <w:rPr>
                      <w:szCs w:val="21"/>
                    </w:rPr>
                  </w:pPr>
                  <w:r>
                    <w:rPr>
                      <w:rFonts w:hint="eastAsia"/>
                      <w:szCs w:val="21"/>
                    </w:rPr>
                    <w:t>颗粒物</w:t>
                  </w:r>
                </w:p>
              </w:tc>
              <w:tc>
                <w:tcPr>
                  <w:tcW w:w="791" w:type="pct"/>
                  <w:vMerge w:val="continue"/>
                  <w:vAlign w:val="center"/>
                </w:tcPr>
                <w:p>
                  <w:pPr>
                    <w:adjustRightInd w:val="0"/>
                    <w:snapToGrid w:val="0"/>
                    <w:spacing w:line="320" w:lineRule="exact"/>
                    <w:jc w:val="center"/>
                    <w:rPr>
                      <w:kern w:val="0"/>
                      <w:szCs w:val="21"/>
                    </w:rPr>
                  </w:pPr>
                </w:p>
              </w:tc>
              <w:tc>
                <w:tcPr>
                  <w:tcW w:w="1021" w:type="pct"/>
                  <w:vMerge w:val="continue"/>
                  <w:vAlign w:val="center"/>
                </w:tcPr>
                <w:p>
                  <w:pPr>
                    <w:spacing w:line="320" w:lineRule="exact"/>
                    <w:jc w:val="center"/>
                    <w:rPr>
                      <w:szCs w:val="21"/>
                    </w:rPr>
                  </w:pPr>
                </w:p>
              </w:tc>
              <w:tc>
                <w:tcPr>
                  <w:tcW w:w="882" w:type="pct"/>
                  <w:vMerge w:val="continue"/>
                  <w:vAlign w:val="center"/>
                </w:tcPr>
                <w:p>
                  <w:pPr>
                    <w:spacing w:line="320" w:lineRule="exact"/>
                    <w:jc w:val="center"/>
                    <w:rPr>
                      <w:bCs/>
                      <w:szCs w:val="21"/>
                    </w:rPr>
                  </w:pPr>
                </w:p>
              </w:tc>
              <w:tc>
                <w:tcPr>
                  <w:tcW w:w="486" w:type="pct"/>
                  <w:vAlign w:val="center"/>
                </w:tcPr>
                <w:p>
                  <w:pPr>
                    <w:spacing w:line="320" w:lineRule="exact"/>
                    <w:jc w:val="center"/>
                    <w:rPr>
                      <w:szCs w:val="21"/>
                    </w:rPr>
                  </w:pPr>
                  <w:r>
                    <w:rPr>
                      <w:szCs w:val="21"/>
                    </w:rPr>
                    <w:t>0.00</w:t>
                  </w:r>
                  <w:r>
                    <w:rPr>
                      <w:rFonts w:hint="eastAsia"/>
                      <w:szCs w:val="21"/>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7" w:type="pct"/>
                  <w:gridSpan w:val="2"/>
                  <w:vAlign w:val="center"/>
                </w:tcPr>
                <w:p>
                  <w:pPr>
                    <w:spacing w:line="320" w:lineRule="exact"/>
                    <w:jc w:val="center"/>
                    <w:rPr>
                      <w:szCs w:val="21"/>
                    </w:rPr>
                  </w:pPr>
                  <w:r>
                    <w:rPr>
                      <w:rFonts w:hint="eastAsia"/>
                      <w:szCs w:val="21"/>
                    </w:rPr>
                    <w:t>无组织</w:t>
                  </w:r>
                  <w:r>
                    <w:rPr>
                      <w:szCs w:val="21"/>
                    </w:rPr>
                    <w:t>排放总计</w:t>
                  </w:r>
                </w:p>
              </w:tc>
              <w:tc>
                <w:tcPr>
                  <w:tcW w:w="3327" w:type="pct"/>
                  <w:gridSpan w:val="4"/>
                  <w:vAlign w:val="center"/>
                </w:tcPr>
                <w:p>
                  <w:pPr>
                    <w:spacing w:line="320" w:lineRule="exact"/>
                    <w:jc w:val="center"/>
                    <w:rPr>
                      <w:bCs/>
                      <w:szCs w:val="21"/>
                    </w:rPr>
                  </w:pPr>
                  <w:r>
                    <w:rPr>
                      <w:rFonts w:hint="eastAsia"/>
                      <w:szCs w:val="21"/>
                    </w:rPr>
                    <w:t>颗粒物</w:t>
                  </w:r>
                </w:p>
              </w:tc>
              <w:tc>
                <w:tcPr>
                  <w:tcW w:w="486" w:type="pct"/>
                  <w:vAlign w:val="center"/>
                </w:tcPr>
                <w:p>
                  <w:pPr>
                    <w:spacing w:line="320" w:lineRule="exact"/>
                    <w:jc w:val="center"/>
                    <w:rPr>
                      <w:szCs w:val="21"/>
                    </w:rPr>
                  </w:pPr>
                  <w:r>
                    <w:rPr>
                      <w:szCs w:val="21"/>
                    </w:rPr>
                    <w:t>0.00</w:t>
                  </w:r>
                  <w:r>
                    <w:rPr>
                      <w:rFonts w:hint="eastAsia"/>
                      <w:szCs w:val="21"/>
                    </w:rPr>
                    <w:t>52</w:t>
                  </w:r>
                </w:p>
              </w:tc>
            </w:tr>
          </w:tbl>
          <w:p>
            <w:pPr>
              <w:pStyle w:val="87"/>
              <w:ind w:firstLine="482"/>
              <w:rPr>
                <w:b/>
                <w:bCs/>
              </w:rPr>
            </w:pPr>
            <w:r>
              <w:rPr>
                <w:b/>
                <w:bCs/>
              </w:rPr>
              <w:fldChar w:fldCharType="begin"/>
            </w:r>
            <w:r>
              <w:rPr>
                <w:b/>
                <w:bCs/>
              </w:rPr>
              <w:instrText xml:space="preserve"> </w:instrText>
            </w:r>
            <w:r>
              <w:rPr>
                <w:rFonts w:hint="eastAsia"/>
                <w:b/>
                <w:bCs/>
              </w:rPr>
              <w:instrText xml:space="preserve">= 3 \* GB3</w:instrText>
            </w:r>
            <w:r>
              <w:rPr>
                <w:b/>
                <w:bCs/>
              </w:rPr>
              <w:instrText xml:space="preserve"> </w:instrText>
            </w:r>
            <w:r>
              <w:rPr>
                <w:b/>
                <w:bCs/>
              </w:rPr>
              <w:fldChar w:fldCharType="separate"/>
            </w:r>
            <w:r>
              <w:rPr>
                <w:rFonts w:hint="eastAsia"/>
                <w:b/>
                <w:bCs/>
              </w:rPr>
              <w:t>③</w:t>
            </w:r>
            <w:r>
              <w:rPr>
                <w:b/>
                <w:bCs/>
              </w:rPr>
              <w:fldChar w:fldCharType="end"/>
            </w:r>
            <w:r>
              <w:rPr>
                <w:b/>
                <w:bCs/>
              </w:rPr>
              <w:t>大气污染物年排放量核算</w:t>
            </w:r>
          </w:p>
          <w:p>
            <w:pPr>
              <w:pStyle w:val="87"/>
            </w:pPr>
            <w:r>
              <w:t>项目大气污染物年排放量核算一览表见下表。</w:t>
            </w:r>
          </w:p>
          <w:p>
            <w:pPr>
              <w:pStyle w:val="92"/>
              <w:spacing w:after="62"/>
              <w:ind w:firstLine="472"/>
              <w:rPr>
                <w:sz w:val="24"/>
                <w:szCs w:val="24"/>
              </w:rPr>
            </w:pPr>
            <w:r>
              <w:rPr>
                <w:sz w:val="24"/>
                <w:szCs w:val="24"/>
              </w:rPr>
              <w:t>表</w:t>
            </w:r>
            <w:r>
              <w:rPr>
                <w:rFonts w:hint="eastAsia"/>
                <w:sz w:val="24"/>
                <w:szCs w:val="24"/>
              </w:rPr>
              <w:t xml:space="preserve">42        </w:t>
            </w:r>
            <w:r>
              <w:rPr>
                <w:sz w:val="24"/>
                <w:szCs w:val="24"/>
              </w:rPr>
              <w:t xml:space="preserve"> 大气污染物年排放量核算一览表</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66"/>
              <w:gridCol w:w="46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tcPr>
                <w:p>
                  <w:pPr>
                    <w:spacing w:line="320" w:lineRule="exact"/>
                    <w:jc w:val="center"/>
                    <w:rPr>
                      <w:b/>
                      <w:szCs w:val="21"/>
                    </w:rPr>
                  </w:pPr>
                  <w:r>
                    <w:rPr>
                      <w:b/>
                      <w:szCs w:val="21"/>
                    </w:rPr>
                    <w:t>污染物</w:t>
                  </w:r>
                </w:p>
              </w:tc>
              <w:tc>
                <w:tcPr>
                  <w:tcW w:w="2500" w:type="pct"/>
                </w:tcPr>
                <w:p>
                  <w:pPr>
                    <w:spacing w:line="320" w:lineRule="exact"/>
                    <w:jc w:val="center"/>
                    <w:rPr>
                      <w:b/>
                      <w:szCs w:val="21"/>
                    </w:rPr>
                  </w:pPr>
                  <w:r>
                    <w:rPr>
                      <w:b/>
                      <w:szCs w:val="21"/>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2500" w:type="pct"/>
                </w:tcPr>
                <w:p>
                  <w:pPr>
                    <w:spacing w:line="320" w:lineRule="exact"/>
                    <w:jc w:val="center"/>
                    <w:rPr>
                      <w:szCs w:val="21"/>
                    </w:rPr>
                  </w:pPr>
                  <w:r>
                    <w:rPr>
                      <w:rFonts w:hint="eastAsia"/>
                      <w:szCs w:val="21"/>
                    </w:rPr>
                    <w:t>颗粒物</w:t>
                  </w:r>
                </w:p>
              </w:tc>
              <w:tc>
                <w:tcPr>
                  <w:tcW w:w="2500" w:type="pct"/>
                </w:tcPr>
                <w:p>
                  <w:pPr>
                    <w:spacing w:line="320" w:lineRule="exact"/>
                    <w:jc w:val="center"/>
                    <w:rPr>
                      <w:szCs w:val="21"/>
                    </w:rPr>
                  </w:pPr>
                  <w:r>
                    <w:rPr>
                      <w:szCs w:val="21"/>
                    </w:rPr>
                    <w:t>0.00</w:t>
                  </w:r>
                  <w:r>
                    <w:rPr>
                      <w:rFonts w:hint="eastAsia"/>
                      <w:szCs w:val="21"/>
                    </w:rPr>
                    <w:t>56</w:t>
                  </w:r>
                </w:p>
              </w:tc>
            </w:tr>
          </w:tbl>
          <w:p>
            <w:pPr>
              <w:pStyle w:val="97"/>
            </w:pPr>
            <w:r>
              <w:rPr>
                <w:rFonts w:hint="eastAsia"/>
              </w:rPr>
              <w:t>（5）大气环境影响评价自查表</w:t>
            </w:r>
          </w:p>
          <w:p>
            <w:pPr>
              <w:pStyle w:val="87"/>
            </w:pPr>
            <w:r>
              <w:rPr>
                <w:rFonts w:hint="eastAsia"/>
              </w:rPr>
              <w:t>大气环境影响评价自查表见表43。</w:t>
            </w:r>
          </w:p>
          <w:p>
            <w:pPr>
              <w:pStyle w:val="92"/>
              <w:spacing w:after="62"/>
              <w:ind w:firstLine="472"/>
              <w:rPr>
                <w:b w:val="0"/>
                <w:snapToGrid w:val="0"/>
                <w:sz w:val="24"/>
                <w:szCs w:val="24"/>
              </w:rPr>
            </w:pPr>
            <w:r>
              <w:rPr>
                <w:sz w:val="24"/>
                <w:szCs w:val="24"/>
              </w:rPr>
              <w:t>表</w:t>
            </w:r>
            <w:r>
              <w:rPr>
                <w:rFonts w:hint="eastAsia"/>
                <w:sz w:val="24"/>
                <w:szCs w:val="24"/>
              </w:rPr>
              <w:t>43</w:t>
            </w:r>
            <w:r>
              <w:rPr>
                <w:sz w:val="24"/>
                <w:szCs w:val="24"/>
              </w:rPr>
              <w:t xml:space="preserve"> </w:t>
            </w:r>
            <w:r>
              <w:rPr>
                <w:rFonts w:hint="eastAsia"/>
                <w:sz w:val="24"/>
                <w:szCs w:val="24"/>
              </w:rPr>
              <w:t xml:space="preserve">              </w:t>
            </w:r>
            <w:r>
              <w:rPr>
                <w:sz w:val="24"/>
                <w:szCs w:val="24"/>
              </w:rPr>
              <w:t xml:space="preserve"> 本项目大气环境影响评价自查表</w:t>
            </w:r>
          </w:p>
          <w:tbl>
            <w:tblPr>
              <w:tblStyle w:val="27"/>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83"/>
              <w:gridCol w:w="1417"/>
              <w:gridCol w:w="932"/>
              <w:gridCol w:w="76"/>
              <w:gridCol w:w="804"/>
              <w:gridCol w:w="351"/>
              <w:gridCol w:w="351"/>
              <w:gridCol w:w="404"/>
              <w:gridCol w:w="98"/>
              <w:gridCol w:w="122"/>
              <w:gridCol w:w="515"/>
              <w:gridCol w:w="498"/>
              <w:gridCol w:w="447"/>
              <w:gridCol w:w="338"/>
              <w:gridCol w:w="329"/>
              <w:gridCol w:w="353"/>
              <w:gridCol w:w="541"/>
              <w:gridCol w:w="310"/>
              <w:gridCol w:w="86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077" w:type="pct"/>
                  <w:gridSpan w:val="2"/>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工作内容</w:t>
                  </w:r>
                </w:p>
              </w:tc>
              <w:tc>
                <w:tcPr>
                  <w:tcW w:w="3923" w:type="pct"/>
                  <w:gridSpan w:val="17"/>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自查范围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restar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评价</w:t>
                  </w:r>
                </w:p>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等级</w:t>
                  </w:r>
                </w:p>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与范</w:t>
                  </w:r>
                </w:p>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围</w:t>
                  </w: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评价等级</w:t>
                  </w:r>
                </w:p>
              </w:tc>
              <w:tc>
                <w:tcPr>
                  <w:tcW w:w="968" w:type="pct"/>
                  <w:gridSpan w:val="3"/>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一级</w:t>
                  </w:r>
                  <w:r>
                    <w:rPr>
                      <w:rFonts w:ascii="Times New Roman" w:hAnsi="Times New Roman"/>
                      <w:kern w:val="0"/>
                      <w:sz w:val="21"/>
                      <w:szCs w:val="21"/>
                    </w:rPr>
                    <w:sym w:font="Wingdings 2" w:char="00A3"/>
                  </w:r>
                </w:p>
              </w:tc>
              <w:tc>
                <w:tcPr>
                  <w:tcW w:w="2030" w:type="pct"/>
                  <w:gridSpan w:val="11"/>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二级</w:t>
                  </w:r>
                  <w:r>
                    <w:rPr>
                      <w:rFonts w:ascii="Times New Roman" w:hAnsi="Times New Roman"/>
                      <w:kern w:val="0"/>
                      <w:sz w:val="21"/>
                      <w:szCs w:val="21"/>
                    </w:rPr>
                    <w:sym w:font="Wingdings 2" w:char="00A3"/>
                  </w:r>
                </w:p>
              </w:tc>
              <w:tc>
                <w:tcPr>
                  <w:tcW w:w="925" w:type="pct"/>
                  <w:gridSpan w:val="3"/>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三级</w:t>
                  </w:r>
                  <w:r>
                    <w:rPr>
                      <w:rFonts w:ascii="Times New Roman" w:hAnsi="Times New Roman"/>
                      <w:kern w:val="0"/>
                      <w:sz w:val="21"/>
                      <w:szCs w:val="21"/>
                    </w:rPr>
                    <w:sym w:font="Wingdings 2" w:char="0052"/>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continue"/>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评价范围</w:t>
                  </w:r>
                </w:p>
              </w:tc>
              <w:tc>
                <w:tcPr>
                  <w:tcW w:w="968" w:type="pct"/>
                  <w:gridSpan w:val="3"/>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边长</w:t>
                  </w:r>
                  <w:r>
                    <w:rPr>
                      <w:rFonts w:ascii="Times New Roman" w:hAnsi="Times New Roman"/>
                      <w:kern w:val="0"/>
                      <w:sz w:val="21"/>
                      <w:szCs w:val="21"/>
                      <w:lang w:eastAsia="en-US"/>
                    </w:rPr>
                    <w:t>=50</w:t>
                  </w:r>
                  <w:r>
                    <w:rPr>
                      <w:rStyle w:val="102"/>
                      <w:rFonts w:ascii="Times New Roman" w:hAnsi="Times New Roman" w:eastAsia="宋体"/>
                      <w:kern w:val="0"/>
                      <w:sz w:val="21"/>
                      <w:szCs w:val="21"/>
                    </w:rPr>
                    <w:t>km</w:t>
                  </w:r>
                  <w:r>
                    <w:rPr>
                      <w:rFonts w:ascii="Times New Roman" w:hAnsi="Times New Roman"/>
                      <w:kern w:val="0"/>
                      <w:sz w:val="21"/>
                      <w:szCs w:val="21"/>
                      <w:lang w:eastAsia="en-US"/>
                    </w:rPr>
                    <w:t xml:space="preserve"> </w:t>
                  </w:r>
                  <w:r>
                    <w:rPr>
                      <w:rFonts w:ascii="Times New Roman" w:hAnsi="Times New Roman"/>
                      <w:kern w:val="0"/>
                      <w:sz w:val="21"/>
                      <w:szCs w:val="21"/>
                    </w:rPr>
                    <w:sym w:font="Wingdings 2" w:char="00A3"/>
                  </w:r>
                </w:p>
              </w:tc>
              <w:tc>
                <w:tcPr>
                  <w:tcW w:w="2030" w:type="pct"/>
                  <w:gridSpan w:val="11"/>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边长</w:t>
                  </w:r>
                  <w:r>
                    <w:rPr>
                      <w:rFonts w:ascii="Times New Roman" w:hAnsi="Times New Roman"/>
                      <w:kern w:val="0"/>
                      <w:sz w:val="21"/>
                      <w:szCs w:val="21"/>
                    </w:rPr>
                    <w:t>5</w:t>
                  </w:r>
                  <w:r>
                    <w:rPr>
                      <w:rFonts w:ascii="Times New Roman"/>
                      <w:kern w:val="0"/>
                      <w:sz w:val="21"/>
                      <w:szCs w:val="21"/>
                    </w:rPr>
                    <w:t>〜</w:t>
                  </w:r>
                  <w:r>
                    <w:rPr>
                      <w:rFonts w:ascii="Times New Roman" w:hAnsi="Times New Roman"/>
                      <w:kern w:val="0"/>
                      <w:sz w:val="21"/>
                      <w:szCs w:val="21"/>
                      <w:lang w:eastAsia="en-US"/>
                    </w:rPr>
                    <w:t>50</w:t>
                  </w:r>
                  <w:r>
                    <w:rPr>
                      <w:rStyle w:val="102"/>
                      <w:rFonts w:ascii="Times New Roman" w:hAnsi="Times New Roman" w:eastAsia="宋体"/>
                      <w:kern w:val="0"/>
                      <w:sz w:val="21"/>
                      <w:szCs w:val="21"/>
                    </w:rPr>
                    <w:t>km</w:t>
                  </w:r>
                  <w:r>
                    <w:rPr>
                      <w:rFonts w:ascii="Times New Roman" w:hAnsi="Times New Roman"/>
                      <w:kern w:val="0"/>
                      <w:sz w:val="21"/>
                      <w:szCs w:val="21"/>
                      <w:lang w:eastAsia="en-US"/>
                    </w:rPr>
                    <w:t xml:space="preserve"> </w:t>
                  </w:r>
                  <w:r>
                    <w:rPr>
                      <w:rFonts w:ascii="Times New Roman" w:hAnsi="Times New Roman"/>
                      <w:kern w:val="0"/>
                      <w:sz w:val="21"/>
                      <w:szCs w:val="21"/>
                    </w:rPr>
                    <w:sym w:font="Wingdings 2" w:char="00A3"/>
                  </w:r>
                </w:p>
              </w:tc>
              <w:tc>
                <w:tcPr>
                  <w:tcW w:w="925" w:type="pct"/>
                  <w:gridSpan w:val="3"/>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边长</w:t>
                  </w:r>
                  <w:r>
                    <w:rPr>
                      <w:rFonts w:ascii="Times New Roman" w:hAnsi="Times New Roman"/>
                      <w:kern w:val="0"/>
                      <w:sz w:val="21"/>
                      <w:szCs w:val="21"/>
                      <w:lang w:eastAsia="en-US"/>
                    </w:rPr>
                    <w:t>=5</w:t>
                  </w:r>
                  <w:r>
                    <w:rPr>
                      <w:rStyle w:val="102"/>
                      <w:rFonts w:ascii="Times New Roman" w:hAnsi="Times New Roman" w:eastAsia="宋体"/>
                      <w:kern w:val="0"/>
                      <w:sz w:val="21"/>
                      <w:szCs w:val="21"/>
                    </w:rPr>
                    <w:t>km</w:t>
                  </w:r>
                  <w:r>
                    <w:rPr>
                      <w:rFonts w:ascii="Times New Roman" w:hAnsi="Times New Roman"/>
                      <w:kern w:val="0"/>
                      <w:sz w:val="21"/>
                      <w:szCs w:val="21"/>
                    </w:rPr>
                    <w:sym w:font="Wingdings 2" w:char="0052"/>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restar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评价</w:t>
                  </w:r>
                </w:p>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因子</w:t>
                  </w: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Style w:val="102"/>
                      <w:rFonts w:ascii="Times New Roman" w:hAnsi="Times New Roman" w:eastAsia="宋体"/>
                      <w:kern w:val="0"/>
                      <w:sz w:val="21"/>
                      <w:szCs w:val="21"/>
                    </w:rPr>
                    <w:t>S</w:t>
                  </w:r>
                  <w:r>
                    <w:rPr>
                      <w:rFonts w:ascii="Times New Roman" w:hAnsi="Times New Roman"/>
                      <w:kern w:val="0"/>
                      <w:sz w:val="21"/>
                      <w:szCs w:val="21"/>
                    </w:rPr>
                    <w:t>O</w:t>
                  </w:r>
                  <w:r>
                    <w:rPr>
                      <w:rFonts w:ascii="Times New Roman" w:hAnsi="Times New Roman"/>
                      <w:kern w:val="0"/>
                      <w:sz w:val="21"/>
                      <w:szCs w:val="21"/>
                      <w:vertAlign w:val="subscript"/>
                      <w:lang w:eastAsia="en-US"/>
                    </w:rPr>
                    <w:t>2</w:t>
                  </w:r>
                  <w:r>
                    <w:rPr>
                      <w:rStyle w:val="102"/>
                      <w:rFonts w:ascii="Times New Roman" w:hAnsi="Times New Roman" w:eastAsia="宋体"/>
                      <w:kern w:val="0"/>
                      <w:sz w:val="21"/>
                      <w:szCs w:val="21"/>
                    </w:rPr>
                    <w:t>+NOx</w:t>
                  </w:r>
                </w:p>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排放量</w:t>
                  </w:r>
                </w:p>
              </w:tc>
              <w:tc>
                <w:tcPr>
                  <w:tcW w:w="968" w:type="pct"/>
                  <w:gridSpan w:val="3"/>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kern w:val="0"/>
                      <w:sz w:val="21"/>
                      <w:szCs w:val="21"/>
                    </w:rPr>
                    <w:t>≧</w:t>
                  </w:r>
                  <w:r>
                    <w:rPr>
                      <w:rFonts w:ascii="Times New Roman" w:hAnsi="Times New Roman"/>
                      <w:kern w:val="0"/>
                      <w:sz w:val="21"/>
                      <w:szCs w:val="21"/>
                      <w:lang w:eastAsia="en-US"/>
                    </w:rPr>
                    <w:t>2000</w:t>
                  </w:r>
                  <w:r>
                    <w:rPr>
                      <w:rStyle w:val="102"/>
                      <w:rFonts w:ascii="Times New Roman" w:hAnsi="Times New Roman" w:eastAsia="宋体"/>
                      <w:kern w:val="0"/>
                      <w:sz w:val="21"/>
                      <w:szCs w:val="21"/>
                    </w:rPr>
                    <w:t>t</w:t>
                  </w:r>
                  <w:r>
                    <w:rPr>
                      <w:rFonts w:ascii="Times New Roman" w:hAnsi="Times New Roman"/>
                      <w:kern w:val="0"/>
                      <w:sz w:val="21"/>
                      <w:szCs w:val="21"/>
                      <w:lang w:eastAsia="en-US"/>
                    </w:rPr>
                    <w:t>/</w:t>
                  </w:r>
                  <w:r>
                    <w:rPr>
                      <w:rStyle w:val="102"/>
                      <w:rFonts w:ascii="Times New Roman" w:hAnsi="Times New Roman" w:eastAsia="宋体"/>
                      <w:kern w:val="0"/>
                      <w:sz w:val="21"/>
                      <w:szCs w:val="21"/>
                    </w:rPr>
                    <w:t>a</w:t>
                  </w:r>
                  <w:r>
                    <w:rPr>
                      <w:rFonts w:ascii="Times New Roman" w:hAnsi="Times New Roman"/>
                      <w:kern w:val="0"/>
                      <w:sz w:val="21"/>
                      <w:szCs w:val="21"/>
                    </w:rPr>
                    <w:sym w:font="Wingdings 2" w:char="00A3"/>
                  </w:r>
                </w:p>
              </w:tc>
              <w:tc>
                <w:tcPr>
                  <w:tcW w:w="2030" w:type="pct"/>
                  <w:gridSpan w:val="11"/>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hAnsi="Times New Roman"/>
                      <w:kern w:val="0"/>
                      <w:sz w:val="21"/>
                      <w:szCs w:val="21"/>
                    </w:rPr>
                    <w:t>500</w:t>
                  </w:r>
                  <w:r>
                    <w:rPr>
                      <w:rFonts w:ascii="Times New Roman"/>
                      <w:kern w:val="0"/>
                      <w:sz w:val="21"/>
                      <w:szCs w:val="21"/>
                    </w:rPr>
                    <w:t>〜</w:t>
                  </w:r>
                  <w:r>
                    <w:rPr>
                      <w:rFonts w:ascii="Times New Roman" w:hAnsi="Times New Roman"/>
                      <w:kern w:val="0"/>
                      <w:sz w:val="21"/>
                      <w:szCs w:val="21"/>
                      <w:lang w:eastAsia="en-US"/>
                    </w:rPr>
                    <w:t>2000</w:t>
                  </w:r>
                  <w:r>
                    <w:rPr>
                      <w:rStyle w:val="102"/>
                      <w:rFonts w:ascii="Times New Roman" w:hAnsi="Times New Roman" w:eastAsia="宋体"/>
                      <w:kern w:val="0"/>
                      <w:sz w:val="21"/>
                      <w:szCs w:val="21"/>
                    </w:rPr>
                    <w:t>t</w:t>
                  </w:r>
                  <w:r>
                    <w:rPr>
                      <w:rFonts w:ascii="Times New Roman" w:hAnsi="Times New Roman"/>
                      <w:kern w:val="0"/>
                      <w:sz w:val="21"/>
                      <w:szCs w:val="21"/>
                      <w:lang w:eastAsia="en-US"/>
                    </w:rPr>
                    <w:t>/</w:t>
                  </w:r>
                  <w:r>
                    <w:rPr>
                      <w:rStyle w:val="102"/>
                      <w:rFonts w:ascii="Times New Roman" w:hAnsi="Times New Roman" w:eastAsia="宋体"/>
                      <w:kern w:val="0"/>
                      <w:sz w:val="21"/>
                      <w:szCs w:val="21"/>
                    </w:rPr>
                    <w:t>a</w:t>
                  </w:r>
                  <w:r>
                    <w:rPr>
                      <w:rFonts w:ascii="Times New Roman" w:hAnsi="Times New Roman"/>
                      <w:kern w:val="0"/>
                      <w:sz w:val="21"/>
                      <w:szCs w:val="21"/>
                    </w:rPr>
                    <w:sym w:font="Wingdings 2" w:char="00A3"/>
                  </w:r>
                </w:p>
              </w:tc>
              <w:tc>
                <w:tcPr>
                  <w:tcW w:w="925" w:type="pct"/>
                  <w:gridSpan w:val="3"/>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hAnsi="Times New Roman"/>
                      <w:kern w:val="0"/>
                      <w:sz w:val="21"/>
                      <w:szCs w:val="21"/>
                      <w:lang w:eastAsia="en-US"/>
                    </w:rPr>
                    <w:t>&lt;500</w:t>
                  </w:r>
                  <w:r>
                    <w:rPr>
                      <w:rStyle w:val="102"/>
                      <w:rFonts w:ascii="Times New Roman" w:hAnsi="Times New Roman" w:eastAsia="宋体"/>
                      <w:kern w:val="0"/>
                      <w:sz w:val="21"/>
                      <w:szCs w:val="21"/>
                    </w:rPr>
                    <w:t>t/a</w:t>
                  </w:r>
                  <w:r>
                    <w:rPr>
                      <w:rFonts w:ascii="Times New Roman" w:hAnsi="Times New Roman"/>
                      <w:kern w:val="0"/>
                      <w:sz w:val="21"/>
                      <w:szCs w:val="21"/>
                    </w:rPr>
                    <w:sym w:font="Wingdings 2" w:char="00A3"/>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continue"/>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评价因子</w:t>
                  </w:r>
                </w:p>
              </w:tc>
              <w:tc>
                <w:tcPr>
                  <w:tcW w:w="2998" w:type="pct"/>
                  <w:gridSpan w:val="14"/>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基本污染物</w:t>
                  </w:r>
                  <w:r>
                    <w:rPr>
                      <w:rStyle w:val="102"/>
                      <w:rFonts w:ascii="Times New Roman" w:hAnsi="宋体" w:eastAsia="宋体"/>
                      <w:kern w:val="0"/>
                      <w:sz w:val="21"/>
                      <w:szCs w:val="21"/>
                    </w:rPr>
                    <w:t>（</w:t>
                  </w:r>
                  <w:r>
                    <w:rPr>
                      <w:rStyle w:val="102"/>
                      <w:rFonts w:ascii="Times New Roman" w:hAnsi="Times New Roman" w:eastAsia="宋体"/>
                      <w:kern w:val="0"/>
                      <w:sz w:val="21"/>
                      <w:szCs w:val="21"/>
                    </w:rPr>
                    <w:t>PM</w:t>
                  </w:r>
                  <w:r>
                    <w:rPr>
                      <w:rStyle w:val="102"/>
                      <w:rFonts w:ascii="Times New Roman" w:hAnsi="Times New Roman" w:eastAsia="宋体"/>
                      <w:kern w:val="0"/>
                      <w:sz w:val="21"/>
                      <w:szCs w:val="21"/>
                      <w:vertAlign w:val="subscript"/>
                    </w:rPr>
                    <w:t>2.5</w:t>
                  </w:r>
                  <w:r>
                    <w:rPr>
                      <w:rStyle w:val="102"/>
                      <w:rFonts w:ascii="Times New Roman" w:hAnsi="宋体" w:eastAsia="宋体"/>
                      <w:kern w:val="0"/>
                      <w:sz w:val="21"/>
                      <w:szCs w:val="21"/>
                    </w:rPr>
                    <w:t>、</w:t>
                  </w:r>
                  <w:r>
                    <w:rPr>
                      <w:rStyle w:val="102"/>
                      <w:rFonts w:ascii="Times New Roman" w:hAnsi="Times New Roman" w:eastAsia="宋体"/>
                      <w:kern w:val="0"/>
                      <w:sz w:val="21"/>
                      <w:szCs w:val="21"/>
                    </w:rPr>
                    <w:t>PM</w:t>
                  </w:r>
                  <w:r>
                    <w:rPr>
                      <w:rStyle w:val="102"/>
                      <w:rFonts w:ascii="Times New Roman" w:hAnsi="Times New Roman" w:eastAsia="宋体"/>
                      <w:kern w:val="0"/>
                      <w:sz w:val="21"/>
                      <w:szCs w:val="21"/>
                      <w:vertAlign w:val="subscript"/>
                    </w:rPr>
                    <w:t>10</w:t>
                  </w:r>
                  <w:r>
                    <w:rPr>
                      <w:rStyle w:val="102"/>
                      <w:rFonts w:ascii="Times New Roman" w:hAnsi="宋体" w:eastAsia="宋体"/>
                      <w:kern w:val="0"/>
                      <w:sz w:val="21"/>
                      <w:szCs w:val="21"/>
                    </w:rPr>
                    <w:t>、</w:t>
                  </w:r>
                  <w:r>
                    <w:rPr>
                      <w:rStyle w:val="102"/>
                      <w:rFonts w:ascii="Times New Roman" w:hAnsi="Times New Roman" w:eastAsia="宋体"/>
                      <w:kern w:val="0"/>
                      <w:sz w:val="21"/>
                      <w:szCs w:val="21"/>
                    </w:rPr>
                    <w:t>NO</w:t>
                  </w:r>
                  <w:r>
                    <w:rPr>
                      <w:rStyle w:val="102"/>
                      <w:rFonts w:ascii="Times New Roman" w:hAnsi="Times New Roman" w:eastAsia="宋体"/>
                      <w:kern w:val="0"/>
                      <w:sz w:val="21"/>
                      <w:szCs w:val="21"/>
                      <w:vertAlign w:val="subscript"/>
                    </w:rPr>
                    <w:t>2</w:t>
                  </w:r>
                  <w:r>
                    <w:rPr>
                      <w:rStyle w:val="102"/>
                      <w:rFonts w:ascii="Times New Roman" w:hAnsi="宋体" w:eastAsia="宋体"/>
                      <w:kern w:val="0"/>
                      <w:sz w:val="21"/>
                      <w:szCs w:val="21"/>
                    </w:rPr>
                    <w:t>、</w:t>
                  </w:r>
                  <w:r>
                    <w:rPr>
                      <w:rStyle w:val="102"/>
                      <w:rFonts w:ascii="Times New Roman" w:hAnsi="Times New Roman" w:eastAsia="宋体"/>
                      <w:kern w:val="0"/>
                      <w:sz w:val="21"/>
                      <w:szCs w:val="21"/>
                    </w:rPr>
                    <w:t>SO</w:t>
                  </w:r>
                  <w:r>
                    <w:rPr>
                      <w:rStyle w:val="102"/>
                      <w:rFonts w:ascii="Times New Roman" w:hAnsi="Times New Roman" w:eastAsia="宋体"/>
                      <w:kern w:val="0"/>
                      <w:sz w:val="21"/>
                      <w:szCs w:val="21"/>
                      <w:vertAlign w:val="subscript"/>
                    </w:rPr>
                    <w:t>2</w:t>
                  </w:r>
                  <w:r>
                    <w:rPr>
                      <w:rStyle w:val="102"/>
                      <w:rFonts w:ascii="Times New Roman" w:hAnsi="宋体" w:eastAsia="宋体"/>
                      <w:kern w:val="0"/>
                      <w:sz w:val="21"/>
                      <w:szCs w:val="21"/>
                    </w:rPr>
                    <w:t>、</w:t>
                  </w:r>
                  <w:r>
                    <w:rPr>
                      <w:rStyle w:val="102"/>
                      <w:rFonts w:ascii="Times New Roman" w:hAnsi="Times New Roman" w:eastAsia="宋体"/>
                      <w:kern w:val="0"/>
                      <w:sz w:val="21"/>
                      <w:szCs w:val="21"/>
                    </w:rPr>
                    <w:t>CO</w:t>
                  </w:r>
                  <w:r>
                    <w:rPr>
                      <w:rStyle w:val="102"/>
                      <w:rFonts w:ascii="Times New Roman" w:hAnsi="宋体" w:eastAsia="宋体"/>
                      <w:kern w:val="0"/>
                      <w:sz w:val="21"/>
                      <w:szCs w:val="21"/>
                    </w:rPr>
                    <w:t>、</w:t>
                  </w:r>
                  <w:r>
                    <w:rPr>
                      <w:rStyle w:val="102"/>
                      <w:rFonts w:ascii="Times New Roman" w:hAnsi="Times New Roman" w:eastAsia="宋体"/>
                      <w:kern w:val="0"/>
                      <w:sz w:val="21"/>
                      <w:szCs w:val="21"/>
                    </w:rPr>
                    <w:t>O</w:t>
                  </w:r>
                  <w:r>
                    <w:rPr>
                      <w:rStyle w:val="102"/>
                      <w:rFonts w:ascii="Times New Roman" w:hAnsi="Times New Roman" w:eastAsia="宋体"/>
                      <w:kern w:val="0"/>
                      <w:sz w:val="21"/>
                      <w:szCs w:val="21"/>
                      <w:vertAlign w:val="subscript"/>
                    </w:rPr>
                    <w:t>3</w:t>
                  </w:r>
                  <w:r>
                    <w:rPr>
                      <w:rStyle w:val="102"/>
                      <w:rFonts w:ascii="Times New Roman" w:hAnsi="宋体" w:eastAsia="宋体"/>
                      <w:kern w:val="0"/>
                      <w:sz w:val="21"/>
                      <w:szCs w:val="21"/>
                    </w:rPr>
                    <w:t>）</w:t>
                  </w:r>
                </w:p>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其他污染物</w:t>
                  </w:r>
                  <w:r>
                    <w:rPr>
                      <w:rStyle w:val="102"/>
                      <w:rFonts w:ascii="Times New Roman" w:hAnsi="宋体" w:eastAsia="宋体"/>
                      <w:kern w:val="0"/>
                      <w:sz w:val="21"/>
                      <w:szCs w:val="21"/>
                    </w:rPr>
                    <w:t>（</w:t>
                  </w:r>
                  <w:r>
                    <w:rPr>
                      <w:rFonts w:ascii="Times New Roman"/>
                      <w:kern w:val="0"/>
                      <w:sz w:val="21"/>
                      <w:szCs w:val="21"/>
                    </w:rPr>
                    <w:t>）</w:t>
                  </w:r>
                </w:p>
              </w:tc>
              <w:tc>
                <w:tcPr>
                  <w:tcW w:w="925" w:type="pct"/>
                  <w:gridSpan w:val="3"/>
                  <w:shd w:val="clear" w:color="auto" w:fill="auto"/>
                  <w:tcMar>
                    <w:top w:w="0" w:type="dxa"/>
                    <w:left w:w="57" w:type="dxa"/>
                    <w:bottom w:w="0" w:type="dxa"/>
                    <w:right w:w="57" w:type="dxa"/>
                  </w:tcMar>
                  <w:vAlign w:val="center"/>
                </w:tcPr>
                <w:p>
                  <w:pPr>
                    <w:pStyle w:val="98"/>
                    <w:adjustRightInd w:val="0"/>
                    <w:snapToGrid w:val="0"/>
                    <w:spacing w:line="240" w:lineRule="auto"/>
                    <w:ind w:left="459" w:hanging="459"/>
                    <w:jc w:val="center"/>
                    <w:rPr>
                      <w:rFonts w:ascii="Times New Roman" w:hAnsi="Times New Roman"/>
                      <w:kern w:val="0"/>
                      <w:sz w:val="21"/>
                      <w:szCs w:val="21"/>
                    </w:rPr>
                  </w:pPr>
                  <w:r>
                    <w:rPr>
                      <w:rFonts w:ascii="Times New Roman"/>
                      <w:kern w:val="0"/>
                      <w:sz w:val="21"/>
                      <w:szCs w:val="21"/>
                    </w:rPr>
                    <w:t>包括二次</w:t>
                  </w:r>
                  <w:r>
                    <w:rPr>
                      <w:rStyle w:val="102"/>
                      <w:rFonts w:ascii="Times New Roman" w:hAnsi="Times New Roman" w:eastAsia="宋体"/>
                      <w:kern w:val="0"/>
                      <w:sz w:val="21"/>
                      <w:szCs w:val="21"/>
                    </w:rPr>
                    <w:t>PM</w:t>
                  </w:r>
                  <w:r>
                    <w:rPr>
                      <w:rStyle w:val="100"/>
                      <w:rFonts w:hint="default" w:ascii="Times New Roman" w:hAnsi="Times New Roman"/>
                      <w:kern w:val="0"/>
                      <w:sz w:val="21"/>
                      <w:szCs w:val="21"/>
                      <w:vertAlign w:val="subscript"/>
                      <w:lang w:eastAsia="en-US"/>
                    </w:rPr>
                    <w:t>2.5</w:t>
                  </w:r>
                  <w:r>
                    <w:rPr>
                      <w:rFonts w:ascii="Times New Roman" w:hAnsi="Times New Roman"/>
                      <w:kern w:val="0"/>
                      <w:sz w:val="21"/>
                      <w:szCs w:val="21"/>
                    </w:rPr>
                    <w:sym w:font="Wingdings 2" w:char="00A3"/>
                  </w:r>
                </w:p>
                <w:p>
                  <w:pPr>
                    <w:pStyle w:val="98"/>
                    <w:adjustRightInd w:val="0"/>
                    <w:snapToGrid w:val="0"/>
                    <w:spacing w:line="240" w:lineRule="auto"/>
                    <w:ind w:left="459" w:hanging="459"/>
                    <w:jc w:val="center"/>
                    <w:rPr>
                      <w:rFonts w:ascii="Times New Roman" w:hAnsi="Times New Roman"/>
                      <w:kern w:val="0"/>
                      <w:sz w:val="21"/>
                      <w:szCs w:val="21"/>
                    </w:rPr>
                  </w:pPr>
                  <w:r>
                    <w:rPr>
                      <w:rFonts w:ascii="Times New Roman"/>
                      <w:kern w:val="0"/>
                      <w:sz w:val="21"/>
                      <w:szCs w:val="21"/>
                    </w:rPr>
                    <w:t>不包括二次</w:t>
                  </w:r>
                  <w:r>
                    <w:rPr>
                      <w:rStyle w:val="102"/>
                      <w:rFonts w:ascii="Times New Roman" w:hAnsi="Times New Roman" w:eastAsia="宋体"/>
                      <w:kern w:val="0"/>
                      <w:sz w:val="21"/>
                      <w:szCs w:val="21"/>
                    </w:rPr>
                    <w:t>PM</w:t>
                  </w:r>
                  <w:r>
                    <w:rPr>
                      <w:rStyle w:val="100"/>
                      <w:rFonts w:hint="default" w:ascii="Times New Roman" w:hAnsi="Times New Roman"/>
                      <w:kern w:val="0"/>
                      <w:sz w:val="21"/>
                      <w:szCs w:val="21"/>
                      <w:vertAlign w:val="subscript"/>
                      <w:lang w:eastAsia="en-US"/>
                    </w:rPr>
                    <w:t>2.5</w:t>
                  </w:r>
                  <w:r>
                    <w:rPr>
                      <w:rFonts w:ascii="Times New Roman" w:hAnsi="Times New Roman"/>
                      <w:kern w:val="0"/>
                      <w:sz w:val="21"/>
                      <w:szCs w:val="21"/>
                    </w:rPr>
                    <w:sym w:font="Wingdings 2" w:char="0052"/>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评价</w:t>
                  </w:r>
                </w:p>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标准</w:t>
                  </w: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评价标准</w:t>
                  </w:r>
                </w:p>
              </w:tc>
              <w:tc>
                <w:tcPr>
                  <w:tcW w:w="968" w:type="pct"/>
                  <w:gridSpan w:val="3"/>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国家标准</w:t>
                  </w:r>
                  <w:r>
                    <w:rPr>
                      <w:rFonts w:ascii="Times New Roman" w:hAnsi="Times New Roman"/>
                      <w:kern w:val="0"/>
                      <w:sz w:val="21"/>
                      <w:szCs w:val="21"/>
                    </w:rPr>
                    <w:sym w:font="Wingdings 2" w:char="0052"/>
                  </w:r>
                </w:p>
              </w:tc>
              <w:tc>
                <w:tcPr>
                  <w:tcW w:w="1476" w:type="pct"/>
                  <w:gridSpan w:val="8"/>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地方标准</w:t>
                  </w:r>
                  <w:r>
                    <w:rPr>
                      <w:rFonts w:ascii="Times New Roman" w:hAnsi="Times New Roman"/>
                      <w:kern w:val="0"/>
                      <w:sz w:val="21"/>
                      <w:szCs w:val="21"/>
                    </w:rPr>
                    <w:sym w:font="Wingdings 2" w:char="00A3"/>
                  </w:r>
                </w:p>
              </w:tc>
              <w:tc>
                <w:tcPr>
                  <w:tcW w:w="554" w:type="pct"/>
                  <w:gridSpan w:val="3"/>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附录</w:t>
                  </w:r>
                  <w:r>
                    <w:rPr>
                      <w:rStyle w:val="102"/>
                      <w:rFonts w:ascii="Times New Roman" w:hAnsi="Times New Roman" w:eastAsia="宋体"/>
                      <w:kern w:val="0"/>
                      <w:sz w:val="21"/>
                      <w:szCs w:val="21"/>
                    </w:rPr>
                    <w:t>D</w:t>
                  </w:r>
                  <w:r>
                    <w:rPr>
                      <w:rFonts w:ascii="Times New Roman" w:hAnsi="Times New Roman"/>
                      <w:kern w:val="0"/>
                      <w:sz w:val="21"/>
                      <w:szCs w:val="21"/>
                    </w:rPr>
                    <w:sym w:font="Wingdings 2" w:char="00A3"/>
                  </w:r>
                </w:p>
              </w:tc>
              <w:tc>
                <w:tcPr>
                  <w:tcW w:w="925" w:type="pct"/>
                  <w:gridSpan w:val="3"/>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其他标准</w:t>
                  </w:r>
                  <w:r>
                    <w:rPr>
                      <w:rFonts w:ascii="Times New Roman" w:hAnsi="Times New Roman"/>
                      <w:kern w:val="0"/>
                      <w:sz w:val="21"/>
                      <w:szCs w:val="21"/>
                    </w:rPr>
                    <w:sym w:font="Wingdings 2" w:char="00A3"/>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restar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现状</w:t>
                  </w:r>
                </w:p>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评价</w:t>
                  </w: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环境功能区</w:t>
                  </w:r>
                </w:p>
              </w:tc>
              <w:tc>
                <w:tcPr>
                  <w:tcW w:w="1554" w:type="pct"/>
                  <w:gridSpan w:val="6"/>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一类区</w:t>
                  </w:r>
                  <w:r>
                    <w:rPr>
                      <w:rFonts w:ascii="Times New Roman" w:hAnsi="Times New Roman"/>
                      <w:kern w:val="0"/>
                      <w:sz w:val="21"/>
                      <w:szCs w:val="21"/>
                    </w:rPr>
                    <w:sym w:font="Wingdings 2" w:char="00A3"/>
                  </w:r>
                  <w:r>
                    <w:rPr>
                      <w:rFonts w:ascii="Times New Roman" w:hAnsi="Times New Roman"/>
                      <w:kern w:val="0"/>
                      <w:sz w:val="21"/>
                      <w:szCs w:val="21"/>
                    </w:rPr>
                    <w:t xml:space="preserve"> </w:t>
                  </w:r>
                </w:p>
              </w:tc>
              <w:tc>
                <w:tcPr>
                  <w:tcW w:w="1444" w:type="pct"/>
                  <w:gridSpan w:val="8"/>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二类区</w:t>
                  </w:r>
                  <w:r>
                    <w:rPr>
                      <w:rFonts w:ascii="Times New Roman" w:hAnsi="Times New Roman"/>
                      <w:kern w:val="0"/>
                      <w:sz w:val="21"/>
                      <w:szCs w:val="21"/>
                    </w:rPr>
                    <w:sym w:font="Wingdings 2" w:char="0052"/>
                  </w:r>
                </w:p>
              </w:tc>
              <w:tc>
                <w:tcPr>
                  <w:tcW w:w="925" w:type="pct"/>
                  <w:gridSpan w:val="3"/>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一类区和二类区</w:t>
                  </w:r>
                  <w:r>
                    <w:rPr>
                      <w:rFonts w:ascii="Times New Roman" w:hAnsi="Times New Roman"/>
                      <w:kern w:val="0"/>
                      <w:sz w:val="21"/>
                      <w:szCs w:val="21"/>
                    </w:rPr>
                    <w:sym w:font="Wingdings 2" w:char="00A3"/>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continue"/>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评价基准年</w:t>
                  </w:r>
                </w:p>
              </w:tc>
              <w:tc>
                <w:tcPr>
                  <w:tcW w:w="3923" w:type="pct"/>
                  <w:gridSpan w:val="17"/>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Style w:val="101"/>
                      <w:rFonts w:hint="default" w:ascii="Times New Roman" w:hAnsi="Times New Roman"/>
                      <w:kern w:val="0"/>
                      <w:sz w:val="21"/>
                      <w:szCs w:val="21"/>
                    </w:rPr>
                    <w:t>(2018)</w:t>
                  </w:r>
                  <w:r>
                    <w:rPr>
                      <w:rStyle w:val="101"/>
                      <w:rFonts w:hint="default" w:ascii="Times New Roman"/>
                      <w:kern w:val="0"/>
                      <w:sz w:val="21"/>
                      <w:szCs w:val="21"/>
                    </w:rPr>
                    <w:t>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continue"/>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环境空气质量现状调查数据来源</w:t>
                  </w:r>
                </w:p>
              </w:tc>
              <w:tc>
                <w:tcPr>
                  <w:tcW w:w="1340" w:type="pct"/>
                  <w:gridSpan w:val="5"/>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长期例行监测数据</w:t>
                  </w:r>
                  <w:r>
                    <w:rPr>
                      <w:rFonts w:ascii="Times New Roman" w:hAnsi="Times New Roman"/>
                      <w:kern w:val="0"/>
                      <w:sz w:val="21"/>
                      <w:szCs w:val="21"/>
                    </w:rPr>
                    <w:sym w:font="Wingdings 2" w:char="00A3"/>
                  </w:r>
                </w:p>
              </w:tc>
              <w:tc>
                <w:tcPr>
                  <w:tcW w:w="1658" w:type="pct"/>
                  <w:gridSpan w:val="9"/>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主管部门发布的数据</w:t>
                  </w:r>
                  <w:r>
                    <w:rPr>
                      <w:rFonts w:ascii="Times New Roman" w:hAnsi="Times New Roman"/>
                      <w:kern w:val="0"/>
                      <w:sz w:val="21"/>
                      <w:szCs w:val="21"/>
                    </w:rPr>
                    <w:sym w:font="Wingdings 2" w:char="0052"/>
                  </w:r>
                </w:p>
              </w:tc>
              <w:tc>
                <w:tcPr>
                  <w:tcW w:w="925" w:type="pct"/>
                  <w:gridSpan w:val="3"/>
                  <w:shd w:val="clear" w:color="auto" w:fill="auto"/>
                  <w:tcMar>
                    <w:top w:w="0" w:type="dxa"/>
                    <w:left w:w="57" w:type="dxa"/>
                    <w:bottom w:w="0" w:type="dxa"/>
                    <w:right w:w="57" w:type="dxa"/>
                  </w:tcMar>
                  <w:vAlign w:val="center"/>
                </w:tcPr>
                <w:p>
                  <w:pPr>
                    <w:pStyle w:val="98"/>
                    <w:adjustRightInd w:val="0"/>
                    <w:snapToGrid w:val="0"/>
                    <w:spacing w:line="240" w:lineRule="auto"/>
                    <w:ind w:firstLine="240"/>
                    <w:jc w:val="center"/>
                    <w:rPr>
                      <w:rFonts w:ascii="Times New Roman" w:hAnsi="Times New Roman"/>
                      <w:kern w:val="0"/>
                      <w:sz w:val="21"/>
                      <w:szCs w:val="21"/>
                    </w:rPr>
                  </w:pPr>
                  <w:r>
                    <w:rPr>
                      <w:rFonts w:ascii="Times New Roman"/>
                      <w:kern w:val="0"/>
                      <w:sz w:val="21"/>
                      <w:szCs w:val="21"/>
                    </w:rPr>
                    <w:t>现状补充监测</w:t>
                  </w:r>
                  <w:r>
                    <w:rPr>
                      <w:rFonts w:ascii="Times New Roman" w:hAnsi="Times New Roman"/>
                      <w:kern w:val="0"/>
                      <w:sz w:val="21"/>
                      <w:szCs w:val="21"/>
                    </w:rPr>
                    <w:sym w:font="Wingdings 2" w:char="00A3"/>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continue"/>
                  <w:shd w:val="clear" w:color="auto" w:fill="auto"/>
                  <w:tcMar>
                    <w:top w:w="0" w:type="dxa"/>
                    <w:left w:w="57" w:type="dxa"/>
                    <w:bottom w:w="0" w:type="dxa"/>
                    <w:right w:w="57" w:type="dxa"/>
                  </w:tcMar>
                  <w:vAlign w:val="center"/>
                </w:tcPr>
                <w:p>
                  <w:pPr>
                    <w:pStyle w:val="98"/>
                    <w:adjustRightInd w:val="0"/>
                    <w:snapToGrid w:val="0"/>
                    <w:spacing w:line="240" w:lineRule="auto"/>
                    <w:ind w:firstLine="240"/>
                    <w:jc w:val="center"/>
                    <w:rPr>
                      <w:rFonts w:ascii="Times New Roman" w:hAnsi="Times New Roman"/>
                      <w:kern w:val="0"/>
                      <w:sz w:val="21"/>
                      <w:szCs w:val="21"/>
                    </w:rPr>
                  </w:pP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现状评价</w:t>
                  </w:r>
                </w:p>
              </w:tc>
              <w:tc>
                <w:tcPr>
                  <w:tcW w:w="2444" w:type="pct"/>
                  <w:gridSpan w:val="11"/>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达标区</w:t>
                  </w:r>
                  <w:r>
                    <w:rPr>
                      <w:rFonts w:ascii="Times New Roman" w:hAnsi="Times New Roman"/>
                      <w:kern w:val="0"/>
                      <w:sz w:val="21"/>
                      <w:szCs w:val="21"/>
                    </w:rPr>
                    <w:sym w:font="Wingdings 2" w:char="00A3"/>
                  </w:r>
                </w:p>
              </w:tc>
              <w:tc>
                <w:tcPr>
                  <w:tcW w:w="1479" w:type="pct"/>
                  <w:gridSpan w:val="6"/>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不达标区</w:t>
                  </w:r>
                  <w:r>
                    <w:rPr>
                      <w:rFonts w:ascii="Times New Roman" w:hAnsi="Times New Roman"/>
                      <w:kern w:val="0"/>
                      <w:sz w:val="21"/>
                      <w:szCs w:val="21"/>
                    </w:rPr>
                    <w:sym w:font="Wingdings 2" w:char="0052"/>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污染</w:t>
                  </w:r>
                </w:p>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源调</w:t>
                  </w:r>
                </w:p>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查</w:t>
                  </w: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调查内容</w:t>
                  </w:r>
                </w:p>
              </w:tc>
              <w:tc>
                <w:tcPr>
                  <w:tcW w:w="1340" w:type="pct"/>
                  <w:gridSpan w:val="5"/>
                  <w:shd w:val="clear" w:color="auto" w:fill="auto"/>
                  <w:tcMar>
                    <w:top w:w="0" w:type="dxa"/>
                    <w:left w:w="57" w:type="dxa"/>
                    <w:bottom w:w="0" w:type="dxa"/>
                    <w:right w:w="57" w:type="dxa"/>
                  </w:tcMar>
                  <w:vAlign w:val="center"/>
                </w:tcPr>
                <w:p>
                  <w:pPr>
                    <w:pStyle w:val="98"/>
                    <w:adjustRightInd w:val="0"/>
                    <w:snapToGrid w:val="0"/>
                    <w:spacing w:line="240" w:lineRule="auto"/>
                    <w:ind w:firstLine="80"/>
                    <w:jc w:val="both"/>
                    <w:rPr>
                      <w:rFonts w:ascii="Times New Roman" w:hAnsi="Times New Roman"/>
                      <w:kern w:val="0"/>
                      <w:sz w:val="21"/>
                      <w:szCs w:val="21"/>
                    </w:rPr>
                  </w:pPr>
                  <w:r>
                    <w:rPr>
                      <w:rFonts w:ascii="Times New Roman"/>
                      <w:kern w:val="0"/>
                      <w:sz w:val="21"/>
                      <w:szCs w:val="21"/>
                    </w:rPr>
                    <w:t>本项目正常排放源</w:t>
                  </w:r>
                  <w:r>
                    <w:rPr>
                      <w:rFonts w:ascii="Times New Roman" w:hAnsi="Times New Roman"/>
                      <w:kern w:val="0"/>
                      <w:sz w:val="21"/>
                      <w:szCs w:val="21"/>
                    </w:rPr>
                    <w:sym w:font="Wingdings 2" w:char="0052"/>
                  </w:r>
                </w:p>
                <w:p>
                  <w:pPr>
                    <w:pStyle w:val="98"/>
                    <w:adjustRightInd w:val="0"/>
                    <w:snapToGrid w:val="0"/>
                    <w:spacing w:line="240" w:lineRule="auto"/>
                    <w:ind w:firstLine="80"/>
                    <w:jc w:val="both"/>
                    <w:rPr>
                      <w:rFonts w:ascii="Times New Roman" w:hAnsi="Times New Roman"/>
                      <w:kern w:val="0"/>
                      <w:sz w:val="21"/>
                      <w:szCs w:val="21"/>
                    </w:rPr>
                  </w:pPr>
                  <w:r>
                    <w:rPr>
                      <w:rFonts w:ascii="Times New Roman"/>
                      <w:kern w:val="0"/>
                      <w:sz w:val="21"/>
                      <w:szCs w:val="21"/>
                    </w:rPr>
                    <w:t>本项目非正常排放源</w:t>
                  </w:r>
                  <w:r>
                    <w:rPr>
                      <w:rFonts w:ascii="Times New Roman" w:hAnsi="Times New Roman"/>
                      <w:kern w:val="0"/>
                      <w:sz w:val="21"/>
                      <w:szCs w:val="21"/>
                    </w:rPr>
                    <w:sym w:font="Wingdings 2" w:char="00A3"/>
                  </w:r>
                </w:p>
                <w:p>
                  <w:pPr>
                    <w:pStyle w:val="98"/>
                    <w:adjustRightInd w:val="0"/>
                    <w:snapToGrid w:val="0"/>
                    <w:spacing w:line="240" w:lineRule="auto"/>
                    <w:ind w:firstLine="80"/>
                    <w:jc w:val="center"/>
                    <w:rPr>
                      <w:rFonts w:ascii="Times New Roman" w:hAnsi="Times New Roman"/>
                      <w:kern w:val="0"/>
                      <w:sz w:val="21"/>
                      <w:szCs w:val="21"/>
                    </w:rPr>
                  </w:pPr>
                  <w:r>
                    <w:rPr>
                      <w:rFonts w:ascii="Times New Roman"/>
                      <w:kern w:val="0"/>
                      <w:sz w:val="21"/>
                      <w:szCs w:val="21"/>
                    </w:rPr>
                    <w:t>现有污染源</w:t>
                  </w:r>
                  <w:r>
                    <w:rPr>
                      <w:rFonts w:ascii="Times New Roman" w:hAnsi="Times New Roman"/>
                      <w:kern w:val="0"/>
                      <w:sz w:val="21"/>
                      <w:szCs w:val="21"/>
                    </w:rPr>
                    <w:sym w:font="Wingdings 2" w:char="00A3"/>
                  </w:r>
                </w:p>
              </w:tc>
              <w:tc>
                <w:tcPr>
                  <w:tcW w:w="1104" w:type="pct"/>
                  <w:gridSpan w:val="6"/>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拟替代的污染源</w:t>
                  </w:r>
                  <w:r>
                    <w:rPr>
                      <w:rFonts w:ascii="Times New Roman" w:hAnsi="Times New Roman"/>
                      <w:kern w:val="0"/>
                      <w:sz w:val="21"/>
                      <w:szCs w:val="21"/>
                    </w:rPr>
                    <w:sym w:font="Wingdings 2" w:char="00A3"/>
                  </w:r>
                </w:p>
              </w:tc>
              <w:tc>
                <w:tcPr>
                  <w:tcW w:w="554" w:type="pct"/>
                  <w:gridSpan w:val="3"/>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其他在建、拟建项目污染源</w:t>
                  </w:r>
                  <w:r>
                    <w:rPr>
                      <w:rFonts w:ascii="Times New Roman" w:hAnsi="Times New Roman"/>
                      <w:kern w:val="0"/>
                      <w:sz w:val="21"/>
                      <w:szCs w:val="21"/>
                    </w:rPr>
                    <w:sym w:font="Wingdings 2" w:char="00A3"/>
                  </w:r>
                </w:p>
              </w:tc>
              <w:tc>
                <w:tcPr>
                  <w:tcW w:w="925" w:type="pct"/>
                  <w:gridSpan w:val="3"/>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区域污染源</w:t>
                  </w:r>
                  <w:r>
                    <w:rPr>
                      <w:rFonts w:ascii="Times New Roman" w:hAnsi="Times New Roman"/>
                      <w:kern w:val="0"/>
                      <w:sz w:val="21"/>
                      <w:szCs w:val="21"/>
                    </w:rPr>
                    <w:sym w:font="Wingdings 2" w:char="00A3"/>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restar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大气</w:t>
                  </w:r>
                </w:p>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环境</w:t>
                  </w:r>
                </w:p>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影响</w:t>
                  </w:r>
                </w:p>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预测</w:t>
                  </w:r>
                </w:p>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与评</w:t>
                  </w: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预测模型</w:t>
                  </w:r>
                </w:p>
              </w:tc>
              <w:tc>
                <w:tcPr>
                  <w:tcW w:w="50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Style w:val="102"/>
                      <w:rFonts w:ascii="Times New Roman" w:hAnsi="Times New Roman" w:eastAsia="宋体"/>
                      <w:kern w:val="0"/>
                      <w:sz w:val="21"/>
                      <w:szCs w:val="21"/>
                    </w:rPr>
                    <w:t>AERM</w:t>
                  </w:r>
                  <w:r>
                    <w:rPr>
                      <w:rFonts w:ascii="Times New Roman" w:hAnsi="Times New Roman"/>
                      <w:kern w:val="0"/>
                      <w:sz w:val="21"/>
                      <w:szCs w:val="21"/>
                      <w:lang w:eastAsia="en-US"/>
                    </w:rPr>
                    <w:t xml:space="preserve"> </w:t>
                  </w:r>
                  <w:r>
                    <w:rPr>
                      <w:rStyle w:val="102"/>
                      <w:rFonts w:ascii="Times New Roman" w:hAnsi="Times New Roman" w:eastAsia="宋体"/>
                      <w:kern w:val="0"/>
                      <w:sz w:val="21"/>
                      <w:szCs w:val="21"/>
                    </w:rPr>
                    <w:t>OD</w:t>
                  </w:r>
                  <w:r>
                    <w:rPr>
                      <w:rFonts w:ascii="Times New Roman" w:hAnsi="Times New Roman"/>
                      <w:kern w:val="0"/>
                      <w:sz w:val="21"/>
                      <w:szCs w:val="21"/>
                    </w:rPr>
                    <w:sym w:font="Wingdings 2" w:char="00A3"/>
                  </w:r>
                </w:p>
              </w:tc>
              <w:tc>
                <w:tcPr>
                  <w:tcW w:w="466" w:type="pct"/>
                  <w:gridSpan w:val="2"/>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Times New Roman" w:eastAsia="宋体"/>
                      <w:kern w:val="0"/>
                      <w:sz w:val="21"/>
                      <w:szCs w:val="21"/>
                    </w:rPr>
                    <w:t>ADMS</w:t>
                  </w:r>
                  <w:r>
                    <w:rPr>
                      <w:rFonts w:ascii="Times New Roman" w:hAnsi="Times New Roman"/>
                      <w:kern w:val="0"/>
                      <w:sz w:val="21"/>
                      <w:szCs w:val="21"/>
                    </w:rPr>
                    <w:sym w:font="Wingdings 2" w:char="00A3"/>
                  </w:r>
                </w:p>
              </w:tc>
              <w:tc>
                <w:tcPr>
                  <w:tcW w:w="702" w:type="pct"/>
                  <w:gridSpan w:val="5"/>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Style w:val="102"/>
                      <w:rFonts w:ascii="Times New Roman" w:hAnsi="Times New Roman" w:eastAsia="宋体"/>
                      <w:kern w:val="0"/>
                      <w:sz w:val="21"/>
                      <w:szCs w:val="21"/>
                    </w:rPr>
                    <w:t>AUSTAL</w:t>
                  </w:r>
                  <w:r>
                    <w:rPr>
                      <w:rFonts w:ascii="Times New Roman" w:hAnsi="Times New Roman"/>
                      <w:kern w:val="0"/>
                      <w:sz w:val="21"/>
                      <w:szCs w:val="21"/>
                    </w:rPr>
                    <w:t xml:space="preserve">2000 </w:t>
                  </w:r>
                  <w:r>
                    <w:rPr>
                      <w:rFonts w:ascii="Times New Roman" w:hAnsi="Times New Roman"/>
                      <w:kern w:val="0"/>
                      <w:sz w:val="21"/>
                      <w:szCs w:val="21"/>
                    </w:rPr>
                    <w:sym w:font="Wingdings 2" w:char="00A3"/>
                  </w:r>
                </w:p>
              </w:tc>
              <w:tc>
                <w:tcPr>
                  <w:tcW w:w="774" w:type="pct"/>
                  <w:gridSpan w:val="3"/>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Times New Roman" w:eastAsia="宋体"/>
                      <w:kern w:val="0"/>
                      <w:sz w:val="21"/>
                      <w:szCs w:val="21"/>
                    </w:rPr>
                    <w:t>EDMS/AEDT</w:t>
                  </w:r>
                  <w:r>
                    <w:rPr>
                      <w:rFonts w:ascii="Times New Roman" w:hAnsi="Times New Roman"/>
                      <w:kern w:val="0"/>
                      <w:sz w:val="21"/>
                      <w:szCs w:val="21"/>
                    </w:rPr>
                    <w:sym w:font="Wingdings 2" w:char="00A3"/>
                  </w:r>
                </w:p>
              </w:tc>
              <w:tc>
                <w:tcPr>
                  <w:tcW w:w="554" w:type="pct"/>
                  <w:gridSpan w:val="3"/>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Style w:val="102"/>
                      <w:rFonts w:ascii="Times New Roman" w:hAnsi="Times New Roman" w:eastAsia="宋体"/>
                      <w:kern w:val="0"/>
                      <w:sz w:val="21"/>
                      <w:szCs w:val="21"/>
                    </w:rPr>
                    <w:t>CALPUF</w:t>
                  </w:r>
                </w:p>
                <w:p>
                  <w:pPr>
                    <w:pStyle w:val="98"/>
                    <w:adjustRightInd w:val="0"/>
                    <w:snapToGrid w:val="0"/>
                    <w:spacing w:line="240" w:lineRule="auto"/>
                    <w:ind w:firstLine="0"/>
                    <w:jc w:val="center"/>
                    <w:rPr>
                      <w:rFonts w:ascii="Times New Roman" w:hAnsi="Times New Roman"/>
                      <w:kern w:val="0"/>
                      <w:sz w:val="21"/>
                      <w:szCs w:val="21"/>
                    </w:rPr>
                  </w:pPr>
                  <w:r>
                    <w:rPr>
                      <w:rStyle w:val="102"/>
                      <w:rFonts w:ascii="Times New Roman" w:hAnsi="Times New Roman" w:eastAsia="宋体"/>
                      <w:kern w:val="0"/>
                      <w:sz w:val="21"/>
                      <w:szCs w:val="21"/>
                    </w:rPr>
                    <w:t>F</w:t>
                  </w:r>
                  <w:r>
                    <w:rPr>
                      <w:rFonts w:ascii="Times New Roman" w:hAnsi="Times New Roman"/>
                      <w:kern w:val="0"/>
                      <w:sz w:val="21"/>
                      <w:szCs w:val="21"/>
                    </w:rPr>
                    <w:sym w:font="Wingdings 2" w:char="00A3"/>
                  </w:r>
                </w:p>
              </w:tc>
              <w:tc>
                <w:tcPr>
                  <w:tcW w:w="460" w:type="pct"/>
                  <w:gridSpan w:val="2"/>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Style w:val="101"/>
                      <w:rFonts w:hint="default" w:ascii="Times New Roman"/>
                      <w:kern w:val="0"/>
                      <w:sz w:val="21"/>
                      <w:szCs w:val="21"/>
                    </w:rPr>
                    <w:t>网络模型</w:t>
                  </w:r>
                  <w:r>
                    <w:rPr>
                      <w:rFonts w:ascii="Times New Roman" w:hAnsi="Times New Roman"/>
                      <w:kern w:val="0"/>
                      <w:sz w:val="21"/>
                      <w:szCs w:val="21"/>
                    </w:rPr>
                    <w:sym w:font="Wingdings 2" w:char="00A3"/>
                  </w:r>
                </w:p>
              </w:tc>
              <w:tc>
                <w:tcPr>
                  <w:tcW w:w="465"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1"/>
                      <w:rFonts w:hint="default" w:ascii="Times New Roman" w:hAnsi="Times New Roman"/>
                      <w:kern w:val="0"/>
                      <w:sz w:val="21"/>
                      <w:szCs w:val="21"/>
                    </w:rPr>
                  </w:pPr>
                  <w:r>
                    <w:rPr>
                      <w:rStyle w:val="101"/>
                      <w:rFonts w:hint="default" w:ascii="Times New Roman"/>
                      <w:kern w:val="0"/>
                      <w:sz w:val="21"/>
                      <w:szCs w:val="21"/>
                    </w:rPr>
                    <w:t>其他</w:t>
                  </w:r>
                  <w:r>
                    <w:rPr>
                      <w:rFonts w:ascii="Times New Roman" w:hAnsi="Times New Roman"/>
                      <w:kern w:val="0"/>
                      <w:sz w:val="21"/>
                      <w:szCs w:val="21"/>
                    </w:rPr>
                    <w:sym w:font="Wingdings 2" w:char="0052"/>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continue"/>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预测范围</w:t>
                  </w:r>
                </w:p>
              </w:tc>
              <w:tc>
                <w:tcPr>
                  <w:tcW w:w="1340" w:type="pct"/>
                  <w:gridSpan w:val="5"/>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边长</w:t>
                  </w:r>
                  <w:r>
                    <w:rPr>
                      <w:kern w:val="0"/>
                      <w:sz w:val="21"/>
                      <w:szCs w:val="21"/>
                      <w:lang w:eastAsia="en-US"/>
                    </w:rPr>
                    <w:t>≧</w:t>
                  </w:r>
                  <w:r>
                    <w:rPr>
                      <w:rFonts w:ascii="Times New Roman" w:hAnsi="Times New Roman"/>
                      <w:kern w:val="0"/>
                      <w:sz w:val="21"/>
                      <w:szCs w:val="21"/>
                      <w:lang w:eastAsia="en-US"/>
                    </w:rPr>
                    <w:t>50</w:t>
                  </w:r>
                  <w:r>
                    <w:rPr>
                      <w:rStyle w:val="102"/>
                      <w:rFonts w:ascii="Times New Roman" w:hAnsi="Times New Roman" w:eastAsia="宋体"/>
                      <w:kern w:val="0"/>
                      <w:sz w:val="21"/>
                      <w:szCs w:val="21"/>
                    </w:rPr>
                    <w:t>km</w:t>
                  </w:r>
                  <w:r>
                    <w:rPr>
                      <w:rFonts w:ascii="Times New Roman" w:hAnsi="Times New Roman"/>
                      <w:kern w:val="0"/>
                      <w:sz w:val="21"/>
                      <w:szCs w:val="21"/>
                    </w:rPr>
                    <w:sym w:font="Wingdings 2" w:char="00A3"/>
                  </w:r>
                </w:p>
              </w:tc>
              <w:tc>
                <w:tcPr>
                  <w:tcW w:w="1467" w:type="pct"/>
                  <w:gridSpan w:val="8"/>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Style w:val="101"/>
                      <w:rFonts w:hint="default" w:ascii="Times New Roman"/>
                      <w:kern w:val="0"/>
                      <w:sz w:val="21"/>
                      <w:szCs w:val="21"/>
                    </w:rPr>
                    <w:t>边长</w:t>
                  </w:r>
                  <w:r>
                    <w:rPr>
                      <w:rStyle w:val="101"/>
                      <w:rFonts w:hint="default" w:ascii="Times New Roman" w:hAnsi="Times New Roman"/>
                      <w:kern w:val="0"/>
                      <w:sz w:val="21"/>
                      <w:szCs w:val="21"/>
                    </w:rPr>
                    <w:t>5</w:t>
                  </w:r>
                  <w:r>
                    <w:rPr>
                      <w:rStyle w:val="101"/>
                      <w:rFonts w:hint="default" w:ascii="Times New Roman"/>
                      <w:kern w:val="0"/>
                      <w:sz w:val="21"/>
                      <w:szCs w:val="21"/>
                    </w:rPr>
                    <w:t>〜</w:t>
                  </w:r>
                  <w:r>
                    <w:rPr>
                      <w:rStyle w:val="101"/>
                      <w:rFonts w:hint="default" w:ascii="Times New Roman" w:hAnsi="Times New Roman"/>
                      <w:kern w:val="0"/>
                      <w:sz w:val="21"/>
                      <w:szCs w:val="21"/>
                    </w:rPr>
                    <w:t>50</w:t>
                  </w:r>
                  <w:r>
                    <w:rPr>
                      <w:rStyle w:val="102"/>
                      <w:rFonts w:ascii="Times New Roman" w:hAnsi="Times New Roman" w:eastAsia="宋体"/>
                      <w:kern w:val="0"/>
                      <w:sz w:val="21"/>
                      <w:szCs w:val="21"/>
                    </w:rPr>
                    <w:t>km</w:t>
                  </w:r>
                  <w:r>
                    <w:rPr>
                      <w:rFonts w:ascii="Times New Roman" w:hAnsi="Times New Roman"/>
                      <w:kern w:val="0"/>
                      <w:sz w:val="21"/>
                      <w:szCs w:val="21"/>
                    </w:rPr>
                    <w:sym w:font="Wingdings 2" w:char="00A3"/>
                  </w:r>
                </w:p>
              </w:tc>
              <w:tc>
                <w:tcPr>
                  <w:tcW w:w="1117" w:type="pct"/>
                  <w:gridSpan w:val="4"/>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1"/>
                      <w:rFonts w:hint="default" w:ascii="Times New Roman" w:hAnsi="Times New Roman"/>
                      <w:kern w:val="0"/>
                      <w:sz w:val="21"/>
                      <w:szCs w:val="21"/>
                    </w:rPr>
                  </w:pPr>
                  <w:r>
                    <w:rPr>
                      <w:rFonts w:ascii="Times New Roman" w:hAnsi="Times New Roman"/>
                      <w:kern w:val="0"/>
                      <w:sz w:val="21"/>
                      <w:szCs w:val="21"/>
                    </w:rPr>
                    <w:t xml:space="preserve"> </w:t>
                  </w:r>
                  <w:r>
                    <w:rPr>
                      <w:rFonts w:ascii="Times New Roman"/>
                      <w:kern w:val="0"/>
                      <w:sz w:val="21"/>
                      <w:szCs w:val="21"/>
                    </w:rPr>
                    <w:t>边长</w:t>
                  </w:r>
                  <w:r>
                    <w:rPr>
                      <w:rFonts w:ascii="Times New Roman" w:hAnsi="Times New Roman"/>
                      <w:kern w:val="0"/>
                      <w:sz w:val="21"/>
                      <w:szCs w:val="21"/>
                      <w:lang w:eastAsia="en-US"/>
                    </w:rPr>
                    <w:t>=5</w:t>
                  </w:r>
                  <w:r>
                    <w:rPr>
                      <w:rStyle w:val="102"/>
                      <w:rFonts w:ascii="Times New Roman" w:hAnsi="Times New Roman" w:eastAsia="宋体"/>
                      <w:kern w:val="0"/>
                      <w:sz w:val="21"/>
                      <w:szCs w:val="21"/>
                    </w:rPr>
                    <w:t>km</w:t>
                  </w:r>
                  <w:r>
                    <w:rPr>
                      <w:rFonts w:ascii="Times New Roman" w:hAnsi="Times New Roman"/>
                      <w:kern w:val="0"/>
                      <w:sz w:val="21"/>
                      <w:szCs w:val="21"/>
                    </w:rPr>
                    <w:sym w:font="Wingdings 2" w:char="0052"/>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continue"/>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预测因子</w:t>
                  </w:r>
                </w:p>
              </w:tc>
              <w:tc>
                <w:tcPr>
                  <w:tcW w:w="2207" w:type="pct"/>
                  <w:gridSpan w:val="10"/>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预测因子（</w:t>
                  </w:r>
                  <w:r>
                    <w:rPr>
                      <w:rStyle w:val="102"/>
                      <w:rFonts w:ascii="Times New Roman" w:hAnsi="宋体" w:eastAsia="宋体"/>
                      <w:kern w:val="0"/>
                      <w:sz w:val="21"/>
                      <w:szCs w:val="21"/>
                    </w:rPr>
                    <w:t>颗粒物</w:t>
                  </w:r>
                  <w:r>
                    <w:rPr>
                      <w:rFonts w:ascii="Times New Roman"/>
                      <w:kern w:val="0"/>
                      <w:sz w:val="21"/>
                      <w:szCs w:val="21"/>
                    </w:rPr>
                    <w:t>）</w:t>
                  </w:r>
                </w:p>
              </w:tc>
              <w:tc>
                <w:tcPr>
                  <w:tcW w:w="1716" w:type="pct"/>
                  <w:gridSpan w:val="7"/>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包括二次</w:t>
                  </w:r>
                  <w:r>
                    <w:rPr>
                      <w:rStyle w:val="102"/>
                      <w:rFonts w:ascii="Times New Roman" w:hAnsi="Times New Roman" w:eastAsia="宋体"/>
                      <w:kern w:val="0"/>
                      <w:sz w:val="21"/>
                      <w:szCs w:val="21"/>
                    </w:rPr>
                    <w:t>PM</w:t>
                  </w:r>
                  <w:r>
                    <w:rPr>
                      <w:rFonts w:ascii="Times New Roman" w:hAnsi="Times New Roman"/>
                      <w:kern w:val="0"/>
                      <w:sz w:val="21"/>
                      <w:szCs w:val="21"/>
                      <w:lang w:eastAsia="en-US"/>
                    </w:rPr>
                    <w:t>2.5</w:t>
                  </w:r>
                  <w:r>
                    <w:rPr>
                      <w:rFonts w:ascii="Times New Roman" w:hAnsi="Times New Roman"/>
                      <w:kern w:val="0"/>
                      <w:sz w:val="21"/>
                      <w:szCs w:val="21"/>
                    </w:rPr>
                    <w:sym w:font="Wingdings 2" w:char="00A3"/>
                  </w:r>
                </w:p>
                <w:p>
                  <w:pPr>
                    <w:pStyle w:val="98"/>
                    <w:adjustRightInd w:val="0"/>
                    <w:snapToGrid w:val="0"/>
                    <w:spacing w:line="240" w:lineRule="auto"/>
                    <w:ind w:firstLine="0"/>
                    <w:jc w:val="center"/>
                    <w:rPr>
                      <w:rFonts w:ascii="Times New Roman" w:hAnsi="Times New Roman"/>
                      <w:kern w:val="0"/>
                      <w:sz w:val="21"/>
                      <w:szCs w:val="21"/>
                    </w:rPr>
                  </w:pPr>
                  <w:r>
                    <w:rPr>
                      <w:rFonts w:ascii="Times New Roman"/>
                      <w:kern w:val="0"/>
                      <w:sz w:val="21"/>
                      <w:szCs w:val="21"/>
                    </w:rPr>
                    <w:t>不包括二次</w:t>
                  </w:r>
                  <w:r>
                    <w:rPr>
                      <w:rStyle w:val="102"/>
                      <w:rFonts w:ascii="Times New Roman" w:hAnsi="Times New Roman" w:eastAsia="宋体"/>
                      <w:kern w:val="0"/>
                      <w:sz w:val="21"/>
                      <w:szCs w:val="21"/>
                    </w:rPr>
                    <w:t>PM</w:t>
                  </w:r>
                  <w:r>
                    <w:rPr>
                      <w:rFonts w:ascii="Times New Roman" w:hAnsi="Times New Roman"/>
                      <w:kern w:val="0"/>
                      <w:sz w:val="21"/>
                      <w:szCs w:val="21"/>
                      <w:lang w:eastAsia="en-US"/>
                    </w:rPr>
                    <w:t>2.5</w:t>
                  </w:r>
                  <w:r>
                    <w:rPr>
                      <w:rFonts w:ascii="Times New Roman" w:hAnsi="Times New Roman"/>
                      <w:kern w:val="0"/>
                      <w:sz w:val="21"/>
                      <w:szCs w:val="21"/>
                    </w:rPr>
                    <w:sym w:font="Wingdings 2" w:char="0052"/>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continue"/>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lang w:eastAsia="zh-CN"/>
                    </w:rPr>
                  </w:pPr>
                  <w:r>
                    <w:rPr>
                      <w:rStyle w:val="102"/>
                      <w:rFonts w:ascii="Times New Roman" w:hAnsi="宋体" w:eastAsia="宋体"/>
                      <w:kern w:val="0"/>
                      <w:sz w:val="21"/>
                      <w:szCs w:val="21"/>
                      <w:lang w:eastAsia="zh-CN"/>
                    </w:rPr>
                    <w:t>正常排放短期浓度贡献值</w:t>
                  </w:r>
                </w:p>
              </w:tc>
              <w:tc>
                <w:tcPr>
                  <w:tcW w:w="2207" w:type="pct"/>
                  <w:gridSpan w:val="10"/>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lang w:eastAsia="zh-CN"/>
                    </w:rPr>
                  </w:pPr>
                  <w:r>
                    <w:rPr>
                      <w:rStyle w:val="102"/>
                      <w:rFonts w:ascii="Times New Roman" w:hAnsi="Times New Roman" w:eastAsia="宋体"/>
                      <w:kern w:val="0"/>
                      <w:sz w:val="21"/>
                      <w:szCs w:val="21"/>
                      <w:lang w:eastAsia="zh-CN"/>
                    </w:rPr>
                    <w:t>C</w:t>
                  </w:r>
                  <w:r>
                    <w:rPr>
                      <w:rStyle w:val="102"/>
                      <w:rFonts w:ascii="Times New Roman" w:hAnsi="宋体" w:eastAsia="宋体"/>
                      <w:kern w:val="0"/>
                      <w:sz w:val="21"/>
                      <w:szCs w:val="21"/>
                      <w:lang w:eastAsia="zh-CN"/>
                    </w:rPr>
                    <w:t>本项目最大占标率</w:t>
                  </w:r>
                  <w:r>
                    <w:rPr>
                      <w:rStyle w:val="102"/>
                      <w:rFonts w:ascii="Times New Roman" w:hAnsi="Times New Roman" w:eastAsia="宋体"/>
                      <w:kern w:val="0"/>
                      <w:sz w:val="21"/>
                      <w:szCs w:val="21"/>
                      <w:lang w:eastAsia="zh-CN"/>
                    </w:rPr>
                    <w:t>≤100%</w:t>
                  </w:r>
                  <w:r>
                    <w:rPr>
                      <w:rFonts w:ascii="Times New Roman" w:hAnsi="Times New Roman"/>
                      <w:kern w:val="0"/>
                      <w:sz w:val="21"/>
                      <w:szCs w:val="21"/>
                    </w:rPr>
                    <w:sym w:font="Wingdings 2" w:char="0052"/>
                  </w:r>
                </w:p>
              </w:tc>
              <w:tc>
                <w:tcPr>
                  <w:tcW w:w="1716" w:type="pct"/>
                  <w:gridSpan w:val="7"/>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Times New Roman" w:eastAsia="宋体"/>
                      <w:kern w:val="0"/>
                      <w:sz w:val="21"/>
                      <w:szCs w:val="21"/>
                    </w:rPr>
                    <w:t>C</w:t>
                  </w:r>
                  <w:r>
                    <w:rPr>
                      <w:rStyle w:val="102"/>
                      <w:rFonts w:ascii="Times New Roman" w:hAnsi="宋体" w:eastAsia="宋体"/>
                      <w:kern w:val="0"/>
                      <w:sz w:val="21"/>
                      <w:szCs w:val="21"/>
                    </w:rPr>
                    <w:t>本项目最大占标率</w:t>
                  </w:r>
                  <w:r>
                    <w:rPr>
                      <w:rStyle w:val="102"/>
                      <w:rFonts w:ascii="Times New Roman" w:hAnsi="Times New Roman" w:eastAsia="宋体"/>
                      <w:kern w:val="0"/>
                      <w:sz w:val="21"/>
                      <w:szCs w:val="21"/>
                    </w:rPr>
                    <w:t>&gt;100%</w:t>
                  </w:r>
                  <w:r>
                    <w:rPr>
                      <w:rFonts w:ascii="Times New Roman" w:hAnsi="Times New Roman"/>
                      <w:kern w:val="0"/>
                      <w:sz w:val="21"/>
                      <w:szCs w:val="21"/>
                    </w:rPr>
                    <w:sym w:font="Wingdings 2" w:char="00A3"/>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continue"/>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p>
              </w:tc>
              <w:tc>
                <w:tcPr>
                  <w:tcW w:w="762" w:type="pct"/>
                  <w:vMerge w:val="restar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lang w:eastAsia="zh-CN"/>
                    </w:rPr>
                  </w:pPr>
                  <w:r>
                    <w:rPr>
                      <w:rStyle w:val="102"/>
                      <w:rFonts w:ascii="Times New Roman" w:hAnsi="宋体" w:eastAsia="宋体"/>
                      <w:kern w:val="0"/>
                      <w:sz w:val="21"/>
                      <w:szCs w:val="21"/>
                      <w:lang w:eastAsia="zh-CN"/>
                    </w:rPr>
                    <w:t>正常排放年均浓度贡献值</w:t>
                  </w:r>
                </w:p>
              </w:tc>
              <w:tc>
                <w:tcPr>
                  <w:tcW w:w="542" w:type="pct"/>
                  <w:gridSpan w:val="2"/>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宋体" w:eastAsia="宋体"/>
                      <w:kern w:val="0"/>
                      <w:sz w:val="21"/>
                      <w:szCs w:val="21"/>
                    </w:rPr>
                    <w:t>一类区</w:t>
                  </w:r>
                </w:p>
              </w:tc>
              <w:tc>
                <w:tcPr>
                  <w:tcW w:w="1665" w:type="pct"/>
                  <w:gridSpan w:val="8"/>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lang w:eastAsia="zh-CN"/>
                    </w:rPr>
                  </w:pPr>
                  <w:r>
                    <w:rPr>
                      <w:rStyle w:val="102"/>
                      <w:rFonts w:ascii="Times New Roman" w:hAnsi="Times New Roman" w:eastAsia="宋体"/>
                      <w:kern w:val="0"/>
                      <w:sz w:val="21"/>
                      <w:szCs w:val="21"/>
                      <w:lang w:eastAsia="zh-CN"/>
                    </w:rPr>
                    <w:t>C</w:t>
                  </w:r>
                  <w:r>
                    <w:rPr>
                      <w:rStyle w:val="102"/>
                      <w:rFonts w:ascii="Times New Roman" w:hAnsi="宋体" w:eastAsia="宋体"/>
                      <w:kern w:val="0"/>
                      <w:sz w:val="21"/>
                      <w:szCs w:val="21"/>
                      <w:lang w:eastAsia="zh-CN"/>
                    </w:rPr>
                    <w:t>本项目最大占标率</w:t>
                  </w:r>
                  <w:r>
                    <w:rPr>
                      <w:rStyle w:val="102"/>
                      <w:rFonts w:ascii="Times New Roman" w:hAnsi="Times New Roman" w:eastAsia="宋体"/>
                      <w:kern w:val="0"/>
                      <w:sz w:val="21"/>
                      <w:szCs w:val="21"/>
                      <w:lang w:eastAsia="zh-CN"/>
                    </w:rPr>
                    <w:t>≤10%</w:t>
                  </w:r>
                  <w:r>
                    <w:rPr>
                      <w:rFonts w:ascii="Times New Roman" w:hAnsi="Times New Roman"/>
                      <w:kern w:val="0"/>
                      <w:sz w:val="21"/>
                      <w:szCs w:val="21"/>
                    </w:rPr>
                    <w:sym w:font="Wingdings 2" w:char="00A3"/>
                  </w:r>
                </w:p>
              </w:tc>
              <w:tc>
                <w:tcPr>
                  <w:tcW w:w="1716" w:type="pct"/>
                  <w:gridSpan w:val="7"/>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Times New Roman" w:eastAsia="宋体"/>
                      <w:kern w:val="0"/>
                      <w:sz w:val="21"/>
                      <w:szCs w:val="21"/>
                    </w:rPr>
                    <w:t>C</w:t>
                  </w:r>
                  <w:r>
                    <w:rPr>
                      <w:rStyle w:val="102"/>
                      <w:rFonts w:ascii="Times New Roman" w:hAnsi="宋体" w:eastAsia="宋体"/>
                      <w:kern w:val="0"/>
                      <w:sz w:val="21"/>
                      <w:szCs w:val="21"/>
                    </w:rPr>
                    <w:t>本项目最大占标率</w:t>
                  </w:r>
                  <w:r>
                    <w:rPr>
                      <w:rStyle w:val="102"/>
                      <w:rFonts w:ascii="Times New Roman" w:hAnsi="Times New Roman" w:eastAsia="宋体"/>
                      <w:kern w:val="0"/>
                      <w:sz w:val="21"/>
                      <w:szCs w:val="21"/>
                    </w:rPr>
                    <w:t>&gt;10%</w:t>
                  </w:r>
                  <w:r>
                    <w:rPr>
                      <w:rFonts w:ascii="Times New Roman" w:hAnsi="Times New Roman"/>
                      <w:kern w:val="0"/>
                      <w:sz w:val="21"/>
                      <w:szCs w:val="21"/>
                    </w:rPr>
                    <w:sym w:font="Wingdings 2" w:char="00A3"/>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continue"/>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p>
              </w:tc>
              <w:tc>
                <w:tcPr>
                  <w:tcW w:w="762" w:type="pct"/>
                  <w:vMerge w:val="continue"/>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p>
              </w:tc>
              <w:tc>
                <w:tcPr>
                  <w:tcW w:w="542" w:type="pct"/>
                  <w:gridSpan w:val="2"/>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宋体" w:eastAsia="宋体"/>
                      <w:kern w:val="0"/>
                      <w:sz w:val="21"/>
                      <w:szCs w:val="21"/>
                    </w:rPr>
                    <w:t>二类区</w:t>
                  </w:r>
                </w:p>
              </w:tc>
              <w:tc>
                <w:tcPr>
                  <w:tcW w:w="1665" w:type="pct"/>
                  <w:gridSpan w:val="8"/>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lang w:eastAsia="zh-CN"/>
                    </w:rPr>
                  </w:pPr>
                  <w:r>
                    <w:rPr>
                      <w:rStyle w:val="102"/>
                      <w:rFonts w:ascii="Times New Roman" w:hAnsi="Times New Roman" w:eastAsia="宋体"/>
                      <w:kern w:val="0"/>
                      <w:sz w:val="21"/>
                      <w:szCs w:val="21"/>
                      <w:lang w:eastAsia="zh-CN"/>
                    </w:rPr>
                    <w:t>C</w:t>
                  </w:r>
                  <w:r>
                    <w:rPr>
                      <w:rStyle w:val="102"/>
                      <w:rFonts w:ascii="Times New Roman" w:hAnsi="宋体" w:eastAsia="宋体"/>
                      <w:kern w:val="0"/>
                      <w:sz w:val="21"/>
                      <w:szCs w:val="21"/>
                      <w:lang w:eastAsia="zh-CN"/>
                    </w:rPr>
                    <w:t>本项目最大占标率</w:t>
                  </w:r>
                  <w:r>
                    <w:rPr>
                      <w:rStyle w:val="102"/>
                      <w:rFonts w:ascii="Times New Roman" w:hAnsi="Times New Roman" w:eastAsia="宋体"/>
                      <w:kern w:val="0"/>
                      <w:sz w:val="21"/>
                      <w:szCs w:val="21"/>
                      <w:lang w:eastAsia="zh-CN"/>
                    </w:rPr>
                    <w:t>≤30%</w:t>
                  </w:r>
                  <w:r>
                    <w:rPr>
                      <w:rFonts w:ascii="Times New Roman" w:hAnsi="Times New Roman"/>
                      <w:kern w:val="0"/>
                      <w:sz w:val="21"/>
                      <w:szCs w:val="21"/>
                    </w:rPr>
                    <w:sym w:font="Wingdings 2" w:char="00A3"/>
                  </w:r>
                </w:p>
              </w:tc>
              <w:tc>
                <w:tcPr>
                  <w:tcW w:w="1716" w:type="pct"/>
                  <w:gridSpan w:val="7"/>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Times New Roman" w:eastAsia="宋体"/>
                      <w:kern w:val="0"/>
                      <w:sz w:val="21"/>
                      <w:szCs w:val="21"/>
                    </w:rPr>
                    <w:t>C</w:t>
                  </w:r>
                  <w:r>
                    <w:rPr>
                      <w:rStyle w:val="102"/>
                      <w:rFonts w:ascii="Times New Roman" w:hAnsi="宋体" w:eastAsia="宋体"/>
                      <w:kern w:val="0"/>
                      <w:sz w:val="21"/>
                      <w:szCs w:val="21"/>
                    </w:rPr>
                    <w:t>本项目最大占标率</w:t>
                  </w:r>
                  <w:r>
                    <w:rPr>
                      <w:rStyle w:val="102"/>
                      <w:rFonts w:ascii="Times New Roman" w:hAnsi="Times New Roman" w:eastAsia="宋体"/>
                      <w:kern w:val="0"/>
                      <w:sz w:val="21"/>
                      <w:szCs w:val="21"/>
                    </w:rPr>
                    <w:t>&gt;30%</w:t>
                  </w:r>
                  <w:r>
                    <w:rPr>
                      <w:rFonts w:ascii="Times New Roman" w:hAnsi="Times New Roman"/>
                      <w:kern w:val="0"/>
                      <w:sz w:val="21"/>
                      <w:szCs w:val="21"/>
                    </w:rPr>
                    <w:sym w:font="Wingdings 2" w:char="00A3"/>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continue"/>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lang w:eastAsia="zh-CN"/>
                    </w:rPr>
                  </w:pPr>
                  <w:r>
                    <w:rPr>
                      <w:rStyle w:val="102"/>
                      <w:rFonts w:ascii="Times New Roman" w:hAnsi="宋体" w:eastAsia="宋体"/>
                      <w:kern w:val="0"/>
                      <w:sz w:val="21"/>
                      <w:szCs w:val="21"/>
                      <w:lang w:eastAsia="zh-CN"/>
                    </w:rPr>
                    <w:t>非正常排放</w:t>
                  </w:r>
                  <w:r>
                    <w:rPr>
                      <w:rStyle w:val="102"/>
                      <w:rFonts w:ascii="Times New Roman" w:hAnsi="Times New Roman" w:eastAsia="宋体"/>
                      <w:kern w:val="0"/>
                      <w:sz w:val="21"/>
                      <w:szCs w:val="21"/>
                      <w:lang w:eastAsia="zh-CN"/>
                    </w:rPr>
                    <w:t>1h</w:t>
                  </w:r>
                  <w:r>
                    <w:rPr>
                      <w:rStyle w:val="102"/>
                      <w:rFonts w:ascii="Times New Roman" w:hAnsi="宋体" w:eastAsia="宋体"/>
                      <w:kern w:val="0"/>
                      <w:sz w:val="21"/>
                      <w:szCs w:val="21"/>
                      <w:lang w:eastAsia="zh-CN"/>
                    </w:rPr>
                    <w:t>浓度贡献值</w:t>
                  </w:r>
                </w:p>
              </w:tc>
              <w:tc>
                <w:tcPr>
                  <w:tcW w:w="1154" w:type="pct"/>
                  <w:gridSpan w:val="4"/>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lang w:eastAsia="zh-CN"/>
                    </w:rPr>
                  </w:pPr>
                  <w:r>
                    <w:rPr>
                      <w:rStyle w:val="102"/>
                      <w:rFonts w:ascii="Times New Roman" w:hAnsi="宋体" w:eastAsia="宋体"/>
                      <w:kern w:val="0"/>
                      <w:sz w:val="21"/>
                      <w:szCs w:val="21"/>
                      <w:lang w:eastAsia="zh-CN"/>
                    </w:rPr>
                    <w:t>非正常持续时长（）</w:t>
                  </w:r>
                  <w:r>
                    <w:rPr>
                      <w:rStyle w:val="102"/>
                      <w:rFonts w:ascii="Times New Roman" w:hAnsi="Times New Roman" w:eastAsia="宋体"/>
                      <w:kern w:val="0"/>
                      <w:sz w:val="21"/>
                      <w:szCs w:val="21"/>
                      <w:lang w:eastAsia="zh-CN"/>
                    </w:rPr>
                    <w:t xml:space="preserve"> h</w:t>
                  </w:r>
                </w:p>
              </w:tc>
              <w:tc>
                <w:tcPr>
                  <w:tcW w:w="1474" w:type="pct"/>
                  <w:gridSpan w:val="8"/>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Times New Roman" w:eastAsia="宋体"/>
                      <w:kern w:val="0"/>
                      <w:sz w:val="21"/>
                      <w:szCs w:val="21"/>
                    </w:rPr>
                    <w:t>C</w:t>
                  </w:r>
                  <w:r>
                    <w:rPr>
                      <w:rStyle w:val="102"/>
                      <w:rFonts w:ascii="Times New Roman" w:hAnsi="宋体" w:eastAsia="宋体"/>
                      <w:kern w:val="0"/>
                      <w:sz w:val="21"/>
                      <w:szCs w:val="21"/>
                    </w:rPr>
                    <w:t>非正常占标率</w:t>
                  </w:r>
                  <w:r>
                    <w:rPr>
                      <w:rStyle w:val="102"/>
                      <w:rFonts w:ascii="Times New Roman" w:hAnsi="Times New Roman" w:eastAsia="宋体"/>
                      <w:kern w:val="0"/>
                      <w:sz w:val="21"/>
                      <w:szCs w:val="21"/>
                    </w:rPr>
                    <w:t>&lt;100%</w:t>
                  </w:r>
                  <w:r>
                    <w:rPr>
                      <w:rFonts w:ascii="Times New Roman" w:hAnsi="Times New Roman"/>
                      <w:kern w:val="0"/>
                      <w:sz w:val="21"/>
                      <w:szCs w:val="21"/>
                    </w:rPr>
                    <w:sym w:font="Wingdings 2" w:char="00A3"/>
                  </w:r>
                </w:p>
              </w:tc>
              <w:tc>
                <w:tcPr>
                  <w:tcW w:w="1295" w:type="pct"/>
                  <w:gridSpan w:val="5"/>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Times New Roman" w:eastAsia="宋体"/>
                      <w:kern w:val="0"/>
                      <w:sz w:val="21"/>
                      <w:szCs w:val="21"/>
                    </w:rPr>
                    <w:t>C</w:t>
                  </w:r>
                  <w:r>
                    <w:rPr>
                      <w:rStyle w:val="102"/>
                      <w:rFonts w:ascii="Times New Roman" w:hAnsi="宋体" w:eastAsia="宋体"/>
                      <w:kern w:val="0"/>
                      <w:sz w:val="21"/>
                      <w:szCs w:val="21"/>
                    </w:rPr>
                    <w:t>非正常占标率</w:t>
                  </w:r>
                  <w:r>
                    <w:rPr>
                      <w:rStyle w:val="102"/>
                      <w:rFonts w:ascii="Times New Roman" w:hAnsi="Times New Roman" w:eastAsia="宋体"/>
                      <w:kern w:val="0"/>
                      <w:sz w:val="21"/>
                      <w:szCs w:val="21"/>
                    </w:rPr>
                    <w:t>&gt;100%</w:t>
                  </w:r>
                  <w:r>
                    <w:rPr>
                      <w:rFonts w:ascii="Times New Roman" w:hAnsi="Times New Roman"/>
                      <w:kern w:val="0"/>
                      <w:sz w:val="21"/>
                      <w:szCs w:val="21"/>
                    </w:rPr>
                    <w:sym w:font="Wingdings 2" w:char="00A3"/>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continue"/>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lang w:eastAsia="zh-CN"/>
                    </w:rPr>
                  </w:pPr>
                  <w:r>
                    <w:rPr>
                      <w:rStyle w:val="102"/>
                      <w:rFonts w:ascii="Times New Roman" w:hAnsi="宋体" w:eastAsia="宋体"/>
                      <w:kern w:val="0"/>
                      <w:sz w:val="21"/>
                      <w:szCs w:val="21"/>
                      <w:lang w:eastAsia="zh-CN"/>
                    </w:rPr>
                    <w:t>保证率日平均浓度和年平均浓度叠加值</w:t>
                  </w:r>
                </w:p>
              </w:tc>
              <w:tc>
                <w:tcPr>
                  <w:tcW w:w="1606" w:type="pct"/>
                  <w:gridSpan w:val="7"/>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Times New Roman" w:eastAsia="宋体"/>
                      <w:kern w:val="0"/>
                      <w:sz w:val="21"/>
                      <w:szCs w:val="21"/>
                    </w:rPr>
                    <w:t>C</w:t>
                  </w:r>
                  <w:r>
                    <w:rPr>
                      <w:rStyle w:val="102"/>
                      <w:rFonts w:ascii="Times New Roman" w:hAnsi="宋体" w:eastAsia="宋体"/>
                      <w:kern w:val="0"/>
                      <w:sz w:val="21"/>
                      <w:szCs w:val="21"/>
                      <w:vertAlign w:val="subscript"/>
                    </w:rPr>
                    <w:t>叠加</w:t>
                  </w:r>
                  <w:r>
                    <w:rPr>
                      <w:rStyle w:val="102"/>
                      <w:rFonts w:ascii="Times New Roman" w:hAnsi="宋体" w:eastAsia="宋体"/>
                      <w:kern w:val="0"/>
                      <w:sz w:val="21"/>
                      <w:szCs w:val="21"/>
                    </w:rPr>
                    <w:t>达标标</w:t>
                  </w:r>
                  <w:r>
                    <w:rPr>
                      <w:rFonts w:ascii="Times New Roman" w:hAnsi="Times New Roman"/>
                      <w:kern w:val="0"/>
                      <w:sz w:val="21"/>
                      <w:szCs w:val="21"/>
                    </w:rPr>
                    <w:sym w:font="Wingdings 2" w:char="00A3"/>
                  </w:r>
                </w:p>
              </w:tc>
              <w:tc>
                <w:tcPr>
                  <w:tcW w:w="2317" w:type="pct"/>
                  <w:gridSpan w:val="10"/>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Times New Roman" w:eastAsia="宋体"/>
                      <w:kern w:val="0"/>
                      <w:sz w:val="21"/>
                      <w:szCs w:val="21"/>
                    </w:rPr>
                    <w:t>C</w:t>
                  </w:r>
                  <w:r>
                    <w:rPr>
                      <w:rStyle w:val="102"/>
                      <w:rFonts w:ascii="Times New Roman" w:hAnsi="宋体" w:eastAsia="宋体"/>
                      <w:kern w:val="0"/>
                      <w:sz w:val="21"/>
                      <w:szCs w:val="21"/>
                      <w:vertAlign w:val="subscript"/>
                    </w:rPr>
                    <w:t>叠加</w:t>
                  </w:r>
                  <w:r>
                    <w:rPr>
                      <w:rStyle w:val="102"/>
                      <w:rFonts w:ascii="Times New Roman" w:hAnsi="宋体" w:eastAsia="宋体"/>
                      <w:kern w:val="0"/>
                      <w:sz w:val="21"/>
                      <w:szCs w:val="21"/>
                    </w:rPr>
                    <w:t>不达标口</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continue"/>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lang w:eastAsia="zh-CN"/>
                    </w:rPr>
                  </w:pPr>
                  <w:r>
                    <w:rPr>
                      <w:rStyle w:val="102"/>
                      <w:rFonts w:ascii="Times New Roman" w:hAnsi="宋体" w:eastAsia="宋体"/>
                      <w:kern w:val="0"/>
                      <w:sz w:val="21"/>
                      <w:szCs w:val="21"/>
                      <w:lang w:eastAsia="zh-CN"/>
                    </w:rPr>
                    <w:t>区域环境质</w:t>
                  </w:r>
                  <w:r>
                    <w:rPr>
                      <w:rStyle w:val="102"/>
                      <w:rFonts w:ascii="Times New Roman" w:hAnsi="Times New Roman" w:eastAsia="宋体"/>
                      <w:kern w:val="0"/>
                      <w:sz w:val="21"/>
                      <w:szCs w:val="21"/>
                      <w:lang w:eastAsia="zh-CN"/>
                    </w:rPr>
                    <w:t xml:space="preserve"> </w:t>
                  </w:r>
                  <w:r>
                    <w:rPr>
                      <w:rStyle w:val="102"/>
                      <w:rFonts w:ascii="Times New Roman" w:hAnsi="宋体" w:eastAsia="宋体"/>
                      <w:kern w:val="0"/>
                      <w:sz w:val="21"/>
                      <w:szCs w:val="21"/>
                      <w:lang w:eastAsia="zh-CN"/>
                    </w:rPr>
                    <w:t>量的整体变化情况</w:t>
                  </w:r>
                </w:p>
              </w:tc>
              <w:tc>
                <w:tcPr>
                  <w:tcW w:w="1606" w:type="pct"/>
                  <w:gridSpan w:val="7"/>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Times New Roman" w:eastAsia="宋体"/>
                      <w:kern w:val="0"/>
                      <w:sz w:val="21"/>
                      <w:szCs w:val="21"/>
                    </w:rPr>
                    <w:t>k&lt;-20%</w:t>
                  </w:r>
                  <w:r>
                    <w:rPr>
                      <w:rFonts w:ascii="Times New Roman" w:hAnsi="Times New Roman"/>
                      <w:kern w:val="0"/>
                      <w:sz w:val="21"/>
                      <w:szCs w:val="21"/>
                    </w:rPr>
                    <w:sym w:font="Wingdings 2" w:char="00A3"/>
                  </w:r>
                </w:p>
              </w:tc>
              <w:tc>
                <w:tcPr>
                  <w:tcW w:w="2317" w:type="pct"/>
                  <w:gridSpan w:val="10"/>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Times New Roman" w:eastAsia="宋体"/>
                      <w:kern w:val="0"/>
                      <w:sz w:val="21"/>
                      <w:szCs w:val="21"/>
                    </w:rPr>
                    <w:t>k&gt;-20%</w:t>
                  </w:r>
                  <w:r>
                    <w:rPr>
                      <w:rStyle w:val="102"/>
                      <w:rFonts w:ascii="Times New Roman" w:hAnsi="宋体" w:eastAsia="宋体"/>
                      <w:kern w:val="0"/>
                      <w:sz w:val="21"/>
                      <w:szCs w:val="21"/>
                    </w:rPr>
                    <w:t>口</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restart"/>
                  <w:shd w:val="clear" w:color="auto" w:fill="auto"/>
                  <w:tcMar>
                    <w:top w:w="0" w:type="dxa"/>
                    <w:left w:w="57" w:type="dxa"/>
                    <w:bottom w:w="0" w:type="dxa"/>
                    <w:right w:w="57" w:type="dxa"/>
                  </w:tcMar>
                  <w:vAlign w:val="center"/>
                </w:tcPr>
                <w:p>
                  <w:pPr>
                    <w:pStyle w:val="98"/>
                    <w:adjustRightInd w:val="0"/>
                    <w:snapToGrid w:val="0"/>
                    <w:spacing w:line="240" w:lineRule="auto"/>
                    <w:ind w:firstLine="0"/>
                    <w:jc w:val="left"/>
                    <w:rPr>
                      <w:rFonts w:ascii="Times New Roman" w:hAnsi="Times New Roman"/>
                      <w:kern w:val="0"/>
                      <w:sz w:val="21"/>
                      <w:szCs w:val="21"/>
                    </w:rPr>
                  </w:pPr>
                  <w:r>
                    <w:rPr>
                      <w:rStyle w:val="100"/>
                      <w:rFonts w:hint="default" w:ascii="Times New Roman"/>
                      <w:kern w:val="0"/>
                      <w:sz w:val="21"/>
                      <w:szCs w:val="21"/>
                    </w:rPr>
                    <w:t>环境</w:t>
                  </w:r>
                </w:p>
                <w:p>
                  <w:pPr>
                    <w:pStyle w:val="98"/>
                    <w:adjustRightInd w:val="0"/>
                    <w:snapToGrid w:val="0"/>
                    <w:spacing w:line="240" w:lineRule="auto"/>
                    <w:ind w:firstLine="0"/>
                    <w:jc w:val="left"/>
                    <w:rPr>
                      <w:rFonts w:ascii="Times New Roman" w:hAnsi="Times New Roman"/>
                      <w:kern w:val="0"/>
                      <w:sz w:val="21"/>
                      <w:szCs w:val="21"/>
                    </w:rPr>
                  </w:pPr>
                  <w:r>
                    <w:rPr>
                      <w:rStyle w:val="100"/>
                      <w:rFonts w:hint="default" w:ascii="Times New Roman"/>
                      <w:kern w:val="0"/>
                      <w:sz w:val="21"/>
                      <w:szCs w:val="21"/>
                    </w:rPr>
                    <w:t>监测</w:t>
                  </w:r>
                </w:p>
                <w:p>
                  <w:pPr>
                    <w:pStyle w:val="98"/>
                    <w:adjustRightInd w:val="0"/>
                    <w:snapToGrid w:val="0"/>
                    <w:spacing w:line="240" w:lineRule="auto"/>
                    <w:ind w:firstLine="0"/>
                    <w:jc w:val="left"/>
                    <w:rPr>
                      <w:rFonts w:ascii="Times New Roman" w:hAnsi="Times New Roman"/>
                      <w:kern w:val="0"/>
                      <w:sz w:val="21"/>
                      <w:szCs w:val="21"/>
                    </w:rPr>
                  </w:pPr>
                  <w:r>
                    <w:rPr>
                      <w:rStyle w:val="100"/>
                      <w:rFonts w:hint="default" w:ascii="Times New Roman"/>
                      <w:kern w:val="0"/>
                      <w:sz w:val="21"/>
                      <w:szCs w:val="21"/>
                    </w:rPr>
                    <w:t>计划</w:t>
                  </w: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宋体" w:eastAsia="宋体"/>
                      <w:kern w:val="0"/>
                      <w:sz w:val="21"/>
                      <w:szCs w:val="21"/>
                    </w:rPr>
                    <w:t>污染源监测</w:t>
                  </w:r>
                </w:p>
              </w:tc>
              <w:tc>
                <w:tcPr>
                  <w:tcW w:w="1943" w:type="pct"/>
                  <w:gridSpan w:val="9"/>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lang w:eastAsia="zh-CN"/>
                    </w:rPr>
                  </w:pPr>
                  <w:r>
                    <w:rPr>
                      <w:rStyle w:val="102"/>
                      <w:rFonts w:ascii="Times New Roman" w:hAnsi="宋体" w:eastAsia="宋体"/>
                      <w:kern w:val="21"/>
                      <w:sz w:val="21"/>
                      <w:szCs w:val="21"/>
                      <w:lang w:eastAsia="zh-CN"/>
                    </w:rPr>
                    <w:t>监测因子：（颗粒物）</w:t>
                  </w:r>
                </w:p>
              </w:tc>
              <w:tc>
                <w:tcPr>
                  <w:tcW w:w="1347" w:type="pct"/>
                  <w:gridSpan w:val="6"/>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lang w:eastAsia="zh-CN"/>
                    </w:rPr>
                  </w:pPr>
                  <w:r>
                    <w:rPr>
                      <w:rStyle w:val="102"/>
                      <w:rFonts w:ascii="Times New Roman" w:hAnsi="宋体" w:eastAsia="宋体"/>
                      <w:kern w:val="0"/>
                      <w:sz w:val="21"/>
                      <w:szCs w:val="21"/>
                      <w:lang w:eastAsia="zh-CN"/>
                    </w:rPr>
                    <w:t>有组织废气监测</w:t>
                  </w:r>
                  <w:r>
                    <w:rPr>
                      <w:rFonts w:ascii="Times New Roman" w:hAnsi="Times New Roman"/>
                      <w:kern w:val="0"/>
                      <w:sz w:val="21"/>
                      <w:szCs w:val="21"/>
                    </w:rPr>
                    <w:sym w:font="Wingdings 2" w:char="0052"/>
                  </w:r>
                </w:p>
                <w:p>
                  <w:pPr>
                    <w:pStyle w:val="98"/>
                    <w:adjustRightInd w:val="0"/>
                    <w:snapToGrid w:val="0"/>
                    <w:spacing w:line="240" w:lineRule="auto"/>
                    <w:ind w:firstLine="0"/>
                    <w:jc w:val="center"/>
                    <w:rPr>
                      <w:rStyle w:val="102"/>
                      <w:rFonts w:ascii="Times New Roman" w:hAnsi="Times New Roman" w:eastAsia="宋体"/>
                      <w:b w:val="0"/>
                      <w:kern w:val="0"/>
                      <w:sz w:val="21"/>
                      <w:szCs w:val="21"/>
                      <w:lang w:eastAsia="zh-CN"/>
                    </w:rPr>
                  </w:pPr>
                  <w:r>
                    <w:rPr>
                      <w:rStyle w:val="102"/>
                      <w:rFonts w:ascii="Times New Roman" w:hAnsi="宋体" w:eastAsia="宋体"/>
                      <w:kern w:val="0"/>
                      <w:sz w:val="21"/>
                      <w:szCs w:val="21"/>
                      <w:lang w:eastAsia="zh-CN"/>
                    </w:rPr>
                    <w:t>无组织废气监测</w:t>
                  </w:r>
                  <w:r>
                    <w:rPr>
                      <w:rFonts w:ascii="Times New Roman" w:hAnsi="Times New Roman"/>
                      <w:kern w:val="0"/>
                      <w:sz w:val="21"/>
                      <w:szCs w:val="21"/>
                    </w:rPr>
                    <w:sym w:font="Wingdings 2" w:char="0052"/>
                  </w:r>
                </w:p>
              </w:tc>
              <w:tc>
                <w:tcPr>
                  <w:tcW w:w="634" w:type="pct"/>
                  <w:gridSpan w:val="2"/>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宋体" w:eastAsia="宋体"/>
                      <w:kern w:val="0"/>
                      <w:sz w:val="21"/>
                      <w:szCs w:val="21"/>
                    </w:rPr>
                    <w:t>无监测</w:t>
                  </w:r>
                  <w:r>
                    <w:rPr>
                      <w:rFonts w:ascii="Times New Roman" w:hAnsi="Times New Roman"/>
                      <w:kern w:val="0"/>
                      <w:sz w:val="21"/>
                      <w:szCs w:val="21"/>
                    </w:rPr>
                    <w:sym w:font="Wingdings 2" w:char="00A3"/>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continue"/>
                  <w:shd w:val="clear" w:color="auto" w:fill="auto"/>
                  <w:tcMar>
                    <w:top w:w="0" w:type="dxa"/>
                    <w:left w:w="57" w:type="dxa"/>
                    <w:bottom w:w="0" w:type="dxa"/>
                    <w:right w:w="57" w:type="dxa"/>
                  </w:tcMar>
                  <w:vAlign w:val="center"/>
                </w:tcPr>
                <w:p>
                  <w:pPr>
                    <w:pStyle w:val="98"/>
                    <w:adjustRightInd w:val="0"/>
                    <w:snapToGrid w:val="0"/>
                    <w:spacing w:line="240" w:lineRule="auto"/>
                    <w:ind w:firstLine="0"/>
                    <w:jc w:val="left"/>
                    <w:rPr>
                      <w:rFonts w:ascii="Times New Roman" w:hAnsi="Times New Roman"/>
                      <w:kern w:val="0"/>
                      <w:sz w:val="21"/>
                      <w:szCs w:val="21"/>
                    </w:rPr>
                  </w:pP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宋体" w:eastAsia="宋体"/>
                      <w:kern w:val="0"/>
                      <w:sz w:val="21"/>
                      <w:szCs w:val="21"/>
                    </w:rPr>
                    <w:t>环境质量监测</w:t>
                  </w:r>
                </w:p>
              </w:tc>
              <w:tc>
                <w:tcPr>
                  <w:tcW w:w="1943" w:type="pct"/>
                  <w:gridSpan w:val="9"/>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宋体" w:eastAsia="宋体"/>
                      <w:kern w:val="0"/>
                      <w:sz w:val="21"/>
                      <w:szCs w:val="21"/>
                    </w:rPr>
                    <w:t>监测因子（）</w:t>
                  </w:r>
                </w:p>
              </w:tc>
              <w:tc>
                <w:tcPr>
                  <w:tcW w:w="1347" w:type="pct"/>
                  <w:gridSpan w:val="6"/>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宋体" w:eastAsia="宋体"/>
                      <w:kern w:val="0"/>
                      <w:sz w:val="21"/>
                      <w:szCs w:val="21"/>
                    </w:rPr>
                    <w:t>监测点位数（</w:t>
                  </w:r>
                  <w:r>
                    <w:rPr>
                      <w:rStyle w:val="102"/>
                      <w:rFonts w:ascii="Times New Roman" w:hAnsi="Times New Roman" w:eastAsia="宋体"/>
                      <w:kern w:val="0"/>
                      <w:sz w:val="21"/>
                      <w:szCs w:val="21"/>
                    </w:rPr>
                    <w:t>)</w:t>
                  </w:r>
                </w:p>
              </w:tc>
              <w:tc>
                <w:tcPr>
                  <w:tcW w:w="634" w:type="pct"/>
                  <w:gridSpan w:val="2"/>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宋体" w:eastAsia="宋体"/>
                      <w:kern w:val="0"/>
                      <w:sz w:val="21"/>
                      <w:szCs w:val="21"/>
                    </w:rPr>
                    <w:t>无监测</w:t>
                  </w:r>
                  <w:r>
                    <w:rPr>
                      <w:rFonts w:ascii="Times New Roman" w:hAnsi="Times New Roman"/>
                      <w:kern w:val="0"/>
                      <w:sz w:val="21"/>
                      <w:szCs w:val="21"/>
                    </w:rPr>
                    <w:sym w:font="Wingdings 2" w:char="0052"/>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restart"/>
                  <w:shd w:val="clear" w:color="auto" w:fill="auto"/>
                  <w:tcMar>
                    <w:top w:w="0" w:type="dxa"/>
                    <w:left w:w="57" w:type="dxa"/>
                    <w:bottom w:w="0" w:type="dxa"/>
                    <w:right w:w="57" w:type="dxa"/>
                  </w:tcMar>
                  <w:vAlign w:val="center"/>
                </w:tcPr>
                <w:p>
                  <w:pPr>
                    <w:pStyle w:val="98"/>
                    <w:adjustRightInd w:val="0"/>
                    <w:snapToGrid w:val="0"/>
                    <w:spacing w:line="240" w:lineRule="auto"/>
                    <w:ind w:firstLine="0"/>
                    <w:jc w:val="left"/>
                    <w:rPr>
                      <w:rFonts w:ascii="Times New Roman" w:hAnsi="Times New Roman"/>
                      <w:kern w:val="0"/>
                      <w:sz w:val="21"/>
                      <w:szCs w:val="21"/>
                    </w:rPr>
                  </w:pPr>
                  <w:r>
                    <w:rPr>
                      <w:rStyle w:val="100"/>
                      <w:rFonts w:hint="default" w:ascii="Times New Roman"/>
                      <w:kern w:val="0"/>
                      <w:sz w:val="21"/>
                      <w:szCs w:val="21"/>
                    </w:rPr>
                    <w:t>评价</w:t>
                  </w:r>
                </w:p>
                <w:p>
                  <w:pPr>
                    <w:pStyle w:val="98"/>
                    <w:adjustRightInd w:val="0"/>
                    <w:snapToGrid w:val="0"/>
                    <w:spacing w:line="240" w:lineRule="auto"/>
                    <w:ind w:firstLine="0"/>
                    <w:jc w:val="left"/>
                    <w:rPr>
                      <w:rFonts w:ascii="Times New Roman" w:hAnsi="Times New Roman"/>
                      <w:kern w:val="0"/>
                      <w:sz w:val="21"/>
                      <w:szCs w:val="21"/>
                    </w:rPr>
                  </w:pPr>
                  <w:r>
                    <w:rPr>
                      <w:rStyle w:val="100"/>
                      <w:rFonts w:hint="default" w:ascii="Times New Roman"/>
                      <w:kern w:val="0"/>
                      <w:sz w:val="21"/>
                      <w:szCs w:val="21"/>
                    </w:rPr>
                    <w:t>结论</w:t>
                  </w: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宋体" w:eastAsia="宋体"/>
                      <w:kern w:val="0"/>
                      <w:sz w:val="21"/>
                      <w:szCs w:val="21"/>
                    </w:rPr>
                    <w:t>环境影响</w:t>
                  </w:r>
                </w:p>
              </w:tc>
              <w:tc>
                <w:tcPr>
                  <w:tcW w:w="3923" w:type="pct"/>
                  <w:gridSpan w:val="17"/>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宋体" w:eastAsia="宋体"/>
                      <w:kern w:val="0"/>
                      <w:sz w:val="21"/>
                      <w:szCs w:val="21"/>
                    </w:rPr>
                    <w:t>可以接受</w:t>
                  </w:r>
                  <w:r>
                    <w:rPr>
                      <w:rFonts w:ascii="Times New Roman" w:hAnsi="Times New Roman"/>
                      <w:kern w:val="0"/>
                      <w:sz w:val="21"/>
                      <w:szCs w:val="21"/>
                    </w:rPr>
                    <w:sym w:font="Wingdings 2" w:char="0052"/>
                  </w:r>
                  <w:r>
                    <w:rPr>
                      <w:rFonts w:ascii="Times New Roman" w:hAnsi="Times New Roman"/>
                      <w:kern w:val="0"/>
                      <w:sz w:val="21"/>
                      <w:szCs w:val="21"/>
                    </w:rPr>
                    <w:t xml:space="preserve">      </w:t>
                  </w:r>
                  <w:r>
                    <w:rPr>
                      <w:rStyle w:val="102"/>
                      <w:rFonts w:ascii="Times New Roman" w:hAnsi="宋体" w:eastAsia="宋体"/>
                      <w:kern w:val="0"/>
                      <w:sz w:val="21"/>
                      <w:szCs w:val="21"/>
                    </w:rPr>
                    <w:t>不可以接受</w:t>
                  </w:r>
                  <w:r>
                    <w:rPr>
                      <w:rFonts w:ascii="Times New Roman" w:hAnsi="Times New Roman"/>
                      <w:kern w:val="0"/>
                      <w:sz w:val="21"/>
                      <w:szCs w:val="21"/>
                    </w:rPr>
                    <w:sym w:font="Wingdings 2" w:char="00A3"/>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continue"/>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宋体" w:eastAsia="宋体"/>
                      <w:kern w:val="0"/>
                      <w:sz w:val="21"/>
                      <w:szCs w:val="21"/>
                    </w:rPr>
                    <w:t>大气环境防护距离</w:t>
                  </w:r>
                </w:p>
              </w:tc>
              <w:tc>
                <w:tcPr>
                  <w:tcW w:w="3923" w:type="pct"/>
                  <w:gridSpan w:val="17"/>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lang w:eastAsia="zh-CN"/>
                    </w:rPr>
                  </w:pPr>
                  <w:r>
                    <w:rPr>
                      <w:rStyle w:val="102"/>
                      <w:rFonts w:ascii="Times New Roman" w:hAnsi="宋体" w:eastAsia="宋体"/>
                      <w:kern w:val="0"/>
                      <w:sz w:val="21"/>
                      <w:szCs w:val="21"/>
                      <w:lang w:eastAsia="zh-CN"/>
                    </w:rPr>
                    <w:t>距（四周）厂界最远（</w:t>
                  </w:r>
                  <w:r>
                    <w:rPr>
                      <w:rStyle w:val="102"/>
                      <w:rFonts w:ascii="Times New Roman" w:hAnsi="Times New Roman" w:eastAsia="宋体"/>
                      <w:kern w:val="0"/>
                      <w:sz w:val="21"/>
                      <w:szCs w:val="21"/>
                      <w:lang w:eastAsia="zh-CN"/>
                    </w:rPr>
                    <w:t>0</w:t>
                  </w:r>
                  <w:r>
                    <w:rPr>
                      <w:rStyle w:val="102"/>
                      <w:rFonts w:ascii="Times New Roman" w:hAnsi="宋体" w:eastAsia="宋体"/>
                      <w:kern w:val="0"/>
                      <w:sz w:val="21"/>
                      <w:szCs w:val="21"/>
                      <w:lang w:eastAsia="zh-CN"/>
                    </w:rPr>
                    <w:t>）</w:t>
                  </w:r>
                  <w:r>
                    <w:rPr>
                      <w:rStyle w:val="102"/>
                      <w:rFonts w:ascii="Times New Roman" w:hAnsi="Times New Roman" w:eastAsia="宋体"/>
                      <w:kern w:val="0"/>
                      <w:sz w:val="21"/>
                      <w:szCs w:val="21"/>
                      <w:lang w:eastAsia="zh-CN"/>
                    </w:rPr>
                    <w:t>m</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15" w:type="pct"/>
                  <w:vMerge w:val="continue"/>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Fonts w:ascii="Times New Roman" w:hAnsi="Times New Roman"/>
                      <w:kern w:val="0"/>
                      <w:sz w:val="21"/>
                      <w:szCs w:val="21"/>
                    </w:rPr>
                  </w:pPr>
                </w:p>
              </w:tc>
              <w:tc>
                <w:tcPr>
                  <w:tcW w:w="762" w:type="pct"/>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宋体" w:eastAsia="宋体"/>
                      <w:kern w:val="0"/>
                      <w:sz w:val="21"/>
                      <w:szCs w:val="21"/>
                    </w:rPr>
                    <w:t>污染源年排放量</w:t>
                  </w:r>
                </w:p>
              </w:tc>
              <w:tc>
                <w:tcPr>
                  <w:tcW w:w="3923" w:type="pct"/>
                  <w:gridSpan w:val="17"/>
                  <w:shd w:val="clear" w:color="auto" w:fill="auto"/>
                  <w:tcMar>
                    <w:top w:w="0" w:type="dxa"/>
                    <w:left w:w="57" w:type="dxa"/>
                    <w:bottom w:w="0" w:type="dxa"/>
                    <w:right w:w="57" w:type="dxa"/>
                  </w:tcMar>
                  <w:vAlign w:val="center"/>
                </w:tcPr>
                <w:p>
                  <w:pPr>
                    <w:pStyle w:val="98"/>
                    <w:adjustRightInd w:val="0"/>
                    <w:snapToGrid w:val="0"/>
                    <w:spacing w:line="240" w:lineRule="auto"/>
                    <w:ind w:firstLine="0"/>
                    <w:jc w:val="center"/>
                    <w:rPr>
                      <w:rStyle w:val="102"/>
                      <w:rFonts w:ascii="Times New Roman" w:hAnsi="Times New Roman" w:eastAsia="宋体"/>
                      <w:b w:val="0"/>
                      <w:kern w:val="0"/>
                      <w:sz w:val="21"/>
                      <w:szCs w:val="21"/>
                    </w:rPr>
                  </w:pPr>
                  <w:r>
                    <w:rPr>
                      <w:rStyle w:val="102"/>
                      <w:rFonts w:ascii="Times New Roman" w:hAnsi="宋体" w:eastAsia="宋体"/>
                      <w:kern w:val="0"/>
                      <w:sz w:val="21"/>
                      <w:szCs w:val="21"/>
                    </w:rPr>
                    <w:t>颗粒物：</w:t>
                  </w:r>
                  <w:r>
                    <w:rPr>
                      <w:rFonts w:ascii="Times New Roman" w:hAnsi="Times New Roman"/>
                      <w:sz w:val="21"/>
                      <w:szCs w:val="21"/>
                    </w:rPr>
                    <w:t>0.0056t/a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19"/>
                  <w:shd w:val="clear" w:color="auto" w:fill="auto"/>
                  <w:tcMar>
                    <w:top w:w="0" w:type="dxa"/>
                    <w:left w:w="57" w:type="dxa"/>
                    <w:bottom w:w="0" w:type="dxa"/>
                    <w:right w:w="57" w:type="dxa"/>
                  </w:tcMar>
                  <w:vAlign w:val="center"/>
                </w:tcPr>
                <w:p>
                  <w:pPr>
                    <w:pStyle w:val="98"/>
                    <w:adjustRightInd w:val="0"/>
                    <w:snapToGrid w:val="0"/>
                    <w:spacing w:line="240" w:lineRule="auto"/>
                    <w:ind w:firstLine="0"/>
                    <w:jc w:val="left"/>
                    <w:rPr>
                      <w:rStyle w:val="102"/>
                      <w:rFonts w:ascii="Times New Roman" w:hAnsi="Times New Roman" w:eastAsia="宋体"/>
                      <w:b w:val="0"/>
                      <w:kern w:val="0"/>
                      <w:sz w:val="21"/>
                      <w:szCs w:val="21"/>
                      <w:lang w:eastAsia="zh-CN"/>
                    </w:rPr>
                  </w:pPr>
                  <w:r>
                    <w:rPr>
                      <w:rStyle w:val="102"/>
                      <w:rFonts w:ascii="Times New Roman" w:hAnsi="宋体" w:eastAsia="宋体"/>
                      <w:kern w:val="0"/>
                      <w:sz w:val="21"/>
                      <w:szCs w:val="21"/>
                      <w:lang w:eastAsia="zh-CN"/>
                    </w:rPr>
                    <w:t>注：</w:t>
                  </w:r>
                  <w:r>
                    <w:rPr>
                      <w:rStyle w:val="102"/>
                      <w:rFonts w:ascii="Times New Roman" w:hAnsi="Times New Roman" w:eastAsia="宋体"/>
                      <w:kern w:val="0"/>
                      <w:sz w:val="21"/>
                      <w:szCs w:val="21"/>
                      <w:lang w:eastAsia="zh-CN"/>
                    </w:rPr>
                    <w:t>“</w:t>
                  </w:r>
                  <w:r>
                    <w:rPr>
                      <w:rFonts w:ascii="Times New Roman" w:hAnsi="Times New Roman"/>
                      <w:kern w:val="0"/>
                      <w:sz w:val="21"/>
                      <w:szCs w:val="21"/>
                    </w:rPr>
                    <w:sym w:font="Wingdings 2" w:char="00A3"/>
                  </w:r>
                  <w:r>
                    <w:rPr>
                      <w:rStyle w:val="102"/>
                      <w:rFonts w:ascii="Times New Roman" w:hAnsi="Times New Roman" w:eastAsia="宋体"/>
                      <w:kern w:val="0"/>
                      <w:sz w:val="21"/>
                      <w:szCs w:val="21"/>
                      <w:lang w:eastAsia="zh-CN"/>
                    </w:rPr>
                    <w:t>”</w:t>
                  </w:r>
                  <w:r>
                    <w:rPr>
                      <w:rStyle w:val="102"/>
                      <w:rFonts w:ascii="Times New Roman" w:hAnsi="宋体" w:eastAsia="宋体"/>
                      <w:kern w:val="0"/>
                      <w:sz w:val="21"/>
                      <w:szCs w:val="21"/>
                      <w:lang w:eastAsia="zh-CN"/>
                    </w:rPr>
                    <w:t>为勾选项，填</w:t>
                  </w:r>
                  <w:r>
                    <w:rPr>
                      <w:rStyle w:val="102"/>
                      <w:rFonts w:ascii="Times New Roman" w:hAnsi="Times New Roman" w:eastAsia="宋体"/>
                      <w:kern w:val="0"/>
                      <w:sz w:val="21"/>
                      <w:szCs w:val="21"/>
                      <w:lang w:eastAsia="zh-CN"/>
                    </w:rPr>
                    <w:t>“√”</w:t>
                  </w:r>
                  <w:r>
                    <w:rPr>
                      <w:rStyle w:val="102"/>
                      <w:rFonts w:ascii="Times New Roman" w:hAnsi="宋体" w:eastAsia="宋体"/>
                      <w:kern w:val="0"/>
                      <w:sz w:val="21"/>
                      <w:szCs w:val="21"/>
                      <w:lang w:eastAsia="zh-CN"/>
                    </w:rPr>
                    <w:t>；</w:t>
                  </w:r>
                  <w:r>
                    <w:rPr>
                      <w:rStyle w:val="102"/>
                      <w:rFonts w:ascii="Times New Roman" w:hAnsi="Times New Roman" w:eastAsia="宋体"/>
                      <w:kern w:val="0"/>
                      <w:sz w:val="21"/>
                      <w:szCs w:val="21"/>
                      <w:lang w:eastAsia="zh-CN"/>
                    </w:rPr>
                    <w:t>“</w:t>
                  </w:r>
                  <w:r>
                    <w:rPr>
                      <w:rStyle w:val="102"/>
                      <w:rFonts w:ascii="Times New Roman" w:hAnsi="宋体" w:eastAsia="宋体"/>
                      <w:kern w:val="0"/>
                      <w:sz w:val="21"/>
                      <w:szCs w:val="21"/>
                      <w:lang w:eastAsia="zh-CN"/>
                    </w:rPr>
                    <w:t>（）</w:t>
                  </w:r>
                  <w:r>
                    <w:rPr>
                      <w:rStyle w:val="102"/>
                      <w:rFonts w:ascii="Times New Roman" w:hAnsi="Times New Roman" w:eastAsia="宋体"/>
                      <w:kern w:val="0"/>
                      <w:sz w:val="21"/>
                      <w:szCs w:val="21"/>
                      <w:lang w:eastAsia="zh-CN"/>
                    </w:rPr>
                    <w:t>”</w:t>
                  </w:r>
                  <w:r>
                    <w:rPr>
                      <w:rStyle w:val="102"/>
                      <w:rFonts w:ascii="Times New Roman" w:hAnsi="宋体" w:eastAsia="宋体"/>
                      <w:kern w:val="0"/>
                      <w:sz w:val="21"/>
                      <w:szCs w:val="21"/>
                      <w:lang w:eastAsia="zh-CN"/>
                    </w:rPr>
                    <w:t>为内容填写项</w:t>
                  </w:r>
                </w:p>
              </w:tc>
            </w:tr>
          </w:tbl>
          <w:p>
            <w:pPr>
              <w:adjustRightInd w:val="0"/>
              <w:snapToGrid w:val="0"/>
              <w:spacing w:line="440" w:lineRule="exact"/>
              <w:rPr>
                <w:rFonts w:hAnsi="宋体"/>
                <w:b/>
                <w:bCs/>
                <w:sz w:val="24"/>
              </w:rPr>
            </w:pPr>
            <w:r>
              <w:rPr>
                <w:rFonts w:hint="eastAsia"/>
                <w:b/>
                <w:bCs/>
                <w:sz w:val="24"/>
              </w:rPr>
              <w:t>2.</w:t>
            </w:r>
            <w:r>
              <w:rPr>
                <w:rFonts w:hAnsi="宋体"/>
                <w:b/>
                <w:bCs/>
                <w:sz w:val="24"/>
              </w:rPr>
              <w:t>水环境影响分析</w:t>
            </w:r>
          </w:p>
          <w:p>
            <w:pPr>
              <w:pStyle w:val="2"/>
              <w:adjustRightInd w:val="0"/>
              <w:snapToGrid w:val="0"/>
              <w:spacing w:line="500" w:lineRule="exact"/>
              <w:ind w:firstLine="480" w:firstLineChars="200"/>
              <w:jc w:val="left"/>
              <w:rPr>
                <w:b w:val="0"/>
              </w:rPr>
            </w:pPr>
            <w:r>
              <w:rPr>
                <w:rFonts w:hAnsi="宋体"/>
                <w:b w:val="0"/>
              </w:rPr>
              <w:t>本项目营运期无生产废水产生，仅为职工生活污水。</w:t>
            </w:r>
          </w:p>
          <w:p>
            <w:pPr>
              <w:adjustRightInd w:val="0"/>
              <w:snapToGrid w:val="0"/>
              <w:spacing w:line="500" w:lineRule="exact"/>
              <w:ind w:firstLine="480" w:firstLineChars="200"/>
              <w:rPr>
                <w:rFonts w:hAnsi="宋体"/>
                <w:sz w:val="24"/>
              </w:rPr>
            </w:pPr>
            <w:r>
              <w:rPr>
                <w:rFonts w:hint="eastAsia" w:hAnsi="宋体"/>
                <w:sz w:val="24"/>
              </w:rPr>
              <w:t>根据工程分析，</w:t>
            </w:r>
            <w:r>
              <w:rPr>
                <w:rFonts w:hAnsi="宋体"/>
                <w:sz w:val="24"/>
              </w:rPr>
              <w:t>生活污水产生量为</w:t>
            </w:r>
            <w:r>
              <w:rPr>
                <w:rFonts w:hint="eastAsia"/>
                <w:sz w:val="24"/>
              </w:rPr>
              <w:t>0.24</w:t>
            </w:r>
            <w:r>
              <w:rPr>
                <w:sz w:val="24"/>
              </w:rPr>
              <w:t>t/d</w:t>
            </w:r>
            <w:r>
              <w:rPr>
                <w:rFonts w:hAnsi="宋体"/>
                <w:sz w:val="24"/>
              </w:rPr>
              <w:t>（</w:t>
            </w:r>
            <w:r>
              <w:rPr>
                <w:rFonts w:hint="eastAsia"/>
                <w:sz w:val="24"/>
              </w:rPr>
              <w:t>72</w:t>
            </w:r>
            <w:r>
              <w:rPr>
                <w:sz w:val="24"/>
              </w:rPr>
              <w:t>t/a</w:t>
            </w:r>
            <w:r>
              <w:rPr>
                <w:rFonts w:hAnsi="宋体"/>
                <w:sz w:val="24"/>
              </w:rPr>
              <w:t>）</w:t>
            </w:r>
            <w:r>
              <w:rPr>
                <w:rFonts w:hint="eastAsia" w:hAnsi="宋体"/>
                <w:sz w:val="24"/>
              </w:rPr>
              <w:t>，生活污水依托厂区现有化粪池（10m</w:t>
            </w:r>
            <w:r>
              <w:rPr>
                <w:rFonts w:hint="eastAsia" w:hAnsi="宋体"/>
                <w:sz w:val="24"/>
                <w:vertAlign w:val="superscript"/>
              </w:rPr>
              <w:t>3</w:t>
            </w:r>
            <w:r>
              <w:rPr>
                <w:rFonts w:hint="eastAsia" w:hAnsi="宋体"/>
                <w:sz w:val="24"/>
              </w:rPr>
              <w:t>）处理后，定期清运，不外排，对周围环境影响较小</w:t>
            </w:r>
            <w:r>
              <w:rPr>
                <w:rFonts w:hAnsi="宋体"/>
                <w:sz w:val="24"/>
              </w:rPr>
              <w:t>。</w:t>
            </w:r>
          </w:p>
          <w:p>
            <w:pPr>
              <w:adjustRightInd w:val="0"/>
              <w:snapToGrid w:val="0"/>
              <w:spacing w:line="500" w:lineRule="exact"/>
              <w:rPr>
                <w:b/>
                <w:bCs/>
                <w:sz w:val="24"/>
              </w:rPr>
            </w:pPr>
            <w:r>
              <w:rPr>
                <w:rFonts w:hint="eastAsia"/>
                <w:b/>
                <w:bCs/>
                <w:sz w:val="24"/>
              </w:rPr>
              <w:t>3</w:t>
            </w:r>
            <w:r>
              <w:rPr>
                <w:b/>
                <w:bCs/>
                <w:sz w:val="24"/>
              </w:rPr>
              <w:t>.</w:t>
            </w:r>
            <w:r>
              <w:rPr>
                <w:rFonts w:hAnsi="宋体"/>
                <w:b/>
                <w:bCs/>
                <w:sz w:val="24"/>
              </w:rPr>
              <w:t>声环境影响分析</w:t>
            </w:r>
          </w:p>
          <w:p>
            <w:pPr>
              <w:adjustRightInd w:val="0"/>
              <w:snapToGrid w:val="0"/>
              <w:spacing w:line="500" w:lineRule="exact"/>
              <w:ind w:firstLine="480" w:firstLineChars="200"/>
              <w:rPr>
                <w:rFonts w:hAnsi="宋体"/>
                <w:bCs/>
                <w:sz w:val="24"/>
              </w:rPr>
            </w:pPr>
            <w:r>
              <w:rPr>
                <w:rFonts w:hint="eastAsia" w:hAnsi="宋体"/>
                <w:sz w:val="24"/>
              </w:rPr>
              <w:t>项目噪声主要来自设备运行时产生的噪声。其噪声值约为70～90dB（A）</w:t>
            </w:r>
            <w:r>
              <w:rPr>
                <w:rFonts w:hAnsi="宋体"/>
                <w:bCs/>
                <w:sz w:val="24"/>
              </w:rPr>
              <w:t>。经采取基础减振、厂房隔声等措施后，项目噪声源强及治理措施见表</w:t>
            </w:r>
            <w:r>
              <w:rPr>
                <w:rFonts w:hint="eastAsia"/>
                <w:bCs/>
                <w:sz w:val="24"/>
              </w:rPr>
              <w:t>44</w:t>
            </w:r>
            <w:r>
              <w:rPr>
                <w:rFonts w:hAnsi="宋体"/>
                <w:bCs/>
                <w:sz w:val="24"/>
              </w:rPr>
              <w:t>。</w:t>
            </w:r>
          </w:p>
          <w:p>
            <w:pPr>
              <w:autoSpaceDE w:val="0"/>
              <w:autoSpaceDN w:val="0"/>
              <w:adjustRightInd w:val="0"/>
              <w:snapToGrid w:val="0"/>
              <w:spacing w:line="400" w:lineRule="exact"/>
              <w:ind w:left="420"/>
              <w:rPr>
                <w:rFonts w:hAnsi="宋体"/>
                <w:b/>
                <w:sz w:val="24"/>
              </w:rPr>
            </w:pPr>
            <w:r>
              <w:rPr>
                <w:rFonts w:hAnsi="宋体"/>
                <w:b/>
                <w:sz w:val="24"/>
              </w:rPr>
              <w:t>表</w:t>
            </w:r>
            <w:r>
              <w:rPr>
                <w:rFonts w:hint="eastAsia" w:hAnsi="宋体"/>
                <w:b/>
                <w:sz w:val="24"/>
              </w:rPr>
              <w:t>44</w:t>
            </w:r>
            <w:r>
              <w:rPr>
                <w:rFonts w:hAnsi="宋体"/>
                <w:b/>
                <w:sz w:val="24"/>
              </w:rPr>
              <w:t xml:space="preserve">    </w:t>
            </w:r>
            <w:r>
              <w:rPr>
                <w:rFonts w:hint="eastAsia" w:hAnsi="宋体"/>
                <w:b/>
                <w:sz w:val="24"/>
              </w:rPr>
              <w:t xml:space="preserve">         </w:t>
            </w:r>
            <w:r>
              <w:rPr>
                <w:rFonts w:hAnsi="宋体"/>
                <w:b/>
                <w:sz w:val="24"/>
              </w:rPr>
              <w:t xml:space="preserve"> 项目</w:t>
            </w:r>
            <w:r>
              <w:rPr>
                <w:rFonts w:hint="eastAsia" w:hAnsi="宋体"/>
                <w:b/>
                <w:sz w:val="24"/>
              </w:rPr>
              <w:t>主要噪声源强及治理措施一览表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1430"/>
              <w:gridCol w:w="1798"/>
              <w:gridCol w:w="1798"/>
              <w:gridCol w:w="25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 w:type="pct"/>
                  <w:vAlign w:val="center"/>
                </w:tcPr>
                <w:p>
                  <w:pPr>
                    <w:pStyle w:val="5"/>
                    <w:spacing w:line="380" w:lineRule="exact"/>
                    <w:jc w:val="center"/>
                    <w:rPr>
                      <w:rFonts w:ascii="宋体" w:hAnsi="宋体"/>
                      <w:b/>
                      <w:sz w:val="21"/>
                      <w:szCs w:val="21"/>
                    </w:rPr>
                  </w:pPr>
                  <w:r>
                    <w:rPr>
                      <w:rFonts w:hint="eastAsia" w:ascii="宋体" w:hAnsi="宋体"/>
                      <w:b/>
                      <w:sz w:val="21"/>
                      <w:szCs w:val="21"/>
                    </w:rPr>
                    <w:t>噪声源名称</w:t>
                  </w:r>
                </w:p>
              </w:tc>
              <w:tc>
                <w:tcPr>
                  <w:tcW w:w="766" w:type="pct"/>
                  <w:vAlign w:val="center"/>
                </w:tcPr>
                <w:p>
                  <w:pPr>
                    <w:tabs>
                      <w:tab w:val="left" w:pos="2865"/>
                    </w:tabs>
                    <w:spacing w:line="360" w:lineRule="atLeast"/>
                    <w:jc w:val="center"/>
                    <w:rPr>
                      <w:b/>
                      <w:szCs w:val="21"/>
                    </w:rPr>
                  </w:pPr>
                  <w:r>
                    <w:rPr>
                      <w:b/>
                      <w:szCs w:val="21"/>
                    </w:rPr>
                    <w:t>源强/dB（A）</w:t>
                  </w:r>
                </w:p>
              </w:tc>
              <w:tc>
                <w:tcPr>
                  <w:tcW w:w="963" w:type="pct"/>
                  <w:vAlign w:val="center"/>
                </w:tcPr>
                <w:p>
                  <w:pPr>
                    <w:jc w:val="center"/>
                    <w:rPr>
                      <w:b/>
                      <w:szCs w:val="21"/>
                    </w:rPr>
                  </w:pPr>
                  <w:r>
                    <w:rPr>
                      <w:rFonts w:hint="eastAsia"/>
                      <w:b/>
                      <w:szCs w:val="21"/>
                    </w:rPr>
                    <w:t>设备台数</w:t>
                  </w:r>
                </w:p>
              </w:tc>
              <w:tc>
                <w:tcPr>
                  <w:tcW w:w="963" w:type="pct"/>
                  <w:vAlign w:val="center"/>
                </w:tcPr>
                <w:p>
                  <w:pPr>
                    <w:jc w:val="center"/>
                    <w:rPr>
                      <w:b/>
                      <w:szCs w:val="21"/>
                    </w:rPr>
                  </w:pPr>
                  <w:r>
                    <w:rPr>
                      <w:rFonts w:hint="eastAsia"/>
                      <w:b/>
                      <w:szCs w:val="21"/>
                    </w:rPr>
                    <w:t>治理措施</w:t>
                  </w:r>
                </w:p>
              </w:tc>
              <w:tc>
                <w:tcPr>
                  <w:tcW w:w="1363" w:type="pct"/>
                  <w:vAlign w:val="center"/>
                </w:tcPr>
                <w:p>
                  <w:pPr>
                    <w:jc w:val="center"/>
                    <w:rPr>
                      <w:b/>
                      <w:szCs w:val="21"/>
                    </w:rPr>
                  </w:pPr>
                  <w:r>
                    <w:rPr>
                      <w:rFonts w:hint="eastAsia"/>
                      <w:b/>
                      <w:szCs w:val="21"/>
                    </w:rPr>
                    <w:t>治理后源强</w:t>
                  </w:r>
                  <w:r>
                    <w:rPr>
                      <w:b/>
                      <w:szCs w:val="21"/>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 w:type="pct"/>
                  <w:vAlign w:val="center"/>
                </w:tcPr>
                <w:p>
                  <w:pPr>
                    <w:autoSpaceDE w:val="0"/>
                    <w:autoSpaceDN w:val="0"/>
                    <w:adjustRightInd w:val="0"/>
                    <w:jc w:val="center"/>
                    <w:rPr>
                      <w:sz w:val="24"/>
                    </w:rPr>
                  </w:pPr>
                  <w:r>
                    <w:rPr>
                      <w:rFonts w:hint="eastAsia"/>
                      <w:sz w:val="24"/>
                    </w:rPr>
                    <w:t>剪板机</w:t>
                  </w:r>
                </w:p>
              </w:tc>
              <w:tc>
                <w:tcPr>
                  <w:tcW w:w="766" w:type="pct"/>
                  <w:vAlign w:val="center"/>
                </w:tcPr>
                <w:p>
                  <w:pPr>
                    <w:widowControl/>
                    <w:jc w:val="center"/>
                    <w:textAlignment w:val="center"/>
                    <w:rPr>
                      <w:rFonts w:cs="宋体"/>
                      <w:kern w:val="0"/>
                      <w:szCs w:val="21"/>
                    </w:rPr>
                  </w:pPr>
                  <w:r>
                    <w:rPr>
                      <w:rFonts w:hint="eastAsia" w:cs="宋体"/>
                      <w:kern w:val="0"/>
                      <w:szCs w:val="21"/>
                    </w:rPr>
                    <w:t>80</w:t>
                  </w:r>
                </w:p>
              </w:tc>
              <w:tc>
                <w:tcPr>
                  <w:tcW w:w="963" w:type="pct"/>
                  <w:vAlign w:val="center"/>
                </w:tcPr>
                <w:p>
                  <w:pPr>
                    <w:jc w:val="center"/>
                    <w:rPr>
                      <w:szCs w:val="21"/>
                    </w:rPr>
                  </w:pPr>
                  <w:r>
                    <w:rPr>
                      <w:rFonts w:hint="eastAsia"/>
                      <w:szCs w:val="21"/>
                    </w:rPr>
                    <w:t>1</w:t>
                  </w:r>
                </w:p>
              </w:tc>
              <w:tc>
                <w:tcPr>
                  <w:tcW w:w="963" w:type="pct"/>
                  <w:vMerge w:val="restart"/>
                  <w:vAlign w:val="center"/>
                </w:tcPr>
                <w:p>
                  <w:pPr>
                    <w:jc w:val="center"/>
                    <w:rPr>
                      <w:szCs w:val="21"/>
                    </w:rPr>
                  </w:pPr>
                  <w:r>
                    <w:rPr>
                      <w:rFonts w:hint="eastAsia"/>
                      <w:szCs w:val="21"/>
                    </w:rPr>
                    <w:t>厂房隔声、基础减振等</w:t>
                  </w:r>
                </w:p>
              </w:tc>
              <w:tc>
                <w:tcPr>
                  <w:tcW w:w="1363" w:type="pct"/>
                  <w:vAlign w:val="center"/>
                </w:tcPr>
                <w:p>
                  <w:pPr>
                    <w:jc w:val="center"/>
                    <w:rPr>
                      <w:szCs w:val="21"/>
                    </w:rPr>
                  </w:pPr>
                  <w:r>
                    <w:rPr>
                      <w:rFonts w:hint="eastAsia"/>
                      <w:szCs w:val="21"/>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 w:type="pct"/>
                  <w:vAlign w:val="center"/>
                </w:tcPr>
                <w:p>
                  <w:pPr>
                    <w:adjustRightInd w:val="0"/>
                    <w:jc w:val="center"/>
                    <w:rPr>
                      <w:sz w:val="24"/>
                    </w:rPr>
                  </w:pPr>
                  <w:r>
                    <w:rPr>
                      <w:rFonts w:hint="eastAsia"/>
                      <w:sz w:val="24"/>
                    </w:rPr>
                    <w:t>折弯机</w:t>
                  </w:r>
                </w:p>
              </w:tc>
              <w:tc>
                <w:tcPr>
                  <w:tcW w:w="766" w:type="pct"/>
                  <w:vAlign w:val="center"/>
                </w:tcPr>
                <w:p>
                  <w:pPr>
                    <w:widowControl/>
                    <w:jc w:val="center"/>
                    <w:textAlignment w:val="center"/>
                    <w:rPr>
                      <w:rFonts w:cs="宋体"/>
                      <w:kern w:val="0"/>
                      <w:szCs w:val="21"/>
                    </w:rPr>
                  </w:pPr>
                  <w:r>
                    <w:rPr>
                      <w:rFonts w:hint="eastAsia" w:cs="宋体"/>
                      <w:kern w:val="0"/>
                      <w:szCs w:val="21"/>
                    </w:rPr>
                    <w:t>70</w:t>
                  </w:r>
                </w:p>
              </w:tc>
              <w:tc>
                <w:tcPr>
                  <w:tcW w:w="963" w:type="pct"/>
                  <w:vAlign w:val="center"/>
                </w:tcPr>
                <w:p>
                  <w:pPr>
                    <w:spacing w:line="300" w:lineRule="exact"/>
                    <w:jc w:val="center"/>
                  </w:pPr>
                  <w:r>
                    <w:rPr>
                      <w:rFonts w:hint="eastAsia"/>
                    </w:rPr>
                    <w:t>1</w:t>
                  </w:r>
                </w:p>
              </w:tc>
              <w:tc>
                <w:tcPr>
                  <w:tcW w:w="963" w:type="pct"/>
                  <w:vMerge w:val="continue"/>
                  <w:vAlign w:val="center"/>
                </w:tcPr>
                <w:p>
                  <w:pPr>
                    <w:spacing w:line="300" w:lineRule="exact"/>
                    <w:jc w:val="center"/>
                  </w:pPr>
                </w:p>
              </w:tc>
              <w:tc>
                <w:tcPr>
                  <w:tcW w:w="1363" w:type="pct"/>
                  <w:vAlign w:val="center"/>
                </w:tcPr>
                <w:p>
                  <w:pPr>
                    <w:spacing w:line="300" w:lineRule="exact"/>
                    <w:jc w:val="center"/>
                    <w:rPr>
                      <w:szCs w:val="21"/>
                    </w:rPr>
                  </w:pPr>
                  <w:r>
                    <w:rPr>
                      <w:rFonts w:hint="eastAsia"/>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 w:type="pct"/>
                  <w:vAlign w:val="center"/>
                </w:tcPr>
                <w:p>
                  <w:pPr>
                    <w:adjustRightInd w:val="0"/>
                    <w:jc w:val="center"/>
                    <w:rPr>
                      <w:sz w:val="24"/>
                    </w:rPr>
                  </w:pPr>
                  <w:r>
                    <w:rPr>
                      <w:rFonts w:hint="eastAsia"/>
                      <w:sz w:val="24"/>
                    </w:rPr>
                    <w:t>数控钻床</w:t>
                  </w:r>
                </w:p>
              </w:tc>
              <w:tc>
                <w:tcPr>
                  <w:tcW w:w="766" w:type="pct"/>
                  <w:vAlign w:val="center"/>
                </w:tcPr>
                <w:p>
                  <w:pPr>
                    <w:widowControl/>
                    <w:jc w:val="center"/>
                    <w:textAlignment w:val="center"/>
                    <w:rPr>
                      <w:rFonts w:cs="宋体"/>
                      <w:kern w:val="0"/>
                      <w:szCs w:val="21"/>
                    </w:rPr>
                  </w:pPr>
                  <w:r>
                    <w:rPr>
                      <w:rFonts w:hint="eastAsia" w:cs="宋体"/>
                      <w:kern w:val="0"/>
                      <w:szCs w:val="21"/>
                    </w:rPr>
                    <w:t>75</w:t>
                  </w:r>
                </w:p>
              </w:tc>
              <w:tc>
                <w:tcPr>
                  <w:tcW w:w="963" w:type="pct"/>
                  <w:vAlign w:val="center"/>
                </w:tcPr>
                <w:p>
                  <w:pPr>
                    <w:spacing w:line="300" w:lineRule="exact"/>
                    <w:jc w:val="center"/>
                  </w:pPr>
                  <w:r>
                    <w:rPr>
                      <w:rFonts w:hint="eastAsia"/>
                    </w:rPr>
                    <w:t>1</w:t>
                  </w:r>
                </w:p>
              </w:tc>
              <w:tc>
                <w:tcPr>
                  <w:tcW w:w="963" w:type="pct"/>
                  <w:vMerge w:val="continue"/>
                  <w:vAlign w:val="center"/>
                </w:tcPr>
                <w:p>
                  <w:pPr>
                    <w:spacing w:line="300" w:lineRule="exact"/>
                    <w:jc w:val="center"/>
                  </w:pPr>
                </w:p>
              </w:tc>
              <w:tc>
                <w:tcPr>
                  <w:tcW w:w="1363" w:type="pct"/>
                  <w:vAlign w:val="center"/>
                </w:tcPr>
                <w:p>
                  <w:pPr>
                    <w:spacing w:line="300" w:lineRule="exact"/>
                    <w:jc w:val="center"/>
                    <w:rPr>
                      <w:szCs w:val="21"/>
                    </w:rPr>
                  </w:pPr>
                  <w:r>
                    <w:rPr>
                      <w:rFonts w:hint="eastAsia"/>
                      <w:szCs w:val="21"/>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 w:type="pct"/>
                  <w:vAlign w:val="center"/>
                </w:tcPr>
                <w:p>
                  <w:pPr>
                    <w:adjustRightInd w:val="0"/>
                    <w:jc w:val="center"/>
                    <w:rPr>
                      <w:sz w:val="24"/>
                    </w:rPr>
                  </w:pPr>
                  <w:r>
                    <w:rPr>
                      <w:rFonts w:hint="eastAsia"/>
                      <w:sz w:val="24"/>
                    </w:rPr>
                    <w:t>钻床</w:t>
                  </w:r>
                </w:p>
              </w:tc>
              <w:tc>
                <w:tcPr>
                  <w:tcW w:w="766" w:type="pct"/>
                  <w:vAlign w:val="center"/>
                </w:tcPr>
                <w:p>
                  <w:pPr>
                    <w:widowControl/>
                    <w:jc w:val="center"/>
                    <w:textAlignment w:val="center"/>
                    <w:rPr>
                      <w:rFonts w:cs="宋体"/>
                      <w:kern w:val="0"/>
                      <w:szCs w:val="21"/>
                    </w:rPr>
                  </w:pPr>
                  <w:r>
                    <w:rPr>
                      <w:rFonts w:hint="eastAsia" w:cs="宋体"/>
                      <w:kern w:val="0"/>
                      <w:szCs w:val="21"/>
                    </w:rPr>
                    <w:t>75</w:t>
                  </w:r>
                </w:p>
              </w:tc>
              <w:tc>
                <w:tcPr>
                  <w:tcW w:w="963" w:type="pct"/>
                  <w:vAlign w:val="center"/>
                </w:tcPr>
                <w:p>
                  <w:pPr>
                    <w:spacing w:line="300" w:lineRule="exact"/>
                    <w:jc w:val="center"/>
                  </w:pPr>
                  <w:r>
                    <w:rPr>
                      <w:rFonts w:hint="eastAsia"/>
                    </w:rPr>
                    <w:t>3</w:t>
                  </w:r>
                </w:p>
              </w:tc>
              <w:tc>
                <w:tcPr>
                  <w:tcW w:w="963" w:type="pct"/>
                  <w:vMerge w:val="continue"/>
                  <w:vAlign w:val="center"/>
                </w:tcPr>
                <w:p>
                  <w:pPr>
                    <w:spacing w:line="300" w:lineRule="exact"/>
                    <w:jc w:val="center"/>
                  </w:pPr>
                </w:p>
              </w:tc>
              <w:tc>
                <w:tcPr>
                  <w:tcW w:w="1363" w:type="pct"/>
                  <w:vAlign w:val="center"/>
                </w:tcPr>
                <w:p>
                  <w:pPr>
                    <w:spacing w:line="300" w:lineRule="exact"/>
                    <w:jc w:val="center"/>
                    <w:rPr>
                      <w:szCs w:val="21"/>
                    </w:rPr>
                  </w:pPr>
                  <w:r>
                    <w:rPr>
                      <w:rFonts w:hint="eastAsia"/>
                      <w:szCs w:val="21"/>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 w:type="pct"/>
                  <w:vAlign w:val="center"/>
                </w:tcPr>
                <w:p>
                  <w:pPr>
                    <w:adjustRightInd w:val="0"/>
                    <w:jc w:val="center"/>
                    <w:rPr>
                      <w:sz w:val="24"/>
                    </w:rPr>
                  </w:pPr>
                  <w:r>
                    <w:rPr>
                      <w:rFonts w:hint="eastAsia"/>
                      <w:sz w:val="24"/>
                    </w:rPr>
                    <w:t>锯床</w:t>
                  </w:r>
                </w:p>
              </w:tc>
              <w:tc>
                <w:tcPr>
                  <w:tcW w:w="766" w:type="pct"/>
                  <w:vAlign w:val="center"/>
                </w:tcPr>
                <w:p>
                  <w:pPr>
                    <w:widowControl/>
                    <w:jc w:val="center"/>
                    <w:textAlignment w:val="center"/>
                    <w:rPr>
                      <w:rFonts w:cs="宋体"/>
                      <w:kern w:val="0"/>
                      <w:szCs w:val="21"/>
                    </w:rPr>
                  </w:pPr>
                  <w:r>
                    <w:rPr>
                      <w:rFonts w:hint="eastAsia" w:cs="宋体"/>
                      <w:kern w:val="0"/>
                      <w:szCs w:val="21"/>
                    </w:rPr>
                    <w:t>85</w:t>
                  </w:r>
                </w:p>
              </w:tc>
              <w:tc>
                <w:tcPr>
                  <w:tcW w:w="963" w:type="pct"/>
                  <w:vAlign w:val="center"/>
                </w:tcPr>
                <w:p>
                  <w:pPr>
                    <w:spacing w:line="300" w:lineRule="exact"/>
                    <w:jc w:val="center"/>
                  </w:pPr>
                  <w:r>
                    <w:rPr>
                      <w:rFonts w:hint="eastAsia"/>
                    </w:rPr>
                    <w:t>3</w:t>
                  </w:r>
                </w:p>
              </w:tc>
              <w:tc>
                <w:tcPr>
                  <w:tcW w:w="963" w:type="pct"/>
                  <w:vMerge w:val="continue"/>
                  <w:vAlign w:val="center"/>
                </w:tcPr>
                <w:p>
                  <w:pPr>
                    <w:spacing w:line="300" w:lineRule="exact"/>
                    <w:jc w:val="center"/>
                  </w:pPr>
                </w:p>
              </w:tc>
              <w:tc>
                <w:tcPr>
                  <w:tcW w:w="1363" w:type="pct"/>
                  <w:vAlign w:val="center"/>
                </w:tcPr>
                <w:p>
                  <w:pPr>
                    <w:spacing w:line="300" w:lineRule="exact"/>
                    <w:jc w:val="center"/>
                    <w:rPr>
                      <w:szCs w:val="21"/>
                    </w:rPr>
                  </w:pPr>
                  <w:r>
                    <w:rPr>
                      <w:rFonts w:hint="eastAsia"/>
                      <w:szCs w:val="21"/>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 w:type="pct"/>
                  <w:vAlign w:val="center"/>
                </w:tcPr>
                <w:p>
                  <w:pPr>
                    <w:adjustRightInd w:val="0"/>
                    <w:jc w:val="center"/>
                    <w:rPr>
                      <w:sz w:val="24"/>
                    </w:rPr>
                  </w:pPr>
                  <w:r>
                    <w:rPr>
                      <w:rFonts w:hint="eastAsia"/>
                      <w:sz w:val="24"/>
                    </w:rPr>
                    <w:t>卷板机</w:t>
                  </w:r>
                </w:p>
              </w:tc>
              <w:tc>
                <w:tcPr>
                  <w:tcW w:w="766" w:type="pct"/>
                  <w:vAlign w:val="center"/>
                </w:tcPr>
                <w:p>
                  <w:pPr>
                    <w:widowControl/>
                    <w:jc w:val="center"/>
                    <w:textAlignment w:val="center"/>
                    <w:rPr>
                      <w:rFonts w:cs="宋体"/>
                      <w:kern w:val="0"/>
                      <w:szCs w:val="21"/>
                    </w:rPr>
                  </w:pPr>
                  <w:r>
                    <w:rPr>
                      <w:rFonts w:hint="eastAsia" w:cs="宋体"/>
                      <w:kern w:val="0"/>
                      <w:szCs w:val="21"/>
                    </w:rPr>
                    <w:t>70</w:t>
                  </w:r>
                </w:p>
              </w:tc>
              <w:tc>
                <w:tcPr>
                  <w:tcW w:w="963" w:type="pct"/>
                  <w:vAlign w:val="center"/>
                </w:tcPr>
                <w:p>
                  <w:pPr>
                    <w:spacing w:line="300" w:lineRule="exact"/>
                    <w:jc w:val="center"/>
                  </w:pPr>
                  <w:r>
                    <w:rPr>
                      <w:rFonts w:hint="eastAsia"/>
                    </w:rPr>
                    <w:t>1</w:t>
                  </w:r>
                </w:p>
              </w:tc>
              <w:tc>
                <w:tcPr>
                  <w:tcW w:w="963" w:type="pct"/>
                  <w:vMerge w:val="continue"/>
                  <w:vAlign w:val="center"/>
                </w:tcPr>
                <w:p>
                  <w:pPr>
                    <w:spacing w:line="300" w:lineRule="exact"/>
                    <w:jc w:val="center"/>
                  </w:pPr>
                </w:p>
              </w:tc>
              <w:tc>
                <w:tcPr>
                  <w:tcW w:w="1363" w:type="pct"/>
                  <w:vAlign w:val="center"/>
                </w:tcPr>
                <w:p>
                  <w:pPr>
                    <w:spacing w:line="300" w:lineRule="exact"/>
                    <w:jc w:val="center"/>
                    <w:rPr>
                      <w:szCs w:val="21"/>
                    </w:rPr>
                  </w:pPr>
                  <w:r>
                    <w:rPr>
                      <w:rFonts w:hint="eastAsia"/>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 w:type="pct"/>
                  <w:vAlign w:val="center"/>
                </w:tcPr>
                <w:p>
                  <w:pPr>
                    <w:adjustRightInd w:val="0"/>
                    <w:jc w:val="center"/>
                    <w:rPr>
                      <w:sz w:val="24"/>
                    </w:rPr>
                  </w:pPr>
                  <w:r>
                    <w:rPr>
                      <w:rFonts w:hint="eastAsia"/>
                      <w:sz w:val="24"/>
                    </w:rPr>
                    <w:t>普通车床</w:t>
                  </w:r>
                </w:p>
              </w:tc>
              <w:tc>
                <w:tcPr>
                  <w:tcW w:w="766" w:type="pct"/>
                  <w:vAlign w:val="center"/>
                </w:tcPr>
                <w:p>
                  <w:pPr>
                    <w:widowControl/>
                    <w:jc w:val="center"/>
                    <w:textAlignment w:val="center"/>
                    <w:rPr>
                      <w:rFonts w:cs="宋体"/>
                      <w:kern w:val="0"/>
                      <w:szCs w:val="21"/>
                    </w:rPr>
                  </w:pPr>
                  <w:r>
                    <w:rPr>
                      <w:rFonts w:hint="eastAsia" w:cs="宋体"/>
                      <w:kern w:val="0"/>
                      <w:szCs w:val="21"/>
                    </w:rPr>
                    <w:t>75</w:t>
                  </w:r>
                </w:p>
              </w:tc>
              <w:tc>
                <w:tcPr>
                  <w:tcW w:w="963" w:type="pct"/>
                  <w:vAlign w:val="center"/>
                </w:tcPr>
                <w:p>
                  <w:pPr>
                    <w:spacing w:line="300" w:lineRule="exact"/>
                    <w:jc w:val="center"/>
                  </w:pPr>
                  <w:r>
                    <w:rPr>
                      <w:rFonts w:hint="eastAsia"/>
                    </w:rPr>
                    <w:t>4</w:t>
                  </w:r>
                </w:p>
              </w:tc>
              <w:tc>
                <w:tcPr>
                  <w:tcW w:w="963" w:type="pct"/>
                  <w:vMerge w:val="continue"/>
                  <w:vAlign w:val="center"/>
                </w:tcPr>
                <w:p>
                  <w:pPr>
                    <w:spacing w:line="300" w:lineRule="exact"/>
                    <w:jc w:val="center"/>
                  </w:pPr>
                </w:p>
              </w:tc>
              <w:tc>
                <w:tcPr>
                  <w:tcW w:w="1363" w:type="pct"/>
                  <w:vAlign w:val="center"/>
                </w:tcPr>
                <w:p>
                  <w:pPr>
                    <w:spacing w:line="300" w:lineRule="exact"/>
                    <w:jc w:val="center"/>
                    <w:rPr>
                      <w:szCs w:val="21"/>
                    </w:rPr>
                  </w:pPr>
                  <w:r>
                    <w:rPr>
                      <w:rFonts w:hint="eastAsia"/>
                      <w:szCs w:val="21"/>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 w:type="pct"/>
                  <w:vAlign w:val="center"/>
                </w:tcPr>
                <w:p>
                  <w:pPr>
                    <w:adjustRightInd w:val="0"/>
                    <w:jc w:val="center"/>
                    <w:rPr>
                      <w:sz w:val="24"/>
                    </w:rPr>
                  </w:pPr>
                  <w:r>
                    <w:rPr>
                      <w:rFonts w:hint="eastAsia"/>
                      <w:sz w:val="24"/>
                    </w:rPr>
                    <w:t>钢筋剪断机</w:t>
                  </w:r>
                </w:p>
              </w:tc>
              <w:tc>
                <w:tcPr>
                  <w:tcW w:w="766" w:type="pct"/>
                  <w:vAlign w:val="center"/>
                </w:tcPr>
                <w:p>
                  <w:pPr>
                    <w:widowControl/>
                    <w:jc w:val="center"/>
                    <w:textAlignment w:val="center"/>
                    <w:rPr>
                      <w:rFonts w:cs="宋体"/>
                      <w:kern w:val="0"/>
                      <w:szCs w:val="21"/>
                    </w:rPr>
                  </w:pPr>
                  <w:r>
                    <w:rPr>
                      <w:rFonts w:hint="eastAsia" w:cs="宋体"/>
                      <w:kern w:val="0"/>
                      <w:szCs w:val="21"/>
                    </w:rPr>
                    <w:t>80</w:t>
                  </w:r>
                </w:p>
              </w:tc>
              <w:tc>
                <w:tcPr>
                  <w:tcW w:w="963" w:type="pct"/>
                  <w:vAlign w:val="center"/>
                </w:tcPr>
                <w:p>
                  <w:pPr>
                    <w:spacing w:line="300" w:lineRule="exact"/>
                    <w:jc w:val="center"/>
                  </w:pPr>
                  <w:r>
                    <w:rPr>
                      <w:rFonts w:hint="eastAsia"/>
                    </w:rPr>
                    <w:t>2</w:t>
                  </w:r>
                </w:p>
              </w:tc>
              <w:tc>
                <w:tcPr>
                  <w:tcW w:w="963" w:type="pct"/>
                  <w:vMerge w:val="continue"/>
                  <w:vAlign w:val="center"/>
                </w:tcPr>
                <w:p>
                  <w:pPr>
                    <w:spacing w:line="300" w:lineRule="exact"/>
                    <w:jc w:val="center"/>
                  </w:pPr>
                </w:p>
              </w:tc>
              <w:tc>
                <w:tcPr>
                  <w:tcW w:w="1363" w:type="pct"/>
                  <w:vAlign w:val="center"/>
                </w:tcPr>
                <w:p>
                  <w:pPr>
                    <w:spacing w:line="300" w:lineRule="exact"/>
                    <w:jc w:val="center"/>
                    <w:rPr>
                      <w:szCs w:val="21"/>
                    </w:rPr>
                  </w:pPr>
                  <w:r>
                    <w:rPr>
                      <w:rFonts w:hint="eastAsia"/>
                      <w:szCs w:val="21"/>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 w:type="pct"/>
                  <w:vAlign w:val="center"/>
                </w:tcPr>
                <w:p>
                  <w:pPr>
                    <w:adjustRightInd w:val="0"/>
                    <w:jc w:val="center"/>
                    <w:rPr>
                      <w:sz w:val="24"/>
                    </w:rPr>
                  </w:pPr>
                  <w:r>
                    <w:rPr>
                      <w:rFonts w:hint="eastAsia"/>
                      <w:sz w:val="24"/>
                    </w:rPr>
                    <w:t>等离子切割机</w:t>
                  </w:r>
                </w:p>
              </w:tc>
              <w:tc>
                <w:tcPr>
                  <w:tcW w:w="766" w:type="pct"/>
                  <w:vAlign w:val="center"/>
                </w:tcPr>
                <w:p>
                  <w:pPr>
                    <w:widowControl/>
                    <w:jc w:val="center"/>
                    <w:textAlignment w:val="center"/>
                    <w:rPr>
                      <w:rFonts w:cs="宋体"/>
                      <w:kern w:val="0"/>
                      <w:szCs w:val="21"/>
                    </w:rPr>
                  </w:pPr>
                  <w:r>
                    <w:rPr>
                      <w:rFonts w:hint="eastAsia" w:cs="宋体"/>
                      <w:kern w:val="0"/>
                      <w:szCs w:val="21"/>
                    </w:rPr>
                    <w:t>85</w:t>
                  </w:r>
                </w:p>
              </w:tc>
              <w:tc>
                <w:tcPr>
                  <w:tcW w:w="963" w:type="pct"/>
                  <w:vAlign w:val="center"/>
                </w:tcPr>
                <w:p>
                  <w:pPr>
                    <w:spacing w:line="300" w:lineRule="exact"/>
                    <w:jc w:val="center"/>
                  </w:pPr>
                  <w:r>
                    <w:rPr>
                      <w:rFonts w:hint="eastAsia"/>
                    </w:rPr>
                    <w:t>1</w:t>
                  </w:r>
                </w:p>
              </w:tc>
              <w:tc>
                <w:tcPr>
                  <w:tcW w:w="963" w:type="pct"/>
                  <w:vMerge w:val="continue"/>
                  <w:vAlign w:val="center"/>
                </w:tcPr>
                <w:p>
                  <w:pPr>
                    <w:spacing w:line="300" w:lineRule="exact"/>
                    <w:jc w:val="center"/>
                  </w:pPr>
                </w:p>
              </w:tc>
              <w:tc>
                <w:tcPr>
                  <w:tcW w:w="1363" w:type="pct"/>
                  <w:vAlign w:val="center"/>
                </w:tcPr>
                <w:p>
                  <w:pPr>
                    <w:spacing w:line="300" w:lineRule="exact"/>
                    <w:jc w:val="center"/>
                    <w:rPr>
                      <w:szCs w:val="21"/>
                    </w:rPr>
                  </w:pPr>
                  <w:r>
                    <w:rPr>
                      <w:rFonts w:hint="eastAsia"/>
                      <w:szCs w:val="21"/>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 w:type="pct"/>
                  <w:vAlign w:val="center"/>
                </w:tcPr>
                <w:p>
                  <w:pPr>
                    <w:adjustRightInd w:val="0"/>
                    <w:jc w:val="center"/>
                    <w:rPr>
                      <w:sz w:val="24"/>
                    </w:rPr>
                  </w:pPr>
                  <w:r>
                    <w:rPr>
                      <w:rFonts w:hint="eastAsia"/>
                      <w:sz w:val="24"/>
                    </w:rPr>
                    <w:t>手持式切割机</w:t>
                  </w:r>
                </w:p>
              </w:tc>
              <w:tc>
                <w:tcPr>
                  <w:tcW w:w="766" w:type="pct"/>
                  <w:vAlign w:val="center"/>
                </w:tcPr>
                <w:p>
                  <w:pPr>
                    <w:widowControl/>
                    <w:jc w:val="center"/>
                    <w:textAlignment w:val="center"/>
                    <w:rPr>
                      <w:rFonts w:cs="宋体"/>
                      <w:kern w:val="0"/>
                      <w:szCs w:val="21"/>
                    </w:rPr>
                  </w:pPr>
                  <w:r>
                    <w:rPr>
                      <w:rFonts w:hint="eastAsia" w:cs="宋体"/>
                      <w:kern w:val="0"/>
                      <w:szCs w:val="21"/>
                    </w:rPr>
                    <w:t>85</w:t>
                  </w:r>
                </w:p>
              </w:tc>
              <w:tc>
                <w:tcPr>
                  <w:tcW w:w="963" w:type="pct"/>
                  <w:vAlign w:val="center"/>
                </w:tcPr>
                <w:p>
                  <w:pPr>
                    <w:spacing w:line="300" w:lineRule="exact"/>
                    <w:jc w:val="center"/>
                  </w:pPr>
                  <w:r>
                    <w:rPr>
                      <w:rFonts w:hint="eastAsia"/>
                    </w:rPr>
                    <w:t>1</w:t>
                  </w:r>
                </w:p>
              </w:tc>
              <w:tc>
                <w:tcPr>
                  <w:tcW w:w="963" w:type="pct"/>
                  <w:vMerge w:val="continue"/>
                  <w:vAlign w:val="center"/>
                </w:tcPr>
                <w:p>
                  <w:pPr>
                    <w:spacing w:line="300" w:lineRule="exact"/>
                    <w:jc w:val="center"/>
                  </w:pPr>
                </w:p>
              </w:tc>
              <w:tc>
                <w:tcPr>
                  <w:tcW w:w="1363" w:type="pct"/>
                  <w:vAlign w:val="center"/>
                </w:tcPr>
                <w:p>
                  <w:pPr>
                    <w:spacing w:line="300" w:lineRule="exact"/>
                    <w:jc w:val="center"/>
                    <w:rPr>
                      <w:szCs w:val="21"/>
                    </w:rPr>
                  </w:pPr>
                  <w:r>
                    <w:rPr>
                      <w:rFonts w:hint="eastAsia"/>
                      <w:szCs w:val="21"/>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 w:type="pct"/>
                  <w:vAlign w:val="center"/>
                </w:tcPr>
                <w:p>
                  <w:pPr>
                    <w:adjustRightInd w:val="0"/>
                    <w:jc w:val="center"/>
                    <w:rPr>
                      <w:sz w:val="24"/>
                    </w:rPr>
                  </w:pPr>
                  <w:r>
                    <w:rPr>
                      <w:rFonts w:hint="eastAsia"/>
                      <w:sz w:val="24"/>
                    </w:rPr>
                    <w:t>电焊机</w:t>
                  </w:r>
                </w:p>
              </w:tc>
              <w:tc>
                <w:tcPr>
                  <w:tcW w:w="766" w:type="pct"/>
                  <w:vAlign w:val="center"/>
                </w:tcPr>
                <w:p>
                  <w:pPr>
                    <w:widowControl/>
                    <w:jc w:val="center"/>
                    <w:textAlignment w:val="center"/>
                    <w:rPr>
                      <w:rFonts w:cs="宋体"/>
                      <w:kern w:val="0"/>
                      <w:szCs w:val="21"/>
                    </w:rPr>
                  </w:pPr>
                  <w:r>
                    <w:rPr>
                      <w:rFonts w:hint="eastAsia" w:cs="宋体"/>
                      <w:kern w:val="0"/>
                      <w:szCs w:val="21"/>
                    </w:rPr>
                    <w:t>80</w:t>
                  </w:r>
                </w:p>
              </w:tc>
              <w:tc>
                <w:tcPr>
                  <w:tcW w:w="963" w:type="pct"/>
                  <w:vAlign w:val="center"/>
                </w:tcPr>
                <w:p>
                  <w:pPr>
                    <w:spacing w:line="300" w:lineRule="exact"/>
                    <w:jc w:val="center"/>
                  </w:pPr>
                  <w:r>
                    <w:rPr>
                      <w:rFonts w:hint="eastAsia"/>
                    </w:rPr>
                    <w:t>8</w:t>
                  </w:r>
                </w:p>
              </w:tc>
              <w:tc>
                <w:tcPr>
                  <w:tcW w:w="963" w:type="pct"/>
                  <w:vMerge w:val="continue"/>
                  <w:vAlign w:val="center"/>
                </w:tcPr>
                <w:p>
                  <w:pPr>
                    <w:spacing w:line="300" w:lineRule="exact"/>
                    <w:jc w:val="center"/>
                  </w:pPr>
                </w:p>
              </w:tc>
              <w:tc>
                <w:tcPr>
                  <w:tcW w:w="1363" w:type="pct"/>
                  <w:vAlign w:val="center"/>
                </w:tcPr>
                <w:p>
                  <w:pPr>
                    <w:spacing w:line="300" w:lineRule="exact"/>
                    <w:jc w:val="center"/>
                    <w:rPr>
                      <w:szCs w:val="21"/>
                    </w:rPr>
                  </w:pPr>
                  <w:r>
                    <w:rPr>
                      <w:rFonts w:hint="eastAsia"/>
                      <w:szCs w:val="21"/>
                    </w:rPr>
                    <w:t>60</w:t>
                  </w:r>
                </w:p>
              </w:tc>
            </w:tr>
          </w:tbl>
          <w:p>
            <w:pPr>
              <w:pStyle w:val="2"/>
              <w:adjustRightInd w:val="0"/>
              <w:snapToGrid w:val="0"/>
              <w:spacing w:line="500" w:lineRule="exact"/>
              <w:ind w:firstLine="480" w:firstLineChars="200"/>
              <w:jc w:val="left"/>
              <w:rPr>
                <w:b w:val="0"/>
              </w:rPr>
            </w:pPr>
            <w:r>
              <w:rPr>
                <w:rFonts w:hAnsi="宋体"/>
                <w:b w:val="0"/>
              </w:rPr>
              <w:t>为说明项目营运过程中噪声对周围环境的影响程度，根据《环境影响评价技术导则</w:t>
            </w:r>
            <w:r>
              <w:rPr>
                <w:b w:val="0"/>
              </w:rPr>
              <w:t xml:space="preserve"> </w:t>
            </w:r>
            <w:r>
              <w:rPr>
                <w:rFonts w:hAnsi="宋体"/>
                <w:b w:val="0"/>
              </w:rPr>
              <w:t>声环境》（</w:t>
            </w:r>
            <w:r>
              <w:rPr>
                <w:b w:val="0"/>
              </w:rPr>
              <w:t>HJ2.4-2009</w:t>
            </w:r>
            <w:r>
              <w:rPr>
                <w:rFonts w:hAnsi="宋体"/>
                <w:b w:val="0"/>
              </w:rPr>
              <w:t>）的技术要求，本次评价采取导则上的推荐模式进行预测。</w:t>
            </w:r>
          </w:p>
          <w:p>
            <w:pPr>
              <w:pStyle w:val="2"/>
              <w:adjustRightInd w:val="0"/>
              <w:snapToGrid w:val="0"/>
              <w:spacing w:line="500" w:lineRule="exact"/>
              <w:ind w:firstLine="480" w:firstLineChars="200"/>
              <w:jc w:val="left"/>
              <w:rPr>
                <w:b w:val="0"/>
              </w:rPr>
            </w:pPr>
            <w:r>
              <w:rPr>
                <w:rFonts w:hAnsi="宋体"/>
                <w:b w:val="0"/>
              </w:rPr>
              <w:t>（</w:t>
            </w:r>
            <w:r>
              <w:rPr>
                <w:b w:val="0"/>
              </w:rPr>
              <w:t>1</w:t>
            </w:r>
            <w:r>
              <w:rPr>
                <w:rFonts w:hAnsi="宋体"/>
                <w:b w:val="0"/>
              </w:rPr>
              <w:t>）声级计算</w:t>
            </w:r>
          </w:p>
          <w:p>
            <w:pPr>
              <w:pStyle w:val="2"/>
              <w:adjustRightInd w:val="0"/>
              <w:snapToGrid w:val="0"/>
              <w:spacing w:line="500" w:lineRule="exact"/>
              <w:ind w:firstLine="480" w:firstLineChars="200"/>
              <w:jc w:val="left"/>
              <w:rPr>
                <w:b w:val="0"/>
              </w:rPr>
            </w:pPr>
            <w:r>
              <w:rPr>
                <w:rFonts w:hAnsi="宋体"/>
                <w:b w:val="0"/>
              </w:rPr>
              <w:t>建设项目声源在预测点产生的等效声级贡献值</w:t>
            </w:r>
            <w:r>
              <w:rPr>
                <w:b w:val="0"/>
              </w:rPr>
              <w:t>(Leq g)</w:t>
            </w:r>
            <w:r>
              <w:rPr>
                <w:rFonts w:hAnsi="宋体"/>
                <w:b w:val="0"/>
              </w:rPr>
              <w:t>计算公式：</w:t>
            </w:r>
          </w:p>
          <w:p>
            <w:pPr>
              <w:pStyle w:val="2"/>
              <w:adjustRightInd w:val="0"/>
              <w:snapToGrid w:val="0"/>
              <w:spacing w:line="500" w:lineRule="exact"/>
              <w:ind w:firstLine="562" w:firstLineChars="200"/>
              <w:rPr>
                <w:b w:val="0"/>
              </w:rPr>
            </w:pPr>
            <w:r>
              <w:rPr>
                <w:i/>
                <w:position w:val="-30"/>
                <w:sz w:val="28"/>
                <w:szCs w:val="20"/>
              </w:rPr>
              <w:drawing>
                <wp:inline distT="0" distB="0" distL="0" distR="0">
                  <wp:extent cx="1666240" cy="450850"/>
                  <wp:effectExtent l="19050" t="0" r="0" b="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noChangeArrowheads="1"/>
                          </pic:cNvPicPr>
                        </pic:nvPicPr>
                        <pic:blipFill>
                          <a:blip r:embed="rId11"/>
                          <a:srcRect/>
                          <a:stretch>
                            <a:fillRect/>
                          </a:stretch>
                        </pic:blipFill>
                        <pic:spPr>
                          <a:xfrm>
                            <a:off x="0" y="0"/>
                            <a:ext cx="1666240" cy="450850"/>
                          </a:xfrm>
                          <a:prstGeom prst="rect">
                            <a:avLst/>
                          </a:prstGeom>
                          <a:noFill/>
                          <a:ln w="9525">
                            <a:noFill/>
                            <a:miter lim="800000"/>
                            <a:headEnd/>
                            <a:tailEnd/>
                          </a:ln>
                        </pic:spPr>
                      </pic:pic>
                    </a:graphicData>
                  </a:graphic>
                </wp:inline>
              </w:drawing>
            </w:r>
          </w:p>
          <w:p>
            <w:pPr>
              <w:pStyle w:val="2"/>
              <w:adjustRightInd w:val="0"/>
              <w:snapToGrid w:val="0"/>
              <w:spacing w:line="500" w:lineRule="exact"/>
              <w:ind w:firstLine="480" w:firstLineChars="200"/>
              <w:jc w:val="left"/>
              <w:rPr>
                <w:b w:val="0"/>
              </w:rPr>
            </w:pPr>
            <w:r>
              <w:rPr>
                <w:rFonts w:hAnsi="宋体"/>
                <w:b w:val="0"/>
              </w:rPr>
              <w:t>式中：</w:t>
            </w:r>
            <w:r>
              <w:rPr>
                <w:b w:val="0"/>
              </w:rPr>
              <w:t>Leqg—</w:t>
            </w:r>
            <w:r>
              <w:rPr>
                <w:rFonts w:hAnsi="宋体"/>
                <w:b w:val="0"/>
              </w:rPr>
              <w:t>建设项目声源在预测点的等效声级贡献值，</w:t>
            </w:r>
            <w:r>
              <w:rPr>
                <w:b w:val="0"/>
              </w:rPr>
              <w:t>dB(A)</w:t>
            </w:r>
            <w:r>
              <w:rPr>
                <w:rFonts w:hAnsi="宋体"/>
                <w:b w:val="0"/>
              </w:rPr>
              <w:t>；</w:t>
            </w:r>
          </w:p>
          <w:p>
            <w:pPr>
              <w:pStyle w:val="2"/>
              <w:adjustRightInd w:val="0"/>
              <w:snapToGrid w:val="0"/>
              <w:spacing w:line="500" w:lineRule="exact"/>
              <w:ind w:firstLine="480" w:firstLineChars="200"/>
              <w:jc w:val="left"/>
              <w:rPr>
                <w:b w:val="0"/>
              </w:rPr>
            </w:pPr>
            <w:r>
              <w:rPr>
                <w:b w:val="0"/>
              </w:rPr>
              <w:t>LAi — i</w:t>
            </w:r>
            <w:r>
              <w:rPr>
                <w:rFonts w:hAnsi="宋体"/>
                <w:b w:val="0"/>
              </w:rPr>
              <w:t>声源在预测点产生的</w:t>
            </w:r>
            <w:r>
              <w:rPr>
                <w:b w:val="0"/>
              </w:rPr>
              <w:t>A</w:t>
            </w:r>
            <w:r>
              <w:rPr>
                <w:rFonts w:hAnsi="宋体"/>
                <w:b w:val="0"/>
              </w:rPr>
              <w:t>声级，</w:t>
            </w:r>
            <w:r>
              <w:rPr>
                <w:b w:val="0"/>
              </w:rPr>
              <w:t>dB(A)</w:t>
            </w:r>
            <w:r>
              <w:rPr>
                <w:rFonts w:hAnsi="宋体"/>
                <w:b w:val="0"/>
              </w:rPr>
              <w:t>；</w:t>
            </w:r>
          </w:p>
          <w:p>
            <w:pPr>
              <w:pStyle w:val="2"/>
              <w:adjustRightInd w:val="0"/>
              <w:snapToGrid w:val="0"/>
              <w:spacing w:line="500" w:lineRule="exact"/>
              <w:ind w:firstLine="480" w:firstLineChars="200"/>
              <w:jc w:val="left"/>
              <w:rPr>
                <w:b w:val="0"/>
              </w:rPr>
            </w:pPr>
            <w:r>
              <w:rPr>
                <w:b w:val="0"/>
              </w:rPr>
              <w:t>T  —</w:t>
            </w:r>
            <w:r>
              <w:rPr>
                <w:rFonts w:hAnsi="宋体"/>
                <w:b w:val="0"/>
              </w:rPr>
              <w:t>预测计算的时间段，</w:t>
            </w:r>
            <w:r>
              <w:rPr>
                <w:b w:val="0"/>
              </w:rPr>
              <w:t>s</w:t>
            </w:r>
            <w:r>
              <w:rPr>
                <w:rFonts w:hAnsi="宋体"/>
                <w:b w:val="0"/>
              </w:rPr>
              <w:t>；</w:t>
            </w:r>
          </w:p>
          <w:p>
            <w:pPr>
              <w:pStyle w:val="2"/>
              <w:adjustRightInd w:val="0"/>
              <w:snapToGrid w:val="0"/>
              <w:spacing w:line="500" w:lineRule="exact"/>
              <w:ind w:firstLine="480" w:firstLineChars="200"/>
              <w:jc w:val="left"/>
              <w:rPr>
                <w:b w:val="0"/>
              </w:rPr>
            </w:pPr>
            <w:r>
              <w:rPr>
                <w:b w:val="0"/>
              </w:rPr>
              <w:t>ti  — i</w:t>
            </w:r>
            <w:r>
              <w:rPr>
                <w:rFonts w:hAnsi="宋体"/>
                <w:b w:val="0"/>
              </w:rPr>
              <w:t>声源在</w:t>
            </w:r>
            <w:r>
              <w:rPr>
                <w:b w:val="0"/>
              </w:rPr>
              <w:t>T</w:t>
            </w:r>
            <w:r>
              <w:rPr>
                <w:rFonts w:hAnsi="宋体"/>
                <w:b w:val="0"/>
              </w:rPr>
              <w:t>时段内的运行时间，</w:t>
            </w:r>
            <w:r>
              <w:rPr>
                <w:b w:val="0"/>
              </w:rPr>
              <w:t>s</w:t>
            </w:r>
            <w:r>
              <w:rPr>
                <w:rFonts w:hAnsi="宋体"/>
                <w:b w:val="0"/>
              </w:rPr>
              <w:t>。</w:t>
            </w:r>
          </w:p>
          <w:p>
            <w:pPr>
              <w:pStyle w:val="2"/>
              <w:adjustRightInd w:val="0"/>
              <w:snapToGrid w:val="0"/>
              <w:spacing w:line="500" w:lineRule="exact"/>
              <w:ind w:firstLine="480" w:firstLineChars="200"/>
              <w:jc w:val="left"/>
              <w:rPr>
                <w:b w:val="0"/>
              </w:rPr>
            </w:pPr>
            <w:r>
              <w:rPr>
                <w:rFonts w:hAnsi="宋体"/>
                <w:b w:val="0"/>
              </w:rPr>
              <w:t>（</w:t>
            </w:r>
            <w:r>
              <w:rPr>
                <w:b w:val="0"/>
              </w:rPr>
              <w:t>2</w:t>
            </w:r>
            <w:r>
              <w:rPr>
                <w:rFonts w:hAnsi="宋体"/>
                <w:b w:val="0"/>
              </w:rPr>
              <w:t>）衰减计算</w:t>
            </w:r>
          </w:p>
          <w:p>
            <w:pPr>
              <w:pStyle w:val="2"/>
              <w:adjustRightInd w:val="0"/>
              <w:snapToGrid w:val="0"/>
              <w:spacing w:line="500" w:lineRule="exact"/>
              <w:ind w:firstLine="480" w:firstLineChars="200"/>
              <w:jc w:val="left"/>
              <w:rPr>
                <w:b w:val="0"/>
              </w:rPr>
            </w:pPr>
            <w:r>
              <w:rPr>
                <w:rFonts w:hAnsi="宋体"/>
                <w:b w:val="0"/>
              </w:rPr>
              <w:t>无指向性点声源几何发散衰减基本公式：</w:t>
            </w:r>
          </w:p>
          <w:p>
            <w:pPr>
              <w:pStyle w:val="2"/>
              <w:adjustRightInd w:val="0"/>
              <w:snapToGrid w:val="0"/>
              <w:spacing w:line="500" w:lineRule="exact"/>
              <w:ind w:firstLine="562" w:firstLineChars="200"/>
              <w:rPr>
                <w:b w:val="0"/>
              </w:rPr>
            </w:pPr>
            <w:r>
              <w:rPr>
                <w:i/>
                <w:position w:val="-14"/>
                <w:sz w:val="28"/>
                <w:szCs w:val="20"/>
              </w:rPr>
              <w:drawing>
                <wp:inline distT="0" distB="0" distL="0" distR="0">
                  <wp:extent cx="1553210" cy="238125"/>
                  <wp:effectExtent l="19050" t="0" r="889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noChangeArrowheads="1"/>
                          </pic:cNvPicPr>
                        </pic:nvPicPr>
                        <pic:blipFill>
                          <a:blip r:embed="rId12"/>
                          <a:srcRect/>
                          <a:stretch>
                            <a:fillRect/>
                          </a:stretch>
                        </pic:blipFill>
                        <pic:spPr>
                          <a:xfrm>
                            <a:off x="0" y="0"/>
                            <a:ext cx="1553210" cy="238125"/>
                          </a:xfrm>
                          <a:prstGeom prst="rect">
                            <a:avLst/>
                          </a:prstGeom>
                          <a:noFill/>
                          <a:ln w="9525">
                            <a:noFill/>
                            <a:miter lim="800000"/>
                            <a:headEnd/>
                            <a:tailEnd/>
                          </a:ln>
                        </pic:spPr>
                      </pic:pic>
                    </a:graphicData>
                  </a:graphic>
                </wp:inline>
              </w:drawing>
            </w:r>
          </w:p>
          <w:p>
            <w:pPr>
              <w:pStyle w:val="2"/>
              <w:adjustRightInd w:val="0"/>
              <w:snapToGrid w:val="0"/>
              <w:spacing w:line="500" w:lineRule="exact"/>
              <w:ind w:firstLine="480" w:firstLineChars="200"/>
              <w:jc w:val="left"/>
              <w:rPr>
                <w:b w:val="0"/>
              </w:rPr>
            </w:pPr>
            <w:r>
              <w:rPr>
                <w:rFonts w:hAnsi="宋体"/>
                <w:b w:val="0"/>
              </w:rPr>
              <w:t>式中：</w:t>
            </w:r>
            <w:r>
              <w:rPr>
                <w:b w:val="0"/>
              </w:rPr>
              <w:t>LA(r) —</w:t>
            </w:r>
            <w:r>
              <w:rPr>
                <w:rFonts w:hAnsi="宋体"/>
                <w:b w:val="0"/>
              </w:rPr>
              <w:t>距离声源</w:t>
            </w:r>
            <w:r>
              <w:rPr>
                <w:b w:val="0"/>
              </w:rPr>
              <w:t>r</w:t>
            </w:r>
            <w:r>
              <w:rPr>
                <w:rFonts w:hAnsi="宋体"/>
                <w:b w:val="0"/>
              </w:rPr>
              <w:t>米处噪声预测值，</w:t>
            </w:r>
            <w:r>
              <w:rPr>
                <w:b w:val="0"/>
              </w:rPr>
              <w:t>dB(A)</w:t>
            </w:r>
            <w:r>
              <w:rPr>
                <w:rFonts w:hAnsi="宋体"/>
                <w:b w:val="0"/>
              </w:rPr>
              <w:t>；</w:t>
            </w:r>
          </w:p>
          <w:p>
            <w:pPr>
              <w:pStyle w:val="2"/>
              <w:adjustRightInd w:val="0"/>
              <w:snapToGrid w:val="0"/>
              <w:spacing w:line="500" w:lineRule="exact"/>
              <w:ind w:firstLine="480" w:firstLineChars="200"/>
              <w:jc w:val="left"/>
              <w:rPr>
                <w:b w:val="0"/>
              </w:rPr>
            </w:pPr>
            <w:r>
              <w:rPr>
                <w:b w:val="0"/>
              </w:rPr>
              <w:t>LA(r</w:t>
            </w:r>
            <w:r>
              <w:rPr>
                <w:b w:val="0"/>
                <w:vertAlign w:val="subscript"/>
              </w:rPr>
              <w:t>0</w:t>
            </w:r>
            <w:r>
              <w:rPr>
                <w:b w:val="0"/>
              </w:rPr>
              <w:t>) —</w:t>
            </w:r>
            <w:r>
              <w:rPr>
                <w:rFonts w:hAnsi="宋体"/>
                <w:b w:val="0"/>
              </w:rPr>
              <w:t>距离声源</w:t>
            </w:r>
            <w:r>
              <w:rPr>
                <w:b w:val="0"/>
              </w:rPr>
              <w:t>r</w:t>
            </w:r>
            <w:r>
              <w:rPr>
                <w:b w:val="0"/>
                <w:vertAlign w:val="subscript"/>
              </w:rPr>
              <w:t>0</w:t>
            </w:r>
            <w:r>
              <w:rPr>
                <w:rFonts w:hAnsi="宋体"/>
                <w:b w:val="0"/>
              </w:rPr>
              <w:t>米处噪声预测值，</w:t>
            </w:r>
            <w:r>
              <w:rPr>
                <w:b w:val="0"/>
              </w:rPr>
              <w:t>dB(A)</w:t>
            </w:r>
            <w:r>
              <w:rPr>
                <w:rFonts w:hAnsi="宋体"/>
                <w:b w:val="0"/>
              </w:rPr>
              <w:t>；</w:t>
            </w:r>
          </w:p>
          <w:p>
            <w:pPr>
              <w:pStyle w:val="2"/>
              <w:adjustRightInd w:val="0"/>
              <w:snapToGrid w:val="0"/>
              <w:spacing w:line="500" w:lineRule="exact"/>
              <w:ind w:firstLine="480" w:firstLineChars="200"/>
              <w:jc w:val="left"/>
              <w:rPr>
                <w:b w:val="0"/>
              </w:rPr>
            </w:pPr>
            <w:r>
              <w:rPr>
                <w:b w:val="0"/>
              </w:rPr>
              <w:t>r</w:t>
            </w:r>
            <w:r>
              <w:rPr>
                <w:b w:val="0"/>
                <w:vertAlign w:val="subscript"/>
              </w:rPr>
              <w:t>0</w:t>
            </w:r>
            <w:r>
              <w:rPr>
                <w:b w:val="0"/>
              </w:rPr>
              <w:t>—</w:t>
            </w:r>
            <w:r>
              <w:rPr>
                <w:rFonts w:hAnsi="宋体"/>
                <w:b w:val="0"/>
              </w:rPr>
              <w:t>参照点到声源的距离，（</w:t>
            </w:r>
            <w:r>
              <w:rPr>
                <w:b w:val="0"/>
              </w:rPr>
              <w:t>m</w:t>
            </w:r>
            <w:r>
              <w:rPr>
                <w:rFonts w:hAnsi="宋体"/>
                <w:b w:val="0"/>
              </w:rPr>
              <w:t>）；</w:t>
            </w:r>
          </w:p>
          <w:p>
            <w:pPr>
              <w:pStyle w:val="2"/>
              <w:adjustRightInd w:val="0"/>
              <w:snapToGrid w:val="0"/>
              <w:spacing w:line="500" w:lineRule="exact"/>
              <w:ind w:firstLine="480" w:firstLineChars="200"/>
              <w:jc w:val="left"/>
              <w:rPr>
                <w:b w:val="0"/>
              </w:rPr>
            </w:pPr>
            <w:r>
              <w:rPr>
                <w:b w:val="0"/>
              </w:rPr>
              <w:t>r—</w:t>
            </w:r>
            <w:r>
              <w:rPr>
                <w:rFonts w:hAnsi="宋体"/>
                <w:b w:val="0"/>
              </w:rPr>
              <w:t>预测点到声源的距离，（</w:t>
            </w:r>
            <w:r>
              <w:rPr>
                <w:b w:val="0"/>
              </w:rPr>
              <w:t>m</w:t>
            </w:r>
            <w:r>
              <w:rPr>
                <w:rFonts w:hAnsi="宋体"/>
                <w:b w:val="0"/>
              </w:rPr>
              <w:t>）。</w:t>
            </w:r>
          </w:p>
          <w:p>
            <w:pPr>
              <w:pStyle w:val="2"/>
              <w:adjustRightInd w:val="0"/>
              <w:snapToGrid w:val="0"/>
              <w:spacing w:line="500" w:lineRule="exact"/>
              <w:ind w:firstLine="480" w:firstLineChars="200"/>
              <w:jc w:val="left"/>
              <w:rPr>
                <w:rFonts w:hAnsi="宋体"/>
                <w:b w:val="0"/>
              </w:rPr>
            </w:pPr>
            <w:r>
              <w:rPr>
                <w:rFonts w:hAnsi="宋体"/>
                <w:b w:val="0"/>
              </w:rPr>
              <w:t>本项目夜间不生产，根据项目平面布置图，各噪声设备经采取措施并经距离衰减，到达各厂界外</w:t>
            </w:r>
            <w:r>
              <w:rPr>
                <w:b w:val="0"/>
              </w:rPr>
              <w:t>1m</w:t>
            </w:r>
            <w:r>
              <w:rPr>
                <w:rFonts w:hAnsi="宋体"/>
                <w:b w:val="0"/>
              </w:rPr>
              <w:t>处的噪声预测值见表</w:t>
            </w:r>
            <w:r>
              <w:rPr>
                <w:rFonts w:hint="eastAsia"/>
                <w:b w:val="0"/>
              </w:rPr>
              <w:t>45</w:t>
            </w:r>
            <w:r>
              <w:rPr>
                <w:rFonts w:hAnsi="宋体"/>
                <w:b w:val="0"/>
              </w:rPr>
              <w:t>。</w:t>
            </w:r>
          </w:p>
          <w:p>
            <w:pPr>
              <w:autoSpaceDE w:val="0"/>
              <w:autoSpaceDN w:val="0"/>
              <w:adjustRightInd w:val="0"/>
              <w:snapToGrid w:val="0"/>
              <w:spacing w:line="400" w:lineRule="exact"/>
              <w:ind w:left="420"/>
              <w:rPr>
                <w:rFonts w:hAnsi="宋体"/>
                <w:b/>
                <w:sz w:val="24"/>
              </w:rPr>
            </w:pPr>
            <w:r>
              <w:rPr>
                <w:rFonts w:hAnsi="宋体"/>
                <w:b/>
                <w:sz w:val="24"/>
              </w:rPr>
              <w:t>表</w:t>
            </w:r>
            <w:r>
              <w:rPr>
                <w:rFonts w:hint="eastAsia" w:hAnsi="宋体"/>
                <w:b/>
                <w:sz w:val="24"/>
              </w:rPr>
              <w:t>45</w:t>
            </w:r>
            <w:r>
              <w:rPr>
                <w:rFonts w:hAnsi="宋体"/>
                <w:b/>
                <w:sz w:val="24"/>
              </w:rPr>
              <w:t xml:space="preserve">     </w:t>
            </w:r>
            <w:r>
              <w:rPr>
                <w:rFonts w:hint="eastAsia" w:hAnsi="宋体"/>
                <w:b/>
                <w:sz w:val="24"/>
              </w:rPr>
              <w:t xml:space="preserve">    本项目厂房边界噪声预测结果一览表  单位：dB(A)</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434"/>
              <w:gridCol w:w="1428"/>
              <w:gridCol w:w="1366"/>
              <w:gridCol w:w="1402"/>
              <w:gridCol w:w="28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34" w:type="pct"/>
                  <w:gridSpan w:val="2"/>
                  <w:vMerge w:val="restart"/>
                  <w:vAlign w:val="center"/>
                </w:tcPr>
                <w:p>
                  <w:pPr>
                    <w:adjustRightInd w:val="0"/>
                    <w:snapToGrid w:val="0"/>
                    <w:jc w:val="center"/>
                    <w:rPr>
                      <w:szCs w:val="21"/>
                    </w:rPr>
                  </w:pPr>
                  <w:r>
                    <w:rPr>
                      <w:rFonts w:hAnsi="宋体"/>
                      <w:szCs w:val="21"/>
                    </w:rPr>
                    <w:t>预测点位</w:t>
                  </w:r>
                </w:p>
              </w:tc>
              <w:tc>
                <w:tcPr>
                  <w:tcW w:w="765" w:type="pct"/>
                  <w:vAlign w:val="center"/>
                </w:tcPr>
                <w:p>
                  <w:pPr>
                    <w:adjustRightInd w:val="0"/>
                    <w:snapToGrid w:val="0"/>
                    <w:jc w:val="center"/>
                    <w:rPr>
                      <w:szCs w:val="21"/>
                    </w:rPr>
                  </w:pPr>
                  <w:r>
                    <w:rPr>
                      <w:rFonts w:hAnsi="宋体"/>
                      <w:szCs w:val="21"/>
                    </w:rPr>
                    <w:t>贡献值</w:t>
                  </w:r>
                </w:p>
              </w:tc>
              <w:tc>
                <w:tcPr>
                  <w:tcW w:w="732" w:type="pct"/>
                </w:tcPr>
                <w:p>
                  <w:pPr>
                    <w:adjustRightInd w:val="0"/>
                    <w:snapToGrid w:val="0"/>
                    <w:jc w:val="center"/>
                    <w:rPr>
                      <w:rFonts w:hAnsi="宋体"/>
                      <w:szCs w:val="21"/>
                    </w:rPr>
                  </w:pPr>
                  <w:r>
                    <w:rPr>
                      <w:rFonts w:hint="eastAsia"/>
                      <w:szCs w:val="21"/>
                    </w:rPr>
                    <w:t>背景值</w:t>
                  </w:r>
                </w:p>
              </w:tc>
              <w:tc>
                <w:tcPr>
                  <w:tcW w:w="751" w:type="pct"/>
                </w:tcPr>
                <w:p>
                  <w:pPr>
                    <w:adjustRightInd w:val="0"/>
                    <w:snapToGrid w:val="0"/>
                    <w:jc w:val="center"/>
                    <w:rPr>
                      <w:rFonts w:hAnsi="宋体"/>
                      <w:szCs w:val="21"/>
                    </w:rPr>
                  </w:pPr>
                  <w:r>
                    <w:rPr>
                      <w:rFonts w:hint="eastAsia" w:hAnsi="宋体"/>
                      <w:szCs w:val="21"/>
                    </w:rPr>
                    <w:t>预测值</w:t>
                  </w:r>
                </w:p>
              </w:tc>
              <w:tc>
                <w:tcPr>
                  <w:tcW w:w="1518" w:type="pct"/>
                  <w:vMerge w:val="restart"/>
                  <w:vAlign w:val="center"/>
                </w:tcPr>
                <w:p>
                  <w:pPr>
                    <w:adjustRightInd w:val="0"/>
                    <w:snapToGrid w:val="0"/>
                    <w:jc w:val="center"/>
                    <w:rPr>
                      <w:szCs w:val="21"/>
                    </w:rPr>
                  </w:pPr>
                  <w:r>
                    <w:rPr>
                      <w:rFonts w:hAnsi="宋体"/>
                      <w:szCs w:val="21"/>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34" w:type="pct"/>
                  <w:gridSpan w:val="2"/>
                  <w:vMerge w:val="continue"/>
                  <w:vAlign w:val="center"/>
                </w:tcPr>
                <w:p>
                  <w:pPr>
                    <w:adjustRightInd w:val="0"/>
                    <w:snapToGrid w:val="0"/>
                    <w:jc w:val="center"/>
                  </w:pPr>
                </w:p>
              </w:tc>
              <w:tc>
                <w:tcPr>
                  <w:tcW w:w="765" w:type="pct"/>
                  <w:vAlign w:val="center"/>
                </w:tcPr>
                <w:p>
                  <w:pPr>
                    <w:adjustRightInd w:val="0"/>
                    <w:snapToGrid w:val="0"/>
                    <w:jc w:val="center"/>
                    <w:rPr>
                      <w:szCs w:val="21"/>
                    </w:rPr>
                  </w:pPr>
                  <w:r>
                    <w:rPr>
                      <w:rFonts w:hint="eastAsia"/>
                      <w:szCs w:val="21"/>
                    </w:rPr>
                    <w:t>昼间</w:t>
                  </w:r>
                </w:p>
              </w:tc>
              <w:tc>
                <w:tcPr>
                  <w:tcW w:w="732" w:type="pct"/>
                </w:tcPr>
                <w:p>
                  <w:pPr>
                    <w:adjustRightInd w:val="0"/>
                    <w:snapToGrid w:val="0"/>
                    <w:jc w:val="center"/>
                    <w:rPr>
                      <w:szCs w:val="21"/>
                    </w:rPr>
                  </w:pPr>
                  <w:r>
                    <w:rPr>
                      <w:rFonts w:hAnsi="宋体"/>
                      <w:szCs w:val="21"/>
                    </w:rPr>
                    <w:t>昼间</w:t>
                  </w:r>
                </w:p>
              </w:tc>
              <w:tc>
                <w:tcPr>
                  <w:tcW w:w="751" w:type="pct"/>
                </w:tcPr>
                <w:p>
                  <w:pPr>
                    <w:adjustRightInd w:val="0"/>
                    <w:snapToGrid w:val="0"/>
                    <w:jc w:val="center"/>
                    <w:rPr>
                      <w:szCs w:val="21"/>
                    </w:rPr>
                  </w:pPr>
                </w:p>
              </w:tc>
              <w:tc>
                <w:tcPr>
                  <w:tcW w:w="1518" w:type="pct"/>
                  <w:vMerge w:val="continue"/>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6" w:type="pct"/>
                  <w:vAlign w:val="center"/>
                </w:tcPr>
                <w:p>
                  <w:pPr>
                    <w:adjustRightInd w:val="0"/>
                    <w:snapToGrid w:val="0"/>
                    <w:jc w:val="center"/>
                    <w:rPr>
                      <w:szCs w:val="21"/>
                    </w:rPr>
                  </w:pPr>
                  <w:r>
                    <w:rPr>
                      <w:szCs w:val="21"/>
                    </w:rPr>
                    <w:t>1#</w:t>
                  </w:r>
                </w:p>
              </w:tc>
              <w:tc>
                <w:tcPr>
                  <w:tcW w:w="768" w:type="pct"/>
                  <w:vAlign w:val="center"/>
                </w:tcPr>
                <w:p>
                  <w:pPr>
                    <w:adjustRightInd w:val="0"/>
                    <w:snapToGrid w:val="0"/>
                    <w:jc w:val="center"/>
                    <w:rPr>
                      <w:szCs w:val="21"/>
                    </w:rPr>
                  </w:pPr>
                  <w:r>
                    <w:rPr>
                      <w:rFonts w:hAnsi="宋体"/>
                      <w:szCs w:val="21"/>
                    </w:rPr>
                    <w:t>北厂界</w:t>
                  </w:r>
                </w:p>
              </w:tc>
              <w:tc>
                <w:tcPr>
                  <w:tcW w:w="765" w:type="pct"/>
                  <w:vAlign w:val="center"/>
                </w:tcPr>
                <w:p>
                  <w:pPr>
                    <w:adjustRightInd w:val="0"/>
                    <w:snapToGrid w:val="0"/>
                    <w:jc w:val="center"/>
                    <w:rPr>
                      <w:szCs w:val="21"/>
                    </w:rPr>
                  </w:pPr>
                  <w:r>
                    <w:rPr>
                      <w:rFonts w:hint="eastAsia"/>
                      <w:szCs w:val="21"/>
                    </w:rPr>
                    <w:t>40.0</w:t>
                  </w:r>
                </w:p>
              </w:tc>
              <w:tc>
                <w:tcPr>
                  <w:tcW w:w="732" w:type="pct"/>
                </w:tcPr>
                <w:p>
                  <w:pPr>
                    <w:adjustRightInd w:val="0"/>
                    <w:snapToGrid w:val="0"/>
                    <w:jc w:val="center"/>
                    <w:rPr>
                      <w:rFonts w:hAnsi="宋体"/>
                      <w:szCs w:val="21"/>
                    </w:rPr>
                  </w:pPr>
                  <w:r>
                    <w:rPr>
                      <w:rFonts w:hint="eastAsia"/>
                      <w:szCs w:val="21"/>
                    </w:rPr>
                    <w:t>51.2</w:t>
                  </w:r>
                </w:p>
              </w:tc>
              <w:tc>
                <w:tcPr>
                  <w:tcW w:w="751" w:type="pct"/>
                </w:tcPr>
                <w:p>
                  <w:pPr>
                    <w:adjustRightInd w:val="0"/>
                    <w:snapToGrid w:val="0"/>
                    <w:jc w:val="center"/>
                    <w:rPr>
                      <w:rFonts w:hAnsi="宋体"/>
                      <w:szCs w:val="21"/>
                    </w:rPr>
                  </w:pPr>
                  <w:r>
                    <w:rPr>
                      <w:rFonts w:hint="eastAsia" w:hAnsi="宋体"/>
                      <w:szCs w:val="21"/>
                    </w:rPr>
                    <w:t>51.5</w:t>
                  </w:r>
                </w:p>
              </w:tc>
              <w:tc>
                <w:tcPr>
                  <w:tcW w:w="1518" w:type="pct"/>
                  <w:vMerge w:val="restart"/>
                  <w:vAlign w:val="center"/>
                </w:tcPr>
                <w:p>
                  <w:pPr>
                    <w:adjustRightInd w:val="0"/>
                    <w:snapToGrid w:val="0"/>
                    <w:jc w:val="center"/>
                    <w:rPr>
                      <w:szCs w:val="21"/>
                    </w:rPr>
                  </w:pPr>
                  <w:r>
                    <w:rPr>
                      <w:rFonts w:hAnsi="宋体"/>
                      <w:szCs w:val="21"/>
                    </w:rPr>
                    <w:t>昼间</w:t>
                  </w:r>
                  <w:r>
                    <w:rPr>
                      <w:szCs w:val="21"/>
                    </w:rPr>
                    <w:t>≤60dB</w:t>
                  </w:r>
                  <w:r>
                    <w:rPr>
                      <w:rFonts w:hAnsi="宋体"/>
                      <w:szCs w:val="21"/>
                    </w:rPr>
                    <w:t>（</w:t>
                  </w:r>
                  <w:r>
                    <w:rPr>
                      <w:szCs w:val="21"/>
                    </w:rPr>
                    <w:t>A</w:t>
                  </w:r>
                  <w:r>
                    <w:rPr>
                      <w:rFonts w:hAnsi="宋体"/>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6" w:type="pct"/>
                  <w:vAlign w:val="center"/>
                </w:tcPr>
                <w:p>
                  <w:pPr>
                    <w:adjustRightInd w:val="0"/>
                    <w:snapToGrid w:val="0"/>
                    <w:jc w:val="center"/>
                    <w:rPr>
                      <w:szCs w:val="21"/>
                    </w:rPr>
                  </w:pPr>
                  <w:r>
                    <w:rPr>
                      <w:szCs w:val="21"/>
                    </w:rPr>
                    <w:t>2#</w:t>
                  </w:r>
                </w:p>
              </w:tc>
              <w:tc>
                <w:tcPr>
                  <w:tcW w:w="768" w:type="pct"/>
                  <w:vAlign w:val="center"/>
                </w:tcPr>
                <w:p>
                  <w:pPr>
                    <w:adjustRightInd w:val="0"/>
                    <w:snapToGrid w:val="0"/>
                    <w:jc w:val="center"/>
                    <w:rPr>
                      <w:szCs w:val="21"/>
                    </w:rPr>
                  </w:pPr>
                  <w:r>
                    <w:rPr>
                      <w:rFonts w:hAnsi="宋体"/>
                      <w:szCs w:val="21"/>
                    </w:rPr>
                    <w:t>西厂界</w:t>
                  </w:r>
                </w:p>
              </w:tc>
              <w:tc>
                <w:tcPr>
                  <w:tcW w:w="765" w:type="pct"/>
                  <w:vAlign w:val="center"/>
                </w:tcPr>
                <w:p>
                  <w:pPr>
                    <w:adjustRightInd w:val="0"/>
                    <w:snapToGrid w:val="0"/>
                    <w:jc w:val="center"/>
                    <w:rPr>
                      <w:szCs w:val="21"/>
                    </w:rPr>
                  </w:pPr>
                  <w:r>
                    <w:rPr>
                      <w:rFonts w:hint="eastAsia"/>
                      <w:szCs w:val="21"/>
                    </w:rPr>
                    <w:t>40.4</w:t>
                  </w:r>
                </w:p>
              </w:tc>
              <w:tc>
                <w:tcPr>
                  <w:tcW w:w="732" w:type="pct"/>
                </w:tcPr>
                <w:p>
                  <w:pPr>
                    <w:adjustRightInd w:val="0"/>
                    <w:snapToGrid w:val="0"/>
                    <w:jc w:val="center"/>
                    <w:rPr>
                      <w:szCs w:val="21"/>
                    </w:rPr>
                  </w:pPr>
                  <w:r>
                    <w:rPr>
                      <w:rFonts w:hint="eastAsia"/>
                      <w:szCs w:val="21"/>
                    </w:rPr>
                    <w:t>53.6</w:t>
                  </w:r>
                </w:p>
              </w:tc>
              <w:tc>
                <w:tcPr>
                  <w:tcW w:w="751" w:type="pct"/>
                </w:tcPr>
                <w:p>
                  <w:pPr>
                    <w:adjustRightInd w:val="0"/>
                    <w:snapToGrid w:val="0"/>
                    <w:jc w:val="center"/>
                    <w:rPr>
                      <w:szCs w:val="21"/>
                    </w:rPr>
                  </w:pPr>
                  <w:r>
                    <w:rPr>
                      <w:rFonts w:hint="eastAsia"/>
                      <w:szCs w:val="21"/>
                    </w:rPr>
                    <w:t>53.8</w:t>
                  </w:r>
                </w:p>
              </w:tc>
              <w:tc>
                <w:tcPr>
                  <w:tcW w:w="1518" w:type="pct"/>
                  <w:vMerge w:val="continue"/>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6" w:type="pct"/>
                  <w:vAlign w:val="center"/>
                </w:tcPr>
                <w:p>
                  <w:pPr>
                    <w:adjustRightInd w:val="0"/>
                    <w:snapToGrid w:val="0"/>
                    <w:jc w:val="center"/>
                    <w:rPr>
                      <w:szCs w:val="21"/>
                    </w:rPr>
                  </w:pPr>
                  <w:r>
                    <w:rPr>
                      <w:szCs w:val="21"/>
                    </w:rPr>
                    <w:t>3#</w:t>
                  </w:r>
                </w:p>
              </w:tc>
              <w:tc>
                <w:tcPr>
                  <w:tcW w:w="768" w:type="pct"/>
                  <w:vAlign w:val="center"/>
                </w:tcPr>
                <w:p>
                  <w:pPr>
                    <w:adjustRightInd w:val="0"/>
                    <w:snapToGrid w:val="0"/>
                    <w:jc w:val="center"/>
                    <w:rPr>
                      <w:szCs w:val="21"/>
                    </w:rPr>
                  </w:pPr>
                  <w:r>
                    <w:rPr>
                      <w:rFonts w:hAnsi="宋体"/>
                      <w:szCs w:val="21"/>
                    </w:rPr>
                    <w:t>南厂界</w:t>
                  </w:r>
                </w:p>
              </w:tc>
              <w:tc>
                <w:tcPr>
                  <w:tcW w:w="765" w:type="pct"/>
                  <w:vAlign w:val="center"/>
                </w:tcPr>
                <w:p>
                  <w:pPr>
                    <w:adjustRightInd w:val="0"/>
                    <w:snapToGrid w:val="0"/>
                    <w:jc w:val="center"/>
                    <w:rPr>
                      <w:szCs w:val="21"/>
                    </w:rPr>
                  </w:pPr>
                  <w:r>
                    <w:rPr>
                      <w:rFonts w:hint="eastAsia"/>
                      <w:szCs w:val="21"/>
                    </w:rPr>
                    <w:t>52.1</w:t>
                  </w:r>
                </w:p>
              </w:tc>
              <w:tc>
                <w:tcPr>
                  <w:tcW w:w="732" w:type="pct"/>
                </w:tcPr>
                <w:p>
                  <w:pPr>
                    <w:adjustRightInd w:val="0"/>
                    <w:snapToGrid w:val="0"/>
                    <w:jc w:val="center"/>
                    <w:rPr>
                      <w:szCs w:val="21"/>
                    </w:rPr>
                  </w:pPr>
                  <w:r>
                    <w:rPr>
                      <w:rFonts w:hint="eastAsia"/>
                      <w:szCs w:val="21"/>
                    </w:rPr>
                    <w:t>52.9</w:t>
                  </w:r>
                </w:p>
              </w:tc>
              <w:tc>
                <w:tcPr>
                  <w:tcW w:w="751" w:type="pct"/>
                </w:tcPr>
                <w:p>
                  <w:pPr>
                    <w:adjustRightInd w:val="0"/>
                    <w:snapToGrid w:val="0"/>
                    <w:jc w:val="center"/>
                    <w:rPr>
                      <w:szCs w:val="21"/>
                    </w:rPr>
                  </w:pPr>
                  <w:r>
                    <w:rPr>
                      <w:rFonts w:hint="eastAsia"/>
                      <w:szCs w:val="21"/>
                    </w:rPr>
                    <w:t>55.5</w:t>
                  </w:r>
                </w:p>
              </w:tc>
              <w:tc>
                <w:tcPr>
                  <w:tcW w:w="1518" w:type="pct"/>
                  <w:vMerge w:val="continue"/>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6" w:type="pct"/>
                  <w:vAlign w:val="center"/>
                </w:tcPr>
                <w:p>
                  <w:pPr>
                    <w:adjustRightInd w:val="0"/>
                    <w:snapToGrid w:val="0"/>
                    <w:jc w:val="center"/>
                    <w:rPr>
                      <w:szCs w:val="21"/>
                    </w:rPr>
                  </w:pPr>
                  <w:r>
                    <w:rPr>
                      <w:szCs w:val="21"/>
                    </w:rPr>
                    <w:t>4#</w:t>
                  </w:r>
                </w:p>
              </w:tc>
              <w:tc>
                <w:tcPr>
                  <w:tcW w:w="768" w:type="pct"/>
                  <w:vAlign w:val="center"/>
                </w:tcPr>
                <w:p>
                  <w:pPr>
                    <w:adjustRightInd w:val="0"/>
                    <w:snapToGrid w:val="0"/>
                    <w:jc w:val="center"/>
                    <w:rPr>
                      <w:szCs w:val="21"/>
                    </w:rPr>
                  </w:pPr>
                  <w:r>
                    <w:rPr>
                      <w:rFonts w:hAnsi="宋体"/>
                      <w:szCs w:val="21"/>
                    </w:rPr>
                    <w:t>东厂界</w:t>
                  </w:r>
                </w:p>
              </w:tc>
              <w:tc>
                <w:tcPr>
                  <w:tcW w:w="765" w:type="pct"/>
                  <w:vAlign w:val="center"/>
                </w:tcPr>
                <w:p>
                  <w:pPr>
                    <w:adjustRightInd w:val="0"/>
                    <w:snapToGrid w:val="0"/>
                    <w:jc w:val="center"/>
                    <w:rPr>
                      <w:szCs w:val="21"/>
                    </w:rPr>
                  </w:pPr>
                  <w:r>
                    <w:rPr>
                      <w:rFonts w:hint="eastAsia"/>
                      <w:szCs w:val="21"/>
                    </w:rPr>
                    <w:t>28.0</w:t>
                  </w:r>
                </w:p>
              </w:tc>
              <w:tc>
                <w:tcPr>
                  <w:tcW w:w="732" w:type="pct"/>
                </w:tcPr>
                <w:p>
                  <w:pPr>
                    <w:adjustRightInd w:val="0"/>
                    <w:snapToGrid w:val="0"/>
                    <w:jc w:val="center"/>
                    <w:rPr>
                      <w:szCs w:val="21"/>
                    </w:rPr>
                  </w:pPr>
                  <w:r>
                    <w:rPr>
                      <w:rFonts w:hint="eastAsia"/>
                      <w:szCs w:val="21"/>
                    </w:rPr>
                    <w:t>53.2</w:t>
                  </w:r>
                </w:p>
              </w:tc>
              <w:tc>
                <w:tcPr>
                  <w:tcW w:w="751" w:type="pct"/>
                </w:tcPr>
                <w:p>
                  <w:pPr>
                    <w:adjustRightInd w:val="0"/>
                    <w:snapToGrid w:val="0"/>
                    <w:jc w:val="center"/>
                    <w:rPr>
                      <w:szCs w:val="21"/>
                    </w:rPr>
                  </w:pPr>
                  <w:r>
                    <w:rPr>
                      <w:rFonts w:hint="eastAsia"/>
                      <w:szCs w:val="21"/>
                    </w:rPr>
                    <w:t>53.2</w:t>
                  </w:r>
                </w:p>
              </w:tc>
              <w:tc>
                <w:tcPr>
                  <w:tcW w:w="1518" w:type="pct"/>
                  <w:vMerge w:val="continue"/>
                  <w:vAlign w:val="center"/>
                </w:tcPr>
                <w:p>
                  <w:pPr>
                    <w:adjustRightInd w:val="0"/>
                    <w:snapToGrid w:val="0"/>
                    <w:jc w:val="center"/>
                    <w:rPr>
                      <w:szCs w:val="21"/>
                    </w:rPr>
                  </w:pPr>
                </w:p>
              </w:tc>
            </w:tr>
          </w:tbl>
          <w:p>
            <w:pPr>
              <w:pStyle w:val="2"/>
              <w:adjustRightInd w:val="0"/>
              <w:snapToGrid w:val="0"/>
              <w:spacing w:line="240" w:lineRule="atLeast"/>
              <w:ind w:firstLine="422" w:firstLineChars="200"/>
              <w:jc w:val="left"/>
              <w:rPr>
                <w:rFonts w:hAnsi="宋体"/>
                <w:sz w:val="21"/>
                <w:szCs w:val="21"/>
              </w:rPr>
            </w:pPr>
            <w:r>
              <w:rPr>
                <w:rFonts w:hint="eastAsia" w:hAnsi="宋体"/>
                <w:sz w:val="21"/>
                <w:szCs w:val="21"/>
              </w:rPr>
              <w:t>注：本企业夜间不生产。</w:t>
            </w:r>
          </w:p>
          <w:p>
            <w:pPr>
              <w:pStyle w:val="2"/>
              <w:adjustRightInd w:val="0"/>
              <w:snapToGrid w:val="0"/>
              <w:spacing w:line="500" w:lineRule="exact"/>
              <w:ind w:firstLine="480" w:firstLineChars="200"/>
              <w:jc w:val="left"/>
              <w:rPr>
                <w:b w:val="0"/>
              </w:rPr>
            </w:pPr>
            <w:r>
              <w:rPr>
                <w:rFonts w:hAnsi="宋体"/>
                <w:b w:val="0"/>
              </w:rPr>
              <w:t>由上表</w:t>
            </w:r>
            <w:r>
              <w:rPr>
                <w:rFonts w:hint="eastAsia"/>
                <w:b w:val="0"/>
              </w:rPr>
              <w:t>45</w:t>
            </w:r>
            <w:r>
              <w:rPr>
                <w:rFonts w:hAnsi="宋体"/>
                <w:b w:val="0"/>
              </w:rPr>
              <w:t>可知，经采取基础减振、隔声、距离衰减等综合降噪措施后，项目各厂界的噪声预测值均符合《工业企业厂界环境噪声排放标准》（</w:t>
            </w:r>
            <w:r>
              <w:rPr>
                <w:b w:val="0"/>
              </w:rPr>
              <w:t>GB12348-2008</w:t>
            </w:r>
            <w:r>
              <w:rPr>
                <w:rFonts w:hAnsi="宋体"/>
                <w:b w:val="0"/>
              </w:rPr>
              <w:t>）</w:t>
            </w:r>
            <w:r>
              <w:rPr>
                <w:b w:val="0"/>
              </w:rPr>
              <w:t>2</w:t>
            </w:r>
            <w:r>
              <w:rPr>
                <w:rFonts w:hAnsi="宋体"/>
                <w:b w:val="0"/>
              </w:rPr>
              <w:t>类标准要求，对周边环境影响较小。</w:t>
            </w:r>
          </w:p>
          <w:p>
            <w:pPr>
              <w:tabs>
                <w:tab w:val="left" w:pos="3827"/>
              </w:tabs>
              <w:adjustRightInd w:val="0"/>
              <w:snapToGrid w:val="0"/>
              <w:spacing w:line="500" w:lineRule="exact"/>
              <w:rPr>
                <w:b/>
                <w:bCs/>
                <w:sz w:val="24"/>
              </w:rPr>
            </w:pPr>
            <w:r>
              <w:rPr>
                <w:rFonts w:hint="eastAsia"/>
                <w:b/>
                <w:bCs/>
                <w:sz w:val="24"/>
              </w:rPr>
              <w:t>4</w:t>
            </w:r>
            <w:r>
              <w:rPr>
                <w:b/>
                <w:bCs/>
                <w:sz w:val="24"/>
              </w:rPr>
              <w:t>.</w:t>
            </w:r>
            <w:r>
              <w:rPr>
                <w:rFonts w:hAnsi="宋体"/>
                <w:b/>
                <w:bCs/>
                <w:sz w:val="24"/>
              </w:rPr>
              <w:t>固体废物影响分析</w:t>
            </w:r>
            <w:r>
              <w:rPr>
                <w:rFonts w:hAnsi="宋体"/>
                <w:b/>
                <w:bCs/>
                <w:sz w:val="24"/>
              </w:rPr>
              <w:tab/>
            </w:r>
          </w:p>
          <w:p>
            <w:pPr>
              <w:adjustRightInd w:val="0"/>
              <w:snapToGrid w:val="0"/>
              <w:spacing w:line="500" w:lineRule="exact"/>
              <w:ind w:firstLine="480" w:firstLineChars="200"/>
              <w:rPr>
                <w:rFonts w:hAnsi="宋体"/>
                <w:bCs/>
                <w:sz w:val="24"/>
              </w:rPr>
            </w:pPr>
            <w:r>
              <w:rPr>
                <w:rFonts w:hint="eastAsia" w:hAnsi="宋体"/>
                <w:bCs/>
                <w:sz w:val="24"/>
              </w:rPr>
              <w:t>项目营运期生产过程中产生的固废主要为袋式除尘器收尘、焊渣、金属屑和废边角料；废切削液、废润滑油以及员工生活垃圾等。</w:t>
            </w:r>
          </w:p>
          <w:p>
            <w:pPr>
              <w:adjustRightInd w:val="0"/>
              <w:snapToGrid w:val="0"/>
              <w:spacing w:line="500" w:lineRule="exact"/>
              <w:ind w:firstLine="480" w:firstLineChars="200"/>
              <w:rPr>
                <w:rFonts w:hAnsi="宋体"/>
                <w:bCs/>
                <w:sz w:val="24"/>
              </w:rPr>
            </w:pPr>
            <w:r>
              <w:rPr>
                <w:rFonts w:hint="eastAsia" w:hAnsi="宋体"/>
                <w:bCs/>
                <w:sz w:val="24"/>
              </w:rPr>
              <w:t>（1）一般固废</w:t>
            </w:r>
          </w:p>
          <w:p>
            <w:pPr>
              <w:pStyle w:val="2"/>
              <w:adjustRightInd w:val="0"/>
              <w:snapToGrid w:val="0"/>
              <w:spacing w:line="500" w:lineRule="exact"/>
              <w:ind w:firstLine="480" w:firstLineChars="200"/>
              <w:jc w:val="left"/>
              <w:rPr>
                <w:b w:val="0"/>
                <w:bCs w:val="0"/>
              </w:rPr>
            </w:pPr>
            <w:r>
              <w:rPr>
                <w:rFonts w:hint="eastAsia"/>
                <w:b w:val="0"/>
              </w:rPr>
              <w:t>废边角料及金属屑</w:t>
            </w:r>
            <w:r>
              <w:rPr>
                <w:rFonts w:hint="eastAsia"/>
                <w:b w:val="0"/>
                <w:bCs w:val="0"/>
              </w:rPr>
              <w:t>：本项目废边角料及金属屑产生量约为1t/a，废边角料及金属屑属于一般固废，集中收集后暂存于厂区一般固废暂存间（10m</w:t>
            </w:r>
            <w:r>
              <w:rPr>
                <w:rFonts w:hint="eastAsia"/>
                <w:b w:val="0"/>
                <w:bCs w:val="0"/>
                <w:vertAlign w:val="superscript"/>
              </w:rPr>
              <w:t>2</w:t>
            </w:r>
            <w:r>
              <w:rPr>
                <w:rFonts w:hint="eastAsia"/>
                <w:b w:val="0"/>
                <w:bCs w:val="0"/>
              </w:rPr>
              <w:t>），定期外售。</w:t>
            </w:r>
          </w:p>
          <w:p>
            <w:pPr>
              <w:pStyle w:val="2"/>
              <w:adjustRightInd w:val="0"/>
              <w:snapToGrid w:val="0"/>
              <w:spacing w:line="500" w:lineRule="exact"/>
              <w:ind w:firstLine="480" w:firstLineChars="200"/>
              <w:jc w:val="left"/>
              <w:rPr>
                <w:rFonts w:hAnsi="宋体"/>
                <w:b w:val="0"/>
              </w:rPr>
            </w:pPr>
            <w:r>
              <w:rPr>
                <w:rFonts w:hint="eastAsia" w:hAnsi="宋体"/>
                <w:b w:val="0"/>
              </w:rPr>
              <w:t>焊渣：根据《机加工行业环境影响评价中常见污染物源强估算及污染治理》，焊渣=焊条使用量×(1/11 +4%)，则本项目焊渣产生量为0.26t/a。焊渣属于一般固废，集中收集后暂存于厂区一般固废暂存间（10m</w:t>
            </w:r>
            <w:r>
              <w:rPr>
                <w:rFonts w:hint="eastAsia" w:hAnsi="宋体"/>
                <w:b w:val="0"/>
                <w:vertAlign w:val="superscript"/>
              </w:rPr>
              <w:t>2</w:t>
            </w:r>
            <w:r>
              <w:rPr>
                <w:rFonts w:hint="eastAsia" w:hAnsi="宋体"/>
                <w:b w:val="0"/>
              </w:rPr>
              <w:t>），定期外售。</w:t>
            </w:r>
          </w:p>
          <w:p>
            <w:pPr>
              <w:pStyle w:val="2"/>
              <w:adjustRightInd w:val="0"/>
              <w:snapToGrid w:val="0"/>
              <w:spacing w:line="500" w:lineRule="exact"/>
              <w:ind w:firstLine="480" w:firstLineChars="200"/>
              <w:jc w:val="both"/>
              <w:rPr>
                <w:rFonts w:hAnsi="宋体"/>
                <w:b w:val="0"/>
              </w:rPr>
            </w:pPr>
            <w:r>
              <w:rPr>
                <w:rFonts w:hint="eastAsia" w:hAnsi="宋体"/>
                <w:b w:val="0"/>
              </w:rPr>
              <w:t>除尘器收尘：本项目除尘系统收集的粉尘约为0.0404t/a，属于一般固废，集中收集后暂存于厂区一般固废暂存间（10m</w:t>
            </w:r>
            <w:r>
              <w:rPr>
                <w:rFonts w:hint="eastAsia" w:hAnsi="宋体"/>
                <w:b w:val="0"/>
                <w:vertAlign w:val="superscript"/>
              </w:rPr>
              <w:t>2</w:t>
            </w:r>
            <w:r>
              <w:rPr>
                <w:rFonts w:hint="eastAsia" w:hAnsi="宋体"/>
                <w:b w:val="0"/>
              </w:rPr>
              <w:t>），定期外售。</w:t>
            </w:r>
          </w:p>
          <w:p>
            <w:pPr>
              <w:pStyle w:val="2"/>
              <w:adjustRightInd w:val="0"/>
              <w:snapToGrid w:val="0"/>
              <w:spacing w:line="500" w:lineRule="exact"/>
              <w:ind w:firstLine="480" w:firstLineChars="200"/>
              <w:jc w:val="both"/>
              <w:rPr>
                <w:rFonts w:hAnsi="宋体"/>
                <w:b w:val="0"/>
              </w:rPr>
            </w:pPr>
            <w:r>
              <w:rPr>
                <w:rFonts w:hint="eastAsia" w:hAnsi="宋体"/>
                <w:b w:val="0"/>
              </w:rPr>
              <w:t>根据建设单位提供的资料，一般固废暂存于一般固废暂存间后统一外售。企业已在厂房区内建设一间10m</w:t>
            </w:r>
            <w:r>
              <w:rPr>
                <w:rFonts w:hint="eastAsia" w:hAnsi="宋体"/>
                <w:b w:val="0"/>
                <w:vertAlign w:val="superscript"/>
              </w:rPr>
              <w:t>2</w:t>
            </w:r>
            <w:r>
              <w:rPr>
                <w:rFonts w:hint="eastAsia" w:hAnsi="宋体"/>
                <w:b w:val="0"/>
              </w:rPr>
              <w:t>一般固废暂存间，其严格按照《一般工业固体废物贮存、处置场污染控制标准》（GB18599-2001）及2013年修改单的相关要求建设，做到防风、防雨、防扬散、防流失、防渗漏等措施，防渗层渗透系数＜10-7cm/s，并进行场地硬化。</w:t>
            </w:r>
          </w:p>
          <w:p>
            <w:pPr>
              <w:adjustRightInd w:val="0"/>
              <w:snapToGrid w:val="0"/>
              <w:spacing w:line="500" w:lineRule="exact"/>
              <w:ind w:firstLine="480" w:firstLineChars="200"/>
              <w:rPr>
                <w:rFonts w:hAnsi="宋体"/>
                <w:bCs/>
                <w:sz w:val="24"/>
              </w:rPr>
            </w:pPr>
            <w:r>
              <w:rPr>
                <w:rFonts w:hint="eastAsia" w:hAnsi="宋体"/>
                <w:bCs/>
                <w:sz w:val="24"/>
              </w:rPr>
              <w:t>（2）危险废物</w:t>
            </w:r>
          </w:p>
          <w:p>
            <w:pPr>
              <w:pStyle w:val="87"/>
              <w:rPr>
                <w:bCs/>
              </w:rPr>
            </w:pPr>
            <w:r>
              <w:rPr>
                <w:rFonts w:hAnsi="宋体"/>
              </w:rPr>
              <w:t>本次评价依据</w:t>
            </w:r>
            <w:r>
              <w:rPr>
                <w:rFonts w:hAnsi="宋体"/>
                <w:bCs/>
              </w:rPr>
              <w:t>根据《建设项目危险废物环境影响评价指南》（环境保护部公告</w:t>
            </w:r>
            <w:r>
              <w:rPr>
                <w:bCs/>
              </w:rPr>
              <w:t>2017</w:t>
            </w:r>
            <w:r>
              <w:rPr>
                <w:rFonts w:hAnsi="宋体"/>
                <w:bCs/>
              </w:rPr>
              <w:t>年第</w:t>
            </w:r>
            <w:r>
              <w:rPr>
                <w:bCs/>
              </w:rPr>
              <w:t>43</w:t>
            </w:r>
            <w:r>
              <w:rPr>
                <w:rFonts w:hAnsi="宋体"/>
                <w:bCs/>
              </w:rPr>
              <w:t>号，</w:t>
            </w:r>
            <w:r>
              <w:rPr>
                <w:bCs/>
              </w:rPr>
              <w:t>2017</w:t>
            </w:r>
            <w:r>
              <w:rPr>
                <w:rFonts w:hAnsi="宋体"/>
                <w:bCs/>
              </w:rPr>
              <w:t>年</w:t>
            </w:r>
            <w:r>
              <w:rPr>
                <w:bCs/>
              </w:rPr>
              <w:t>10</w:t>
            </w:r>
            <w:r>
              <w:rPr>
                <w:rFonts w:hAnsi="宋体"/>
                <w:bCs/>
              </w:rPr>
              <w:t>月</w:t>
            </w:r>
            <w:r>
              <w:rPr>
                <w:bCs/>
              </w:rPr>
              <w:t>1</w:t>
            </w:r>
            <w:r>
              <w:rPr>
                <w:rFonts w:hAnsi="宋体"/>
                <w:bCs/>
              </w:rPr>
              <w:t>日起施行）的要求对项目危险废物环境影响进行分析。</w:t>
            </w:r>
          </w:p>
          <w:p>
            <w:pPr>
              <w:pStyle w:val="87"/>
              <w:rPr>
                <w:bCs/>
              </w:rPr>
            </w:pPr>
            <w:r>
              <w:rPr>
                <w:rFonts w:hAnsi="宋体"/>
                <w:bCs/>
              </w:rPr>
              <w:t>①危险废物产生及处置情况</w:t>
            </w:r>
          </w:p>
          <w:p>
            <w:pPr>
              <w:pStyle w:val="87"/>
            </w:pPr>
            <w:r>
              <w:rPr>
                <w:rFonts w:hAnsi="宋体"/>
              </w:rPr>
              <w:t>根据工程分析，本项目</w:t>
            </w:r>
            <w:r>
              <w:rPr>
                <w:rFonts w:hint="eastAsia"/>
              </w:rPr>
              <w:t>危险废物</w:t>
            </w:r>
            <w:r>
              <w:t>包括：生产工序产生的</w:t>
            </w:r>
            <w:r>
              <w:rPr>
                <w:rFonts w:hint="eastAsia"/>
              </w:rPr>
              <w:t>废切削</w:t>
            </w:r>
            <w:r>
              <w:t>液</w:t>
            </w:r>
            <w:r>
              <w:rPr>
                <w:rFonts w:hint="eastAsia"/>
              </w:rPr>
              <w:t>，设备</w:t>
            </w:r>
            <w:r>
              <w:t>维护</w:t>
            </w:r>
            <w:r>
              <w:rPr>
                <w:rFonts w:hint="eastAsia"/>
              </w:rPr>
              <w:t>产生</w:t>
            </w:r>
            <w:r>
              <w:t>的废</w:t>
            </w:r>
            <w:r>
              <w:rPr>
                <w:rFonts w:hint="eastAsia"/>
              </w:rPr>
              <w:t>润滑油。</w:t>
            </w:r>
          </w:p>
          <w:p>
            <w:pPr>
              <w:pStyle w:val="92"/>
              <w:spacing w:after="62"/>
              <w:ind w:firstLine="472"/>
              <w:rPr>
                <w:sz w:val="24"/>
                <w:szCs w:val="24"/>
              </w:rPr>
            </w:pPr>
            <w:r>
              <w:rPr>
                <w:sz w:val="24"/>
                <w:szCs w:val="24"/>
              </w:rPr>
              <w:t>表</w:t>
            </w:r>
            <w:r>
              <w:rPr>
                <w:rFonts w:hint="eastAsia"/>
                <w:sz w:val="24"/>
                <w:szCs w:val="24"/>
              </w:rPr>
              <w:t xml:space="preserve">46      </w:t>
            </w:r>
            <w:r>
              <w:rPr>
                <w:sz w:val="24"/>
                <w:szCs w:val="24"/>
              </w:rPr>
              <w:t>项目危险废物产生及处置情况一览表</w:t>
            </w:r>
          </w:p>
          <w:tbl>
            <w:tblPr>
              <w:tblStyle w:val="27"/>
              <w:tblW w:w="956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73"/>
              <w:gridCol w:w="1126"/>
              <w:gridCol w:w="1196"/>
              <w:gridCol w:w="1111"/>
              <w:gridCol w:w="801"/>
              <w:gridCol w:w="428"/>
              <w:gridCol w:w="681"/>
              <w:gridCol w:w="679"/>
              <w:gridCol w:w="681"/>
              <w:gridCol w:w="622"/>
              <w:gridCol w:w="11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 w:type="pct"/>
                  <w:vAlign w:val="center"/>
                </w:tcPr>
                <w:p>
                  <w:pPr>
                    <w:topLinePunct/>
                    <w:adjustRightInd w:val="0"/>
                    <w:snapToGrid w:val="0"/>
                    <w:spacing w:line="320" w:lineRule="exact"/>
                    <w:jc w:val="center"/>
                    <w:rPr>
                      <w:b/>
                      <w:kern w:val="0"/>
                      <w:szCs w:val="21"/>
                    </w:rPr>
                  </w:pPr>
                  <w:r>
                    <w:rPr>
                      <w:rFonts w:hAnsi="宋体"/>
                      <w:b/>
                      <w:kern w:val="0"/>
                      <w:szCs w:val="21"/>
                    </w:rPr>
                    <w:t>序号</w:t>
                  </w:r>
                </w:p>
              </w:tc>
              <w:tc>
                <w:tcPr>
                  <w:tcW w:w="358" w:type="pct"/>
                  <w:vAlign w:val="center"/>
                </w:tcPr>
                <w:p>
                  <w:pPr>
                    <w:topLinePunct/>
                    <w:adjustRightInd w:val="0"/>
                    <w:snapToGrid w:val="0"/>
                    <w:spacing w:line="320" w:lineRule="exact"/>
                    <w:jc w:val="center"/>
                    <w:rPr>
                      <w:b/>
                      <w:kern w:val="0"/>
                      <w:szCs w:val="21"/>
                    </w:rPr>
                  </w:pPr>
                  <w:r>
                    <w:rPr>
                      <w:rFonts w:hAnsi="宋体"/>
                      <w:b/>
                      <w:kern w:val="0"/>
                      <w:szCs w:val="21"/>
                    </w:rPr>
                    <w:t>危废名称</w:t>
                  </w:r>
                </w:p>
              </w:tc>
              <w:tc>
                <w:tcPr>
                  <w:tcW w:w="592" w:type="pct"/>
                  <w:vAlign w:val="center"/>
                </w:tcPr>
                <w:p>
                  <w:pPr>
                    <w:topLinePunct/>
                    <w:adjustRightInd w:val="0"/>
                    <w:snapToGrid w:val="0"/>
                    <w:spacing w:line="320" w:lineRule="exact"/>
                    <w:jc w:val="center"/>
                    <w:rPr>
                      <w:b/>
                      <w:kern w:val="0"/>
                      <w:szCs w:val="21"/>
                    </w:rPr>
                  </w:pPr>
                  <w:r>
                    <w:rPr>
                      <w:rFonts w:hAnsi="宋体"/>
                      <w:b/>
                      <w:kern w:val="0"/>
                      <w:szCs w:val="21"/>
                    </w:rPr>
                    <w:t>危险废物类别</w:t>
                  </w:r>
                </w:p>
              </w:tc>
              <w:tc>
                <w:tcPr>
                  <w:tcW w:w="591" w:type="pct"/>
                  <w:vAlign w:val="center"/>
                </w:tcPr>
                <w:p>
                  <w:pPr>
                    <w:topLinePunct/>
                    <w:adjustRightInd w:val="0"/>
                    <w:snapToGrid w:val="0"/>
                    <w:spacing w:line="320" w:lineRule="exact"/>
                    <w:jc w:val="center"/>
                    <w:rPr>
                      <w:b/>
                      <w:kern w:val="0"/>
                      <w:szCs w:val="21"/>
                    </w:rPr>
                  </w:pPr>
                  <w:r>
                    <w:rPr>
                      <w:rFonts w:hAnsi="宋体"/>
                      <w:b/>
                      <w:kern w:val="0"/>
                      <w:szCs w:val="21"/>
                    </w:rPr>
                    <w:t>危险废物</w:t>
                  </w:r>
                </w:p>
                <w:p>
                  <w:pPr>
                    <w:topLinePunct/>
                    <w:adjustRightInd w:val="0"/>
                    <w:snapToGrid w:val="0"/>
                    <w:spacing w:line="320" w:lineRule="exact"/>
                    <w:jc w:val="center"/>
                    <w:rPr>
                      <w:b/>
                      <w:kern w:val="0"/>
                      <w:szCs w:val="21"/>
                    </w:rPr>
                  </w:pPr>
                  <w:r>
                    <w:rPr>
                      <w:rFonts w:hAnsi="宋体"/>
                      <w:b/>
                      <w:kern w:val="0"/>
                      <w:szCs w:val="21"/>
                    </w:rPr>
                    <w:t>代码</w:t>
                  </w:r>
                </w:p>
              </w:tc>
              <w:tc>
                <w:tcPr>
                  <w:tcW w:w="584" w:type="pct"/>
                  <w:vAlign w:val="center"/>
                </w:tcPr>
                <w:p>
                  <w:pPr>
                    <w:topLinePunct/>
                    <w:adjustRightInd w:val="0"/>
                    <w:snapToGrid w:val="0"/>
                    <w:spacing w:line="320" w:lineRule="exact"/>
                    <w:jc w:val="center"/>
                    <w:rPr>
                      <w:b/>
                      <w:kern w:val="0"/>
                      <w:szCs w:val="21"/>
                    </w:rPr>
                  </w:pPr>
                  <w:r>
                    <w:rPr>
                      <w:rFonts w:hAnsi="宋体"/>
                      <w:b/>
                      <w:kern w:val="0"/>
                      <w:szCs w:val="21"/>
                    </w:rPr>
                    <w:t>产生量</w:t>
                  </w:r>
                </w:p>
                <w:p>
                  <w:pPr>
                    <w:topLinePunct/>
                    <w:adjustRightInd w:val="0"/>
                    <w:snapToGrid w:val="0"/>
                    <w:spacing w:line="320" w:lineRule="exact"/>
                    <w:jc w:val="center"/>
                    <w:rPr>
                      <w:b/>
                      <w:kern w:val="0"/>
                      <w:szCs w:val="21"/>
                    </w:rPr>
                  </w:pPr>
                  <w:r>
                    <w:rPr>
                      <w:rFonts w:hAnsi="宋体"/>
                      <w:b/>
                      <w:kern w:val="0"/>
                      <w:szCs w:val="21"/>
                    </w:rPr>
                    <w:t>（吨</w:t>
                  </w:r>
                  <w:r>
                    <w:rPr>
                      <w:b/>
                      <w:kern w:val="0"/>
                      <w:szCs w:val="21"/>
                    </w:rPr>
                    <w:t>/</w:t>
                  </w:r>
                  <w:r>
                    <w:rPr>
                      <w:rFonts w:hAnsi="宋体"/>
                      <w:b/>
                      <w:kern w:val="0"/>
                      <w:szCs w:val="21"/>
                    </w:rPr>
                    <w:t>年）</w:t>
                  </w:r>
                </w:p>
              </w:tc>
              <w:tc>
                <w:tcPr>
                  <w:tcW w:w="422" w:type="pct"/>
                  <w:vAlign w:val="center"/>
                </w:tcPr>
                <w:p>
                  <w:pPr>
                    <w:topLinePunct/>
                    <w:adjustRightInd w:val="0"/>
                    <w:snapToGrid w:val="0"/>
                    <w:spacing w:line="320" w:lineRule="exact"/>
                    <w:jc w:val="center"/>
                    <w:rPr>
                      <w:b/>
                      <w:kern w:val="0"/>
                      <w:szCs w:val="21"/>
                    </w:rPr>
                  </w:pPr>
                  <w:r>
                    <w:rPr>
                      <w:rFonts w:hAnsi="宋体"/>
                      <w:b/>
                      <w:kern w:val="0"/>
                      <w:szCs w:val="21"/>
                    </w:rPr>
                    <w:t>产生工序</w:t>
                  </w:r>
                </w:p>
              </w:tc>
              <w:tc>
                <w:tcPr>
                  <w:tcW w:w="223" w:type="pct"/>
                  <w:vAlign w:val="center"/>
                </w:tcPr>
                <w:p>
                  <w:pPr>
                    <w:topLinePunct/>
                    <w:adjustRightInd w:val="0"/>
                    <w:snapToGrid w:val="0"/>
                    <w:spacing w:line="320" w:lineRule="exact"/>
                    <w:jc w:val="center"/>
                    <w:rPr>
                      <w:b/>
                      <w:kern w:val="0"/>
                      <w:szCs w:val="21"/>
                    </w:rPr>
                  </w:pPr>
                  <w:r>
                    <w:rPr>
                      <w:rFonts w:hAnsi="宋体"/>
                      <w:b/>
                      <w:kern w:val="0"/>
                      <w:szCs w:val="21"/>
                    </w:rPr>
                    <w:t>形态</w:t>
                  </w:r>
                </w:p>
              </w:tc>
              <w:tc>
                <w:tcPr>
                  <w:tcW w:w="359" w:type="pct"/>
                  <w:vAlign w:val="center"/>
                </w:tcPr>
                <w:p>
                  <w:pPr>
                    <w:topLinePunct/>
                    <w:adjustRightInd w:val="0"/>
                    <w:snapToGrid w:val="0"/>
                    <w:spacing w:line="320" w:lineRule="exact"/>
                    <w:jc w:val="center"/>
                    <w:rPr>
                      <w:b/>
                      <w:kern w:val="0"/>
                      <w:szCs w:val="21"/>
                    </w:rPr>
                  </w:pPr>
                  <w:r>
                    <w:rPr>
                      <w:rFonts w:hAnsi="宋体"/>
                      <w:b/>
                      <w:kern w:val="0"/>
                      <w:szCs w:val="21"/>
                    </w:rPr>
                    <w:t>主要成分</w:t>
                  </w:r>
                </w:p>
              </w:tc>
              <w:tc>
                <w:tcPr>
                  <w:tcW w:w="358" w:type="pct"/>
                  <w:vAlign w:val="center"/>
                </w:tcPr>
                <w:p>
                  <w:pPr>
                    <w:topLinePunct/>
                    <w:adjustRightInd w:val="0"/>
                    <w:snapToGrid w:val="0"/>
                    <w:spacing w:line="320" w:lineRule="exact"/>
                    <w:jc w:val="center"/>
                    <w:rPr>
                      <w:b/>
                      <w:kern w:val="0"/>
                      <w:szCs w:val="21"/>
                    </w:rPr>
                  </w:pPr>
                  <w:r>
                    <w:rPr>
                      <w:rFonts w:hAnsi="宋体"/>
                      <w:b/>
                      <w:kern w:val="0"/>
                      <w:szCs w:val="21"/>
                    </w:rPr>
                    <w:t>有害成分</w:t>
                  </w:r>
                </w:p>
              </w:tc>
              <w:tc>
                <w:tcPr>
                  <w:tcW w:w="359" w:type="pct"/>
                  <w:vAlign w:val="center"/>
                </w:tcPr>
                <w:p>
                  <w:pPr>
                    <w:topLinePunct/>
                    <w:adjustRightInd w:val="0"/>
                    <w:snapToGrid w:val="0"/>
                    <w:spacing w:line="320" w:lineRule="exact"/>
                    <w:jc w:val="center"/>
                    <w:rPr>
                      <w:b/>
                      <w:kern w:val="0"/>
                      <w:szCs w:val="21"/>
                    </w:rPr>
                  </w:pPr>
                  <w:r>
                    <w:rPr>
                      <w:rFonts w:hAnsi="宋体"/>
                      <w:b/>
                      <w:kern w:val="0"/>
                      <w:szCs w:val="21"/>
                    </w:rPr>
                    <w:t>产生周期</w:t>
                  </w:r>
                </w:p>
              </w:tc>
              <w:tc>
                <w:tcPr>
                  <w:tcW w:w="328" w:type="pct"/>
                  <w:vAlign w:val="center"/>
                </w:tcPr>
                <w:p>
                  <w:pPr>
                    <w:topLinePunct/>
                    <w:adjustRightInd w:val="0"/>
                    <w:snapToGrid w:val="0"/>
                    <w:spacing w:line="320" w:lineRule="exact"/>
                    <w:jc w:val="center"/>
                    <w:rPr>
                      <w:b/>
                      <w:kern w:val="0"/>
                      <w:szCs w:val="21"/>
                    </w:rPr>
                  </w:pPr>
                  <w:r>
                    <w:rPr>
                      <w:rFonts w:hAnsi="宋体"/>
                      <w:b/>
                      <w:kern w:val="0"/>
                      <w:szCs w:val="21"/>
                    </w:rPr>
                    <w:t>危险</w:t>
                  </w:r>
                </w:p>
                <w:p>
                  <w:pPr>
                    <w:topLinePunct/>
                    <w:adjustRightInd w:val="0"/>
                    <w:snapToGrid w:val="0"/>
                    <w:spacing w:line="320" w:lineRule="exact"/>
                    <w:jc w:val="center"/>
                    <w:rPr>
                      <w:b/>
                      <w:kern w:val="0"/>
                      <w:szCs w:val="21"/>
                    </w:rPr>
                  </w:pPr>
                  <w:r>
                    <w:rPr>
                      <w:rFonts w:hAnsi="宋体"/>
                      <w:b/>
                      <w:kern w:val="0"/>
                      <w:szCs w:val="21"/>
                    </w:rPr>
                    <w:t>特性</w:t>
                  </w:r>
                </w:p>
              </w:tc>
              <w:tc>
                <w:tcPr>
                  <w:tcW w:w="601" w:type="pct"/>
                  <w:vAlign w:val="center"/>
                </w:tcPr>
                <w:p>
                  <w:pPr>
                    <w:topLinePunct/>
                    <w:adjustRightInd w:val="0"/>
                    <w:snapToGrid w:val="0"/>
                    <w:spacing w:line="320" w:lineRule="exact"/>
                    <w:jc w:val="center"/>
                    <w:rPr>
                      <w:b/>
                      <w:kern w:val="0"/>
                      <w:szCs w:val="21"/>
                    </w:rPr>
                  </w:pPr>
                  <w:r>
                    <w:rPr>
                      <w:rFonts w:hAnsi="宋体"/>
                      <w:b/>
                      <w:kern w:val="0"/>
                      <w:szCs w:val="21"/>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 w:type="pct"/>
                  <w:vAlign w:val="center"/>
                </w:tcPr>
                <w:p>
                  <w:pPr>
                    <w:topLinePunct/>
                    <w:adjustRightInd w:val="0"/>
                    <w:snapToGrid w:val="0"/>
                    <w:spacing w:line="320" w:lineRule="exact"/>
                    <w:jc w:val="center"/>
                    <w:rPr>
                      <w:kern w:val="0"/>
                      <w:szCs w:val="21"/>
                    </w:rPr>
                  </w:pPr>
                  <w:r>
                    <w:rPr>
                      <w:kern w:val="0"/>
                      <w:szCs w:val="21"/>
                    </w:rPr>
                    <w:t>1</w:t>
                  </w:r>
                </w:p>
              </w:tc>
              <w:tc>
                <w:tcPr>
                  <w:tcW w:w="358" w:type="pct"/>
                  <w:vAlign w:val="center"/>
                </w:tcPr>
                <w:p>
                  <w:pPr>
                    <w:topLinePunct/>
                    <w:adjustRightInd w:val="0"/>
                    <w:snapToGrid w:val="0"/>
                    <w:spacing w:line="320" w:lineRule="exact"/>
                    <w:jc w:val="center"/>
                    <w:rPr>
                      <w:kern w:val="0"/>
                      <w:szCs w:val="21"/>
                    </w:rPr>
                  </w:pPr>
                  <w:r>
                    <w:rPr>
                      <w:rFonts w:hAnsi="宋体"/>
                      <w:kern w:val="0"/>
                      <w:szCs w:val="21"/>
                    </w:rPr>
                    <w:t>废切削液</w:t>
                  </w:r>
                </w:p>
              </w:tc>
              <w:tc>
                <w:tcPr>
                  <w:tcW w:w="592" w:type="pct"/>
                  <w:vAlign w:val="center"/>
                </w:tcPr>
                <w:p>
                  <w:pPr>
                    <w:topLinePunct/>
                    <w:adjustRightInd w:val="0"/>
                    <w:snapToGrid w:val="0"/>
                    <w:spacing w:line="320" w:lineRule="exact"/>
                    <w:jc w:val="center"/>
                    <w:rPr>
                      <w:kern w:val="0"/>
                      <w:szCs w:val="21"/>
                    </w:rPr>
                  </w:pPr>
                  <w:r>
                    <w:rPr>
                      <w:kern w:val="0"/>
                      <w:szCs w:val="21"/>
                    </w:rPr>
                    <w:t>HW09</w:t>
                  </w:r>
                  <w:r>
                    <w:rPr>
                      <w:rFonts w:hAnsi="宋体"/>
                      <w:kern w:val="0"/>
                      <w:szCs w:val="21"/>
                    </w:rPr>
                    <w:t>油</w:t>
                  </w:r>
                  <w:r>
                    <w:rPr>
                      <w:kern w:val="0"/>
                      <w:szCs w:val="21"/>
                    </w:rPr>
                    <w:t>/</w:t>
                  </w:r>
                  <w:r>
                    <w:rPr>
                      <w:rFonts w:hAnsi="宋体"/>
                      <w:kern w:val="0"/>
                      <w:szCs w:val="21"/>
                    </w:rPr>
                    <w:t>水、烃</w:t>
                  </w:r>
                  <w:r>
                    <w:rPr>
                      <w:kern w:val="0"/>
                      <w:szCs w:val="21"/>
                    </w:rPr>
                    <w:t>/</w:t>
                  </w:r>
                  <w:r>
                    <w:rPr>
                      <w:rFonts w:hAnsi="宋体"/>
                      <w:kern w:val="0"/>
                      <w:szCs w:val="21"/>
                    </w:rPr>
                    <w:t>水混合物或乳化液</w:t>
                  </w:r>
                </w:p>
              </w:tc>
              <w:tc>
                <w:tcPr>
                  <w:tcW w:w="591" w:type="pct"/>
                  <w:vAlign w:val="center"/>
                </w:tcPr>
                <w:p>
                  <w:pPr>
                    <w:topLinePunct/>
                    <w:adjustRightInd w:val="0"/>
                    <w:snapToGrid w:val="0"/>
                    <w:spacing w:line="320" w:lineRule="exact"/>
                    <w:jc w:val="center"/>
                    <w:rPr>
                      <w:kern w:val="0"/>
                      <w:szCs w:val="21"/>
                    </w:rPr>
                  </w:pPr>
                  <w:r>
                    <w:rPr>
                      <w:kern w:val="0"/>
                      <w:szCs w:val="21"/>
                    </w:rPr>
                    <w:t>900-006-09</w:t>
                  </w:r>
                </w:p>
              </w:tc>
              <w:tc>
                <w:tcPr>
                  <w:tcW w:w="584" w:type="pct"/>
                  <w:vAlign w:val="center"/>
                </w:tcPr>
                <w:p>
                  <w:pPr>
                    <w:topLinePunct/>
                    <w:adjustRightInd w:val="0"/>
                    <w:snapToGrid w:val="0"/>
                    <w:spacing w:line="320" w:lineRule="exact"/>
                    <w:jc w:val="center"/>
                    <w:rPr>
                      <w:kern w:val="0"/>
                      <w:szCs w:val="21"/>
                    </w:rPr>
                  </w:pPr>
                  <w:r>
                    <w:rPr>
                      <w:kern w:val="0"/>
                      <w:szCs w:val="21"/>
                    </w:rPr>
                    <w:t>1</w:t>
                  </w:r>
                </w:p>
              </w:tc>
              <w:tc>
                <w:tcPr>
                  <w:tcW w:w="422" w:type="pct"/>
                  <w:vAlign w:val="center"/>
                </w:tcPr>
                <w:p>
                  <w:pPr>
                    <w:topLinePunct/>
                    <w:adjustRightInd w:val="0"/>
                    <w:snapToGrid w:val="0"/>
                    <w:spacing w:line="320" w:lineRule="exact"/>
                    <w:jc w:val="center"/>
                    <w:rPr>
                      <w:kern w:val="0"/>
                      <w:szCs w:val="21"/>
                    </w:rPr>
                  </w:pPr>
                  <w:r>
                    <w:rPr>
                      <w:rFonts w:hAnsi="宋体"/>
                      <w:kern w:val="0"/>
                      <w:szCs w:val="21"/>
                    </w:rPr>
                    <w:t>生产工序</w:t>
                  </w:r>
                </w:p>
              </w:tc>
              <w:tc>
                <w:tcPr>
                  <w:tcW w:w="223" w:type="pct"/>
                  <w:vAlign w:val="center"/>
                </w:tcPr>
                <w:p>
                  <w:pPr>
                    <w:topLinePunct/>
                    <w:adjustRightInd w:val="0"/>
                    <w:snapToGrid w:val="0"/>
                    <w:spacing w:line="320" w:lineRule="exact"/>
                    <w:jc w:val="center"/>
                    <w:rPr>
                      <w:kern w:val="0"/>
                      <w:szCs w:val="21"/>
                    </w:rPr>
                  </w:pPr>
                  <w:r>
                    <w:rPr>
                      <w:rFonts w:hAnsi="宋体"/>
                      <w:kern w:val="0"/>
                      <w:szCs w:val="21"/>
                    </w:rPr>
                    <w:t>液态</w:t>
                  </w:r>
                </w:p>
              </w:tc>
              <w:tc>
                <w:tcPr>
                  <w:tcW w:w="359" w:type="pct"/>
                  <w:vAlign w:val="center"/>
                </w:tcPr>
                <w:p>
                  <w:pPr>
                    <w:topLinePunct/>
                    <w:adjustRightInd w:val="0"/>
                    <w:snapToGrid w:val="0"/>
                    <w:spacing w:line="320" w:lineRule="exact"/>
                    <w:jc w:val="center"/>
                    <w:rPr>
                      <w:kern w:val="0"/>
                      <w:szCs w:val="21"/>
                    </w:rPr>
                  </w:pPr>
                  <w:r>
                    <w:rPr>
                      <w:rFonts w:hAnsi="宋体"/>
                      <w:kern w:val="0"/>
                      <w:szCs w:val="21"/>
                    </w:rPr>
                    <w:t>油、烃</w:t>
                  </w:r>
                </w:p>
              </w:tc>
              <w:tc>
                <w:tcPr>
                  <w:tcW w:w="358" w:type="pct"/>
                  <w:vAlign w:val="center"/>
                </w:tcPr>
                <w:p>
                  <w:pPr>
                    <w:topLinePunct/>
                    <w:adjustRightInd w:val="0"/>
                    <w:snapToGrid w:val="0"/>
                    <w:spacing w:line="320" w:lineRule="exact"/>
                    <w:jc w:val="center"/>
                    <w:rPr>
                      <w:kern w:val="0"/>
                      <w:szCs w:val="21"/>
                    </w:rPr>
                  </w:pPr>
                  <w:r>
                    <w:rPr>
                      <w:rFonts w:hAnsi="宋体"/>
                      <w:kern w:val="0"/>
                      <w:szCs w:val="21"/>
                    </w:rPr>
                    <w:t>油、烃</w:t>
                  </w:r>
                </w:p>
              </w:tc>
              <w:tc>
                <w:tcPr>
                  <w:tcW w:w="359" w:type="pct"/>
                  <w:vAlign w:val="center"/>
                </w:tcPr>
                <w:p>
                  <w:pPr>
                    <w:jc w:val="center"/>
                    <w:rPr>
                      <w:szCs w:val="21"/>
                    </w:rPr>
                  </w:pPr>
                  <w:r>
                    <w:rPr>
                      <w:kern w:val="0"/>
                      <w:szCs w:val="21"/>
                    </w:rPr>
                    <w:t>1</w:t>
                  </w:r>
                  <w:r>
                    <w:rPr>
                      <w:rFonts w:hAnsi="宋体"/>
                      <w:kern w:val="0"/>
                      <w:szCs w:val="21"/>
                    </w:rPr>
                    <w:t>个月</w:t>
                  </w:r>
                </w:p>
              </w:tc>
              <w:tc>
                <w:tcPr>
                  <w:tcW w:w="328" w:type="pct"/>
                  <w:vAlign w:val="center"/>
                </w:tcPr>
                <w:p>
                  <w:pPr>
                    <w:topLinePunct/>
                    <w:adjustRightInd w:val="0"/>
                    <w:snapToGrid w:val="0"/>
                    <w:spacing w:line="320" w:lineRule="exact"/>
                    <w:jc w:val="center"/>
                    <w:rPr>
                      <w:kern w:val="0"/>
                      <w:szCs w:val="21"/>
                    </w:rPr>
                  </w:pPr>
                  <w:r>
                    <w:rPr>
                      <w:kern w:val="0"/>
                      <w:szCs w:val="21"/>
                    </w:rPr>
                    <w:t>T</w:t>
                  </w:r>
                  <w:r>
                    <w:rPr>
                      <w:rFonts w:hAnsi="宋体"/>
                      <w:kern w:val="0"/>
                      <w:szCs w:val="21"/>
                    </w:rPr>
                    <w:t>，</w:t>
                  </w:r>
                  <w:r>
                    <w:rPr>
                      <w:kern w:val="0"/>
                      <w:szCs w:val="21"/>
                    </w:rPr>
                    <w:t>I</w:t>
                  </w:r>
                </w:p>
              </w:tc>
              <w:tc>
                <w:tcPr>
                  <w:tcW w:w="601" w:type="pct"/>
                  <w:vMerge w:val="restart"/>
                  <w:vAlign w:val="center"/>
                </w:tcPr>
                <w:p>
                  <w:pPr>
                    <w:topLinePunct/>
                    <w:adjustRightInd w:val="0"/>
                    <w:snapToGrid w:val="0"/>
                    <w:spacing w:line="320" w:lineRule="exact"/>
                    <w:jc w:val="center"/>
                    <w:rPr>
                      <w:kern w:val="0"/>
                      <w:szCs w:val="21"/>
                    </w:rPr>
                  </w:pPr>
                  <w:r>
                    <w:rPr>
                      <w:rFonts w:hAnsi="宋体"/>
                      <w:szCs w:val="21"/>
                    </w:rPr>
                    <w:t>采用收集桶分类收集在厂区设置的危废暂存间内暂存，定期委托有资质的单位处置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 w:type="pct"/>
                  <w:vAlign w:val="center"/>
                </w:tcPr>
                <w:p>
                  <w:pPr>
                    <w:topLinePunct/>
                    <w:adjustRightInd w:val="0"/>
                    <w:snapToGrid w:val="0"/>
                    <w:spacing w:line="320" w:lineRule="exact"/>
                    <w:jc w:val="center"/>
                    <w:rPr>
                      <w:kern w:val="0"/>
                      <w:szCs w:val="21"/>
                    </w:rPr>
                  </w:pPr>
                  <w:r>
                    <w:rPr>
                      <w:kern w:val="0"/>
                      <w:szCs w:val="21"/>
                    </w:rPr>
                    <w:t>2</w:t>
                  </w:r>
                </w:p>
              </w:tc>
              <w:tc>
                <w:tcPr>
                  <w:tcW w:w="358" w:type="pct"/>
                  <w:vAlign w:val="center"/>
                </w:tcPr>
                <w:p>
                  <w:pPr>
                    <w:topLinePunct/>
                    <w:adjustRightInd w:val="0"/>
                    <w:snapToGrid w:val="0"/>
                    <w:spacing w:line="320" w:lineRule="exact"/>
                    <w:jc w:val="center"/>
                    <w:rPr>
                      <w:kern w:val="0"/>
                      <w:szCs w:val="21"/>
                    </w:rPr>
                  </w:pPr>
                  <w:r>
                    <w:rPr>
                      <w:rFonts w:hAnsi="宋体"/>
                      <w:kern w:val="0"/>
                      <w:szCs w:val="21"/>
                    </w:rPr>
                    <w:t>废润滑油</w:t>
                  </w:r>
                </w:p>
              </w:tc>
              <w:tc>
                <w:tcPr>
                  <w:tcW w:w="592" w:type="pct"/>
                  <w:vAlign w:val="center"/>
                </w:tcPr>
                <w:p>
                  <w:pPr>
                    <w:topLinePunct/>
                    <w:adjustRightInd w:val="0"/>
                    <w:snapToGrid w:val="0"/>
                    <w:spacing w:line="320" w:lineRule="exact"/>
                    <w:jc w:val="center"/>
                    <w:rPr>
                      <w:kern w:val="0"/>
                      <w:szCs w:val="21"/>
                    </w:rPr>
                  </w:pPr>
                  <w:r>
                    <w:rPr>
                      <w:kern w:val="0"/>
                      <w:szCs w:val="21"/>
                    </w:rPr>
                    <w:t>HW08</w:t>
                  </w:r>
                  <w:r>
                    <w:rPr>
                      <w:rFonts w:hAnsi="宋体"/>
                      <w:kern w:val="0"/>
                      <w:szCs w:val="21"/>
                    </w:rPr>
                    <w:t>废矿物油与含矿物油废物</w:t>
                  </w:r>
                </w:p>
              </w:tc>
              <w:tc>
                <w:tcPr>
                  <w:tcW w:w="591" w:type="pct"/>
                  <w:vAlign w:val="center"/>
                </w:tcPr>
                <w:p>
                  <w:pPr>
                    <w:adjustRightInd w:val="0"/>
                    <w:snapToGrid w:val="0"/>
                    <w:spacing w:line="320" w:lineRule="exact"/>
                    <w:jc w:val="center"/>
                    <w:rPr>
                      <w:szCs w:val="21"/>
                    </w:rPr>
                  </w:pPr>
                  <w:r>
                    <w:rPr>
                      <w:szCs w:val="21"/>
                    </w:rPr>
                    <w:t>900-214-08</w:t>
                  </w:r>
                </w:p>
              </w:tc>
              <w:tc>
                <w:tcPr>
                  <w:tcW w:w="584" w:type="pct"/>
                  <w:vAlign w:val="center"/>
                </w:tcPr>
                <w:p>
                  <w:pPr>
                    <w:pStyle w:val="94"/>
                    <w:spacing w:before="190" w:line="320" w:lineRule="exact"/>
                    <w:ind w:firstLine="0" w:firstLineChars="0"/>
                    <w:jc w:val="center"/>
                    <w:rPr>
                      <w:rFonts w:ascii="Times New Roman" w:hAnsi="Times New Roman"/>
                      <w:snapToGrid w:val="0"/>
                      <w:sz w:val="21"/>
                      <w:szCs w:val="21"/>
                    </w:rPr>
                  </w:pPr>
                  <w:r>
                    <w:rPr>
                      <w:rFonts w:ascii="Times New Roman" w:hAnsi="Times New Roman"/>
                      <w:snapToGrid w:val="0"/>
                      <w:sz w:val="21"/>
                      <w:szCs w:val="21"/>
                    </w:rPr>
                    <w:t>0.1</w:t>
                  </w:r>
                </w:p>
              </w:tc>
              <w:tc>
                <w:tcPr>
                  <w:tcW w:w="422" w:type="pct"/>
                  <w:vAlign w:val="center"/>
                </w:tcPr>
                <w:p>
                  <w:pPr>
                    <w:topLinePunct/>
                    <w:adjustRightInd w:val="0"/>
                    <w:snapToGrid w:val="0"/>
                    <w:spacing w:line="320" w:lineRule="exact"/>
                    <w:jc w:val="center"/>
                    <w:rPr>
                      <w:kern w:val="0"/>
                      <w:szCs w:val="21"/>
                    </w:rPr>
                  </w:pPr>
                  <w:r>
                    <w:rPr>
                      <w:rFonts w:hAnsi="宋体"/>
                      <w:kern w:val="0"/>
                      <w:szCs w:val="21"/>
                    </w:rPr>
                    <w:t>设备</w:t>
                  </w:r>
                </w:p>
                <w:p>
                  <w:pPr>
                    <w:topLinePunct/>
                    <w:adjustRightInd w:val="0"/>
                    <w:snapToGrid w:val="0"/>
                    <w:spacing w:line="320" w:lineRule="exact"/>
                    <w:jc w:val="center"/>
                    <w:rPr>
                      <w:kern w:val="0"/>
                      <w:szCs w:val="21"/>
                    </w:rPr>
                  </w:pPr>
                  <w:r>
                    <w:rPr>
                      <w:rFonts w:hAnsi="宋体"/>
                      <w:kern w:val="0"/>
                      <w:szCs w:val="21"/>
                    </w:rPr>
                    <w:t>维护</w:t>
                  </w:r>
                </w:p>
              </w:tc>
              <w:tc>
                <w:tcPr>
                  <w:tcW w:w="223" w:type="pct"/>
                  <w:vAlign w:val="center"/>
                </w:tcPr>
                <w:p>
                  <w:pPr>
                    <w:topLinePunct/>
                    <w:adjustRightInd w:val="0"/>
                    <w:snapToGrid w:val="0"/>
                    <w:spacing w:line="320" w:lineRule="exact"/>
                    <w:jc w:val="center"/>
                    <w:rPr>
                      <w:kern w:val="0"/>
                      <w:szCs w:val="21"/>
                    </w:rPr>
                  </w:pPr>
                  <w:r>
                    <w:rPr>
                      <w:rFonts w:hAnsi="宋体"/>
                      <w:kern w:val="0"/>
                      <w:szCs w:val="21"/>
                    </w:rPr>
                    <w:t>液态</w:t>
                  </w:r>
                </w:p>
              </w:tc>
              <w:tc>
                <w:tcPr>
                  <w:tcW w:w="359" w:type="pct"/>
                  <w:vAlign w:val="center"/>
                </w:tcPr>
                <w:p>
                  <w:pPr>
                    <w:topLinePunct/>
                    <w:adjustRightInd w:val="0"/>
                    <w:snapToGrid w:val="0"/>
                    <w:spacing w:line="320" w:lineRule="exact"/>
                    <w:jc w:val="center"/>
                    <w:rPr>
                      <w:kern w:val="0"/>
                      <w:szCs w:val="21"/>
                    </w:rPr>
                  </w:pPr>
                  <w:r>
                    <w:rPr>
                      <w:rFonts w:hAnsi="宋体"/>
                      <w:kern w:val="0"/>
                      <w:szCs w:val="21"/>
                    </w:rPr>
                    <w:t>矿物油</w:t>
                  </w:r>
                </w:p>
              </w:tc>
              <w:tc>
                <w:tcPr>
                  <w:tcW w:w="358" w:type="pct"/>
                  <w:vAlign w:val="center"/>
                </w:tcPr>
                <w:p>
                  <w:pPr>
                    <w:topLinePunct/>
                    <w:adjustRightInd w:val="0"/>
                    <w:snapToGrid w:val="0"/>
                    <w:spacing w:line="320" w:lineRule="exact"/>
                    <w:jc w:val="center"/>
                    <w:rPr>
                      <w:kern w:val="0"/>
                      <w:szCs w:val="21"/>
                    </w:rPr>
                  </w:pPr>
                  <w:r>
                    <w:rPr>
                      <w:rFonts w:hAnsi="宋体"/>
                      <w:kern w:val="0"/>
                      <w:szCs w:val="21"/>
                    </w:rPr>
                    <w:t>矿物油</w:t>
                  </w:r>
                </w:p>
              </w:tc>
              <w:tc>
                <w:tcPr>
                  <w:tcW w:w="359" w:type="pct"/>
                  <w:vAlign w:val="center"/>
                </w:tcPr>
                <w:p>
                  <w:pPr>
                    <w:topLinePunct/>
                    <w:adjustRightInd w:val="0"/>
                    <w:snapToGrid w:val="0"/>
                    <w:spacing w:line="320" w:lineRule="exact"/>
                    <w:jc w:val="center"/>
                    <w:rPr>
                      <w:kern w:val="0"/>
                      <w:szCs w:val="21"/>
                    </w:rPr>
                  </w:pPr>
                  <w:r>
                    <w:rPr>
                      <w:kern w:val="0"/>
                      <w:szCs w:val="21"/>
                    </w:rPr>
                    <w:t>3</w:t>
                  </w:r>
                  <w:r>
                    <w:rPr>
                      <w:rFonts w:hAnsi="宋体"/>
                      <w:kern w:val="0"/>
                      <w:szCs w:val="21"/>
                    </w:rPr>
                    <w:t>个月</w:t>
                  </w:r>
                </w:p>
              </w:tc>
              <w:tc>
                <w:tcPr>
                  <w:tcW w:w="328" w:type="pct"/>
                  <w:vAlign w:val="center"/>
                </w:tcPr>
                <w:p>
                  <w:pPr>
                    <w:topLinePunct/>
                    <w:adjustRightInd w:val="0"/>
                    <w:snapToGrid w:val="0"/>
                    <w:spacing w:line="320" w:lineRule="exact"/>
                    <w:jc w:val="center"/>
                    <w:rPr>
                      <w:kern w:val="0"/>
                      <w:szCs w:val="21"/>
                    </w:rPr>
                  </w:pPr>
                  <w:r>
                    <w:rPr>
                      <w:kern w:val="0"/>
                      <w:szCs w:val="21"/>
                    </w:rPr>
                    <w:t>T</w:t>
                  </w:r>
                  <w:r>
                    <w:rPr>
                      <w:rFonts w:hAnsi="宋体"/>
                      <w:kern w:val="0"/>
                      <w:szCs w:val="21"/>
                    </w:rPr>
                    <w:t>，</w:t>
                  </w:r>
                  <w:r>
                    <w:rPr>
                      <w:kern w:val="0"/>
                      <w:szCs w:val="21"/>
                    </w:rPr>
                    <w:t>I</w:t>
                  </w:r>
                </w:p>
              </w:tc>
              <w:tc>
                <w:tcPr>
                  <w:tcW w:w="601" w:type="pct"/>
                  <w:vMerge w:val="continue"/>
                  <w:vAlign w:val="center"/>
                </w:tcPr>
                <w:p>
                  <w:pPr>
                    <w:topLinePunct/>
                    <w:adjustRightInd w:val="0"/>
                    <w:snapToGrid w:val="0"/>
                    <w:spacing w:line="320" w:lineRule="exact"/>
                    <w:jc w:val="center"/>
                    <w:rPr>
                      <w:kern w:val="0"/>
                      <w:szCs w:val="21"/>
                    </w:rPr>
                  </w:pPr>
                </w:p>
              </w:tc>
            </w:tr>
          </w:tbl>
          <w:p>
            <w:pPr>
              <w:pStyle w:val="87"/>
              <w:ind w:firstLine="482"/>
              <w:rPr>
                <w:b/>
                <w:szCs w:val="24"/>
              </w:rPr>
            </w:pPr>
            <w:r>
              <w:rPr>
                <w:rFonts w:hAnsi="宋体"/>
                <w:b/>
                <w:szCs w:val="24"/>
              </w:rPr>
              <w:t>②贮存场所污染防治措施</w:t>
            </w:r>
          </w:p>
          <w:p>
            <w:pPr>
              <w:pStyle w:val="87"/>
              <w:rPr>
                <w:szCs w:val="24"/>
              </w:rPr>
            </w:pPr>
            <w:r>
              <w:rPr>
                <w:rFonts w:hAnsi="宋体"/>
                <w:szCs w:val="24"/>
              </w:rPr>
              <w:t>本项目拟建设一间</w:t>
            </w:r>
            <w:r>
              <w:rPr>
                <w:szCs w:val="24"/>
              </w:rPr>
              <w:t>5m</w:t>
            </w:r>
            <w:r>
              <w:rPr>
                <w:szCs w:val="24"/>
                <w:vertAlign w:val="superscript"/>
              </w:rPr>
              <w:t>2</w:t>
            </w:r>
            <w:r>
              <w:rPr>
                <w:rFonts w:hAnsi="宋体"/>
                <w:szCs w:val="24"/>
              </w:rPr>
              <w:t>危废暂存间用于暂存危险废物，项目危废暂存间须满足以下要求：</w:t>
            </w:r>
          </w:p>
          <w:p>
            <w:pPr>
              <w:pStyle w:val="87"/>
              <w:rPr>
                <w:szCs w:val="24"/>
              </w:rPr>
            </w:pPr>
            <w:r>
              <w:rPr>
                <w:szCs w:val="24"/>
              </w:rPr>
              <w:t>a</w:t>
            </w:r>
            <w:r>
              <w:rPr>
                <w:rFonts w:hAnsi="宋体"/>
                <w:szCs w:val="24"/>
              </w:rPr>
              <w:t>、危险废物暂存间须满足地面硬化并铺设有防渗层，满足</w:t>
            </w:r>
            <w:r>
              <w:rPr>
                <w:szCs w:val="24"/>
              </w:rPr>
              <w:t>“</w:t>
            </w:r>
            <w:r>
              <w:rPr>
                <w:rFonts w:hAnsi="宋体"/>
                <w:szCs w:val="24"/>
              </w:rPr>
              <w:t>四防</w:t>
            </w:r>
            <w:r>
              <w:rPr>
                <w:szCs w:val="24"/>
              </w:rPr>
              <w:t>”</w:t>
            </w:r>
            <w:r>
              <w:rPr>
                <w:rFonts w:hAnsi="宋体"/>
                <w:szCs w:val="24"/>
              </w:rPr>
              <w:t>（防风、防雨、防晒、防渗漏）要求，地面和裙脚要用坚固、防渗的材料制造，建筑材料必须与危险废物相容，应满足防渗系数</w:t>
            </w:r>
            <w:r>
              <w:rPr>
                <w:szCs w:val="24"/>
              </w:rPr>
              <w:t>≤10</w:t>
            </w:r>
            <w:r>
              <w:rPr>
                <w:szCs w:val="24"/>
                <w:vertAlign w:val="superscript"/>
              </w:rPr>
              <w:t>-10</w:t>
            </w:r>
            <w:r>
              <w:rPr>
                <w:szCs w:val="24"/>
              </w:rPr>
              <w:t>cm/s</w:t>
            </w:r>
            <w:r>
              <w:rPr>
                <w:rFonts w:hAnsi="宋体"/>
                <w:szCs w:val="24"/>
              </w:rPr>
              <w:t>。危废暂存间必须按</w:t>
            </w:r>
            <w:r>
              <w:rPr>
                <w:szCs w:val="24"/>
              </w:rPr>
              <w:t>GB15562.2</w:t>
            </w:r>
            <w:r>
              <w:rPr>
                <w:rFonts w:hAnsi="宋体"/>
                <w:szCs w:val="24"/>
              </w:rPr>
              <w:t>的规定设置警示标志。</w:t>
            </w:r>
          </w:p>
          <w:p>
            <w:pPr>
              <w:pStyle w:val="87"/>
              <w:rPr>
                <w:szCs w:val="24"/>
              </w:rPr>
            </w:pPr>
            <w:r>
              <w:rPr>
                <w:szCs w:val="24"/>
              </w:rPr>
              <w:t>b</w:t>
            </w:r>
            <w:r>
              <w:rPr>
                <w:rFonts w:hAnsi="宋体"/>
                <w:szCs w:val="24"/>
              </w:rPr>
              <w:t>、建设单位应当使用符合标准的容器盛装危险废物，本项目不同危险废物应采用专用收集桶盛装，收集桶材质和衬里应与危险废物相容（不相互反应）。不同危险废物在暂存间内分区存放，禁止将不相容（相互反应）的危险废物在同一容器内混装，盛装危险废物的容器上必须按照《危险废物贮存污染控制标准》（</w:t>
            </w:r>
            <w:r>
              <w:rPr>
                <w:szCs w:val="24"/>
              </w:rPr>
              <w:t>GB18597-2001</w:t>
            </w:r>
            <w:r>
              <w:rPr>
                <w:rFonts w:hAnsi="宋体"/>
                <w:szCs w:val="24"/>
              </w:rPr>
              <w:t>）中要求粘贴标签。项目收集桶循环使用（不同危废收集桶不得混用），建设单位应定期对盛装容器进行检查，装载危险废物的容器必须完好无损。</w:t>
            </w:r>
          </w:p>
          <w:p>
            <w:pPr>
              <w:pStyle w:val="87"/>
              <w:rPr>
                <w:szCs w:val="24"/>
              </w:rPr>
            </w:pPr>
            <w:r>
              <w:rPr>
                <w:szCs w:val="24"/>
              </w:rPr>
              <w:t>c</w:t>
            </w:r>
            <w:r>
              <w:rPr>
                <w:rFonts w:hAnsi="宋体"/>
                <w:szCs w:val="24"/>
              </w:rPr>
              <w:t>、容器应加盖密闭，不得混装，装载液体危险废物的容器内须留足够空间，容器顶部与液体表面之间保留</w:t>
            </w:r>
            <w:r>
              <w:rPr>
                <w:szCs w:val="24"/>
              </w:rPr>
              <w:t>100</w:t>
            </w:r>
            <w:r>
              <w:rPr>
                <w:rFonts w:hAnsi="宋体"/>
                <w:szCs w:val="24"/>
              </w:rPr>
              <w:t>毫米以上的空间。危险固废储存区应根据不同性质的危废进行分区堆放储存，存储区必须严格按照《危险废物贮存污染控制标准》（</w:t>
            </w:r>
            <w:r>
              <w:rPr>
                <w:szCs w:val="24"/>
              </w:rPr>
              <w:t>GB18597-2001</w:t>
            </w:r>
            <w:r>
              <w:rPr>
                <w:rFonts w:hAnsi="宋体"/>
                <w:szCs w:val="24"/>
              </w:rPr>
              <w:t>）建设和维护使用；</w:t>
            </w:r>
          </w:p>
          <w:p>
            <w:pPr>
              <w:pStyle w:val="87"/>
              <w:rPr>
                <w:szCs w:val="24"/>
              </w:rPr>
            </w:pPr>
            <w:r>
              <w:rPr>
                <w:szCs w:val="24"/>
              </w:rPr>
              <w:t>d</w:t>
            </w:r>
            <w:r>
              <w:rPr>
                <w:rFonts w:hAnsi="宋体"/>
                <w:szCs w:val="24"/>
              </w:rPr>
              <w:t>、建设单位必须严格遵守有关危险废物有关储存的规定，建立一套完整的仓库管理体制，制定危险废物管理台账制度，按照危险废物转移联单管理办法，做好申报转移纪录。应做好危废产生情况记录，详细注明危废名称、种类、数量、理化特性、入库时间、出库时间及接受单位名称，收集固废应详细列出数量和成分，并填写有关材料。禁止建设单位随意处置危废，定期交由有危废处置资质的单位处理危险废物。</w:t>
            </w:r>
          </w:p>
          <w:p>
            <w:pPr>
              <w:pStyle w:val="87"/>
              <w:rPr>
                <w:szCs w:val="24"/>
              </w:rPr>
            </w:pPr>
            <w:r>
              <w:rPr>
                <w:szCs w:val="24"/>
              </w:rPr>
              <w:t>e</w:t>
            </w:r>
            <w:r>
              <w:rPr>
                <w:rFonts w:hAnsi="宋体"/>
                <w:szCs w:val="24"/>
              </w:rPr>
              <w:t>、定期对所贮存的危险废物贮存设施进行检查，发现破损，应及时采取措施清理更换。</w:t>
            </w:r>
          </w:p>
          <w:p>
            <w:pPr>
              <w:pStyle w:val="87"/>
              <w:rPr>
                <w:szCs w:val="24"/>
              </w:rPr>
            </w:pPr>
            <w:r>
              <w:rPr>
                <w:szCs w:val="24"/>
              </w:rPr>
              <w:t>f</w:t>
            </w:r>
            <w:r>
              <w:rPr>
                <w:rFonts w:hAnsi="宋体"/>
                <w:szCs w:val="24"/>
              </w:rPr>
              <w:t>、项目危废主要为易燃物品，危废暂存间周围设置灭火器，同时设置禁烟标志，严禁携带火种进入危废间。</w:t>
            </w:r>
          </w:p>
          <w:p>
            <w:pPr>
              <w:pStyle w:val="87"/>
            </w:pPr>
            <w:r>
              <w:rPr>
                <w:rFonts w:hAnsi="宋体"/>
              </w:rPr>
              <w:t>项目危废暂存间基本情况表见表</w:t>
            </w:r>
            <w:r>
              <w:rPr>
                <w:rFonts w:hint="eastAsia"/>
              </w:rPr>
              <w:t>47</w:t>
            </w:r>
            <w:r>
              <w:rPr>
                <w:rFonts w:hAnsi="宋体"/>
              </w:rPr>
              <w:t>。</w:t>
            </w:r>
          </w:p>
          <w:p>
            <w:pPr>
              <w:pStyle w:val="92"/>
              <w:spacing w:after="62"/>
              <w:ind w:firstLine="472"/>
              <w:rPr>
                <w:sz w:val="24"/>
                <w:szCs w:val="24"/>
              </w:rPr>
            </w:pPr>
            <w:r>
              <w:rPr>
                <w:sz w:val="24"/>
                <w:szCs w:val="24"/>
              </w:rPr>
              <w:t>表</w:t>
            </w:r>
            <w:r>
              <w:rPr>
                <w:rFonts w:hint="eastAsia"/>
                <w:sz w:val="24"/>
                <w:szCs w:val="24"/>
              </w:rPr>
              <w:t xml:space="preserve">47               </w:t>
            </w:r>
            <w:r>
              <w:rPr>
                <w:sz w:val="24"/>
                <w:szCs w:val="24"/>
              </w:rPr>
              <w:t>项目危废暂存间基本情况表</w:t>
            </w:r>
          </w:p>
          <w:tbl>
            <w:tblPr>
              <w:tblStyle w:val="27"/>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931"/>
              <w:gridCol w:w="1430"/>
              <w:gridCol w:w="1034"/>
              <w:gridCol w:w="1329"/>
              <w:gridCol w:w="887"/>
              <w:gridCol w:w="887"/>
              <w:gridCol w:w="737"/>
              <w:gridCol w:w="818"/>
              <w:gridCol w:w="8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trPr>
              <w:tc>
                <w:tcPr>
                  <w:tcW w:w="238" w:type="pct"/>
                  <w:vAlign w:val="center"/>
                </w:tcPr>
                <w:p>
                  <w:pPr>
                    <w:adjustRightInd w:val="0"/>
                    <w:snapToGrid w:val="0"/>
                    <w:spacing w:line="320" w:lineRule="exact"/>
                    <w:jc w:val="center"/>
                    <w:rPr>
                      <w:b/>
                      <w:szCs w:val="21"/>
                    </w:rPr>
                  </w:pPr>
                  <w:r>
                    <w:rPr>
                      <w:b/>
                      <w:szCs w:val="21"/>
                    </w:rPr>
                    <w:t>序号</w:t>
                  </w:r>
                </w:p>
              </w:tc>
              <w:tc>
                <w:tcPr>
                  <w:tcW w:w="499" w:type="pct"/>
                  <w:vAlign w:val="center"/>
                </w:tcPr>
                <w:p>
                  <w:pPr>
                    <w:adjustRightInd w:val="0"/>
                    <w:snapToGrid w:val="0"/>
                    <w:spacing w:line="320" w:lineRule="exact"/>
                    <w:jc w:val="center"/>
                    <w:rPr>
                      <w:b/>
                      <w:szCs w:val="21"/>
                    </w:rPr>
                  </w:pPr>
                  <w:r>
                    <w:rPr>
                      <w:b/>
                      <w:szCs w:val="21"/>
                    </w:rPr>
                    <w:t>贮存场所名称</w:t>
                  </w:r>
                </w:p>
              </w:tc>
              <w:tc>
                <w:tcPr>
                  <w:tcW w:w="766" w:type="pct"/>
                  <w:vAlign w:val="center"/>
                </w:tcPr>
                <w:p>
                  <w:pPr>
                    <w:adjustRightInd w:val="0"/>
                    <w:snapToGrid w:val="0"/>
                    <w:spacing w:line="320" w:lineRule="exact"/>
                    <w:jc w:val="center"/>
                    <w:rPr>
                      <w:b/>
                      <w:szCs w:val="21"/>
                    </w:rPr>
                  </w:pPr>
                  <w:r>
                    <w:rPr>
                      <w:b/>
                      <w:szCs w:val="21"/>
                    </w:rPr>
                    <w:t>危险废物</w:t>
                  </w:r>
                </w:p>
                <w:p>
                  <w:pPr>
                    <w:adjustRightInd w:val="0"/>
                    <w:snapToGrid w:val="0"/>
                    <w:spacing w:line="320" w:lineRule="exact"/>
                    <w:jc w:val="center"/>
                    <w:rPr>
                      <w:b/>
                      <w:szCs w:val="21"/>
                    </w:rPr>
                  </w:pPr>
                  <w:r>
                    <w:rPr>
                      <w:b/>
                      <w:szCs w:val="21"/>
                    </w:rPr>
                    <w:t>名称</w:t>
                  </w:r>
                </w:p>
              </w:tc>
              <w:tc>
                <w:tcPr>
                  <w:tcW w:w="554" w:type="pct"/>
                  <w:vAlign w:val="center"/>
                </w:tcPr>
                <w:p>
                  <w:pPr>
                    <w:adjustRightInd w:val="0"/>
                    <w:snapToGrid w:val="0"/>
                    <w:spacing w:line="320" w:lineRule="exact"/>
                    <w:jc w:val="center"/>
                    <w:rPr>
                      <w:b/>
                      <w:szCs w:val="21"/>
                    </w:rPr>
                  </w:pPr>
                  <w:r>
                    <w:rPr>
                      <w:b/>
                      <w:szCs w:val="21"/>
                    </w:rPr>
                    <w:t>危险废物类别</w:t>
                  </w:r>
                </w:p>
              </w:tc>
              <w:tc>
                <w:tcPr>
                  <w:tcW w:w="712" w:type="pct"/>
                  <w:vAlign w:val="center"/>
                </w:tcPr>
                <w:p>
                  <w:pPr>
                    <w:adjustRightInd w:val="0"/>
                    <w:snapToGrid w:val="0"/>
                    <w:spacing w:line="320" w:lineRule="exact"/>
                    <w:jc w:val="center"/>
                    <w:rPr>
                      <w:b/>
                      <w:szCs w:val="21"/>
                    </w:rPr>
                  </w:pPr>
                  <w:r>
                    <w:rPr>
                      <w:b/>
                      <w:szCs w:val="21"/>
                    </w:rPr>
                    <w:t>危险废物</w:t>
                  </w:r>
                </w:p>
                <w:p>
                  <w:pPr>
                    <w:adjustRightInd w:val="0"/>
                    <w:snapToGrid w:val="0"/>
                    <w:spacing w:line="320" w:lineRule="exact"/>
                    <w:jc w:val="center"/>
                    <w:rPr>
                      <w:b/>
                      <w:szCs w:val="21"/>
                    </w:rPr>
                  </w:pPr>
                  <w:r>
                    <w:rPr>
                      <w:b/>
                      <w:szCs w:val="21"/>
                    </w:rPr>
                    <w:t>代码</w:t>
                  </w:r>
                </w:p>
              </w:tc>
              <w:tc>
                <w:tcPr>
                  <w:tcW w:w="475" w:type="pct"/>
                  <w:vAlign w:val="center"/>
                </w:tcPr>
                <w:p>
                  <w:pPr>
                    <w:adjustRightInd w:val="0"/>
                    <w:snapToGrid w:val="0"/>
                    <w:spacing w:line="320" w:lineRule="exact"/>
                    <w:jc w:val="center"/>
                    <w:rPr>
                      <w:b/>
                      <w:szCs w:val="21"/>
                    </w:rPr>
                  </w:pPr>
                  <w:r>
                    <w:rPr>
                      <w:b/>
                      <w:szCs w:val="21"/>
                    </w:rPr>
                    <w:t>位置</w:t>
                  </w:r>
                </w:p>
              </w:tc>
              <w:tc>
                <w:tcPr>
                  <w:tcW w:w="475" w:type="pct"/>
                  <w:vAlign w:val="center"/>
                </w:tcPr>
                <w:p>
                  <w:pPr>
                    <w:adjustRightInd w:val="0"/>
                    <w:snapToGrid w:val="0"/>
                    <w:spacing w:line="320" w:lineRule="exact"/>
                    <w:jc w:val="center"/>
                    <w:rPr>
                      <w:b/>
                      <w:szCs w:val="21"/>
                    </w:rPr>
                  </w:pPr>
                  <w:r>
                    <w:rPr>
                      <w:b/>
                      <w:szCs w:val="21"/>
                    </w:rPr>
                    <w:t>占地</w:t>
                  </w:r>
                </w:p>
                <w:p>
                  <w:pPr>
                    <w:adjustRightInd w:val="0"/>
                    <w:snapToGrid w:val="0"/>
                    <w:spacing w:line="320" w:lineRule="exact"/>
                    <w:jc w:val="center"/>
                    <w:rPr>
                      <w:b/>
                      <w:szCs w:val="21"/>
                    </w:rPr>
                  </w:pPr>
                  <w:r>
                    <w:rPr>
                      <w:b/>
                      <w:szCs w:val="21"/>
                    </w:rPr>
                    <w:t>面积</w:t>
                  </w:r>
                </w:p>
              </w:tc>
              <w:tc>
                <w:tcPr>
                  <w:tcW w:w="395" w:type="pct"/>
                  <w:vAlign w:val="center"/>
                </w:tcPr>
                <w:p>
                  <w:pPr>
                    <w:adjustRightInd w:val="0"/>
                    <w:snapToGrid w:val="0"/>
                    <w:spacing w:line="320" w:lineRule="exact"/>
                    <w:jc w:val="center"/>
                    <w:rPr>
                      <w:b/>
                      <w:szCs w:val="21"/>
                    </w:rPr>
                  </w:pPr>
                  <w:r>
                    <w:rPr>
                      <w:b/>
                      <w:szCs w:val="21"/>
                    </w:rPr>
                    <w:t>贮存</w:t>
                  </w:r>
                </w:p>
                <w:p>
                  <w:pPr>
                    <w:adjustRightInd w:val="0"/>
                    <w:snapToGrid w:val="0"/>
                    <w:spacing w:line="320" w:lineRule="exact"/>
                    <w:jc w:val="center"/>
                    <w:rPr>
                      <w:b/>
                      <w:szCs w:val="21"/>
                    </w:rPr>
                  </w:pPr>
                  <w:r>
                    <w:rPr>
                      <w:b/>
                      <w:szCs w:val="21"/>
                    </w:rPr>
                    <w:t>方式</w:t>
                  </w:r>
                </w:p>
              </w:tc>
              <w:tc>
                <w:tcPr>
                  <w:tcW w:w="438" w:type="pct"/>
                  <w:vAlign w:val="center"/>
                </w:tcPr>
                <w:p>
                  <w:pPr>
                    <w:adjustRightInd w:val="0"/>
                    <w:snapToGrid w:val="0"/>
                    <w:spacing w:line="320" w:lineRule="exact"/>
                    <w:jc w:val="center"/>
                    <w:rPr>
                      <w:b/>
                      <w:szCs w:val="21"/>
                    </w:rPr>
                  </w:pPr>
                  <w:r>
                    <w:rPr>
                      <w:b/>
                      <w:szCs w:val="21"/>
                    </w:rPr>
                    <w:t>贮存</w:t>
                  </w:r>
                </w:p>
                <w:p>
                  <w:pPr>
                    <w:adjustRightInd w:val="0"/>
                    <w:snapToGrid w:val="0"/>
                    <w:spacing w:line="320" w:lineRule="exact"/>
                    <w:jc w:val="center"/>
                    <w:rPr>
                      <w:b/>
                      <w:szCs w:val="21"/>
                    </w:rPr>
                  </w:pPr>
                  <w:r>
                    <w:rPr>
                      <w:b/>
                      <w:szCs w:val="21"/>
                    </w:rPr>
                    <w:t>能力</w:t>
                  </w:r>
                </w:p>
              </w:tc>
              <w:tc>
                <w:tcPr>
                  <w:tcW w:w="447" w:type="pct"/>
                  <w:vAlign w:val="center"/>
                </w:tcPr>
                <w:p>
                  <w:pPr>
                    <w:adjustRightInd w:val="0"/>
                    <w:snapToGrid w:val="0"/>
                    <w:spacing w:line="320" w:lineRule="exact"/>
                    <w:jc w:val="center"/>
                    <w:rPr>
                      <w:b/>
                      <w:szCs w:val="21"/>
                    </w:rPr>
                  </w:pPr>
                  <w:r>
                    <w:rPr>
                      <w:b/>
                      <w:szCs w:val="21"/>
                    </w:rPr>
                    <w:t>贮存</w:t>
                  </w:r>
                </w:p>
                <w:p>
                  <w:pPr>
                    <w:adjustRightInd w:val="0"/>
                    <w:snapToGrid w:val="0"/>
                    <w:spacing w:line="320" w:lineRule="exact"/>
                    <w:jc w:val="center"/>
                    <w:rPr>
                      <w:b/>
                      <w:szCs w:val="21"/>
                    </w:rPr>
                  </w:pPr>
                  <w:r>
                    <w:rPr>
                      <w:b/>
                      <w:szCs w:val="21"/>
                    </w:rPr>
                    <w:t>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8" w:type="pct"/>
                  <w:vAlign w:val="center"/>
                </w:tcPr>
                <w:p>
                  <w:pPr>
                    <w:adjustRightInd w:val="0"/>
                    <w:snapToGrid w:val="0"/>
                    <w:spacing w:line="320" w:lineRule="exact"/>
                    <w:jc w:val="center"/>
                    <w:rPr>
                      <w:szCs w:val="21"/>
                    </w:rPr>
                  </w:pPr>
                  <w:r>
                    <w:rPr>
                      <w:szCs w:val="21"/>
                    </w:rPr>
                    <w:t>1</w:t>
                  </w:r>
                </w:p>
              </w:tc>
              <w:tc>
                <w:tcPr>
                  <w:tcW w:w="499" w:type="pct"/>
                  <w:vMerge w:val="restart"/>
                  <w:vAlign w:val="center"/>
                </w:tcPr>
                <w:p>
                  <w:pPr>
                    <w:adjustRightInd w:val="0"/>
                    <w:snapToGrid w:val="0"/>
                    <w:spacing w:line="320" w:lineRule="exact"/>
                    <w:jc w:val="center"/>
                    <w:rPr>
                      <w:szCs w:val="21"/>
                    </w:rPr>
                  </w:pPr>
                  <w:r>
                    <w:rPr>
                      <w:szCs w:val="21"/>
                    </w:rPr>
                    <w:t>危废暂存间</w:t>
                  </w:r>
                </w:p>
              </w:tc>
              <w:tc>
                <w:tcPr>
                  <w:tcW w:w="766" w:type="pct"/>
                  <w:vAlign w:val="center"/>
                </w:tcPr>
                <w:p>
                  <w:pPr>
                    <w:topLinePunct/>
                    <w:adjustRightInd w:val="0"/>
                    <w:snapToGrid w:val="0"/>
                    <w:spacing w:line="320" w:lineRule="exact"/>
                    <w:jc w:val="center"/>
                    <w:rPr>
                      <w:kern w:val="0"/>
                      <w:szCs w:val="21"/>
                    </w:rPr>
                  </w:pPr>
                  <w:r>
                    <w:rPr>
                      <w:rFonts w:hint="eastAsia"/>
                      <w:kern w:val="0"/>
                      <w:szCs w:val="21"/>
                    </w:rPr>
                    <w:t>废切削液</w:t>
                  </w:r>
                </w:p>
              </w:tc>
              <w:tc>
                <w:tcPr>
                  <w:tcW w:w="554" w:type="pct"/>
                  <w:vAlign w:val="center"/>
                </w:tcPr>
                <w:p>
                  <w:pPr>
                    <w:adjustRightInd w:val="0"/>
                    <w:snapToGrid w:val="0"/>
                    <w:spacing w:line="320" w:lineRule="exact"/>
                    <w:jc w:val="center"/>
                    <w:rPr>
                      <w:szCs w:val="21"/>
                    </w:rPr>
                  </w:pPr>
                  <w:r>
                    <w:rPr>
                      <w:szCs w:val="21"/>
                    </w:rPr>
                    <w:t>HW0</w:t>
                  </w:r>
                  <w:r>
                    <w:rPr>
                      <w:rFonts w:hint="eastAsia"/>
                      <w:szCs w:val="21"/>
                    </w:rPr>
                    <w:t>9</w:t>
                  </w:r>
                </w:p>
              </w:tc>
              <w:tc>
                <w:tcPr>
                  <w:tcW w:w="712" w:type="pct"/>
                  <w:vAlign w:val="center"/>
                </w:tcPr>
                <w:p>
                  <w:pPr>
                    <w:topLinePunct/>
                    <w:adjustRightInd w:val="0"/>
                    <w:snapToGrid w:val="0"/>
                    <w:spacing w:line="320" w:lineRule="exact"/>
                    <w:jc w:val="center"/>
                    <w:rPr>
                      <w:kern w:val="0"/>
                      <w:szCs w:val="21"/>
                    </w:rPr>
                  </w:pPr>
                  <w:r>
                    <w:rPr>
                      <w:kern w:val="0"/>
                      <w:szCs w:val="21"/>
                    </w:rPr>
                    <w:t>900-006-09</w:t>
                  </w:r>
                </w:p>
              </w:tc>
              <w:tc>
                <w:tcPr>
                  <w:tcW w:w="475" w:type="pct"/>
                  <w:vMerge w:val="restart"/>
                  <w:vAlign w:val="center"/>
                </w:tcPr>
                <w:p>
                  <w:pPr>
                    <w:adjustRightInd w:val="0"/>
                    <w:snapToGrid w:val="0"/>
                    <w:spacing w:line="320" w:lineRule="exact"/>
                    <w:jc w:val="center"/>
                    <w:rPr>
                      <w:szCs w:val="21"/>
                    </w:rPr>
                  </w:pPr>
                  <w:r>
                    <w:rPr>
                      <w:rFonts w:hint="eastAsia"/>
                      <w:szCs w:val="21"/>
                    </w:rPr>
                    <w:t>生产车间</w:t>
                  </w:r>
                </w:p>
              </w:tc>
              <w:tc>
                <w:tcPr>
                  <w:tcW w:w="475" w:type="pct"/>
                  <w:vMerge w:val="restart"/>
                  <w:vAlign w:val="center"/>
                </w:tcPr>
                <w:p>
                  <w:pPr>
                    <w:adjustRightInd w:val="0"/>
                    <w:snapToGrid w:val="0"/>
                    <w:spacing w:line="320" w:lineRule="exact"/>
                    <w:jc w:val="center"/>
                    <w:rPr>
                      <w:szCs w:val="21"/>
                    </w:rPr>
                  </w:pPr>
                  <w:r>
                    <w:rPr>
                      <w:rFonts w:hint="eastAsia"/>
                      <w:szCs w:val="21"/>
                    </w:rPr>
                    <w:t>5</w:t>
                  </w:r>
                  <w:r>
                    <w:rPr>
                      <w:szCs w:val="21"/>
                    </w:rPr>
                    <w:t>m</w:t>
                  </w:r>
                  <w:r>
                    <w:rPr>
                      <w:szCs w:val="21"/>
                      <w:vertAlign w:val="superscript"/>
                    </w:rPr>
                    <w:t>2</w:t>
                  </w:r>
                </w:p>
              </w:tc>
              <w:tc>
                <w:tcPr>
                  <w:tcW w:w="395" w:type="pct"/>
                  <w:vMerge w:val="restart"/>
                  <w:vAlign w:val="center"/>
                </w:tcPr>
                <w:p>
                  <w:pPr>
                    <w:adjustRightInd w:val="0"/>
                    <w:snapToGrid w:val="0"/>
                    <w:spacing w:line="320" w:lineRule="exact"/>
                    <w:jc w:val="center"/>
                    <w:rPr>
                      <w:szCs w:val="21"/>
                    </w:rPr>
                  </w:pPr>
                  <w:r>
                    <w:rPr>
                      <w:szCs w:val="21"/>
                    </w:rPr>
                    <w:t>桶装</w:t>
                  </w:r>
                </w:p>
              </w:tc>
              <w:tc>
                <w:tcPr>
                  <w:tcW w:w="438" w:type="pct"/>
                  <w:vAlign w:val="center"/>
                </w:tcPr>
                <w:p>
                  <w:pPr>
                    <w:adjustRightInd w:val="0"/>
                    <w:snapToGrid w:val="0"/>
                    <w:spacing w:line="320" w:lineRule="exact"/>
                    <w:jc w:val="center"/>
                    <w:rPr>
                      <w:szCs w:val="21"/>
                    </w:rPr>
                  </w:pPr>
                  <w:r>
                    <w:rPr>
                      <w:rFonts w:hint="eastAsia"/>
                      <w:szCs w:val="21"/>
                    </w:rPr>
                    <w:t>1t</w:t>
                  </w:r>
                </w:p>
              </w:tc>
              <w:tc>
                <w:tcPr>
                  <w:tcW w:w="447" w:type="pct"/>
                  <w:vAlign w:val="center"/>
                </w:tcPr>
                <w:p>
                  <w:pPr>
                    <w:adjustRightInd w:val="0"/>
                    <w:snapToGrid w:val="0"/>
                    <w:spacing w:line="320" w:lineRule="exact"/>
                    <w:jc w:val="center"/>
                    <w:rPr>
                      <w:szCs w:val="21"/>
                    </w:rPr>
                  </w:pPr>
                  <w:r>
                    <w:rPr>
                      <w:rFonts w:hint="eastAsia"/>
                      <w:szCs w:val="21"/>
                    </w:rPr>
                    <w:t>1年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8" w:type="pct"/>
                  <w:vAlign w:val="center"/>
                </w:tcPr>
                <w:p>
                  <w:pPr>
                    <w:adjustRightInd w:val="0"/>
                    <w:snapToGrid w:val="0"/>
                    <w:spacing w:line="320" w:lineRule="exact"/>
                    <w:jc w:val="center"/>
                    <w:rPr>
                      <w:szCs w:val="21"/>
                    </w:rPr>
                  </w:pPr>
                  <w:r>
                    <w:rPr>
                      <w:szCs w:val="21"/>
                    </w:rPr>
                    <w:t>2</w:t>
                  </w:r>
                </w:p>
              </w:tc>
              <w:tc>
                <w:tcPr>
                  <w:tcW w:w="499" w:type="pct"/>
                  <w:vMerge w:val="continue"/>
                  <w:vAlign w:val="center"/>
                </w:tcPr>
                <w:p>
                  <w:pPr>
                    <w:adjustRightInd w:val="0"/>
                    <w:snapToGrid w:val="0"/>
                    <w:spacing w:line="320" w:lineRule="exact"/>
                    <w:jc w:val="center"/>
                    <w:rPr>
                      <w:szCs w:val="21"/>
                    </w:rPr>
                  </w:pPr>
                </w:p>
              </w:tc>
              <w:tc>
                <w:tcPr>
                  <w:tcW w:w="766" w:type="pct"/>
                  <w:vAlign w:val="center"/>
                </w:tcPr>
                <w:p>
                  <w:pPr>
                    <w:topLinePunct/>
                    <w:adjustRightInd w:val="0"/>
                    <w:snapToGrid w:val="0"/>
                    <w:spacing w:line="320" w:lineRule="exact"/>
                    <w:jc w:val="center"/>
                    <w:rPr>
                      <w:kern w:val="0"/>
                      <w:szCs w:val="21"/>
                    </w:rPr>
                  </w:pPr>
                  <w:r>
                    <w:rPr>
                      <w:kern w:val="0"/>
                      <w:szCs w:val="21"/>
                    </w:rPr>
                    <w:t>废润滑油</w:t>
                  </w:r>
                </w:p>
              </w:tc>
              <w:tc>
                <w:tcPr>
                  <w:tcW w:w="554" w:type="pct"/>
                  <w:vAlign w:val="center"/>
                </w:tcPr>
                <w:p>
                  <w:pPr>
                    <w:adjustRightInd w:val="0"/>
                    <w:snapToGrid w:val="0"/>
                    <w:spacing w:line="320" w:lineRule="exact"/>
                    <w:jc w:val="center"/>
                    <w:rPr>
                      <w:szCs w:val="21"/>
                    </w:rPr>
                  </w:pPr>
                  <w:r>
                    <w:rPr>
                      <w:szCs w:val="21"/>
                    </w:rPr>
                    <w:t>HW08</w:t>
                  </w:r>
                </w:p>
              </w:tc>
              <w:tc>
                <w:tcPr>
                  <w:tcW w:w="712" w:type="pct"/>
                  <w:vAlign w:val="center"/>
                </w:tcPr>
                <w:p>
                  <w:pPr>
                    <w:adjustRightInd w:val="0"/>
                    <w:snapToGrid w:val="0"/>
                    <w:spacing w:line="320" w:lineRule="exact"/>
                    <w:jc w:val="center"/>
                    <w:rPr>
                      <w:szCs w:val="21"/>
                    </w:rPr>
                  </w:pPr>
                  <w:r>
                    <w:rPr>
                      <w:szCs w:val="21"/>
                    </w:rPr>
                    <w:t>900-214-08</w:t>
                  </w:r>
                </w:p>
              </w:tc>
              <w:tc>
                <w:tcPr>
                  <w:tcW w:w="475" w:type="pct"/>
                  <w:vMerge w:val="continue"/>
                  <w:vAlign w:val="center"/>
                </w:tcPr>
                <w:p>
                  <w:pPr>
                    <w:adjustRightInd w:val="0"/>
                    <w:snapToGrid w:val="0"/>
                    <w:spacing w:line="320" w:lineRule="exact"/>
                    <w:jc w:val="center"/>
                    <w:rPr>
                      <w:szCs w:val="21"/>
                    </w:rPr>
                  </w:pPr>
                </w:p>
              </w:tc>
              <w:tc>
                <w:tcPr>
                  <w:tcW w:w="475" w:type="pct"/>
                  <w:vMerge w:val="continue"/>
                  <w:vAlign w:val="center"/>
                </w:tcPr>
                <w:p>
                  <w:pPr>
                    <w:adjustRightInd w:val="0"/>
                    <w:snapToGrid w:val="0"/>
                    <w:spacing w:line="320" w:lineRule="exact"/>
                    <w:jc w:val="center"/>
                    <w:rPr>
                      <w:szCs w:val="21"/>
                    </w:rPr>
                  </w:pPr>
                </w:p>
              </w:tc>
              <w:tc>
                <w:tcPr>
                  <w:tcW w:w="395" w:type="pct"/>
                  <w:vMerge w:val="continue"/>
                  <w:vAlign w:val="center"/>
                </w:tcPr>
                <w:p>
                  <w:pPr>
                    <w:adjustRightInd w:val="0"/>
                    <w:snapToGrid w:val="0"/>
                    <w:spacing w:line="320" w:lineRule="exact"/>
                    <w:jc w:val="center"/>
                    <w:rPr>
                      <w:szCs w:val="21"/>
                    </w:rPr>
                  </w:pPr>
                </w:p>
              </w:tc>
              <w:tc>
                <w:tcPr>
                  <w:tcW w:w="438" w:type="pct"/>
                  <w:vAlign w:val="center"/>
                </w:tcPr>
                <w:p>
                  <w:pPr>
                    <w:adjustRightInd w:val="0"/>
                    <w:snapToGrid w:val="0"/>
                    <w:spacing w:line="320" w:lineRule="exact"/>
                    <w:jc w:val="center"/>
                    <w:rPr>
                      <w:szCs w:val="21"/>
                    </w:rPr>
                  </w:pPr>
                  <w:r>
                    <w:rPr>
                      <w:rFonts w:hint="eastAsia"/>
                      <w:szCs w:val="21"/>
                    </w:rPr>
                    <w:t>1t</w:t>
                  </w:r>
                </w:p>
              </w:tc>
              <w:tc>
                <w:tcPr>
                  <w:tcW w:w="447" w:type="pct"/>
                  <w:vAlign w:val="center"/>
                </w:tcPr>
                <w:p>
                  <w:pPr>
                    <w:adjustRightInd w:val="0"/>
                    <w:snapToGrid w:val="0"/>
                    <w:spacing w:line="320" w:lineRule="exact"/>
                    <w:jc w:val="center"/>
                    <w:rPr>
                      <w:szCs w:val="21"/>
                    </w:rPr>
                  </w:pPr>
                  <w:r>
                    <w:rPr>
                      <w:rFonts w:hint="eastAsia"/>
                      <w:szCs w:val="21"/>
                    </w:rPr>
                    <w:t>1年</w:t>
                  </w:r>
                </w:p>
              </w:tc>
            </w:tr>
          </w:tbl>
          <w:p>
            <w:pPr>
              <w:pStyle w:val="87"/>
              <w:spacing w:line="480" w:lineRule="exact"/>
            </w:pPr>
            <w:r>
              <w:rPr>
                <w:rFonts w:hint="eastAsia"/>
              </w:rPr>
              <w:t>（</w:t>
            </w:r>
            <w:r>
              <w:t>3</w:t>
            </w:r>
            <w:r>
              <w:rPr>
                <w:rFonts w:hint="eastAsia"/>
              </w:rPr>
              <w:t>）生活垃圾</w:t>
            </w:r>
          </w:p>
          <w:p>
            <w:pPr>
              <w:pStyle w:val="87"/>
            </w:pPr>
            <w:r>
              <w:rPr>
                <w:rFonts w:hint="eastAsia"/>
              </w:rPr>
              <w:t>本项目员工日常生活垃圾</w:t>
            </w:r>
            <w:r>
              <w:t>5</w:t>
            </w:r>
            <w:r>
              <w:rPr>
                <w:rFonts w:hint="eastAsia"/>
              </w:rPr>
              <w:t>kg/d、</w:t>
            </w:r>
            <w:r>
              <w:t>1</w:t>
            </w:r>
            <w:r>
              <w:rPr>
                <w:rFonts w:hint="eastAsia"/>
              </w:rPr>
              <w:t>.5t/a。收集后交环卫部门定期清运。</w:t>
            </w:r>
          </w:p>
          <w:p>
            <w:pPr>
              <w:adjustRightInd w:val="0"/>
              <w:snapToGrid w:val="0"/>
              <w:spacing w:line="500" w:lineRule="exact"/>
              <w:ind w:firstLine="480" w:firstLineChars="200"/>
              <w:rPr>
                <w:snapToGrid w:val="0"/>
                <w:kern w:val="0"/>
                <w:sz w:val="24"/>
              </w:rPr>
            </w:pPr>
            <w:r>
              <w:rPr>
                <w:rFonts w:hint="eastAsia"/>
                <w:snapToGrid w:val="0"/>
                <w:kern w:val="0"/>
                <w:sz w:val="24"/>
              </w:rPr>
              <w:t>本项目固体废物</w:t>
            </w:r>
            <w:r>
              <w:rPr>
                <w:snapToGrid w:val="0"/>
                <w:kern w:val="0"/>
                <w:sz w:val="24"/>
              </w:rPr>
              <w:t>产生及</w:t>
            </w:r>
            <w:r>
              <w:rPr>
                <w:rFonts w:hint="eastAsia"/>
                <w:snapToGrid w:val="0"/>
                <w:kern w:val="0"/>
                <w:sz w:val="24"/>
              </w:rPr>
              <w:t>处理</w:t>
            </w:r>
            <w:r>
              <w:rPr>
                <w:snapToGrid w:val="0"/>
                <w:kern w:val="0"/>
                <w:sz w:val="24"/>
              </w:rPr>
              <w:t>情况详见下表</w:t>
            </w:r>
            <w:r>
              <w:rPr>
                <w:rFonts w:hint="eastAsia"/>
                <w:snapToGrid w:val="0"/>
                <w:kern w:val="0"/>
                <w:sz w:val="24"/>
              </w:rPr>
              <w:t>46</w:t>
            </w:r>
            <w:r>
              <w:rPr>
                <w:snapToGrid w:val="0"/>
                <w:kern w:val="0"/>
                <w:sz w:val="24"/>
              </w:rPr>
              <w:t>。</w:t>
            </w:r>
          </w:p>
          <w:p>
            <w:pPr>
              <w:pStyle w:val="92"/>
              <w:spacing w:after="62"/>
              <w:ind w:firstLine="472"/>
              <w:rPr>
                <w:rFonts w:ascii="宋体" w:hAnsi="宋体"/>
                <w:snapToGrid w:val="0"/>
                <w:sz w:val="24"/>
                <w:szCs w:val="24"/>
              </w:rPr>
            </w:pPr>
            <w:r>
              <w:rPr>
                <w:sz w:val="24"/>
                <w:szCs w:val="24"/>
              </w:rPr>
              <w:t>表</w:t>
            </w:r>
            <w:r>
              <w:rPr>
                <w:rFonts w:hint="eastAsia"/>
                <w:sz w:val="24"/>
                <w:szCs w:val="24"/>
              </w:rPr>
              <w:t>48</w:t>
            </w:r>
            <w:r>
              <w:rPr>
                <w:rFonts w:hint="eastAsia"/>
                <w:snapToGrid w:val="0"/>
                <w:sz w:val="24"/>
                <w:szCs w:val="24"/>
              </w:rPr>
              <w:t xml:space="preserve">          </w:t>
            </w:r>
            <w:r>
              <w:rPr>
                <w:rFonts w:hint="eastAsia" w:ascii="宋体" w:hAnsi="宋体"/>
                <w:snapToGrid w:val="0"/>
                <w:sz w:val="24"/>
                <w:szCs w:val="24"/>
              </w:rPr>
              <w:t>本项目固体</w:t>
            </w:r>
            <w:r>
              <w:rPr>
                <w:rFonts w:ascii="宋体" w:hAnsi="宋体"/>
                <w:snapToGrid w:val="0"/>
                <w:sz w:val="24"/>
                <w:szCs w:val="24"/>
              </w:rPr>
              <w:t>废物产生及处理情况表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127"/>
              <w:gridCol w:w="1417"/>
              <w:gridCol w:w="3403"/>
              <w:gridCol w:w="238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1140" w:type="pct"/>
                  <w:vAlign w:val="center"/>
                </w:tcPr>
                <w:p>
                  <w:pPr>
                    <w:pStyle w:val="89"/>
                    <w:rPr>
                      <w:b/>
                    </w:rPr>
                  </w:pPr>
                  <w:r>
                    <w:rPr>
                      <w:rFonts w:hint="eastAsia"/>
                      <w:b/>
                      <w:snapToGrid w:val="0"/>
                    </w:rPr>
                    <w:t>固废名称</w:t>
                  </w:r>
                </w:p>
              </w:tc>
              <w:tc>
                <w:tcPr>
                  <w:tcW w:w="759" w:type="pct"/>
                  <w:vAlign w:val="center"/>
                </w:tcPr>
                <w:p>
                  <w:pPr>
                    <w:pStyle w:val="89"/>
                    <w:rPr>
                      <w:b/>
                    </w:rPr>
                  </w:pPr>
                  <w:r>
                    <w:rPr>
                      <w:b/>
                    </w:rPr>
                    <w:t>产生量</w:t>
                  </w:r>
                </w:p>
              </w:tc>
              <w:tc>
                <w:tcPr>
                  <w:tcW w:w="1823" w:type="pct"/>
                  <w:vAlign w:val="center"/>
                </w:tcPr>
                <w:p>
                  <w:pPr>
                    <w:pStyle w:val="89"/>
                    <w:rPr>
                      <w:b/>
                    </w:rPr>
                  </w:pPr>
                  <w:r>
                    <w:rPr>
                      <w:rFonts w:hint="eastAsia"/>
                      <w:b/>
                    </w:rPr>
                    <w:t>废物类别</w:t>
                  </w:r>
                </w:p>
              </w:tc>
              <w:tc>
                <w:tcPr>
                  <w:tcW w:w="1279" w:type="pct"/>
                  <w:vAlign w:val="center"/>
                </w:tcPr>
                <w:p>
                  <w:pPr>
                    <w:pStyle w:val="89"/>
                    <w:rPr>
                      <w:b/>
                    </w:rPr>
                  </w:pPr>
                  <w:r>
                    <w:rPr>
                      <w:rFonts w:hint="eastAsia"/>
                      <w:b/>
                    </w:rPr>
                    <w:t>处理</w:t>
                  </w:r>
                  <w:r>
                    <w:rPr>
                      <w:b/>
                    </w:rPr>
                    <w:t>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40" w:type="pct"/>
                  <w:vAlign w:val="center"/>
                </w:tcPr>
                <w:p>
                  <w:pPr>
                    <w:pStyle w:val="89"/>
                  </w:pPr>
                  <w:r>
                    <w:rPr>
                      <w:rFonts w:hint="eastAsia"/>
                    </w:rPr>
                    <w:t>边角料及金属屑</w:t>
                  </w:r>
                </w:p>
              </w:tc>
              <w:tc>
                <w:tcPr>
                  <w:tcW w:w="759" w:type="pct"/>
                  <w:vAlign w:val="center"/>
                </w:tcPr>
                <w:p>
                  <w:pPr>
                    <w:spacing w:line="320" w:lineRule="exact"/>
                    <w:jc w:val="center"/>
                    <w:rPr>
                      <w:szCs w:val="21"/>
                    </w:rPr>
                  </w:pPr>
                  <w:r>
                    <w:rPr>
                      <w:rFonts w:hint="eastAsia"/>
                      <w:szCs w:val="21"/>
                    </w:rPr>
                    <w:t>1 t/a</w:t>
                  </w:r>
                </w:p>
              </w:tc>
              <w:tc>
                <w:tcPr>
                  <w:tcW w:w="1823" w:type="pct"/>
                  <w:vMerge w:val="restart"/>
                  <w:vAlign w:val="center"/>
                </w:tcPr>
                <w:p>
                  <w:pPr>
                    <w:pStyle w:val="89"/>
                  </w:pPr>
                  <w:r>
                    <w:rPr>
                      <w:bCs/>
                    </w:rPr>
                    <w:t>一般固废</w:t>
                  </w:r>
                </w:p>
              </w:tc>
              <w:tc>
                <w:tcPr>
                  <w:tcW w:w="1279" w:type="pct"/>
                  <w:vMerge w:val="restart"/>
                  <w:vAlign w:val="center"/>
                </w:tcPr>
                <w:p>
                  <w:pPr>
                    <w:pStyle w:val="89"/>
                  </w:pPr>
                  <w:r>
                    <w:rPr>
                      <w:rFonts w:hint="eastAsia"/>
                    </w:rPr>
                    <w:t>定期外售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40" w:type="pct"/>
                  <w:vAlign w:val="center"/>
                </w:tcPr>
                <w:p>
                  <w:pPr>
                    <w:pStyle w:val="89"/>
                  </w:pPr>
                  <w:r>
                    <w:rPr>
                      <w:rFonts w:hint="eastAsia"/>
                    </w:rPr>
                    <w:t>焊渣</w:t>
                  </w:r>
                </w:p>
              </w:tc>
              <w:tc>
                <w:tcPr>
                  <w:tcW w:w="759" w:type="pct"/>
                  <w:vAlign w:val="center"/>
                </w:tcPr>
                <w:p>
                  <w:pPr>
                    <w:spacing w:line="320" w:lineRule="exact"/>
                    <w:jc w:val="center"/>
                    <w:rPr>
                      <w:szCs w:val="21"/>
                    </w:rPr>
                  </w:pPr>
                  <w:r>
                    <w:rPr>
                      <w:szCs w:val="21"/>
                    </w:rPr>
                    <w:t>0.2</w:t>
                  </w:r>
                  <w:r>
                    <w:rPr>
                      <w:rFonts w:hint="eastAsia"/>
                      <w:szCs w:val="21"/>
                    </w:rPr>
                    <w:t>6 t/a</w:t>
                  </w:r>
                </w:p>
              </w:tc>
              <w:tc>
                <w:tcPr>
                  <w:tcW w:w="1823" w:type="pct"/>
                  <w:vMerge w:val="continue"/>
                  <w:vAlign w:val="center"/>
                </w:tcPr>
                <w:p>
                  <w:pPr>
                    <w:pStyle w:val="89"/>
                    <w:rPr>
                      <w:bCs/>
                    </w:rPr>
                  </w:pPr>
                </w:p>
              </w:tc>
              <w:tc>
                <w:tcPr>
                  <w:tcW w:w="1279" w:type="pct"/>
                  <w:vMerge w:val="continue"/>
                  <w:vAlign w:val="center"/>
                </w:tcPr>
                <w:p>
                  <w:pPr>
                    <w:pStyle w:val="89"/>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40" w:type="pct"/>
                  <w:vAlign w:val="center"/>
                </w:tcPr>
                <w:p>
                  <w:pPr>
                    <w:pStyle w:val="89"/>
                  </w:pPr>
                  <w:r>
                    <w:rPr>
                      <w:rFonts w:hint="eastAsia"/>
                    </w:rPr>
                    <w:t>除尘系统收集</w:t>
                  </w:r>
                  <w:r>
                    <w:t>的</w:t>
                  </w:r>
                  <w:r>
                    <w:rPr>
                      <w:rFonts w:hint="eastAsia"/>
                    </w:rPr>
                    <w:t>粉尘</w:t>
                  </w:r>
                </w:p>
              </w:tc>
              <w:tc>
                <w:tcPr>
                  <w:tcW w:w="759" w:type="pct"/>
                  <w:vAlign w:val="center"/>
                </w:tcPr>
                <w:p>
                  <w:pPr>
                    <w:spacing w:line="320" w:lineRule="exact"/>
                    <w:jc w:val="center"/>
                    <w:rPr>
                      <w:szCs w:val="21"/>
                    </w:rPr>
                  </w:pPr>
                  <w:r>
                    <w:rPr>
                      <w:szCs w:val="21"/>
                    </w:rPr>
                    <w:t>0.0</w:t>
                  </w:r>
                  <w:r>
                    <w:rPr>
                      <w:rFonts w:hint="eastAsia"/>
                      <w:szCs w:val="21"/>
                    </w:rPr>
                    <w:t>404t/a</w:t>
                  </w:r>
                </w:p>
              </w:tc>
              <w:tc>
                <w:tcPr>
                  <w:tcW w:w="1823" w:type="pct"/>
                  <w:vMerge w:val="continue"/>
                  <w:vAlign w:val="center"/>
                </w:tcPr>
                <w:p>
                  <w:pPr>
                    <w:pStyle w:val="89"/>
                    <w:rPr>
                      <w:bCs/>
                    </w:rPr>
                  </w:pPr>
                </w:p>
              </w:tc>
              <w:tc>
                <w:tcPr>
                  <w:tcW w:w="1279" w:type="pct"/>
                  <w:vMerge w:val="continue"/>
                  <w:vAlign w:val="center"/>
                </w:tcPr>
                <w:p>
                  <w:pPr>
                    <w:pStyle w:val="89"/>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1140" w:type="pct"/>
                  <w:vAlign w:val="center"/>
                </w:tcPr>
                <w:p>
                  <w:pPr>
                    <w:pStyle w:val="89"/>
                  </w:pPr>
                  <w:r>
                    <w:rPr>
                      <w:rFonts w:hint="eastAsia"/>
                    </w:rPr>
                    <w:t>废切削液</w:t>
                  </w:r>
                </w:p>
              </w:tc>
              <w:tc>
                <w:tcPr>
                  <w:tcW w:w="759" w:type="pct"/>
                  <w:vAlign w:val="center"/>
                </w:tcPr>
                <w:p>
                  <w:pPr>
                    <w:spacing w:line="320" w:lineRule="exact"/>
                    <w:jc w:val="center"/>
                    <w:rPr>
                      <w:szCs w:val="21"/>
                    </w:rPr>
                  </w:pPr>
                  <w:r>
                    <w:rPr>
                      <w:rFonts w:hint="eastAsia"/>
                      <w:szCs w:val="21"/>
                    </w:rPr>
                    <w:t>1t/a</w:t>
                  </w:r>
                </w:p>
              </w:tc>
              <w:tc>
                <w:tcPr>
                  <w:tcW w:w="1823" w:type="pct"/>
                  <w:vAlign w:val="center"/>
                </w:tcPr>
                <w:p>
                  <w:pPr>
                    <w:pStyle w:val="89"/>
                    <w:rPr>
                      <w:bCs/>
                    </w:rPr>
                  </w:pPr>
                  <w:r>
                    <w:rPr>
                      <w:rFonts w:hint="eastAsia"/>
                      <w:bCs/>
                    </w:rPr>
                    <w:t>危险废物HW</w:t>
                  </w:r>
                  <w:r>
                    <w:rPr>
                      <w:bCs/>
                    </w:rPr>
                    <w:t>09</w:t>
                  </w:r>
                  <w:r>
                    <w:rPr>
                      <w:rFonts w:hint="eastAsia"/>
                      <w:bCs/>
                    </w:rPr>
                    <w:t>（</w:t>
                  </w:r>
                  <w:r>
                    <w:rPr>
                      <w:bCs/>
                    </w:rPr>
                    <w:t>900-006-09</w:t>
                  </w:r>
                  <w:r>
                    <w:rPr>
                      <w:rFonts w:hint="eastAsia"/>
                      <w:bCs/>
                    </w:rPr>
                    <w:t>）</w:t>
                  </w:r>
                </w:p>
              </w:tc>
              <w:tc>
                <w:tcPr>
                  <w:tcW w:w="1279" w:type="pct"/>
                  <w:vMerge w:val="restart"/>
                  <w:vAlign w:val="center"/>
                </w:tcPr>
                <w:p>
                  <w:pPr>
                    <w:pStyle w:val="89"/>
                  </w:pPr>
                  <w:r>
                    <w:rPr>
                      <w:rFonts w:hint="eastAsia"/>
                    </w:rPr>
                    <w:t>危废暂存间暂存，定期交由有资质单位处置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40" w:type="pct"/>
                  <w:vAlign w:val="center"/>
                </w:tcPr>
                <w:p>
                  <w:pPr>
                    <w:pStyle w:val="89"/>
                  </w:pPr>
                  <w:r>
                    <w:rPr>
                      <w:rFonts w:hint="eastAsia"/>
                    </w:rPr>
                    <w:t>废润滑油</w:t>
                  </w:r>
                </w:p>
              </w:tc>
              <w:tc>
                <w:tcPr>
                  <w:tcW w:w="759" w:type="pct"/>
                  <w:vAlign w:val="center"/>
                </w:tcPr>
                <w:p>
                  <w:pPr>
                    <w:spacing w:line="320" w:lineRule="exact"/>
                    <w:jc w:val="center"/>
                    <w:rPr>
                      <w:szCs w:val="21"/>
                    </w:rPr>
                  </w:pPr>
                  <w:r>
                    <w:rPr>
                      <w:szCs w:val="21"/>
                    </w:rPr>
                    <w:t>0.1</w:t>
                  </w:r>
                  <w:r>
                    <w:rPr>
                      <w:rFonts w:hint="eastAsia"/>
                      <w:szCs w:val="21"/>
                    </w:rPr>
                    <w:t>t/a</w:t>
                  </w:r>
                </w:p>
              </w:tc>
              <w:tc>
                <w:tcPr>
                  <w:tcW w:w="1823" w:type="pct"/>
                  <w:vAlign w:val="center"/>
                </w:tcPr>
                <w:p>
                  <w:pPr>
                    <w:pStyle w:val="89"/>
                  </w:pPr>
                  <w:r>
                    <w:rPr>
                      <w:rFonts w:hint="eastAsia"/>
                    </w:rPr>
                    <w:t>危险废物</w:t>
                  </w:r>
                  <w:r>
                    <w:t>HW08</w:t>
                  </w:r>
                  <w:r>
                    <w:rPr>
                      <w:rFonts w:hint="eastAsia"/>
                    </w:rPr>
                    <w:t>（</w:t>
                  </w:r>
                  <w:r>
                    <w:t>900-214-08</w:t>
                  </w:r>
                  <w:r>
                    <w:rPr>
                      <w:rFonts w:hint="eastAsia"/>
                    </w:rPr>
                    <w:t>）</w:t>
                  </w:r>
                </w:p>
              </w:tc>
              <w:tc>
                <w:tcPr>
                  <w:tcW w:w="1279" w:type="pct"/>
                  <w:vMerge w:val="continue"/>
                  <w:vAlign w:val="center"/>
                </w:tcPr>
                <w:p>
                  <w:pPr>
                    <w:pStyle w:val="89"/>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1140" w:type="pct"/>
                  <w:vAlign w:val="center"/>
                </w:tcPr>
                <w:p>
                  <w:pPr>
                    <w:pStyle w:val="89"/>
                  </w:pPr>
                  <w:r>
                    <w:rPr>
                      <w:rFonts w:hint="eastAsia"/>
                    </w:rPr>
                    <w:t>生活垃圾</w:t>
                  </w:r>
                </w:p>
              </w:tc>
              <w:tc>
                <w:tcPr>
                  <w:tcW w:w="759" w:type="pct"/>
                  <w:vAlign w:val="center"/>
                </w:tcPr>
                <w:p>
                  <w:pPr>
                    <w:spacing w:line="320" w:lineRule="exact"/>
                    <w:jc w:val="center"/>
                    <w:rPr>
                      <w:szCs w:val="21"/>
                    </w:rPr>
                  </w:pPr>
                  <w:r>
                    <w:rPr>
                      <w:szCs w:val="21"/>
                    </w:rPr>
                    <w:t>1</w:t>
                  </w:r>
                  <w:r>
                    <w:rPr>
                      <w:rFonts w:hint="eastAsia"/>
                      <w:szCs w:val="21"/>
                    </w:rPr>
                    <w:t>.5t/a</w:t>
                  </w:r>
                </w:p>
              </w:tc>
              <w:tc>
                <w:tcPr>
                  <w:tcW w:w="1823" w:type="pct"/>
                  <w:vAlign w:val="center"/>
                </w:tcPr>
                <w:p>
                  <w:pPr>
                    <w:pStyle w:val="89"/>
                  </w:pPr>
                  <w:r>
                    <w:rPr>
                      <w:rFonts w:hint="eastAsia"/>
                    </w:rPr>
                    <w:t>生活垃圾</w:t>
                  </w:r>
                </w:p>
              </w:tc>
              <w:tc>
                <w:tcPr>
                  <w:tcW w:w="1279" w:type="pct"/>
                  <w:vAlign w:val="center"/>
                </w:tcPr>
                <w:p>
                  <w:pPr>
                    <w:pStyle w:val="89"/>
                  </w:pPr>
                  <w:r>
                    <w:rPr>
                      <w:rFonts w:hint="eastAsia"/>
                    </w:rPr>
                    <w:t>环卫部门定期清运</w:t>
                  </w:r>
                </w:p>
              </w:tc>
            </w:tr>
          </w:tbl>
          <w:p>
            <w:pPr>
              <w:pStyle w:val="2"/>
              <w:adjustRightInd w:val="0"/>
              <w:snapToGrid w:val="0"/>
              <w:spacing w:line="500" w:lineRule="exact"/>
              <w:ind w:firstLine="480" w:firstLineChars="200"/>
              <w:jc w:val="left"/>
              <w:rPr>
                <w:b w:val="0"/>
              </w:rPr>
            </w:pPr>
            <w:r>
              <w:rPr>
                <w:rFonts w:hint="eastAsia"/>
                <w:b w:val="0"/>
              </w:rPr>
              <w:t>综上所述</w:t>
            </w:r>
            <w:r>
              <w:rPr>
                <w:b w:val="0"/>
              </w:rPr>
              <w:t>，</w:t>
            </w:r>
            <w:r>
              <w:rPr>
                <w:rFonts w:hint="eastAsia"/>
                <w:b w:val="0"/>
              </w:rPr>
              <w:t>本项目</w:t>
            </w:r>
            <w:r>
              <w:rPr>
                <w:b w:val="0"/>
              </w:rPr>
              <w:t>产生的固体废物</w:t>
            </w:r>
            <w:r>
              <w:rPr>
                <w:rFonts w:hint="eastAsia"/>
                <w:b w:val="0"/>
              </w:rPr>
              <w:t>均</w:t>
            </w:r>
            <w:r>
              <w:rPr>
                <w:b w:val="0"/>
              </w:rPr>
              <w:t>能够得到</w:t>
            </w:r>
            <w:r>
              <w:rPr>
                <w:rFonts w:hint="eastAsia"/>
                <w:b w:val="0"/>
              </w:rPr>
              <w:t>合理</w:t>
            </w:r>
            <w:r>
              <w:rPr>
                <w:b w:val="0"/>
              </w:rPr>
              <w:t>处置</w:t>
            </w:r>
            <w:r>
              <w:rPr>
                <w:rFonts w:hint="eastAsia"/>
                <w:b w:val="0"/>
              </w:rPr>
              <w:t>，对周围环境影响较小。</w:t>
            </w:r>
          </w:p>
          <w:p>
            <w:pPr>
              <w:adjustRightInd w:val="0"/>
              <w:snapToGrid w:val="0"/>
              <w:spacing w:line="500" w:lineRule="exact"/>
              <w:rPr>
                <w:rFonts w:hAnsi="宋体"/>
                <w:b/>
                <w:bCs/>
                <w:sz w:val="24"/>
              </w:rPr>
            </w:pPr>
            <w:r>
              <w:rPr>
                <w:rFonts w:hint="eastAsia" w:hAnsi="宋体"/>
                <w:b/>
                <w:bCs/>
                <w:sz w:val="24"/>
              </w:rPr>
              <w:t>4</w:t>
            </w:r>
            <w:r>
              <w:rPr>
                <w:rFonts w:hAnsi="宋体"/>
                <w:b/>
                <w:bCs/>
                <w:sz w:val="24"/>
              </w:rPr>
              <w:t>.地下水环境影响</w:t>
            </w:r>
          </w:p>
          <w:p>
            <w:pPr>
              <w:adjustRightInd w:val="0"/>
              <w:snapToGrid w:val="0"/>
              <w:spacing w:line="500" w:lineRule="exact"/>
              <w:ind w:firstLine="480" w:firstLineChars="200"/>
              <w:rPr>
                <w:color w:val="000000"/>
                <w:sz w:val="24"/>
              </w:rPr>
            </w:pPr>
            <w:r>
              <w:rPr>
                <w:rFonts w:hAnsi="宋体"/>
                <w:color w:val="000000"/>
                <w:sz w:val="24"/>
              </w:rPr>
              <w:t>根据《环境影响评价技术导则</w:t>
            </w:r>
            <w:r>
              <w:rPr>
                <w:color w:val="000000"/>
                <w:sz w:val="24"/>
              </w:rPr>
              <w:t xml:space="preserve"> </w:t>
            </w:r>
            <w:r>
              <w:rPr>
                <w:rFonts w:hAnsi="宋体"/>
                <w:color w:val="000000"/>
                <w:sz w:val="24"/>
              </w:rPr>
              <w:t>地下水环境》（</w:t>
            </w:r>
            <w:r>
              <w:rPr>
                <w:color w:val="000000"/>
                <w:sz w:val="24"/>
              </w:rPr>
              <w:t>HJ610-2016</w:t>
            </w:r>
            <w:r>
              <w:rPr>
                <w:rFonts w:hAnsi="宋体"/>
                <w:color w:val="000000"/>
                <w:sz w:val="24"/>
              </w:rPr>
              <w:t>）中一般性原则规定：将建设项目分为四类，</w:t>
            </w:r>
            <w:r>
              <w:rPr>
                <w:color w:val="000000"/>
                <w:sz w:val="24"/>
              </w:rPr>
              <w:t>I</w:t>
            </w:r>
            <w:r>
              <w:rPr>
                <w:rFonts w:hAnsi="宋体"/>
                <w:color w:val="000000"/>
                <w:sz w:val="24"/>
              </w:rPr>
              <w:t>类、</w:t>
            </w:r>
            <w:r>
              <w:rPr>
                <w:color w:val="000000"/>
                <w:sz w:val="24"/>
              </w:rPr>
              <w:t>II</w:t>
            </w:r>
            <w:r>
              <w:rPr>
                <w:rFonts w:hAnsi="宋体"/>
                <w:color w:val="000000"/>
                <w:sz w:val="24"/>
              </w:rPr>
              <w:t>类、</w:t>
            </w:r>
            <w:r>
              <w:rPr>
                <w:color w:val="000000"/>
                <w:sz w:val="24"/>
              </w:rPr>
              <w:t>III</w:t>
            </w:r>
            <w:r>
              <w:rPr>
                <w:rFonts w:hAnsi="宋体"/>
                <w:color w:val="000000"/>
                <w:sz w:val="24"/>
              </w:rPr>
              <w:t>类建设项目的地下水环境影响评价应执行本标准，</w:t>
            </w:r>
            <w:r>
              <w:rPr>
                <w:color w:val="000000"/>
                <w:sz w:val="24"/>
              </w:rPr>
              <w:t>IV</w:t>
            </w:r>
            <w:r>
              <w:rPr>
                <w:rFonts w:hAnsi="宋体"/>
                <w:color w:val="000000"/>
                <w:sz w:val="24"/>
              </w:rPr>
              <w:t>类建设项目不开展地下水环境影响评价。查《环境影响评价技术导则</w:t>
            </w:r>
            <w:r>
              <w:rPr>
                <w:color w:val="000000"/>
                <w:sz w:val="24"/>
              </w:rPr>
              <w:t xml:space="preserve"> </w:t>
            </w:r>
            <w:r>
              <w:rPr>
                <w:rFonts w:hAnsi="宋体"/>
                <w:color w:val="000000"/>
                <w:sz w:val="24"/>
              </w:rPr>
              <w:t>地下水环境》（</w:t>
            </w:r>
            <w:r>
              <w:rPr>
                <w:color w:val="000000"/>
                <w:sz w:val="24"/>
              </w:rPr>
              <w:t>HJ610-2016</w:t>
            </w:r>
            <w:r>
              <w:rPr>
                <w:rFonts w:hAnsi="宋体"/>
                <w:color w:val="000000"/>
                <w:sz w:val="24"/>
              </w:rPr>
              <w:t>）附录</w:t>
            </w:r>
            <w:r>
              <w:rPr>
                <w:color w:val="000000"/>
                <w:sz w:val="24"/>
              </w:rPr>
              <w:t>A</w:t>
            </w:r>
            <w:r>
              <w:rPr>
                <w:rFonts w:hAnsi="宋体"/>
                <w:color w:val="000000"/>
                <w:sz w:val="24"/>
              </w:rPr>
              <w:t>可知，本项目属于</w:t>
            </w:r>
            <w:r>
              <w:rPr>
                <w:color w:val="000000"/>
                <w:sz w:val="24"/>
              </w:rPr>
              <w:t>“</w:t>
            </w:r>
            <w:r>
              <w:rPr>
                <w:rFonts w:hint="eastAsia"/>
                <w:color w:val="000000"/>
                <w:sz w:val="24"/>
              </w:rPr>
              <w:t>K机械、电子</w:t>
            </w:r>
            <w:r>
              <w:rPr>
                <w:color w:val="000000"/>
                <w:sz w:val="24"/>
              </w:rPr>
              <w:t>”</w:t>
            </w:r>
            <w:r>
              <w:rPr>
                <w:rFonts w:hAnsi="宋体"/>
                <w:color w:val="000000"/>
                <w:sz w:val="24"/>
              </w:rPr>
              <w:t>中</w:t>
            </w:r>
            <w:r>
              <w:rPr>
                <w:color w:val="000000"/>
                <w:sz w:val="24"/>
              </w:rPr>
              <w:t>“</w:t>
            </w:r>
            <w:r>
              <w:rPr>
                <w:rFonts w:hint="eastAsia"/>
                <w:color w:val="000000"/>
                <w:sz w:val="24"/>
              </w:rPr>
              <w:t>71</w:t>
            </w:r>
            <w:r>
              <w:rPr>
                <w:rFonts w:hAnsi="宋体"/>
                <w:color w:val="000000"/>
                <w:sz w:val="24"/>
              </w:rPr>
              <w:t>、</w:t>
            </w:r>
            <w:r>
              <w:rPr>
                <w:rFonts w:hint="eastAsia" w:hAnsi="宋体"/>
                <w:bCs/>
                <w:sz w:val="24"/>
              </w:rPr>
              <w:t>通用、专用设备制造及维修</w:t>
            </w:r>
            <w:r>
              <w:rPr>
                <w:color w:val="000000"/>
                <w:sz w:val="24"/>
              </w:rPr>
              <w:t>”</w:t>
            </w:r>
            <w:r>
              <w:rPr>
                <w:rFonts w:hAnsi="宋体"/>
                <w:color w:val="000000"/>
                <w:sz w:val="24"/>
              </w:rPr>
              <w:t>的</w:t>
            </w:r>
            <w:r>
              <w:rPr>
                <w:color w:val="000000"/>
                <w:sz w:val="24"/>
              </w:rPr>
              <w:t>“</w:t>
            </w:r>
            <w:r>
              <w:rPr>
                <w:rFonts w:hint="eastAsia" w:hAnsi="宋体"/>
                <w:color w:val="000000"/>
                <w:sz w:val="24"/>
              </w:rPr>
              <w:t>其他</w:t>
            </w:r>
            <w:r>
              <w:rPr>
                <w:color w:val="000000"/>
                <w:sz w:val="24"/>
              </w:rPr>
              <w:t>”</w:t>
            </w:r>
            <w:r>
              <w:rPr>
                <w:rFonts w:hAnsi="宋体"/>
                <w:color w:val="000000"/>
                <w:sz w:val="24"/>
              </w:rPr>
              <w:t>，地下水环境影响评价项目类别为Ⅳ类。根据导则中</w:t>
            </w:r>
            <w:r>
              <w:rPr>
                <w:color w:val="000000"/>
                <w:sz w:val="24"/>
              </w:rPr>
              <w:t>4.1</w:t>
            </w:r>
            <w:r>
              <w:rPr>
                <w:rFonts w:hAnsi="宋体"/>
                <w:color w:val="000000"/>
                <w:sz w:val="24"/>
              </w:rPr>
              <w:t>一般性原则：Ⅳ类建设项目不开展地下水环境影响评价，故本项目不需开展地下水环境影响评价。</w:t>
            </w:r>
          </w:p>
          <w:p>
            <w:pPr>
              <w:spacing w:line="500" w:lineRule="exact"/>
              <w:ind w:firstLine="480" w:firstLineChars="200"/>
              <w:rPr>
                <w:sz w:val="24"/>
              </w:rPr>
            </w:pPr>
            <w:r>
              <w:rPr>
                <w:rFonts w:hint="eastAsia"/>
                <w:sz w:val="24"/>
              </w:rPr>
              <w:t>根据《环境影响评价技术导则 地下水环境》（HJ610-2016）地下水污染分区防渗与防渗技术要求，本项目防渗要求见表49。</w:t>
            </w:r>
          </w:p>
          <w:p>
            <w:pPr>
              <w:pStyle w:val="92"/>
              <w:spacing w:after="62"/>
              <w:ind w:firstLine="472"/>
              <w:rPr>
                <w:rFonts w:ascii="宋体" w:hAnsi="宋体"/>
                <w:snapToGrid w:val="0"/>
                <w:sz w:val="24"/>
                <w:szCs w:val="24"/>
              </w:rPr>
            </w:pPr>
            <w:bookmarkStart w:id="0" w:name="_Ref496004185"/>
            <w:r>
              <w:rPr>
                <w:rFonts w:hint="eastAsia" w:ascii="宋体" w:hAnsi="宋体"/>
                <w:snapToGrid w:val="0"/>
                <w:sz w:val="24"/>
                <w:szCs w:val="24"/>
              </w:rPr>
              <w:t>表</w:t>
            </w:r>
            <w:bookmarkEnd w:id="0"/>
            <w:r>
              <w:rPr>
                <w:rFonts w:hint="eastAsia"/>
                <w:snapToGrid w:val="0"/>
                <w:sz w:val="24"/>
                <w:szCs w:val="24"/>
              </w:rPr>
              <w:t>49</w:t>
            </w:r>
            <w:r>
              <w:rPr>
                <w:rFonts w:hint="eastAsia" w:ascii="宋体" w:hAnsi="宋体"/>
                <w:snapToGrid w:val="0"/>
                <w:sz w:val="24"/>
                <w:szCs w:val="24"/>
              </w:rPr>
              <w:t xml:space="preserve">         本项目防渗分区及防渗等级一览表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725"/>
              <w:gridCol w:w="50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pct"/>
                  <w:vAlign w:val="center"/>
                </w:tcPr>
                <w:p>
                  <w:pPr>
                    <w:adjustRightInd w:val="0"/>
                    <w:snapToGrid w:val="0"/>
                    <w:spacing w:line="320" w:lineRule="exact"/>
                    <w:jc w:val="center"/>
                    <w:rPr>
                      <w:b/>
                      <w:szCs w:val="21"/>
                    </w:rPr>
                  </w:pPr>
                  <w:r>
                    <w:rPr>
                      <w:rFonts w:hAnsi="宋体"/>
                      <w:b/>
                      <w:szCs w:val="21"/>
                    </w:rPr>
                    <w:t>分区</w:t>
                  </w:r>
                </w:p>
              </w:tc>
              <w:tc>
                <w:tcPr>
                  <w:tcW w:w="1460" w:type="pct"/>
                  <w:vAlign w:val="center"/>
                </w:tcPr>
                <w:p>
                  <w:pPr>
                    <w:adjustRightInd w:val="0"/>
                    <w:snapToGrid w:val="0"/>
                    <w:spacing w:line="320" w:lineRule="exact"/>
                    <w:jc w:val="center"/>
                    <w:rPr>
                      <w:b/>
                      <w:szCs w:val="21"/>
                    </w:rPr>
                  </w:pPr>
                  <w:r>
                    <w:rPr>
                      <w:rFonts w:hAnsi="宋体"/>
                      <w:b/>
                      <w:szCs w:val="21"/>
                    </w:rPr>
                    <w:t>厂内分区</w:t>
                  </w:r>
                </w:p>
              </w:tc>
              <w:tc>
                <w:tcPr>
                  <w:tcW w:w="2705" w:type="pct"/>
                  <w:vAlign w:val="center"/>
                </w:tcPr>
                <w:p>
                  <w:pPr>
                    <w:adjustRightInd w:val="0"/>
                    <w:snapToGrid w:val="0"/>
                    <w:spacing w:line="320" w:lineRule="exact"/>
                    <w:jc w:val="center"/>
                    <w:rPr>
                      <w:b/>
                      <w:szCs w:val="21"/>
                    </w:rPr>
                  </w:pPr>
                  <w:r>
                    <w:rPr>
                      <w:rFonts w:hAnsi="宋体"/>
                      <w:b/>
                      <w:szCs w:val="21"/>
                    </w:rPr>
                    <w:t>防渗等级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pct"/>
                  <w:vAlign w:val="center"/>
                </w:tcPr>
                <w:p>
                  <w:pPr>
                    <w:adjustRightInd w:val="0"/>
                    <w:snapToGrid w:val="0"/>
                    <w:spacing w:line="320" w:lineRule="exact"/>
                    <w:jc w:val="center"/>
                    <w:rPr>
                      <w:szCs w:val="21"/>
                    </w:rPr>
                  </w:pPr>
                  <w:r>
                    <w:rPr>
                      <w:rFonts w:hAnsi="宋体"/>
                      <w:szCs w:val="21"/>
                    </w:rPr>
                    <w:t>重点防渗区</w:t>
                  </w:r>
                </w:p>
              </w:tc>
              <w:tc>
                <w:tcPr>
                  <w:tcW w:w="1460" w:type="pct"/>
                  <w:vAlign w:val="center"/>
                </w:tcPr>
                <w:p>
                  <w:pPr>
                    <w:adjustRightInd w:val="0"/>
                    <w:snapToGrid w:val="0"/>
                    <w:spacing w:line="320" w:lineRule="exact"/>
                    <w:jc w:val="center"/>
                    <w:rPr>
                      <w:szCs w:val="21"/>
                    </w:rPr>
                  </w:pPr>
                  <w:r>
                    <w:rPr>
                      <w:rFonts w:hAnsi="宋体"/>
                      <w:szCs w:val="21"/>
                    </w:rPr>
                    <w:t>危废暂存间</w:t>
                  </w:r>
                </w:p>
              </w:tc>
              <w:tc>
                <w:tcPr>
                  <w:tcW w:w="2705" w:type="pct"/>
                  <w:vAlign w:val="center"/>
                </w:tcPr>
                <w:p>
                  <w:pPr>
                    <w:adjustRightInd w:val="0"/>
                    <w:snapToGrid w:val="0"/>
                    <w:spacing w:line="320" w:lineRule="exact"/>
                    <w:jc w:val="center"/>
                    <w:rPr>
                      <w:szCs w:val="21"/>
                    </w:rPr>
                  </w:pPr>
                  <w:r>
                    <w:rPr>
                      <w:rFonts w:hAnsi="宋体"/>
                      <w:szCs w:val="21"/>
                    </w:rPr>
                    <w:t>危险废物暂存间防渗层至少为</w:t>
                  </w:r>
                  <w:r>
                    <w:rPr>
                      <w:szCs w:val="21"/>
                    </w:rPr>
                    <w:t>1m</w:t>
                  </w:r>
                  <w:r>
                    <w:rPr>
                      <w:rFonts w:hAnsi="宋体"/>
                      <w:szCs w:val="21"/>
                    </w:rPr>
                    <w:t>厚粘土层（渗透系数</w:t>
                  </w:r>
                  <w:r>
                    <w:rPr>
                      <w:szCs w:val="21"/>
                    </w:rPr>
                    <w:t>≤10</w:t>
                  </w:r>
                  <w:r>
                    <w:rPr>
                      <w:szCs w:val="21"/>
                      <w:vertAlign w:val="superscript"/>
                    </w:rPr>
                    <w:t>-7</w:t>
                  </w:r>
                  <w:r>
                    <w:rPr>
                      <w:szCs w:val="21"/>
                    </w:rPr>
                    <w:t>cm/s</w:t>
                  </w:r>
                  <w:r>
                    <w:rPr>
                      <w:rFonts w:hAnsi="宋体"/>
                      <w:szCs w:val="21"/>
                    </w:rPr>
                    <w:t>），或</w:t>
                  </w:r>
                  <w:r>
                    <w:rPr>
                      <w:szCs w:val="21"/>
                    </w:rPr>
                    <w:t>2mm</w:t>
                  </w:r>
                  <w:r>
                    <w:rPr>
                      <w:rFonts w:hAnsi="宋体"/>
                      <w:szCs w:val="21"/>
                    </w:rPr>
                    <w:t>厚高密度聚乙烯，或至少</w:t>
                  </w:r>
                  <w:r>
                    <w:rPr>
                      <w:szCs w:val="21"/>
                    </w:rPr>
                    <w:t>2mm</w:t>
                  </w:r>
                  <w:r>
                    <w:rPr>
                      <w:rFonts w:hAnsi="宋体"/>
                      <w:szCs w:val="21"/>
                    </w:rPr>
                    <w:t>厚其他人工材料，渗透系数</w:t>
                  </w:r>
                  <w:r>
                    <w:rPr>
                      <w:szCs w:val="21"/>
                    </w:rPr>
                    <w:t>≤10</w:t>
                  </w:r>
                  <w:r>
                    <w:rPr>
                      <w:szCs w:val="21"/>
                      <w:vertAlign w:val="superscript"/>
                    </w:rPr>
                    <w:t>-10</w:t>
                  </w:r>
                  <w:r>
                    <w:rPr>
                      <w:szCs w:val="21"/>
                    </w:rPr>
                    <w:t>cm/s</w:t>
                  </w:r>
                  <w:r>
                    <w:rPr>
                      <w:rFonts w:hAnsi="宋体"/>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pct"/>
                  <w:vAlign w:val="center"/>
                </w:tcPr>
                <w:p>
                  <w:pPr>
                    <w:adjustRightInd w:val="0"/>
                    <w:snapToGrid w:val="0"/>
                    <w:spacing w:line="320" w:lineRule="exact"/>
                    <w:jc w:val="center"/>
                    <w:rPr>
                      <w:szCs w:val="21"/>
                    </w:rPr>
                  </w:pPr>
                  <w:r>
                    <w:rPr>
                      <w:rFonts w:hAnsi="宋体"/>
                      <w:szCs w:val="21"/>
                    </w:rPr>
                    <w:t>一般防渗区</w:t>
                  </w:r>
                </w:p>
              </w:tc>
              <w:tc>
                <w:tcPr>
                  <w:tcW w:w="1460" w:type="pct"/>
                  <w:vAlign w:val="center"/>
                </w:tcPr>
                <w:p>
                  <w:pPr>
                    <w:adjustRightInd w:val="0"/>
                    <w:snapToGrid w:val="0"/>
                    <w:spacing w:line="320" w:lineRule="exact"/>
                    <w:jc w:val="center"/>
                    <w:rPr>
                      <w:szCs w:val="21"/>
                    </w:rPr>
                  </w:pPr>
                  <w:r>
                    <w:rPr>
                      <w:rFonts w:hAnsi="宋体"/>
                      <w:szCs w:val="21"/>
                    </w:rPr>
                    <w:t>生产车间</w:t>
                  </w:r>
                </w:p>
              </w:tc>
              <w:tc>
                <w:tcPr>
                  <w:tcW w:w="2705" w:type="pct"/>
                  <w:vAlign w:val="center"/>
                </w:tcPr>
                <w:p>
                  <w:pPr>
                    <w:adjustRightInd w:val="0"/>
                    <w:snapToGrid w:val="0"/>
                    <w:spacing w:line="320" w:lineRule="exact"/>
                    <w:jc w:val="center"/>
                    <w:rPr>
                      <w:szCs w:val="21"/>
                    </w:rPr>
                  </w:pPr>
                  <w:r>
                    <w:rPr>
                      <w:rFonts w:hAnsi="宋体"/>
                      <w:szCs w:val="21"/>
                    </w:rPr>
                    <w:t>等效黏土防渗层</w:t>
                  </w:r>
                  <w:r>
                    <w:rPr>
                      <w:szCs w:val="21"/>
                    </w:rPr>
                    <w:t>Mb≥1.5m</w:t>
                  </w:r>
                  <w:r>
                    <w:rPr>
                      <w:rFonts w:hAnsi="宋体"/>
                      <w:szCs w:val="21"/>
                    </w:rPr>
                    <w:t>，</w:t>
                  </w:r>
                  <w:r>
                    <w:rPr>
                      <w:szCs w:val="21"/>
                    </w:rPr>
                    <w:t>K≤1×10</w:t>
                  </w:r>
                  <w:r>
                    <w:rPr>
                      <w:szCs w:val="21"/>
                      <w:vertAlign w:val="superscript"/>
                    </w:rPr>
                    <w:t>-7</w:t>
                  </w:r>
                  <w:r>
                    <w:rPr>
                      <w:szCs w:val="21"/>
                    </w:rPr>
                    <w:t>cm/s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pct"/>
                  <w:vAlign w:val="center"/>
                </w:tcPr>
                <w:p>
                  <w:pPr>
                    <w:adjustRightInd w:val="0"/>
                    <w:snapToGrid w:val="0"/>
                    <w:spacing w:line="320" w:lineRule="exact"/>
                    <w:jc w:val="center"/>
                    <w:rPr>
                      <w:szCs w:val="21"/>
                    </w:rPr>
                  </w:pPr>
                  <w:r>
                    <w:rPr>
                      <w:rFonts w:hAnsi="宋体"/>
                      <w:szCs w:val="21"/>
                    </w:rPr>
                    <w:t>简单防渗区</w:t>
                  </w:r>
                </w:p>
              </w:tc>
              <w:tc>
                <w:tcPr>
                  <w:tcW w:w="1460" w:type="pct"/>
                  <w:vAlign w:val="center"/>
                </w:tcPr>
                <w:p>
                  <w:pPr>
                    <w:adjustRightInd w:val="0"/>
                    <w:snapToGrid w:val="0"/>
                    <w:spacing w:line="320" w:lineRule="exact"/>
                    <w:jc w:val="center"/>
                    <w:rPr>
                      <w:szCs w:val="21"/>
                    </w:rPr>
                  </w:pPr>
                  <w:r>
                    <w:rPr>
                      <w:rFonts w:hAnsi="宋体"/>
                      <w:szCs w:val="21"/>
                    </w:rPr>
                    <w:t>办公区管理区、厂区道路</w:t>
                  </w:r>
                </w:p>
              </w:tc>
              <w:tc>
                <w:tcPr>
                  <w:tcW w:w="2705" w:type="pct"/>
                  <w:vAlign w:val="center"/>
                </w:tcPr>
                <w:p>
                  <w:pPr>
                    <w:adjustRightInd w:val="0"/>
                    <w:snapToGrid w:val="0"/>
                    <w:spacing w:line="320" w:lineRule="exact"/>
                    <w:jc w:val="center"/>
                    <w:rPr>
                      <w:szCs w:val="21"/>
                    </w:rPr>
                  </w:pPr>
                  <w:r>
                    <w:rPr>
                      <w:rFonts w:hAnsi="宋体"/>
                      <w:szCs w:val="21"/>
                    </w:rPr>
                    <w:t>一般地面硬化</w:t>
                  </w:r>
                </w:p>
              </w:tc>
            </w:tr>
          </w:tbl>
          <w:p>
            <w:pPr>
              <w:adjustRightInd w:val="0"/>
              <w:snapToGrid w:val="0"/>
              <w:spacing w:line="500" w:lineRule="exact"/>
              <w:ind w:firstLine="470" w:firstLineChars="196"/>
              <w:rPr>
                <w:b/>
                <w:snapToGrid w:val="0"/>
                <w:kern w:val="0"/>
                <w:sz w:val="24"/>
              </w:rPr>
            </w:pPr>
            <w:r>
              <w:rPr>
                <w:rFonts w:hint="eastAsia"/>
                <w:sz w:val="24"/>
              </w:rPr>
              <w:t>本项目污染物排放简单，在落实好防渗、防污措施后，本项目污染物对地下水水质影响较小。</w:t>
            </w:r>
          </w:p>
          <w:p>
            <w:pPr>
              <w:adjustRightInd w:val="0"/>
              <w:snapToGrid w:val="0"/>
              <w:spacing w:line="500" w:lineRule="exact"/>
              <w:rPr>
                <w:b/>
                <w:bCs/>
                <w:sz w:val="24"/>
              </w:rPr>
            </w:pPr>
            <w:r>
              <w:rPr>
                <w:rFonts w:hint="eastAsia"/>
                <w:b/>
                <w:bCs/>
                <w:sz w:val="24"/>
              </w:rPr>
              <w:t>5.</w:t>
            </w:r>
            <w:r>
              <w:rPr>
                <w:rFonts w:hAnsi="宋体"/>
                <w:b/>
                <w:bCs/>
                <w:sz w:val="24"/>
              </w:rPr>
              <w:t>土壤环境影响</w:t>
            </w:r>
          </w:p>
          <w:p>
            <w:pPr>
              <w:adjustRightInd w:val="0"/>
              <w:snapToGrid w:val="0"/>
              <w:spacing w:line="500" w:lineRule="exact"/>
              <w:ind w:firstLine="480" w:firstLineChars="200"/>
              <w:rPr>
                <w:sz w:val="24"/>
              </w:rPr>
            </w:pPr>
            <w:r>
              <w:rPr>
                <w:rFonts w:hAnsi="宋体"/>
                <w:sz w:val="24"/>
              </w:rPr>
              <w:t>本项目为</w:t>
            </w:r>
            <w:r>
              <w:rPr>
                <w:rFonts w:hint="eastAsia" w:hAnsi="宋体"/>
                <w:sz w:val="24"/>
              </w:rPr>
              <w:t>专用设备制造业</w:t>
            </w:r>
            <w:r>
              <w:rPr>
                <w:rFonts w:hAnsi="宋体"/>
                <w:bCs/>
                <w:sz w:val="24"/>
              </w:rPr>
              <w:t>，根据《环境影响评价技术导则</w:t>
            </w:r>
            <w:r>
              <w:rPr>
                <w:bCs/>
                <w:sz w:val="24"/>
              </w:rPr>
              <w:t xml:space="preserve"> </w:t>
            </w:r>
            <w:r>
              <w:rPr>
                <w:rFonts w:hAnsi="宋体"/>
                <w:bCs/>
                <w:sz w:val="24"/>
              </w:rPr>
              <w:t>土壤环境</w:t>
            </w:r>
            <w:r>
              <w:rPr>
                <w:bCs/>
                <w:sz w:val="24"/>
              </w:rPr>
              <w:t>(</w:t>
            </w:r>
            <w:r>
              <w:rPr>
                <w:rFonts w:hAnsi="宋体"/>
                <w:bCs/>
                <w:sz w:val="24"/>
              </w:rPr>
              <w:t>试行</w:t>
            </w:r>
            <w:r>
              <w:rPr>
                <w:bCs/>
                <w:sz w:val="24"/>
              </w:rPr>
              <w:t>)</w:t>
            </w:r>
            <w:r>
              <w:rPr>
                <w:rFonts w:hAnsi="宋体"/>
                <w:bCs/>
                <w:sz w:val="24"/>
              </w:rPr>
              <w:t>》</w:t>
            </w:r>
            <w:r>
              <w:rPr>
                <w:bCs/>
                <w:sz w:val="24"/>
              </w:rPr>
              <w:t>(HJ964-2018)</w:t>
            </w:r>
            <w:r>
              <w:rPr>
                <w:rFonts w:hAnsi="宋体"/>
                <w:bCs/>
                <w:sz w:val="24"/>
              </w:rPr>
              <w:t>，</w:t>
            </w:r>
            <w:r>
              <w:rPr>
                <w:rFonts w:hAnsi="宋体"/>
                <w:sz w:val="24"/>
              </w:rPr>
              <w:t>土壤环境影响评价项目类别为</w:t>
            </w:r>
            <w:r>
              <w:rPr>
                <w:sz w:val="24"/>
              </w:rPr>
              <w:t>“</w:t>
            </w:r>
            <w:r>
              <w:rPr>
                <w:rFonts w:hAnsi="宋体"/>
                <w:sz w:val="24"/>
              </w:rPr>
              <w:t>其他</w:t>
            </w:r>
            <w:r>
              <w:rPr>
                <w:sz w:val="24"/>
              </w:rPr>
              <w:t>”</w:t>
            </w:r>
            <w:r>
              <w:rPr>
                <w:rFonts w:hAnsi="宋体"/>
                <w:sz w:val="24"/>
              </w:rPr>
              <w:t>，为</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3 \* ROMAN</w:instrText>
            </w:r>
            <w:r>
              <w:rPr>
                <w:rFonts w:ascii="宋体" w:hAnsi="宋体"/>
                <w:sz w:val="24"/>
              </w:rPr>
              <w:instrText xml:space="preserve"> </w:instrText>
            </w:r>
            <w:r>
              <w:rPr>
                <w:rFonts w:ascii="宋体" w:hAnsi="宋体"/>
                <w:sz w:val="24"/>
              </w:rPr>
              <w:fldChar w:fldCharType="separate"/>
            </w:r>
            <w:r>
              <w:rPr>
                <w:rFonts w:ascii="宋体" w:hAnsi="宋体"/>
                <w:sz w:val="24"/>
              </w:rPr>
              <w:t>III</w:t>
            </w:r>
            <w:r>
              <w:rPr>
                <w:rFonts w:ascii="宋体" w:hAnsi="宋体"/>
                <w:sz w:val="24"/>
              </w:rPr>
              <w:fldChar w:fldCharType="end"/>
            </w:r>
            <w:r>
              <w:rPr>
                <w:rFonts w:hAnsi="宋体"/>
                <w:sz w:val="24"/>
              </w:rPr>
              <w:t>类建设项目。</w:t>
            </w:r>
          </w:p>
          <w:p>
            <w:pPr>
              <w:adjustRightInd w:val="0"/>
              <w:snapToGrid w:val="0"/>
              <w:spacing w:line="500" w:lineRule="exact"/>
              <w:ind w:firstLine="480" w:firstLineChars="200"/>
              <w:rPr>
                <w:sz w:val="24"/>
              </w:rPr>
            </w:pPr>
            <w:r>
              <w:rPr>
                <w:rFonts w:hAnsi="宋体"/>
                <w:sz w:val="24"/>
              </w:rPr>
              <w:t>现状调查范围为</w:t>
            </w:r>
            <w:r>
              <w:rPr>
                <w:sz w:val="24"/>
              </w:rPr>
              <w:t>0.05km</w:t>
            </w:r>
            <w:r>
              <w:rPr>
                <w:rFonts w:hAnsi="宋体"/>
                <w:sz w:val="24"/>
              </w:rPr>
              <w:t>之内，</w:t>
            </w:r>
            <w:r>
              <w:rPr>
                <w:rFonts w:hint="eastAsia" w:hAnsi="宋体"/>
                <w:sz w:val="24"/>
              </w:rPr>
              <w:t>东</w:t>
            </w:r>
            <w:r>
              <w:rPr>
                <w:rFonts w:hint="eastAsia"/>
                <w:sz w:val="24"/>
              </w:rPr>
              <w:t>侧为恒宇路，隔路为巨强封头，南侧为农田，西侧为新乡市宏阳防水材料有限公司，北侧为新乡市恒宇机械振动有限责任公司</w:t>
            </w:r>
            <w:r>
              <w:rPr>
                <w:rFonts w:hint="eastAsia" w:hAnsi="宋体"/>
                <w:sz w:val="24"/>
              </w:rPr>
              <w:t>，故</w:t>
            </w:r>
            <w:r>
              <w:rPr>
                <w:rFonts w:hAnsi="宋体"/>
                <w:sz w:val="24"/>
              </w:rPr>
              <w:t>本项目土壤环境敏感程度为</w:t>
            </w:r>
            <w:r>
              <w:rPr>
                <w:rFonts w:hint="eastAsia" w:hAnsi="宋体"/>
                <w:sz w:val="24"/>
              </w:rPr>
              <w:t>较</w:t>
            </w:r>
            <w:r>
              <w:rPr>
                <w:rFonts w:hAnsi="宋体"/>
                <w:sz w:val="24"/>
              </w:rPr>
              <w:t>敏感；</w:t>
            </w:r>
            <w:r>
              <w:rPr>
                <w:rFonts w:hAnsi="宋体"/>
                <w:bCs/>
                <w:sz w:val="24"/>
              </w:rPr>
              <w:t>项目占地面为</w:t>
            </w:r>
            <w:r>
              <w:rPr>
                <w:rFonts w:hint="eastAsia"/>
                <w:sz w:val="24"/>
              </w:rPr>
              <w:t>5800</w:t>
            </w:r>
            <w:r>
              <w:rPr>
                <w:bCs/>
                <w:sz w:val="24"/>
              </w:rPr>
              <w:t>m</w:t>
            </w:r>
            <w:r>
              <w:rPr>
                <w:bCs/>
                <w:sz w:val="24"/>
                <w:vertAlign w:val="superscript"/>
              </w:rPr>
              <w:t>2</w:t>
            </w:r>
            <w:r>
              <w:rPr>
                <w:rFonts w:hAnsi="宋体"/>
                <w:bCs/>
                <w:sz w:val="24"/>
              </w:rPr>
              <w:t>，占地规模属于小型</w:t>
            </w:r>
            <w:r>
              <w:rPr>
                <w:rFonts w:hAnsi="宋体"/>
                <w:sz w:val="24"/>
              </w:rPr>
              <w:t>。</w:t>
            </w:r>
          </w:p>
          <w:p>
            <w:pPr>
              <w:pStyle w:val="53"/>
              <w:ind w:firstLine="480"/>
            </w:pPr>
            <w:r>
              <w:t>根据土壤环境影响评价项目类别、占地规模与敏感程度划分评价工作等级见表</w:t>
            </w:r>
            <w:r>
              <w:rPr>
                <w:rFonts w:hint="eastAsia"/>
              </w:rPr>
              <w:t>50</w:t>
            </w:r>
            <w:r>
              <w:t>所示。</w:t>
            </w:r>
          </w:p>
          <w:p>
            <w:pPr>
              <w:autoSpaceDE w:val="0"/>
              <w:autoSpaceDN w:val="0"/>
              <w:adjustRightInd w:val="0"/>
              <w:snapToGrid w:val="0"/>
              <w:spacing w:line="400" w:lineRule="exact"/>
              <w:ind w:left="420" w:leftChars="200" w:firstLine="118" w:firstLineChars="49"/>
              <w:rPr>
                <w:rFonts w:hAnsi="宋体"/>
                <w:b/>
                <w:sz w:val="24"/>
              </w:rPr>
            </w:pPr>
            <w:r>
              <w:rPr>
                <w:rFonts w:hAnsi="宋体"/>
                <w:b/>
                <w:sz w:val="24"/>
              </w:rPr>
              <w:t>表</w:t>
            </w:r>
            <w:r>
              <w:rPr>
                <w:rFonts w:hint="eastAsia" w:hAnsi="宋体"/>
                <w:b/>
                <w:sz w:val="24"/>
              </w:rPr>
              <w:t>50</w:t>
            </w:r>
            <w:r>
              <w:rPr>
                <w:rFonts w:hAnsi="宋体"/>
                <w:b/>
                <w:sz w:val="24"/>
              </w:rPr>
              <w:t xml:space="preserve">      </w:t>
            </w:r>
            <w:r>
              <w:rPr>
                <w:rFonts w:hint="eastAsia" w:hAnsi="宋体"/>
                <w:b/>
                <w:sz w:val="24"/>
              </w:rPr>
              <w:t xml:space="preserve">     </w:t>
            </w:r>
            <w:r>
              <w:rPr>
                <w:rFonts w:hAnsi="宋体"/>
                <w:b/>
                <w:sz w:val="24"/>
              </w:rPr>
              <w:t xml:space="preserve">           项目评价等级判定表</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40"/>
              <w:gridCol w:w="864"/>
              <w:gridCol w:w="722"/>
              <w:gridCol w:w="722"/>
              <w:gridCol w:w="721"/>
              <w:gridCol w:w="659"/>
              <w:gridCol w:w="732"/>
              <w:gridCol w:w="730"/>
              <w:gridCol w:w="730"/>
              <w:gridCol w:w="7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68" w:type="pct"/>
                  <w:vMerge w:val="restart"/>
                </w:tcPr>
                <w:p>
                  <w:pPr>
                    <w:adjustRightInd w:val="0"/>
                    <w:snapToGrid w:val="0"/>
                    <w:jc w:val="right"/>
                    <w:rPr>
                      <w:szCs w:val="21"/>
                    </w:rPr>
                  </w:pPr>
                  <w:r>
                    <w:rPr>
                      <w:szCs w:val="21"/>
                    </w:rPr>
                    <mc:AlternateContent>
                      <mc:Choice Requires="wps">
                        <w:drawing>
                          <wp:anchor distT="0" distB="0" distL="114300" distR="114300" simplePos="0" relativeHeight="251655168" behindDoc="0" locked="0" layoutInCell="1" allowOverlap="1">
                            <wp:simplePos x="0" y="0"/>
                            <wp:positionH relativeFrom="column">
                              <wp:posOffset>742315</wp:posOffset>
                            </wp:positionH>
                            <wp:positionV relativeFrom="paragraph">
                              <wp:posOffset>-10795</wp:posOffset>
                            </wp:positionV>
                            <wp:extent cx="930910" cy="567690"/>
                            <wp:effectExtent l="2540" t="3810" r="6350" b="12700"/>
                            <wp:wrapNone/>
                            <wp:docPr id="3" name="自选图形 1518"/>
                            <wp:cNvGraphicFramePr/>
                            <a:graphic xmlns:a="http://schemas.openxmlformats.org/drawingml/2006/main">
                              <a:graphicData uri="http://schemas.microsoft.com/office/word/2010/wordprocessingShape">
                                <wps:wsp>
                                  <wps:cNvCnPr/>
                                  <wps:spPr>
                                    <a:xfrm>
                                      <a:off x="0" y="0"/>
                                      <a:ext cx="930910" cy="56769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自选图形 1518" o:spid="_x0000_s1026" o:spt="32" type="#_x0000_t32" style="position:absolute;left:0pt;margin-left:58.45pt;margin-top:-0.85pt;height:44.7pt;width:73.3pt;z-index:251655168;mso-width-relative:page;mso-height-relative:page;" filled="f" stroked="t" coordsize="21600,21600" o:gfxdata="UEsDBAoAAAAAAIdO4kAAAAAAAAAAAAAAAAAEAAAAZHJzL1BLAwQUAAAACACHTuJACXtYU9gAAAAJ&#10;AQAADwAAAGRycy9kb3ducmV2LnhtbE2Py07DMBBF90j8gzVI7FonQSQlxOmigMSqgoJasZvGJomI&#10;x1HsPPh7hhUsr+bo3jPFdrGdmMzgW0cK4nUEwlDldEu1gve3p9UGhA9IGjtHRsG38bAtLy8KzLWb&#10;6dVMh1ALLiGfo4ImhD6X0leNsejXrjfEt083WAwch1rqAWcut51MoiiVFlvihQZ7s2tM9XUYrQKL&#10;z25Mmt20Py4PL3r+oGr/eFLq+iqO7kEEs4Q/GH71WR1Kdjq7kbQXHec4vWNUwSrOQDCQpDe3IM4K&#10;NlkGsizk/w/KH1BLAwQUAAAACACHTuJAF+uqpPwBAADqAwAADgAAAGRycy9lMm9Eb2MueG1srVPN&#10;jtMwEL4j8Q6W7zTJVi3bqOkeWpYLgkrAA7i2k1jynzzepr1xQzwDN468A7zNSvAWjJ3SheXSAzk4&#10;Y8/MN/N9Hi9vDkaTvQygnG1oNSkpkZY7oWzX0Pfvbp9dUwKRWcG0s7KhRwn0ZvX0yXLwtbxyvdNC&#10;BoIgFurBN7SP0ddFAbyXhsHEeWnR2bpgWMRt6AoR2IDoRhdXZTkvBheED45LADzdjE56QgyXALq2&#10;VVxuHL8z0sYRNUjNIlKCXnmgq9xt20oe37QtyEh0Q5FpzCsWQXuX1mK1ZHUXmO8VP7XALmnhESfD&#10;lMWiZ6gNi4zcBfUPlFE8OHBtnHBnipFIVgRZVOUjbd72zMvMBaUGfxYd/h8sf73fBqJEQ6eUWGbw&#10;wn98/Przw6f7z9/vv30h1ay6TiINHmqMXdttOO3Ab0NifGiDSX/kQg5Z2ONZWHmIhOPhYlouKpSc&#10;o2s2fz5fZOGLh2QfIL6UzpBkNBRiYKrr49pZi1foQpXFZftXELE8Jv5OSJW1JUND59NZqsBwJFsc&#10;BTSNR1pgu5wLTitxq7ROGRC63VoHsmdpLPKXSCLuX2GpyIZBP8Zl1zgwvWTihRUkHj0KZvGd0NSC&#10;kYISLfFZJQsBWR2Z0pdEYmltsYOk86hssnZOHLPg+RxHIPd4Gtc0Y3/uc/bDE13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l7WFPYAAAACQEAAA8AAAAAAAAAAQAgAAAAIgAAAGRycy9kb3ducmV2&#10;LnhtbFBLAQIUABQAAAAIAIdO4kAX66qk/AEAAOoDAAAOAAAAAAAAAAEAIAAAACcBAABkcnMvZTJv&#10;RG9jLnhtbFBLBQYAAAAABgAGAFkBAACVBQAAAAA=&#10;">
                            <v:fill on="f" focussize="0,0"/>
                            <v:stroke weight="0.5pt" color="#000000" joinstyle="round"/>
                            <v:imagedata o:title=""/>
                            <o:lock v:ext="edit" aspectratio="f"/>
                          </v:shape>
                        </w:pict>
                      </mc:Fallback>
                    </mc:AlternateContent>
                  </w:r>
                  <w:r>
                    <w:rPr>
                      <w:szCs w:val="21"/>
                    </w:rPr>
                    <w:t>占地规模</w:t>
                  </w:r>
                </w:p>
                <w:p>
                  <w:pPr>
                    <w:adjustRightInd w:val="0"/>
                    <w:snapToGrid w:val="0"/>
                    <w:ind w:firstLine="422" w:firstLineChars="150"/>
                    <w:jc w:val="left"/>
                    <w:rPr>
                      <w:szCs w:val="21"/>
                    </w:rPr>
                  </w:pPr>
                  <w:r>
                    <w:rPr>
                      <w:b/>
                      <w:sz w:val="28"/>
                      <w:szCs w:val="28"/>
                    </w:rPr>
                    <mc:AlternateContent>
                      <mc:Choice Requires="wps">
                        <w:drawing>
                          <wp:anchor distT="0" distB="0" distL="114300" distR="114300" simplePos="0" relativeHeight="251654144" behindDoc="0" locked="0" layoutInCell="1" allowOverlap="1">
                            <wp:simplePos x="0" y="0"/>
                            <wp:positionH relativeFrom="column">
                              <wp:posOffset>-55245</wp:posOffset>
                            </wp:positionH>
                            <wp:positionV relativeFrom="paragraph">
                              <wp:posOffset>90805</wp:posOffset>
                            </wp:positionV>
                            <wp:extent cx="1728470" cy="267970"/>
                            <wp:effectExtent l="635" t="4445" r="10795" b="6985"/>
                            <wp:wrapNone/>
                            <wp:docPr id="2" name="自选图形 1517"/>
                            <wp:cNvGraphicFramePr/>
                            <a:graphic xmlns:a="http://schemas.openxmlformats.org/drawingml/2006/main">
                              <a:graphicData uri="http://schemas.microsoft.com/office/word/2010/wordprocessingShape">
                                <wps:wsp>
                                  <wps:cNvCnPr/>
                                  <wps:spPr>
                                    <a:xfrm>
                                      <a:off x="0" y="0"/>
                                      <a:ext cx="1728470" cy="26797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自选图形 1517" o:spid="_x0000_s1026" o:spt="32" type="#_x0000_t32" style="position:absolute;left:0pt;margin-left:-4.35pt;margin-top:7.15pt;height:21.1pt;width:136.1pt;z-index:251654144;mso-width-relative:page;mso-height-relative:page;" filled="f" stroked="t" coordsize="21600,21600" o:gfxdata="UEsDBAoAAAAAAIdO4kAAAAAAAAAAAAAAAAAEAAAAZHJzL1BLAwQUAAAACACHTuJAHwElNNgAAAAI&#10;AQAADwAAAGRycy9kb3ducmV2LnhtbE2PzU7DMBCE70i8g7VI3FqnKQlViNNDAYlTRQtqxW0bmyQi&#10;Xkex88Pbs5zgODujmW/z7WxbMZreN44UrJYRCEOl0w1VCt7fnhcbED4gaWwdGQXfxsO2uL7KMdNu&#10;ooMZj6ESXEI+QwV1CF0mpS9rY9EvXWeIvU/XWwws+0rqHicut62MoyiVFhvihRo7s6tN+XUcrAKL&#10;L26I6924P82Pr3r6oHL/dFbq9mYVPYAIZg5/YfjFZ3QomOniBtJetAoWm3tO8v1uDYL9OF0nIC4K&#10;kjQBWeTy/wPFD1BLAwQUAAAACACHTuJAWKGm9/oBAADrAwAADgAAAGRycy9lMm9Eb2MueG1srVPN&#10;jtMwEL4j8Q6W7zRNYdslarqHluWCYCXgAaaOk1jynzzepr1xQzwDN468A7zNSvAWjJ3SheXSAzk4&#10;Y8/MN/N9Hi+v9kaznQyonK15OZlyJq1wjbJdzd+/u35yyRlGsA1oZ2XNDxL51erxo+XgKzlzvdON&#10;DIxALFaDr3kfo6+KAkUvDeDEeWnJ2bpgINI2dEUTYCB0o4vZdDovBhcaH5yQiHS6GZ38iBjOAXRt&#10;q4TcOHFrpI0japAaIlHCXnnkq9xt20oR37Qtysh0zYlpzCsVIXub1mK1hKoL4Hslji3AOS084GRA&#10;WSp6gtpABHYb1D9QRong0LVxIpwpRiJZEWJRTh9o87YHLzMXkhr9SXT8f7Di9e4mMNXUfMaZBUMX&#10;/uPj158fPt19/n737QsrL8pFEmnwWFHs2t6E4w79TUiM920w6U9c2D4LezgJK/eRCTosF7PLZwvS&#10;XJBvNl88J5tgivtsHzC+lM6wZNQcYwDV9XHtrKU7dKHM6sLuFcYx8XdCKq0tG2o+f3qRKgDNZEuz&#10;QKbxxAttl3PRadVcK61TBoZuu9aB7SDNRf6ODf0VlopsAPsxLrtSGFS9hOaFbVg8eFLM0kPhqQUj&#10;G860pHeVrBwZQelzIkkLbUmSJPQobbK2rjlkxfM5zUAW7Tivacj+3Ofs+z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fASU02AAAAAgBAAAPAAAAAAAAAAEAIAAAACIAAABkcnMvZG93bnJldi54&#10;bWxQSwECFAAUAAAACACHTuJAWKGm9/oBAADrAwAADgAAAAAAAAABACAAAAAnAQAAZHJzL2Uyb0Rv&#10;Yy54bWxQSwUGAAAAAAYABgBZAQAAkwUAAAAA&#10;">
                            <v:fill on="f" focussize="0,0"/>
                            <v:stroke weight="0.5pt" color="#000000" joinstyle="round"/>
                            <v:imagedata o:title=""/>
                            <o:lock v:ext="edit" aspectratio="f"/>
                          </v:shape>
                        </w:pict>
                      </mc:Fallback>
                    </mc:AlternateContent>
                  </w:r>
                  <w:r>
                    <w:rPr>
                      <w:szCs w:val="21"/>
                    </w:rPr>
                    <w:t>评价工作等级</w:t>
                  </w:r>
                </w:p>
                <w:p>
                  <w:pPr>
                    <w:adjustRightInd w:val="0"/>
                    <w:snapToGrid w:val="0"/>
                    <w:jc w:val="left"/>
                    <w:rPr>
                      <w:szCs w:val="21"/>
                    </w:rPr>
                  </w:pPr>
                  <w:r>
                    <w:rPr>
                      <w:szCs w:val="21"/>
                    </w:rPr>
                    <w:t>敏感程度</w:t>
                  </w:r>
                </w:p>
              </w:tc>
              <w:tc>
                <w:tcPr>
                  <w:tcW w:w="1237" w:type="pct"/>
                  <w:gridSpan w:val="3"/>
                  <w:vAlign w:val="center"/>
                </w:tcPr>
                <w:p>
                  <w:pPr>
                    <w:adjustRightInd w:val="0"/>
                    <w:snapToGrid w:val="0"/>
                    <w:jc w:val="center"/>
                    <w:rPr>
                      <w:szCs w:val="21"/>
                    </w:rPr>
                  </w:pPr>
                  <w:r>
                    <w:rPr>
                      <w:rFonts w:hint="eastAsia" w:ascii="宋体" w:hAnsi="宋体" w:cs="宋体"/>
                      <w:szCs w:val="21"/>
                    </w:rPr>
                    <w:t>Ⅰ</w:t>
                  </w:r>
                  <w:r>
                    <w:rPr>
                      <w:szCs w:val="21"/>
                    </w:rPr>
                    <w:t>类</w:t>
                  </w:r>
                </w:p>
              </w:tc>
              <w:tc>
                <w:tcPr>
                  <w:tcW w:w="1131" w:type="pct"/>
                  <w:gridSpan w:val="3"/>
                  <w:vAlign w:val="center"/>
                </w:tcPr>
                <w:p>
                  <w:pPr>
                    <w:adjustRightInd w:val="0"/>
                    <w:snapToGrid w:val="0"/>
                    <w:jc w:val="center"/>
                    <w:rPr>
                      <w:szCs w:val="21"/>
                    </w:rPr>
                  </w:pPr>
                  <w:r>
                    <w:rPr>
                      <w:rFonts w:hint="eastAsia" w:ascii="宋体" w:hAnsi="宋体" w:cs="宋体"/>
                      <w:szCs w:val="21"/>
                    </w:rPr>
                    <w:t>Ⅱ</w:t>
                  </w:r>
                  <w:r>
                    <w:rPr>
                      <w:szCs w:val="21"/>
                    </w:rPr>
                    <w:t>类</w:t>
                  </w:r>
                </w:p>
              </w:tc>
              <w:tc>
                <w:tcPr>
                  <w:tcW w:w="1164" w:type="pct"/>
                  <w:gridSpan w:val="3"/>
                  <w:vAlign w:val="center"/>
                </w:tcPr>
                <w:p>
                  <w:pPr>
                    <w:adjustRightInd w:val="0"/>
                    <w:snapToGrid w:val="0"/>
                    <w:jc w:val="center"/>
                    <w:rPr>
                      <w:szCs w:val="21"/>
                    </w:rPr>
                  </w:pPr>
                  <w:r>
                    <w:rPr>
                      <w:rFonts w:hint="eastAsia" w:ascii="宋体" w:hAnsi="宋体" w:cs="宋体"/>
                      <w:szCs w:val="21"/>
                    </w:rPr>
                    <w:t>Ⅲ</w:t>
                  </w:r>
                  <w:r>
                    <w:rPr>
                      <w:szCs w:val="21"/>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68" w:type="pct"/>
                  <w:vMerge w:val="continue"/>
                  <w:vAlign w:val="center"/>
                </w:tcPr>
                <w:p>
                  <w:pPr>
                    <w:adjustRightInd w:val="0"/>
                    <w:snapToGrid w:val="0"/>
                    <w:jc w:val="center"/>
                    <w:rPr>
                      <w:szCs w:val="21"/>
                    </w:rPr>
                  </w:pPr>
                </w:p>
              </w:tc>
              <w:tc>
                <w:tcPr>
                  <w:tcW w:w="463" w:type="pct"/>
                  <w:vAlign w:val="center"/>
                </w:tcPr>
                <w:p>
                  <w:pPr>
                    <w:adjustRightInd w:val="0"/>
                    <w:snapToGrid w:val="0"/>
                    <w:jc w:val="center"/>
                    <w:rPr>
                      <w:szCs w:val="21"/>
                    </w:rPr>
                  </w:pPr>
                  <w:r>
                    <w:rPr>
                      <w:szCs w:val="21"/>
                    </w:rPr>
                    <w:t>大</w:t>
                  </w:r>
                </w:p>
              </w:tc>
              <w:tc>
                <w:tcPr>
                  <w:tcW w:w="387" w:type="pct"/>
                  <w:vAlign w:val="center"/>
                </w:tcPr>
                <w:p>
                  <w:pPr>
                    <w:adjustRightInd w:val="0"/>
                    <w:snapToGrid w:val="0"/>
                    <w:jc w:val="center"/>
                    <w:rPr>
                      <w:szCs w:val="21"/>
                    </w:rPr>
                  </w:pPr>
                  <w:r>
                    <w:rPr>
                      <w:szCs w:val="21"/>
                    </w:rPr>
                    <w:t>中</w:t>
                  </w:r>
                </w:p>
              </w:tc>
              <w:tc>
                <w:tcPr>
                  <w:tcW w:w="387" w:type="pct"/>
                  <w:vAlign w:val="center"/>
                </w:tcPr>
                <w:p>
                  <w:pPr>
                    <w:adjustRightInd w:val="0"/>
                    <w:snapToGrid w:val="0"/>
                    <w:jc w:val="center"/>
                    <w:rPr>
                      <w:szCs w:val="21"/>
                    </w:rPr>
                  </w:pPr>
                  <w:r>
                    <w:rPr>
                      <w:szCs w:val="21"/>
                    </w:rPr>
                    <w:t>小</w:t>
                  </w:r>
                </w:p>
              </w:tc>
              <w:tc>
                <w:tcPr>
                  <w:tcW w:w="386" w:type="pct"/>
                  <w:vAlign w:val="center"/>
                </w:tcPr>
                <w:p>
                  <w:pPr>
                    <w:adjustRightInd w:val="0"/>
                    <w:snapToGrid w:val="0"/>
                    <w:jc w:val="center"/>
                    <w:rPr>
                      <w:szCs w:val="21"/>
                    </w:rPr>
                  </w:pPr>
                  <w:r>
                    <w:rPr>
                      <w:szCs w:val="21"/>
                    </w:rPr>
                    <w:t>大</w:t>
                  </w:r>
                </w:p>
              </w:tc>
              <w:tc>
                <w:tcPr>
                  <w:tcW w:w="353" w:type="pct"/>
                  <w:vAlign w:val="center"/>
                </w:tcPr>
                <w:p>
                  <w:pPr>
                    <w:adjustRightInd w:val="0"/>
                    <w:snapToGrid w:val="0"/>
                    <w:jc w:val="center"/>
                    <w:rPr>
                      <w:szCs w:val="21"/>
                    </w:rPr>
                  </w:pPr>
                  <w:r>
                    <w:rPr>
                      <w:szCs w:val="21"/>
                    </w:rPr>
                    <w:t>中</w:t>
                  </w:r>
                </w:p>
              </w:tc>
              <w:tc>
                <w:tcPr>
                  <w:tcW w:w="392" w:type="pct"/>
                  <w:vAlign w:val="center"/>
                </w:tcPr>
                <w:p>
                  <w:pPr>
                    <w:adjustRightInd w:val="0"/>
                    <w:snapToGrid w:val="0"/>
                    <w:jc w:val="center"/>
                    <w:rPr>
                      <w:szCs w:val="21"/>
                    </w:rPr>
                  </w:pPr>
                  <w:r>
                    <w:rPr>
                      <w:szCs w:val="21"/>
                    </w:rPr>
                    <w:t>小</w:t>
                  </w:r>
                </w:p>
              </w:tc>
              <w:tc>
                <w:tcPr>
                  <w:tcW w:w="391" w:type="pct"/>
                  <w:vAlign w:val="center"/>
                </w:tcPr>
                <w:p>
                  <w:pPr>
                    <w:adjustRightInd w:val="0"/>
                    <w:snapToGrid w:val="0"/>
                    <w:jc w:val="center"/>
                    <w:rPr>
                      <w:szCs w:val="21"/>
                    </w:rPr>
                  </w:pPr>
                  <w:r>
                    <w:rPr>
                      <w:szCs w:val="21"/>
                    </w:rPr>
                    <w:t>大</w:t>
                  </w:r>
                </w:p>
              </w:tc>
              <w:tc>
                <w:tcPr>
                  <w:tcW w:w="391" w:type="pct"/>
                  <w:vAlign w:val="center"/>
                </w:tcPr>
                <w:p>
                  <w:pPr>
                    <w:adjustRightInd w:val="0"/>
                    <w:snapToGrid w:val="0"/>
                    <w:jc w:val="center"/>
                    <w:rPr>
                      <w:szCs w:val="21"/>
                    </w:rPr>
                  </w:pPr>
                  <w:r>
                    <w:rPr>
                      <w:szCs w:val="21"/>
                    </w:rPr>
                    <w:t>中</w:t>
                  </w:r>
                </w:p>
              </w:tc>
              <w:tc>
                <w:tcPr>
                  <w:tcW w:w="383" w:type="pct"/>
                  <w:vAlign w:val="center"/>
                </w:tcPr>
                <w:p>
                  <w:pPr>
                    <w:adjustRightInd w:val="0"/>
                    <w:snapToGrid w:val="0"/>
                    <w:jc w:val="center"/>
                    <w:rPr>
                      <w:b/>
                      <w:szCs w:val="21"/>
                    </w:rPr>
                  </w:pPr>
                  <w:r>
                    <w:rPr>
                      <w:b/>
                      <w:szCs w:val="21"/>
                    </w:rPr>
                    <w:t>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68" w:type="pct"/>
                  <w:vAlign w:val="center"/>
                </w:tcPr>
                <w:p>
                  <w:pPr>
                    <w:adjustRightInd w:val="0"/>
                    <w:snapToGrid w:val="0"/>
                    <w:jc w:val="center"/>
                    <w:rPr>
                      <w:szCs w:val="21"/>
                    </w:rPr>
                  </w:pPr>
                  <w:r>
                    <w:rPr>
                      <w:szCs w:val="21"/>
                    </w:rPr>
                    <w:t>敏感</w:t>
                  </w:r>
                </w:p>
              </w:tc>
              <w:tc>
                <w:tcPr>
                  <w:tcW w:w="463" w:type="pct"/>
                  <w:vAlign w:val="center"/>
                </w:tcPr>
                <w:p>
                  <w:pPr>
                    <w:snapToGrid w:val="0"/>
                    <w:jc w:val="center"/>
                  </w:pPr>
                  <w:r>
                    <w:rPr>
                      <w:szCs w:val="21"/>
                    </w:rPr>
                    <w:t>一级</w:t>
                  </w:r>
                </w:p>
              </w:tc>
              <w:tc>
                <w:tcPr>
                  <w:tcW w:w="387" w:type="pct"/>
                  <w:vAlign w:val="center"/>
                </w:tcPr>
                <w:p>
                  <w:pPr>
                    <w:snapToGrid w:val="0"/>
                    <w:jc w:val="center"/>
                  </w:pPr>
                  <w:r>
                    <w:rPr>
                      <w:szCs w:val="21"/>
                    </w:rPr>
                    <w:t>一级</w:t>
                  </w:r>
                </w:p>
              </w:tc>
              <w:tc>
                <w:tcPr>
                  <w:tcW w:w="387" w:type="pct"/>
                  <w:vAlign w:val="center"/>
                </w:tcPr>
                <w:p>
                  <w:pPr>
                    <w:snapToGrid w:val="0"/>
                    <w:jc w:val="center"/>
                  </w:pPr>
                  <w:r>
                    <w:rPr>
                      <w:szCs w:val="21"/>
                    </w:rPr>
                    <w:t>一级</w:t>
                  </w:r>
                </w:p>
              </w:tc>
              <w:tc>
                <w:tcPr>
                  <w:tcW w:w="386" w:type="pct"/>
                  <w:vAlign w:val="center"/>
                </w:tcPr>
                <w:p>
                  <w:pPr>
                    <w:snapToGrid w:val="0"/>
                    <w:jc w:val="center"/>
                  </w:pPr>
                  <w:r>
                    <w:rPr>
                      <w:szCs w:val="21"/>
                    </w:rPr>
                    <w:t>二级</w:t>
                  </w:r>
                </w:p>
              </w:tc>
              <w:tc>
                <w:tcPr>
                  <w:tcW w:w="353" w:type="pct"/>
                  <w:vAlign w:val="center"/>
                </w:tcPr>
                <w:p>
                  <w:pPr>
                    <w:snapToGrid w:val="0"/>
                    <w:jc w:val="center"/>
                  </w:pPr>
                  <w:r>
                    <w:rPr>
                      <w:szCs w:val="21"/>
                    </w:rPr>
                    <w:t>二级</w:t>
                  </w:r>
                </w:p>
              </w:tc>
              <w:tc>
                <w:tcPr>
                  <w:tcW w:w="392" w:type="pct"/>
                  <w:vAlign w:val="center"/>
                </w:tcPr>
                <w:p>
                  <w:pPr>
                    <w:snapToGrid w:val="0"/>
                    <w:jc w:val="center"/>
                  </w:pPr>
                  <w:r>
                    <w:rPr>
                      <w:szCs w:val="21"/>
                    </w:rPr>
                    <w:t>二级</w:t>
                  </w:r>
                </w:p>
              </w:tc>
              <w:tc>
                <w:tcPr>
                  <w:tcW w:w="391" w:type="pct"/>
                  <w:vAlign w:val="center"/>
                </w:tcPr>
                <w:p>
                  <w:pPr>
                    <w:snapToGrid w:val="0"/>
                    <w:jc w:val="center"/>
                  </w:pPr>
                  <w:r>
                    <w:rPr>
                      <w:szCs w:val="21"/>
                    </w:rPr>
                    <w:t>三级</w:t>
                  </w:r>
                </w:p>
              </w:tc>
              <w:tc>
                <w:tcPr>
                  <w:tcW w:w="391" w:type="pct"/>
                  <w:vAlign w:val="center"/>
                </w:tcPr>
                <w:p>
                  <w:pPr>
                    <w:snapToGrid w:val="0"/>
                    <w:jc w:val="center"/>
                  </w:pPr>
                  <w:r>
                    <w:rPr>
                      <w:szCs w:val="21"/>
                    </w:rPr>
                    <w:t>三级</w:t>
                  </w:r>
                </w:p>
              </w:tc>
              <w:tc>
                <w:tcPr>
                  <w:tcW w:w="383" w:type="pct"/>
                  <w:vAlign w:val="center"/>
                </w:tcPr>
                <w:p>
                  <w:pPr>
                    <w:snapToGrid w:val="0"/>
                    <w:jc w:val="center"/>
                  </w:pPr>
                  <w:r>
                    <w:rPr>
                      <w:szCs w:val="21"/>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68" w:type="pct"/>
                  <w:vAlign w:val="center"/>
                </w:tcPr>
                <w:p>
                  <w:pPr>
                    <w:adjustRightInd w:val="0"/>
                    <w:snapToGrid w:val="0"/>
                    <w:jc w:val="center"/>
                    <w:rPr>
                      <w:b/>
                      <w:szCs w:val="21"/>
                    </w:rPr>
                  </w:pPr>
                  <w:r>
                    <w:rPr>
                      <w:b/>
                      <w:szCs w:val="21"/>
                    </w:rPr>
                    <w:t>较敏感</w:t>
                  </w:r>
                </w:p>
              </w:tc>
              <w:tc>
                <w:tcPr>
                  <w:tcW w:w="463" w:type="pct"/>
                  <w:vAlign w:val="center"/>
                </w:tcPr>
                <w:p>
                  <w:pPr>
                    <w:snapToGrid w:val="0"/>
                    <w:jc w:val="center"/>
                  </w:pPr>
                  <w:r>
                    <w:rPr>
                      <w:szCs w:val="21"/>
                    </w:rPr>
                    <w:t>一级</w:t>
                  </w:r>
                </w:p>
              </w:tc>
              <w:tc>
                <w:tcPr>
                  <w:tcW w:w="387" w:type="pct"/>
                  <w:vAlign w:val="center"/>
                </w:tcPr>
                <w:p>
                  <w:pPr>
                    <w:snapToGrid w:val="0"/>
                    <w:jc w:val="center"/>
                  </w:pPr>
                  <w:r>
                    <w:rPr>
                      <w:szCs w:val="21"/>
                    </w:rPr>
                    <w:t>一级</w:t>
                  </w:r>
                </w:p>
              </w:tc>
              <w:tc>
                <w:tcPr>
                  <w:tcW w:w="387" w:type="pct"/>
                  <w:vAlign w:val="center"/>
                </w:tcPr>
                <w:p>
                  <w:pPr>
                    <w:snapToGrid w:val="0"/>
                    <w:jc w:val="center"/>
                  </w:pPr>
                  <w:r>
                    <w:rPr>
                      <w:szCs w:val="21"/>
                    </w:rPr>
                    <w:t>二级</w:t>
                  </w:r>
                </w:p>
              </w:tc>
              <w:tc>
                <w:tcPr>
                  <w:tcW w:w="386" w:type="pct"/>
                  <w:vAlign w:val="center"/>
                </w:tcPr>
                <w:p>
                  <w:pPr>
                    <w:snapToGrid w:val="0"/>
                    <w:jc w:val="center"/>
                  </w:pPr>
                  <w:r>
                    <w:rPr>
                      <w:szCs w:val="21"/>
                    </w:rPr>
                    <w:t>二级</w:t>
                  </w:r>
                </w:p>
              </w:tc>
              <w:tc>
                <w:tcPr>
                  <w:tcW w:w="353" w:type="pct"/>
                  <w:vAlign w:val="center"/>
                </w:tcPr>
                <w:p>
                  <w:pPr>
                    <w:snapToGrid w:val="0"/>
                    <w:jc w:val="center"/>
                  </w:pPr>
                  <w:r>
                    <w:rPr>
                      <w:szCs w:val="21"/>
                    </w:rPr>
                    <w:t>二级</w:t>
                  </w:r>
                </w:p>
              </w:tc>
              <w:tc>
                <w:tcPr>
                  <w:tcW w:w="392" w:type="pct"/>
                  <w:vAlign w:val="center"/>
                </w:tcPr>
                <w:p>
                  <w:pPr>
                    <w:snapToGrid w:val="0"/>
                    <w:jc w:val="center"/>
                  </w:pPr>
                  <w:r>
                    <w:rPr>
                      <w:szCs w:val="21"/>
                    </w:rPr>
                    <w:t>三级</w:t>
                  </w:r>
                </w:p>
              </w:tc>
              <w:tc>
                <w:tcPr>
                  <w:tcW w:w="391" w:type="pct"/>
                  <w:vAlign w:val="center"/>
                </w:tcPr>
                <w:p>
                  <w:pPr>
                    <w:snapToGrid w:val="0"/>
                    <w:jc w:val="center"/>
                  </w:pPr>
                  <w:r>
                    <w:rPr>
                      <w:szCs w:val="21"/>
                    </w:rPr>
                    <w:t>三级</w:t>
                  </w:r>
                </w:p>
              </w:tc>
              <w:tc>
                <w:tcPr>
                  <w:tcW w:w="391" w:type="pct"/>
                  <w:vAlign w:val="center"/>
                </w:tcPr>
                <w:p>
                  <w:pPr>
                    <w:snapToGrid w:val="0"/>
                    <w:jc w:val="center"/>
                  </w:pPr>
                  <w:r>
                    <w:rPr>
                      <w:szCs w:val="21"/>
                    </w:rPr>
                    <w:t>三级</w:t>
                  </w:r>
                </w:p>
              </w:tc>
              <w:tc>
                <w:tcPr>
                  <w:tcW w:w="383" w:type="pct"/>
                  <w:vAlign w:val="center"/>
                </w:tcPr>
                <w:p>
                  <w:pPr>
                    <w:snapToGrid w:val="0"/>
                    <w:jc w:val="center"/>
                  </w:pPr>
                  <w:r>
                    <w:rPr>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68" w:type="pct"/>
                  <w:vAlign w:val="center"/>
                </w:tcPr>
                <w:p>
                  <w:pPr>
                    <w:adjustRightInd w:val="0"/>
                    <w:snapToGrid w:val="0"/>
                    <w:jc w:val="center"/>
                    <w:rPr>
                      <w:szCs w:val="21"/>
                    </w:rPr>
                  </w:pPr>
                  <w:r>
                    <w:rPr>
                      <w:szCs w:val="21"/>
                    </w:rPr>
                    <w:t>不敏感</w:t>
                  </w:r>
                </w:p>
              </w:tc>
              <w:tc>
                <w:tcPr>
                  <w:tcW w:w="463" w:type="pct"/>
                  <w:vAlign w:val="center"/>
                </w:tcPr>
                <w:p>
                  <w:pPr>
                    <w:snapToGrid w:val="0"/>
                    <w:jc w:val="center"/>
                  </w:pPr>
                  <w:r>
                    <w:rPr>
                      <w:szCs w:val="21"/>
                    </w:rPr>
                    <w:t>一级</w:t>
                  </w:r>
                </w:p>
              </w:tc>
              <w:tc>
                <w:tcPr>
                  <w:tcW w:w="387" w:type="pct"/>
                  <w:vAlign w:val="center"/>
                </w:tcPr>
                <w:p>
                  <w:pPr>
                    <w:snapToGrid w:val="0"/>
                    <w:jc w:val="center"/>
                  </w:pPr>
                  <w:r>
                    <w:rPr>
                      <w:szCs w:val="21"/>
                    </w:rPr>
                    <w:t>二级</w:t>
                  </w:r>
                </w:p>
              </w:tc>
              <w:tc>
                <w:tcPr>
                  <w:tcW w:w="387" w:type="pct"/>
                  <w:vAlign w:val="center"/>
                </w:tcPr>
                <w:p>
                  <w:pPr>
                    <w:snapToGrid w:val="0"/>
                    <w:jc w:val="center"/>
                  </w:pPr>
                  <w:r>
                    <w:rPr>
                      <w:szCs w:val="21"/>
                    </w:rPr>
                    <w:t>二级</w:t>
                  </w:r>
                </w:p>
              </w:tc>
              <w:tc>
                <w:tcPr>
                  <w:tcW w:w="386" w:type="pct"/>
                  <w:vAlign w:val="center"/>
                </w:tcPr>
                <w:p>
                  <w:pPr>
                    <w:snapToGrid w:val="0"/>
                    <w:jc w:val="center"/>
                  </w:pPr>
                  <w:r>
                    <w:rPr>
                      <w:szCs w:val="21"/>
                    </w:rPr>
                    <w:t>二级</w:t>
                  </w:r>
                </w:p>
              </w:tc>
              <w:tc>
                <w:tcPr>
                  <w:tcW w:w="353" w:type="pct"/>
                  <w:vAlign w:val="center"/>
                </w:tcPr>
                <w:p>
                  <w:pPr>
                    <w:snapToGrid w:val="0"/>
                    <w:jc w:val="center"/>
                  </w:pPr>
                  <w:r>
                    <w:rPr>
                      <w:szCs w:val="21"/>
                    </w:rPr>
                    <w:t>三级</w:t>
                  </w:r>
                </w:p>
              </w:tc>
              <w:tc>
                <w:tcPr>
                  <w:tcW w:w="392" w:type="pct"/>
                  <w:vAlign w:val="center"/>
                </w:tcPr>
                <w:p>
                  <w:pPr>
                    <w:snapToGrid w:val="0"/>
                    <w:jc w:val="center"/>
                  </w:pPr>
                  <w:r>
                    <w:rPr>
                      <w:szCs w:val="21"/>
                    </w:rPr>
                    <w:t>三级</w:t>
                  </w:r>
                </w:p>
              </w:tc>
              <w:tc>
                <w:tcPr>
                  <w:tcW w:w="391" w:type="pct"/>
                  <w:vAlign w:val="center"/>
                </w:tcPr>
                <w:p>
                  <w:pPr>
                    <w:snapToGrid w:val="0"/>
                    <w:jc w:val="center"/>
                  </w:pPr>
                  <w:r>
                    <w:rPr>
                      <w:szCs w:val="21"/>
                    </w:rPr>
                    <w:t>三级</w:t>
                  </w:r>
                </w:p>
              </w:tc>
              <w:tc>
                <w:tcPr>
                  <w:tcW w:w="391" w:type="pct"/>
                  <w:vAlign w:val="center"/>
                </w:tcPr>
                <w:p>
                  <w:pPr>
                    <w:snapToGrid w:val="0"/>
                    <w:jc w:val="center"/>
                  </w:pPr>
                  <w:r>
                    <w:rPr>
                      <w:szCs w:val="21"/>
                    </w:rPr>
                    <w:t>-</w:t>
                  </w:r>
                </w:p>
              </w:tc>
              <w:tc>
                <w:tcPr>
                  <w:tcW w:w="383" w:type="pct"/>
                  <w:vAlign w:val="center"/>
                </w:tcPr>
                <w:p>
                  <w:pPr>
                    <w:snapToGrid w:val="0"/>
                    <w:jc w:val="center"/>
                    <w:rPr>
                      <w:b/>
                    </w:rPr>
                  </w:pPr>
                  <w:r>
                    <w:rPr>
                      <w:b/>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000" w:type="pct"/>
                  <w:gridSpan w:val="10"/>
                  <w:vAlign w:val="center"/>
                </w:tcPr>
                <w:p>
                  <w:pPr>
                    <w:snapToGrid w:val="0"/>
                    <w:ind w:firstLine="422" w:firstLineChars="200"/>
                    <w:jc w:val="left"/>
                    <w:rPr>
                      <w:b/>
                      <w:szCs w:val="21"/>
                    </w:rPr>
                  </w:pPr>
                  <w:r>
                    <w:rPr>
                      <w:b/>
                      <w:szCs w:val="21"/>
                    </w:rPr>
                    <w:t>注：“-”表示可不开展土壤环境影响评价工作</w:t>
                  </w:r>
                </w:p>
              </w:tc>
            </w:tr>
          </w:tbl>
          <w:p>
            <w:pPr>
              <w:adjustRightInd w:val="0"/>
              <w:snapToGrid w:val="0"/>
              <w:spacing w:line="500" w:lineRule="exact"/>
              <w:ind w:firstLine="480" w:firstLineChars="200"/>
              <w:rPr>
                <w:rFonts w:hAnsi="宋体"/>
                <w:sz w:val="24"/>
              </w:rPr>
            </w:pPr>
            <w:r>
              <w:rPr>
                <w:rFonts w:hAnsi="宋体"/>
                <w:sz w:val="24"/>
              </w:rPr>
              <w:t>根据导则分析，</w:t>
            </w:r>
            <w:r>
              <w:rPr>
                <w:rFonts w:hint="eastAsia" w:hAnsi="宋体"/>
                <w:sz w:val="24"/>
              </w:rPr>
              <w:t>本项目土壤评价工作等级判定为低于三级，可不开展土壤环境影响评价。但为了减轻或避免对土壤造成不利影响，评价根据土壤导则评价对项目建设提出相应的控制措施，主要从源头控制、过程控制以及跟踪监测三方面来说，具体如下：</w:t>
            </w:r>
          </w:p>
          <w:p>
            <w:pPr>
              <w:adjustRightInd w:val="0"/>
              <w:snapToGrid w:val="0"/>
              <w:spacing w:line="500" w:lineRule="exact"/>
              <w:ind w:firstLine="480" w:firstLineChars="200"/>
              <w:rPr>
                <w:rFonts w:hAnsi="宋体"/>
                <w:sz w:val="24"/>
              </w:rPr>
            </w:pPr>
            <w:r>
              <w:rPr>
                <w:rFonts w:hint="eastAsia" w:hAnsi="宋体"/>
                <w:sz w:val="24"/>
              </w:rPr>
              <w:t>（</w:t>
            </w:r>
            <w:r>
              <w:rPr>
                <w:rFonts w:hAnsi="宋体"/>
                <w:sz w:val="24"/>
              </w:rPr>
              <w:t>1</w:t>
            </w:r>
            <w:r>
              <w:rPr>
                <w:rFonts w:hint="eastAsia" w:hAnsi="宋体"/>
                <w:sz w:val="24"/>
              </w:rPr>
              <w:t>）源头控制</w:t>
            </w:r>
          </w:p>
          <w:p>
            <w:pPr>
              <w:adjustRightInd w:val="0"/>
              <w:snapToGrid w:val="0"/>
              <w:spacing w:line="500" w:lineRule="exact"/>
              <w:ind w:firstLine="480" w:firstLineChars="200"/>
              <w:rPr>
                <w:rFonts w:hAnsi="宋体"/>
                <w:sz w:val="24"/>
              </w:rPr>
            </w:pPr>
            <w:r>
              <w:rPr>
                <w:rFonts w:hint="eastAsia" w:hAnsi="宋体"/>
                <w:sz w:val="24"/>
              </w:rPr>
              <w:t>本项目污染源主要为废润滑油、废切削液，企业应加强管理，生产车间地面采用防渗类型的混凝土，并安排专职人员管理，定期检查生产车间地面状况，预防地面破损、开裂；生产设备定期检查维护，从而预防泄漏的发生。</w:t>
            </w:r>
          </w:p>
          <w:p>
            <w:pPr>
              <w:adjustRightInd w:val="0"/>
              <w:snapToGrid w:val="0"/>
              <w:spacing w:line="500" w:lineRule="exact"/>
              <w:ind w:firstLine="480" w:firstLineChars="200"/>
              <w:rPr>
                <w:rFonts w:hAnsi="宋体"/>
                <w:sz w:val="24"/>
              </w:rPr>
            </w:pPr>
            <w:r>
              <w:rPr>
                <w:rFonts w:hint="eastAsia" w:hAnsi="宋体"/>
                <w:sz w:val="24"/>
              </w:rPr>
              <w:t>（</w:t>
            </w:r>
            <w:r>
              <w:rPr>
                <w:rFonts w:hAnsi="宋体"/>
                <w:sz w:val="24"/>
              </w:rPr>
              <w:t>2</w:t>
            </w:r>
            <w:r>
              <w:rPr>
                <w:rFonts w:hint="eastAsia" w:hAnsi="宋体"/>
                <w:sz w:val="24"/>
              </w:rPr>
              <w:t>）过程防控措施</w:t>
            </w:r>
          </w:p>
          <w:p>
            <w:pPr>
              <w:adjustRightInd w:val="0"/>
              <w:snapToGrid w:val="0"/>
              <w:spacing w:line="500" w:lineRule="exact"/>
              <w:ind w:firstLine="480" w:firstLineChars="200"/>
              <w:rPr>
                <w:rFonts w:hAnsi="宋体"/>
                <w:sz w:val="24"/>
              </w:rPr>
            </w:pPr>
            <w:r>
              <w:rPr>
                <w:rFonts w:hint="eastAsia" w:hAnsi="宋体"/>
                <w:sz w:val="24"/>
              </w:rPr>
              <w:t>本项目污染源主要为废润滑油、废切削液，一旦出现泄露将会造成土壤污染，生产车间地面应按照相关要求做好防渗工作，避免出现泄露现象的发生。应配置泄漏收集装置，在发现地面破损、开裂、设备故障等情况下，应立即切断电源，禁止设备故障运行，检修时将废物废润滑油倒出，同时对地面进行修补，将地面开裂处受污染的土壤移出，避免进一步入渗引起下层土壤污染。</w:t>
            </w:r>
          </w:p>
          <w:p>
            <w:pPr>
              <w:adjustRightInd w:val="0"/>
              <w:snapToGrid w:val="0"/>
              <w:spacing w:line="500" w:lineRule="exact"/>
              <w:ind w:firstLine="480" w:firstLineChars="200"/>
              <w:rPr>
                <w:rFonts w:hAnsi="宋体"/>
                <w:sz w:val="24"/>
              </w:rPr>
            </w:pPr>
            <w:r>
              <w:rPr>
                <w:rFonts w:hint="eastAsia" w:hAnsi="宋体"/>
                <w:sz w:val="24"/>
              </w:rPr>
              <w:t>（</w:t>
            </w:r>
            <w:r>
              <w:rPr>
                <w:rFonts w:hAnsi="宋体"/>
                <w:sz w:val="24"/>
              </w:rPr>
              <w:t>3</w:t>
            </w:r>
            <w:r>
              <w:rPr>
                <w:rFonts w:hint="eastAsia" w:hAnsi="宋体"/>
                <w:sz w:val="24"/>
              </w:rPr>
              <w:t>）跟踪监测</w:t>
            </w:r>
          </w:p>
          <w:p>
            <w:pPr>
              <w:adjustRightInd w:val="0"/>
              <w:snapToGrid w:val="0"/>
              <w:spacing w:line="500" w:lineRule="exact"/>
              <w:ind w:firstLine="480" w:firstLineChars="200"/>
              <w:rPr>
                <w:sz w:val="24"/>
              </w:rPr>
            </w:pPr>
            <w:r>
              <w:rPr>
                <w:rFonts w:hint="eastAsia"/>
                <w:sz w:val="24"/>
              </w:rPr>
              <w:t>根据《环境影响评价技术导则土壤环境（试行）》（</w:t>
            </w:r>
            <w:r>
              <w:rPr>
                <w:sz w:val="24"/>
              </w:rPr>
              <w:t>HJ 964-2018</w:t>
            </w:r>
            <w:r>
              <w:rPr>
                <w:rFonts w:hint="eastAsia"/>
                <w:sz w:val="24"/>
              </w:rPr>
              <w:t>）要求，</w:t>
            </w:r>
            <w:r>
              <w:rPr>
                <w:rFonts w:hint="eastAsia" w:hAnsi="宋体"/>
                <w:sz w:val="24"/>
              </w:rPr>
              <w:t>评价工作等级为一级的建设项目一般每</w:t>
            </w:r>
            <w:r>
              <w:rPr>
                <w:sz w:val="24"/>
              </w:rPr>
              <w:t>3</w:t>
            </w:r>
            <w:r>
              <w:rPr>
                <w:rFonts w:hint="eastAsia" w:hAnsi="宋体"/>
                <w:sz w:val="24"/>
              </w:rPr>
              <w:t>年内开展</w:t>
            </w:r>
            <w:r>
              <w:rPr>
                <w:sz w:val="24"/>
              </w:rPr>
              <w:t>1</w:t>
            </w:r>
            <w:r>
              <w:rPr>
                <w:rFonts w:hint="eastAsia" w:hAnsi="宋体"/>
                <w:sz w:val="24"/>
              </w:rPr>
              <w:t>次监测工作，二级的每</w:t>
            </w:r>
            <w:r>
              <w:rPr>
                <w:sz w:val="24"/>
              </w:rPr>
              <w:t>5</w:t>
            </w:r>
            <w:r>
              <w:rPr>
                <w:rFonts w:hint="eastAsia" w:hAnsi="宋体"/>
                <w:sz w:val="24"/>
              </w:rPr>
              <w:t>年内开展</w:t>
            </w:r>
            <w:r>
              <w:rPr>
                <w:sz w:val="24"/>
              </w:rPr>
              <w:t>1</w:t>
            </w:r>
            <w:r>
              <w:rPr>
                <w:rFonts w:hint="eastAsia" w:hAnsi="宋体"/>
                <w:sz w:val="24"/>
              </w:rPr>
              <w:t>次，三级的必要时可开展跟踪监测。本项目评价工作等级低于三级，评价建议企业应在必要时进行跟踪监测。</w:t>
            </w:r>
          </w:p>
          <w:p>
            <w:pPr>
              <w:adjustRightInd w:val="0"/>
              <w:snapToGrid w:val="0"/>
              <w:spacing w:line="500" w:lineRule="exact"/>
              <w:ind w:firstLine="480" w:firstLineChars="200"/>
              <w:rPr>
                <w:sz w:val="24"/>
              </w:rPr>
            </w:pPr>
            <w:r>
              <w:rPr>
                <w:rFonts w:hint="eastAsia" w:hAnsi="宋体"/>
                <w:sz w:val="24"/>
              </w:rPr>
              <w:t>综上所述，项目运营期在落实厂区做好分区防渗措施，项目建设对土壤环境的影响可降至最低，不改变区域土壤环境质量现状。从土壤环境影响的角度，项目建设可行。</w:t>
            </w:r>
          </w:p>
          <w:p>
            <w:pPr>
              <w:pStyle w:val="61"/>
              <w:adjustRightInd w:val="0"/>
              <w:snapToGrid w:val="0"/>
              <w:spacing w:line="500" w:lineRule="exact"/>
              <w:rPr>
                <w:rFonts w:ascii="Times New Roman" w:hAnsi="Times New Roman"/>
                <w:b/>
                <w:kern w:val="2"/>
                <w:sz w:val="26"/>
                <w:lang w:eastAsia="zh-CN"/>
              </w:rPr>
            </w:pPr>
            <w:r>
              <w:rPr>
                <w:rFonts w:hint="eastAsia" w:ascii="Times New Roman" w:hAnsi="Times New Roman"/>
                <w:b/>
                <w:kern w:val="2"/>
                <w:sz w:val="26"/>
                <w:lang w:eastAsia="zh-CN"/>
              </w:rPr>
              <w:t>6</w:t>
            </w:r>
            <w:r>
              <w:rPr>
                <w:rFonts w:hint="eastAsia" w:ascii="Times New Roman" w:hAnsi="宋体"/>
                <w:b/>
                <w:bCs/>
                <w:kern w:val="2"/>
                <w:sz w:val="24"/>
                <w:szCs w:val="24"/>
                <w:lang w:eastAsia="zh-CN"/>
              </w:rPr>
              <w:t>.</w:t>
            </w:r>
            <w:r>
              <w:rPr>
                <w:rFonts w:ascii="Times New Roman" w:hAnsi="宋体"/>
                <w:b/>
                <w:bCs/>
                <w:kern w:val="2"/>
                <w:sz w:val="24"/>
                <w:szCs w:val="24"/>
                <w:lang w:eastAsia="zh-CN"/>
              </w:rPr>
              <w:t>环境风险分析</w:t>
            </w:r>
          </w:p>
          <w:p>
            <w:pPr>
              <w:adjustRightInd w:val="0"/>
              <w:snapToGrid w:val="0"/>
              <w:spacing w:line="500" w:lineRule="exact"/>
              <w:ind w:firstLine="480" w:firstLineChars="200"/>
              <w:rPr>
                <w:rFonts w:hAnsi="宋体"/>
                <w:sz w:val="24"/>
              </w:rPr>
            </w:pPr>
            <w:r>
              <w:rPr>
                <w:rFonts w:hAnsi="宋体"/>
                <w:bCs/>
                <w:sz w:val="24"/>
              </w:rPr>
              <w:t>（</w:t>
            </w:r>
            <w:r>
              <w:rPr>
                <w:rFonts w:hAnsi="宋体"/>
                <w:sz w:val="24"/>
              </w:rPr>
              <w:t>1）环境风险评价的目的</w:t>
            </w:r>
          </w:p>
          <w:p>
            <w:pPr>
              <w:adjustRightInd w:val="0"/>
              <w:snapToGrid w:val="0"/>
              <w:spacing w:line="500" w:lineRule="exact"/>
              <w:ind w:firstLine="480" w:firstLineChars="200"/>
              <w:rPr>
                <w:rFonts w:hAnsi="宋体"/>
                <w:sz w:val="24"/>
              </w:rPr>
            </w:pPr>
            <w:r>
              <w:rPr>
                <w:rFonts w:hAnsi="宋体"/>
                <w:sz w:val="24"/>
              </w:rPr>
              <w:t>环境风险评价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将风险可能性和危害程度降至最低。</w:t>
            </w:r>
          </w:p>
          <w:p>
            <w:pPr>
              <w:adjustRightInd w:val="0"/>
              <w:snapToGrid w:val="0"/>
              <w:spacing w:line="500" w:lineRule="exact"/>
              <w:ind w:firstLine="480" w:firstLineChars="200"/>
              <w:rPr>
                <w:sz w:val="24"/>
              </w:rPr>
            </w:pPr>
            <w:r>
              <w:rPr>
                <w:rFonts w:hAnsi="宋体"/>
                <w:sz w:val="24"/>
              </w:rPr>
              <w:t>（</w:t>
            </w:r>
            <w:r>
              <w:rPr>
                <w:sz w:val="24"/>
              </w:rPr>
              <w:t>2</w:t>
            </w:r>
            <w:r>
              <w:rPr>
                <w:rFonts w:hAnsi="宋体"/>
                <w:sz w:val="24"/>
              </w:rPr>
              <w:t>）环境风险识别</w:t>
            </w:r>
          </w:p>
          <w:p>
            <w:pPr>
              <w:adjustRightInd w:val="0"/>
              <w:snapToGrid w:val="0"/>
              <w:spacing w:line="500" w:lineRule="exact"/>
              <w:ind w:firstLine="480" w:firstLineChars="200"/>
              <w:rPr>
                <w:sz w:val="24"/>
              </w:rPr>
            </w:pPr>
            <w:r>
              <w:rPr>
                <w:rFonts w:hint="eastAsia" w:hAnsi="宋体"/>
                <w:sz w:val="24"/>
              </w:rPr>
              <w:t>物质危险性是指由于物质的化学、物理或毒性特性，使其具有易导致火灾、爆炸或中毒的危险。对照《建设项目环境风险评价 技术导则》（HJ/T 169—2018）附录B，本项目生产所用原材料不涉及重点关注的危险物质，项目设备维护需用到润滑油，属于附录B中的油类物质，理化性质见下表。</w:t>
            </w:r>
            <w:r>
              <w:rPr>
                <w:rFonts w:hAnsi="宋体"/>
                <w:sz w:val="24"/>
              </w:rPr>
              <w:t>见下表</w:t>
            </w:r>
            <w:r>
              <w:rPr>
                <w:rFonts w:hint="eastAsia"/>
                <w:sz w:val="24"/>
              </w:rPr>
              <w:t>51</w:t>
            </w:r>
            <w:r>
              <w:rPr>
                <w:rFonts w:hint="eastAsia" w:hAnsi="宋体"/>
                <w:sz w:val="24"/>
              </w:rPr>
              <w:t>，风险物质理化性质见表52。</w:t>
            </w:r>
          </w:p>
          <w:p>
            <w:pPr>
              <w:autoSpaceDE w:val="0"/>
              <w:autoSpaceDN w:val="0"/>
              <w:adjustRightInd w:val="0"/>
              <w:snapToGrid w:val="0"/>
              <w:spacing w:line="400" w:lineRule="exact"/>
              <w:ind w:left="420" w:leftChars="200" w:firstLine="118" w:firstLineChars="49"/>
              <w:rPr>
                <w:rFonts w:hAnsi="宋体"/>
                <w:b/>
                <w:sz w:val="24"/>
              </w:rPr>
            </w:pPr>
            <w:r>
              <w:rPr>
                <w:rFonts w:hint="eastAsia" w:hAnsi="宋体"/>
                <w:b/>
                <w:sz w:val="24"/>
              </w:rPr>
              <w:t>表51             项目环境风险潜在危险源识别表</w:t>
            </w:r>
          </w:p>
          <w:tbl>
            <w:tblPr>
              <w:tblStyle w:val="27"/>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244"/>
              <w:gridCol w:w="4478"/>
              <w:gridCol w:w="261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202" w:type="pct"/>
                </w:tcPr>
                <w:p>
                  <w:pPr>
                    <w:pStyle w:val="61"/>
                    <w:spacing w:before="37"/>
                    <w:ind w:left="369" w:right="358"/>
                    <w:jc w:val="center"/>
                    <w:rPr>
                      <w:sz w:val="21"/>
                      <w:lang w:eastAsia="zh-CN"/>
                    </w:rPr>
                  </w:pPr>
                  <w:r>
                    <w:rPr>
                      <w:sz w:val="21"/>
                      <w:lang w:eastAsia="zh-CN"/>
                    </w:rPr>
                    <w:t>类别</w:t>
                  </w:r>
                </w:p>
              </w:tc>
              <w:tc>
                <w:tcPr>
                  <w:tcW w:w="2399" w:type="pct"/>
                </w:tcPr>
                <w:p>
                  <w:pPr>
                    <w:pStyle w:val="61"/>
                    <w:spacing w:before="37"/>
                    <w:ind w:left="541" w:right="535"/>
                    <w:jc w:val="center"/>
                    <w:rPr>
                      <w:sz w:val="21"/>
                      <w:lang w:eastAsia="zh-CN"/>
                    </w:rPr>
                  </w:pPr>
                  <w:r>
                    <w:rPr>
                      <w:sz w:val="21"/>
                      <w:lang w:eastAsia="zh-CN"/>
                    </w:rPr>
                    <w:t>事故原因</w:t>
                  </w:r>
                </w:p>
              </w:tc>
              <w:tc>
                <w:tcPr>
                  <w:tcW w:w="1399" w:type="pct"/>
                </w:tcPr>
                <w:p>
                  <w:pPr>
                    <w:pStyle w:val="61"/>
                    <w:spacing w:before="37"/>
                    <w:ind w:left="745" w:right="736"/>
                    <w:jc w:val="center"/>
                    <w:rPr>
                      <w:sz w:val="21"/>
                      <w:lang w:eastAsia="zh-CN"/>
                    </w:rPr>
                  </w:pPr>
                  <w:r>
                    <w:rPr>
                      <w:sz w:val="21"/>
                      <w:lang w:eastAsia="zh-CN"/>
                    </w:rPr>
                    <w:t>发生场所</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02" w:type="pct"/>
                </w:tcPr>
                <w:p>
                  <w:pPr>
                    <w:pStyle w:val="61"/>
                    <w:spacing w:before="37"/>
                    <w:ind w:left="369" w:right="358"/>
                    <w:jc w:val="center"/>
                    <w:rPr>
                      <w:sz w:val="21"/>
                      <w:lang w:eastAsia="zh-CN"/>
                    </w:rPr>
                  </w:pPr>
                  <w:r>
                    <w:rPr>
                      <w:rFonts w:hint="eastAsia"/>
                      <w:sz w:val="21"/>
                      <w:lang w:eastAsia="zh-CN"/>
                    </w:rPr>
                    <w:t>废润滑油</w:t>
                  </w:r>
                </w:p>
              </w:tc>
              <w:tc>
                <w:tcPr>
                  <w:tcW w:w="2399" w:type="pct"/>
                  <w:vMerge w:val="restart"/>
                  <w:vAlign w:val="center"/>
                </w:tcPr>
                <w:p>
                  <w:pPr>
                    <w:pStyle w:val="61"/>
                    <w:spacing w:before="37"/>
                    <w:ind w:left="541" w:right="535"/>
                    <w:jc w:val="center"/>
                    <w:rPr>
                      <w:sz w:val="21"/>
                      <w:lang w:eastAsia="zh-CN"/>
                    </w:rPr>
                  </w:pPr>
                  <w:r>
                    <w:rPr>
                      <w:rFonts w:hint="eastAsia"/>
                      <w:sz w:val="21"/>
                      <w:lang w:eastAsia="zh-CN"/>
                    </w:rPr>
                    <w:t>油桶泄漏，遇明火发生火灾和爆炸</w:t>
                  </w:r>
                </w:p>
              </w:tc>
              <w:tc>
                <w:tcPr>
                  <w:tcW w:w="1399" w:type="pct"/>
                  <w:vMerge w:val="restart"/>
                  <w:vAlign w:val="center"/>
                </w:tcPr>
                <w:p>
                  <w:pPr>
                    <w:pStyle w:val="61"/>
                    <w:spacing w:before="37"/>
                    <w:ind w:left="745" w:right="736"/>
                    <w:jc w:val="center"/>
                    <w:rPr>
                      <w:sz w:val="21"/>
                      <w:lang w:eastAsia="zh-CN"/>
                    </w:rPr>
                  </w:pPr>
                  <w:r>
                    <w:rPr>
                      <w:rFonts w:hint="eastAsia"/>
                      <w:sz w:val="21"/>
                      <w:lang w:eastAsia="zh-CN"/>
                    </w:rPr>
                    <w:t>危废暂存间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02" w:type="pct"/>
                </w:tcPr>
                <w:p>
                  <w:pPr>
                    <w:pStyle w:val="61"/>
                    <w:spacing w:before="37"/>
                    <w:ind w:left="369" w:right="358"/>
                    <w:jc w:val="center"/>
                    <w:rPr>
                      <w:sz w:val="21"/>
                      <w:lang w:eastAsia="zh-CN"/>
                    </w:rPr>
                  </w:pPr>
                  <w:r>
                    <w:rPr>
                      <w:rFonts w:hint="eastAsia"/>
                      <w:sz w:val="21"/>
                      <w:lang w:eastAsia="zh-CN"/>
                    </w:rPr>
                    <w:t>废切削液</w:t>
                  </w:r>
                </w:p>
              </w:tc>
              <w:tc>
                <w:tcPr>
                  <w:tcW w:w="2399" w:type="pct"/>
                  <w:vMerge w:val="continue"/>
                </w:tcPr>
                <w:p>
                  <w:pPr>
                    <w:pStyle w:val="61"/>
                    <w:spacing w:before="37"/>
                    <w:ind w:left="541" w:right="535"/>
                    <w:jc w:val="center"/>
                    <w:rPr>
                      <w:sz w:val="21"/>
                      <w:lang w:eastAsia="zh-CN"/>
                    </w:rPr>
                  </w:pPr>
                </w:p>
              </w:tc>
              <w:tc>
                <w:tcPr>
                  <w:tcW w:w="1399" w:type="pct"/>
                  <w:vMerge w:val="continue"/>
                </w:tcPr>
                <w:p>
                  <w:pPr>
                    <w:pStyle w:val="61"/>
                    <w:spacing w:before="37"/>
                    <w:ind w:left="745" w:right="736"/>
                    <w:jc w:val="center"/>
                    <w:rPr>
                      <w:sz w:val="21"/>
                      <w:lang w:eastAsia="zh-CN"/>
                    </w:rPr>
                  </w:pPr>
                </w:p>
              </w:tc>
            </w:tr>
          </w:tbl>
          <w:p>
            <w:pPr>
              <w:autoSpaceDE w:val="0"/>
              <w:autoSpaceDN w:val="0"/>
              <w:adjustRightInd w:val="0"/>
              <w:snapToGrid w:val="0"/>
              <w:spacing w:line="400" w:lineRule="exact"/>
              <w:ind w:left="420" w:leftChars="200" w:firstLine="118" w:firstLineChars="49"/>
              <w:rPr>
                <w:rFonts w:hAnsi="宋体"/>
                <w:b/>
                <w:sz w:val="24"/>
              </w:rPr>
            </w:pPr>
            <w:r>
              <w:rPr>
                <w:rFonts w:hint="eastAsia" w:hAnsi="宋体"/>
                <w:b/>
                <w:sz w:val="24"/>
              </w:rPr>
              <w:t>表52             风险物资理化性质</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3190"/>
              <w:gridCol w:w="2042"/>
              <w:gridCol w:w="23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8" w:type="pct"/>
                  <w:vMerge w:val="restart"/>
                  <w:tcBorders>
                    <w:top w:val="single" w:color="auto" w:sz="12" w:space="0"/>
                    <w:left w:val="nil"/>
                    <w:bottom w:val="single" w:color="auto" w:sz="4" w:space="0"/>
                    <w:right w:val="single" w:color="auto" w:sz="4" w:space="0"/>
                  </w:tcBorders>
                  <w:vAlign w:val="center"/>
                </w:tcPr>
                <w:p>
                  <w:pPr>
                    <w:spacing w:line="320" w:lineRule="exact"/>
                    <w:jc w:val="center"/>
                    <w:rPr>
                      <w:b/>
                      <w:szCs w:val="21"/>
                    </w:rPr>
                  </w:pPr>
                  <w:r>
                    <w:rPr>
                      <w:rFonts w:hint="eastAsia"/>
                      <w:b/>
                      <w:szCs w:val="21"/>
                    </w:rPr>
                    <w:t>物质名称</w:t>
                  </w:r>
                </w:p>
              </w:tc>
              <w:tc>
                <w:tcPr>
                  <w:tcW w:w="4052" w:type="pct"/>
                  <w:gridSpan w:val="3"/>
                  <w:tcBorders>
                    <w:top w:val="single" w:color="auto" w:sz="12" w:space="0"/>
                    <w:left w:val="single" w:color="auto" w:sz="4" w:space="0"/>
                    <w:bottom w:val="single" w:color="auto" w:sz="4" w:space="0"/>
                    <w:right w:val="nil"/>
                  </w:tcBorders>
                  <w:vAlign w:val="center"/>
                </w:tcPr>
                <w:p>
                  <w:pPr>
                    <w:spacing w:line="320" w:lineRule="exact"/>
                    <w:jc w:val="center"/>
                    <w:rPr>
                      <w:b/>
                      <w:szCs w:val="21"/>
                    </w:rPr>
                  </w:pPr>
                  <w:r>
                    <w:rPr>
                      <w:rFonts w:hint="eastAsia"/>
                      <w:b/>
                      <w:szCs w:val="21"/>
                    </w:rPr>
                    <w:t>性质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948" w:type="pct"/>
                  <w:vMerge w:val="continue"/>
                  <w:tcBorders>
                    <w:top w:val="single" w:color="auto" w:sz="12" w:space="0"/>
                    <w:left w:val="nil"/>
                    <w:bottom w:val="single" w:color="auto" w:sz="4" w:space="0"/>
                    <w:right w:val="single" w:color="auto" w:sz="4" w:space="0"/>
                  </w:tcBorders>
                  <w:vAlign w:val="center"/>
                </w:tcPr>
                <w:p>
                  <w:pPr>
                    <w:widowControl/>
                    <w:jc w:val="left"/>
                    <w:rPr>
                      <w:b/>
                      <w:szCs w:val="21"/>
                    </w:rPr>
                  </w:pPr>
                </w:p>
              </w:tc>
              <w:tc>
                <w:tcPr>
                  <w:tcW w:w="1709"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b/>
                      <w:szCs w:val="21"/>
                    </w:rPr>
                  </w:pPr>
                  <w:r>
                    <w:rPr>
                      <w:rFonts w:hint="eastAsia"/>
                      <w:b/>
                      <w:szCs w:val="21"/>
                    </w:rPr>
                    <w:t>毒性</w:t>
                  </w:r>
                </w:p>
              </w:tc>
              <w:tc>
                <w:tcPr>
                  <w:tcW w:w="109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b/>
                      <w:szCs w:val="21"/>
                    </w:rPr>
                  </w:pPr>
                  <w:r>
                    <w:rPr>
                      <w:rFonts w:hint="eastAsia"/>
                      <w:b/>
                      <w:szCs w:val="21"/>
                    </w:rPr>
                    <w:t>闪点</w:t>
                  </w:r>
                </w:p>
              </w:tc>
              <w:tc>
                <w:tcPr>
                  <w:tcW w:w="1249" w:type="pct"/>
                  <w:tcBorders>
                    <w:top w:val="single" w:color="auto" w:sz="4" w:space="0"/>
                    <w:left w:val="single" w:color="auto" w:sz="4" w:space="0"/>
                    <w:bottom w:val="single" w:color="auto" w:sz="4" w:space="0"/>
                    <w:right w:val="nil"/>
                  </w:tcBorders>
                  <w:vAlign w:val="center"/>
                </w:tcPr>
                <w:p>
                  <w:pPr>
                    <w:spacing w:line="320" w:lineRule="exact"/>
                    <w:jc w:val="center"/>
                    <w:rPr>
                      <w:b/>
                      <w:szCs w:val="21"/>
                    </w:rPr>
                  </w:pPr>
                  <w:r>
                    <w:rPr>
                      <w:rFonts w:hint="eastAsia"/>
                      <w:b/>
                      <w:szCs w:val="21"/>
                    </w:rPr>
                    <w:t>危险特性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8" w:type="pct"/>
                  <w:tcBorders>
                    <w:top w:val="single" w:color="auto" w:sz="4" w:space="0"/>
                    <w:left w:val="nil"/>
                    <w:bottom w:val="single" w:color="auto" w:sz="12" w:space="0"/>
                    <w:right w:val="single" w:color="auto" w:sz="4" w:space="0"/>
                  </w:tcBorders>
                  <w:vAlign w:val="center"/>
                </w:tcPr>
                <w:p>
                  <w:pPr>
                    <w:spacing w:line="320" w:lineRule="exact"/>
                    <w:jc w:val="center"/>
                    <w:rPr>
                      <w:szCs w:val="21"/>
                    </w:rPr>
                  </w:pPr>
                  <w:r>
                    <w:rPr>
                      <w:rFonts w:hint="eastAsia"/>
                      <w:szCs w:val="21"/>
                    </w:rPr>
                    <w:t>废润滑油</w:t>
                  </w:r>
                </w:p>
              </w:tc>
              <w:tc>
                <w:tcPr>
                  <w:tcW w:w="1709" w:type="pct"/>
                  <w:tcBorders>
                    <w:top w:val="single" w:color="auto" w:sz="4" w:space="0"/>
                    <w:left w:val="single" w:color="auto" w:sz="4" w:space="0"/>
                    <w:bottom w:val="single" w:color="auto" w:sz="12" w:space="0"/>
                    <w:right w:val="single" w:color="auto" w:sz="4" w:space="0"/>
                  </w:tcBorders>
                  <w:vAlign w:val="center"/>
                </w:tcPr>
                <w:p>
                  <w:pPr>
                    <w:spacing w:line="320" w:lineRule="exact"/>
                    <w:jc w:val="center"/>
                    <w:rPr>
                      <w:szCs w:val="21"/>
                    </w:rPr>
                  </w:pPr>
                  <w:r>
                    <w:rPr>
                      <w:rFonts w:hint="eastAsia"/>
                      <w:szCs w:val="21"/>
                    </w:rPr>
                    <w:t>无资料</w:t>
                  </w:r>
                </w:p>
              </w:tc>
              <w:tc>
                <w:tcPr>
                  <w:tcW w:w="1094" w:type="pct"/>
                  <w:tcBorders>
                    <w:top w:val="single" w:color="auto" w:sz="4" w:space="0"/>
                    <w:left w:val="single" w:color="auto" w:sz="4" w:space="0"/>
                    <w:bottom w:val="single" w:color="auto" w:sz="12" w:space="0"/>
                    <w:right w:val="single" w:color="auto" w:sz="4" w:space="0"/>
                  </w:tcBorders>
                  <w:vAlign w:val="center"/>
                </w:tcPr>
                <w:p>
                  <w:pPr>
                    <w:spacing w:line="320" w:lineRule="exact"/>
                    <w:jc w:val="center"/>
                    <w:rPr>
                      <w:szCs w:val="21"/>
                    </w:rPr>
                  </w:pPr>
                  <w:r>
                    <w:rPr>
                      <w:rFonts w:hint="eastAsia"/>
                      <w:szCs w:val="21"/>
                    </w:rPr>
                    <w:t>闪点＞</w:t>
                  </w:r>
                  <w:r>
                    <w:rPr>
                      <w:szCs w:val="21"/>
                    </w:rPr>
                    <w:t>76</w:t>
                  </w:r>
                  <w:r>
                    <w:rPr>
                      <w:rFonts w:hint="eastAsia" w:ascii="宋体" w:hAnsi="宋体" w:cs="宋体"/>
                      <w:szCs w:val="21"/>
                    </w:rPr>
                    <w:t>℃</w:t>
                  </w:r>
                </w:p>
              </w:tc>
              <w:tc>
                <w:tcPr>
                  <w:tcW w:w="1249" w:type="pct"/>
                  <w:tcBorders>
                    <w:top w:val="single" w:color="auto" w:sz="4" w:space="0"/>
                    <w:left w:val="single" w:color="auto" w:sz="4" w:space="0"/>
                    <w:bottom w:val="single" w:color="auto" w:sz="12" w:space="0"/>
                    <w:right w:val="nil"/>
                  </w:tcBorders>
                  <w:vAlign w:val="center"/>
                </w:tcPr>
                <w:p>
                  <w:pPr>
                    <w:spacing w:line="320" w:lineRule="exact"/>
                    <w:jc w:val="center"/>
                    <w:rPr>
                      <w:szCs w:val="21"/>
                    </w:rPr>
                  </w:pPr>
                  <w:r>
                    <w:rPr>
                      <w:rFonts w:hint="eastAsia"/>
                      <w:szCs w:val="21"/>
                    </w:rPr>
                    <w:t>遇明火、高热可燃</w:t>
                  </w:r>
                </w:p>
              </w:tc>
            </w:tr>
          </w:tbl>
          <w:p>
            <w:pPr>
              <w:pStyle w:val="4"/>
              <w:adjustRightInd w:val="0"/>
              <w:snapToGrid w:val="0"/>
              <w:spacing w:before="0" w:after="0" w:line="500" w:lineRule="exact"/>
              <w:ind w:firstLine="480" w:firstLineChars="200"/>
              <w:jc w:val="left"/>
              <w:rPr>
                <w:rFonts w:hAnsi="宋体"/>
                <w:b w:val="0"/>
                <w:bCs w:val="0"/>
                <w:color w:val="000000"/>
                <w:sz w:val="24"/>
                <w:szCs w:val="24"/>
              </w:rPr>
            </w:pPr>
            <w:r>
              <w:rPr>
                <w:rFonts w:hint="eastAsia" w:hAnsi="宋体"/>
                <w:b w:val="0"/>
                <w:bCs w:val="0"/>
                <w:color w:val="000000"/>
                <w:sz w:val="24"/>
                <w:szCs w:val="24"/>
              </w:rPr>
              <w:t>由化学品理化性质可知，废润滑油在储存、使用过程中存在泄漏的风险，遇明火或高热时会发生火灾等事故。由于废润滑油仅设备维护时产生；废切削液在储存、使用过程中存在泄漏的风险，在厂区内暂存量较少，且采用桶装，泄漏风险较小，泄漏后可及时采取有效措施降低对周围环境影响。</w:t>
            </w:r>
          </w:p>
          <w:p>
            <w:pPr>
              <w:pStyle w:val="4"/>
              <w:adjustRightInd w:val="0"/>
              <w:snapToGrid w:val="0"/>
              <w:spacing w:before="0" w:after="0" w:line="500" w:lineRule="exact"/>
              <w:ind w:firstLine="480" w:firstLineChars="200"/>
              <w:jc w:val="left"/>
              <w:rPr>
                <w:rFonts w:hAnsi="宋体"/>
                <w:b w:val="0"/>
                <w:bCs w:val="0"/>
                <w:color w:val="000000"/>
                <w:sz w:val="24"/>
                <w:szCs w:val="24"/>
              </w:rPr>
            </w:pPr>
            <w:r>
              <w:rPr>
                <w:rFonts w:hAnsi="宋体"/>
                <w:b w:val="0"/>
                <w:bCs w:val="0"/>
                <w:color w:val="000000"/>
                <w:sz w:val="24"/>
                <w:szCs w:val="24"/>
              </w:rPr>
              <w:t>（3）</w:t>
            </w:r>
            <w:r>
              <w:rPr>
                <w:rFonts w:hint="eastAsia" w:hAnsi="宋体"/>
                <w:b w:val="0"/>
                <w:bCs w:val="0"/>
                <w:color w:val="000000"/>
                <w:sz w:val="24"/>
                <w:szCs w:val="24"/>
              </w:rPr>
              <w:t>风险潜势初判</w:t>
            </w:r>
          </w:p>
          <w:p>
            <w:pPr>
              <w:pStyle w:val="87"/>
              <w:rPr>
                <w:snapToGrid w:val="0"/>
              </w:rPr>
            </w:pPr>
            <w:r>
              <w:rPr>
                <w:rFonts w:hint="eastAsia"/>
                <w:snapToGrid w:val="0"/>
              </w:rPr>
              <w:t>根据《建设项目环境风险评价</w:t>
            </w:r>
            <w:r>
              <w:rPr>
                <w:snapToGrid w:val="0"/>
              </w:rPr>
              <w:t xml:space="preserve"> </w:t>
            </w:r>
            <w:r>
              <w:rPr>
                <w:rFonts w:hint="eastAsia"/>
                <w:snapToGrid w:val="0"/>
              </w:rPr>
              <w:t>技术导则》（</w:t>
            </w:r>
            <w:r>
              <w:rPr>
                <w:snapToGrid w:val="0"/>
              </w:rPr>
              <w:t>HJ/T 169—2018</w:t>
            </w:r>
            <w:r>
              <w:rPr>
                <w:rFonts w:hint="eastAsia"/>
                <w:snapToGrid w:val="0"/>
              </w:rPr>
              <w:t>），建设项目环境风险潜势划分为</w:t>
            </w:r>
            <w:r>
              <w:rPr>
                <w:snapToGrid w:val="0"/>
              </w:rPr>
              <w:fldChar w:fldCharType="begin"/>
            </w:r>
            <w:r>
              <w:rPr>
                <w:snapToGrid w:val="0"/>
              </w:rPr>
              <w:instrText xml:space="preserve"> = 1 \* ROMAN </w:instrText>
            </w:r>
            <w:r>
              <w:rPr>
                <w:snapToGrid w:val="0"/>
              </w:rPr>
              <w:fldChar w:fldCharType="separate"/>
            </w:r>
            <w:r>
              <w:rPr>
                <w:snapToGrid w:val="0"/>
              </w:rPr>
              <w:t>I</w:t>
            </w:r>
            <w:r>
              <w:rPr>
                <w:snapToGrid w:val="0"/>
              </w:rPr>
              <w:fldChar w:fldCharType="end"/>
            </w:r>
            <w:r>
              <w:rPr>
                <w:rFonts w:hint="eastAsia"/>
                <w:snapToGrid w:val="0"/>
              </w:rPr>
              <w:t>、</w:t>
            </w:r>
            <w:r>
              <w:rPr>
                <w:snapToGrid w:val="0"/>
              </w:rPr>
              <w:fldChar w:fldCharType="begin"/>
            </w:r>
            <w:r>
              <w:rPr>
                <w:snapToGrid w:val="0"/>
              </w:rPr>
              <w:instrText xml:space="preserve"> = 2 \* ROMAN </w:instrText>
            </w:r>
            <w:r>
              <w:rPr>
                <w:snapToGrid w:val="0"/>
              </w:rPr>
              <w:fldChar w:fldCharType="separate"/>
            </w:r>
            <w:r>
              <w:rPr>
                <w:snapToGrid w:val="0"/>
              </w:rPr>
              <w:t>II</w:t>
            </w:r>
            <w:r>
              <w:rPr>
                <w:snapToGrid w:val="0"/>
              </w:rPr>
              <w:fldChar w:fldCharType="end"/>
            </w:r>
            <w:r>
              <w:rPr>
                <w:rFonts w:hint="eastAsia"/>
                <w:snapToGrid w:val="0"/>
              </w:rPr>
              <w:t>、</w:t>
            </w:r>
            <w:r>
              <w:rPr>
                <w:snapToGrid w:val="0"/>
              </w:rPr>
              <w:fldChar w:fldCharType="begin"/>
            </w:r>
            <w:r>
              <w:rPr>
                <w:snapToGrid w:val="0"/>
              </w:rPr>
              <w:instrText xml:space="preserve"> = 3 \* ROMAN </w:instrText>
            </w:r>
            <w:r>
              <w:rPr>
                <w:snapToGrid w:val="0"/>
              </w:rPr>
              <w:fldChar w:fldCharType="separate"/>
            </w:r>
            <w:r>
              <w:rPr>
                <w:snapToGrid w:val="0"/>
              </w:rPr>
              <w:t>III</w:t>
            </w:r>
            <w:r>
              <w:rPr>
                <w:snapToGrid w:val="0"/>
              </w:rPr>
              <w:fldChar w:fldCharType="end"/>
            </w:r>
            <w:r>
              <w:rPr>
                <w:rFonts w:hint="eastAsia"/>
                <w:snapToGrid w:val="0"/>
              </w:rPr>
              <w:t>、</w:t>
            </w:r>
            <w:r>
              <w:rPr>
                <w:snapToGrid w:val="0"/>
              </w:rPr>
              <w:fldChar w:fldCharType="begin"/>
            </w:r>
            <w:r>
              <w:rPr>
                <w:snapToGrid w:val="0"/>
              </w:rPr>
              <w:instrText xml:space="preserve"> = 4 \* ROMAN </w:instrText>
            </w:r>
            <w:r>
              <w:rPr>
                <w:snapToGrid w:val="0"/>
              </w:rPr>
              <w:fldChar w:fldCharType="separate"/>
            </w:r>
            <w:r>
              <w:rPr>
                <w:snapToGrid w:val="0"/>
              </w:rPr>
              <w:t>IV</w:t>
            </w:r>
            <w:r>
              <w:rPr>
                <w:snapToGrid w:val="0"/>
              </w:rPr>
              <w:fldChar w:fldCharType="end"/>
            </w:r>
            <w:r>
              <w:rPr>
                <w:snapToGrid w:val="0"/>
              </w:rPr>
              <w:t>/</w:t>
            </w:r>
            <w:r>
              <w:rPr>
                <w:snapToGrid w:val="0"/>
              </w:rPr>
              <w:fldChar w:fldCharType="begin"/>
            </w:r>
            <w:r>
              <w:rPr>
                <w:snapToGrid w:val="0"/>
              </w:rPr>
              <w:instrText xml:space="preserve"> = 4 \* ROMAN </w:instrText>
            </w:r>
            <w:r>
              <w:rPr>
                <w:snapToGrid w:val="0"/>
              </w:rPr>
              <w:fldChar w:fldCharType="separate"/>
            </w:r>
            <w:r>
              <w:rPr>
                <w:snapToGrid w:val="0"/>
              </w:rPr>
              <w:t>IV</w:t>
            </w:r>
            <w:r>
              <w:rPr>
                <w:snapToGrid w:val="0"/>
              </w:rPr>
              <w:fldChar w:fldCharType="end"/>
            </w:r>
            <w:r>
              <w:rPr>
                <w:snapToGrid w:val="0"/>
                <w:vertAlign w:val="superscript"/>
              </w:rPr>
              <w:t>+</w:t>
            </w:r>
            <w:r>
              <w:rPr>
                <w:rFonts w:hint="eastAsia"/>
                <w:snapToGrid w:val="0"/>
              </w:rPr>
              <w:t>级。</w:t>
            </w:r>
          </w:p>
          <w:p>
            <w:pPr>
              <w:pStyle w:val="87"/>
              <w:rPr>
                <w:snapToGrid w:val="0"/>
              </w:rPr>
            </w:pPr>
            <w:r>
              <w:rPr>
                <w:snapToGrid w:val="0"/>
              </w:rPr>
              <w:fldChar w:fldCharType="begin"/>
            </w:r>
            <w:r>
              <w:rPr>
                <w:snapToGrid w:val="0"/>
              </w:rPr>
              <w:instrText xml:space="preserve"> </w:instrText>
            </w:r>
            <w:r>
              <w:rPr>
                <w:rFonts w:hint="eastAsia"/>
                <w:snapToGrid w:val="0"/>
              </w:rPr>
              <w:instrText xml:space="preserve">= 1 \* GB3</w:instrText>
            </w:r>
            <w:r>
              <w:rPr>
                <w:snapToGrid w:val="0"/>
              </w:rPr>
              <w:instrText xml:space="preserve"> </w:instrText>
            </w:r>
            <w:r>
              <w:rPr>
                <w:snapToGrid w:val="0"/>
              </w:rPr>
              <w:fldChar w:fldCharType="separate"/>
            </w:r>
            <w:r>
              <w:rPr>
                <w:rFonts w:hint="eastAsia"/>
                <w:snapToGrid w:val="0"/>
              </w:rPr>
              <w:t>①</w:t>
            </w:r>
            <w:r>
              <w:rPr>
                <w:snapToGrid w:val="0"/>
              </w:rPr>
              <w:fldChar w:fldCharType="end"/>
            </w:r>
            <w:r>
              <w:rPr>
                <w:rFonts w:hint="eastAsia"/>
                <w:snapToGrid w:val="0"/>
              </w:rPr>
              <w:t>项目危险物质数量与临界量比值（</w:t>
            </w:r>
            <w:r>
              <w:rPr>
                <w:snapToGrid w:val="0"/>
              </w:rPr>
              <w:t>Q</w:t>
            </w:r>
            <w:r>
              <w:rPr>
                <w:rFonts w:hint="eastAsia"/>
                <w:snapToGrid w:val="0"/>
              </w:rPr>
              <w:t>）</w:t>
            </w:r>
          </w:p>
          <w:p>
            <w:pPr>
              <w:pStyle w:val="87"/>
              <w:rPr>
                <w:snapToGrid w:val="0"/>
              </w:rPr>
            </w:pPr>
            <w:r>
              <w:rPr>
                <w:rFonts w:hint="eastAsia"/>
                <w:snapToGrid w:val="0"/>
              </w:rPr>
              <w:t>当只涉及一种危险物质时，计算该物质的总量与其临界量比值，即为</w:t>
            </w:r>
            <w:r>
              <w:rPr>
                <w:snapToGrid w:val="0"/>
              </w:rPr>
              <w:t>Q</w:t>
            </w:r>
            <w:r>
              <w:rPr>
                <w:rFonts w:hint="eastAsia"/>
                <w:snapToGrid w:val="0"/>
              </w:rPr>
              <w:t>；</w:t>
            </w:r>
          </w:p>
          <w:p>
            <w:pPr>
              <w:pStyle w:val="87"/>
              <w:rPr>
                <w:snapToGrid w:val="0"/>
              </w:rPr>
            </w:pPr>
            <w:r>
              <w:rPr>
                <w:rFonts w:hint="eastAsia"/>
                <w:snapToGrid w:val="0"/>
              </w:rPr>
              <w:t>当存在多种危险物质时，则按下式计算物质总量与其临界量比值：</w:t>
            </w:r>
          </w:p>
          <w:p>
            <w:pPr>
              <w:pStyle w:val="87"/>
              <w:ind w:firstLine="0" w:firstLineChars="0"/>
              <w:jc w:val="center"/>
              <w:rPr>
                <w:snapToGrid w:val="0"/>
                <w:vertAlign w:val="subscript"/>
              </w:rPr>
            </w:pPr>
            <w:r>
              <w:rPr>
                <w:snapToGrid w:val="0"/>
              </w:rPr>
              <w:t>Q=q</w:t>
            </w:r>
            <w:r>
              <w:rPr>
                <w:snapToGrid w:val="0"/>
                <w:vertAlign w:val="subscript"/>
              </w:rPr>
              <w:t>1</w:t>
            </w:r>
            <w:r>
              <w:rPr>
                <w:snapToGrid w:val="0"/>
              </w:rPr>
              <w:t>/Q</w:t>
            </w:r>
            <w:r>
              <w:rPr>
                <w:snapToGrid w:val="0"/>
                <w:vertAlign w:val="subscript"/>
              </w:rPr>
              <w:t>1</w:t>
            </w:r>
            <w:r>
              <w:rPr>
                <w:snapToGrid w:val="0"/>
              </w:rPr>
              <w:t>+q</w:t>
            </w:r>
            <w:r>
              <w:rPr>
                <w:snapToGrid w:val="0"/>
                <w:vertAlign w:val="subscript"/>
              </w:rPr>
              <w:t>2</w:t>
            </w:r>
            <w:r>
              <w:rPr>
                <w:snapToGrid w:val="0"/>
              </w:rPr>
              <w:t>/Q</w:t>
            </w:r>
            <w:r>
              <w:rPr>
                <w:snapToGrid w:val="0"/>
                <w:vertAlign w:val="subscript"/>
              </w:rPr>
              <w:t>2</w:t>
            </w:r>
            <w:r>
              <w:rPr>
                <w:snapToGrid w:val="0"/>
              </w:rPr>
              <w:t>+</w:t>
            </w:r>
            <w:r>
              <w:rPr>
                <w:rFonts w:hint="eastAsia"/>
                <w:snapToGrid w:val="0"/>
              </w:rPr>
              <w:t>…</w:t>
            </w:r>
            <w:r>
              <w:rPr>
                <w:snapToGrid w:val="0"/>
              </w:rPr>
              <w:t>q</w:t>
            </w:r>
            <w:r>
              <w:rPr>
                <w:snapToGrid w:val="0"/>
                <w:vertAlign w:val="subscript"/>
              </w:rPr>
              <w:t>n</w:t>
            </w:r>
            <w:r>
              <w:rPr>
                <w:snapToGrid w:val="0"/>
              </w:rPr>
              <w:t>/Qn</w:t>
            </w:r>
          </w:p>
          <w:p>
            <w:pPr>
              <w:pStyle w:val="87"/>
              <w:rPr>
                <w:snapToGrid w:val="0"/>
              </w:rPr>
            </w:pPr>
            <w:r>
              <w:rPr>
                <w:rFonts w:hint="eastAsia"/>
                <w:snapToGrid w:val="0"/>
              </w:rPr>
              <w:t>式中：</w:t>
            </w:r>
            <w:r>
              <w:rPr>
                <w:snapToGrid w:val="0"/>
              </w:rPr>
              <w:t>q</w:t>
            </w:r>
            <w:r>
              <w:rPr>
                <w:snapToGrid w:val="0"/>
                <w:vertAlign w:val="subscript"/>
              </w:rPr>
              <w:t>1</w:t>
            </w:r>
            <w:r>
              <w:rPr>
                <w:rFonts w:hint="eastAsia"/>
                <w:snapToGrid w:val="0"/>
              </w:rPr>
              <w:t>，</w:t>
            </w:r>
            <w:r>
              <w:rPr>
                <w:snapToGrid w:val="0"/>
              </w:rPr>
              <w:t>q</w:t>
            </w:r>
            <w:r>
              <w:rPr>
                <w:snapToGrid w:val="0"/>
                <w:vertAlign w:val="subscript"/>
              </w:rPr>
              <w:t>2</w:t>
            </w:r>
            <w:r>
              <w:rPr>
                <w:rFonts w:hint="eastAsia"/>
                <w:snapToGrid w:val="0"/>
              </w:rPr>
              <w:t>，…，</w:t>
            </w:r>
            <w:r>
              <w:rPr>
                <w:snapToGrid w:val="0"/>
              </w:rPr>
              <w:t>q</w:t>
            </w:r>
            <w:r>
              <w:rPr>
                <w:snapToGrid w:val="0"/>
                <w:vertAlign w:val="subscript"/>
              </w:rPr>
              <w:t>n</w:t>
            </w:r>
            <w:r>
              <w:rPr>
                <w:rFonts w:hint="eastAsia"/>
                <w:snapToGrid w:val="0"/>
              </w:rPr>
              <w:t>—每种危险物质的最大存在总量，</w:t>
            </w:r>
            <w:r>
              <w:rPr>
                <w:snapToGrid w:val="0"/>
              </w:rPr>
              <w:t>t</w:t>
            </w:r>
            <w:r>
              <w:rPr>
                <w:rFonts w:hint="eastAsia"/>
                <w:snapToGrid w:val="0"/>
              </w:rPr>
              <w:t>；</w:t>
            </w:r>
          </w:p>
          <w:p>
            <w:pPr>
              <w:pStyle w:val="87"/>
              <w:rPr>
                <w:snapToGrid w:val="0"/>
              </w:rPr>
            </w:pPr>
            <w:r>
              <w:rPr>
                <w:snapToGrid w:val="0"/>
              </w:rPr>
              <w:t xml:space="preserve">      Q</w:t>
            </w:r>
            <w:r>
              <w:rPr>
                <w:snapToGrid w:val="0"/>
                <w:vertAlign w:val="subscript"/>
              </w:rPr>
              <w:t>1</w:t>
            </w:r>
            <w:r>
              <w:rPr>
                <w:rFonts w:hint="eastAsia"/>
                <w:snapToGrid w:val="0"/>
              </w:rPr>
              <w:t>，</w:t>
            </w:r>
            <w:r>
              <w:rPr>
                <w:snapToGrid w:val="0"/>
              </w:rPr>
              <w:t>Q</w:t>
            </w:r>
            <w:r>
              <w:rPr>
                <w:snapToGrid w:val="0"/>
                <w:vertAlign w:val="subscript"/>
              </w:rPr>
              <w:t>2</w:t>
            </w:r>
            <w:r>
              <w:rPr>
                <w:rFonts w:hint="eastAsia"/>
                <w:snapToGrid w:val="0"/>
              </w:rPr>
              <w:t>，…，</w:t>
            </w:r>
            <w:r>
              <w:rPr>
                <w:snapToGrid w:val="0"/>
              </w:rPr>
              <w:t>Q</w:t>
            </w:r>
            <w:r>
              <w:rPr>
                <w:snapToGrid w:val="0"/>
                <w:vertAlign w:val="subscript"/>
              </w:rPr>
              <w:t>n</w:t>
            </w:r>
            <w:r>
              <w:rPr>
                <w:rFonts w:hint="eastAsia"/>
                <w:snapToGrid w:val="0"/>
              </w:rPr>
              <w:t>—每种危险物质的临界量，</w:t>
            </w:r>
            <w:r>
              <w:rPr>
                <w:snapToGrid w:val="0"/>
              </w:rPr>
              <w:t>t</w:t>
            </w:r>
            <w:r>
              <w:rPr>
                <w:rFonts w:hint="eastAsia"/>
                <w:snapToGrid w:val="0"/>
              </w:rPr>
              <w:t>；</w:t>
            </w:r>
          </w:p>
          <w:p>
            <w:pPr>
              <w:pStyle w:val="87"/>
              <w:rPr>
                <w:snapToGrid w:val="0"/>
              </w:rPr>
            </w:pPr>
            <w:r>
              <w:rPr>
                <w:snapToGrid w:val="0"/>
              </w:rPr>
              <w:t xml:space="preserve">     </w:t>
            </w:r>
            <w:r>
              <w:rPr>
                <w:rFonts w:hint="eastAsia"/>
                <w:snapToGrid w:val="0"/>
              </w:rPr>
              <w:t>当</w:t>
            </w:r>
            <w:r>
              <w:rPr>
                <w:snapToGrid w:val="0"/>
              </w:rPr>
              <w:t>Q</w:t>
            </w:r>
            <w:r>
              <w:rPr>
                <w:rFonts w:hint="eastAsia"/>
                <w:snapToGrid w:val="0"/>
              </w:rPr>
              <w:t>＜</w:t>
            </w:r>
            <w:r>
              <w:rPr>
                <w:snapToGrid w:val="0"/>
              </w:rPr>
              <w:t>1</w:t>
            </w:r>
            <w:r>
              <w:rPr>
                <w:rFonts w:hint="eastAsia"/>
                <w:snapToGrid w:val="0"/>
              </w:rPr>
              <w:t>时，该项目环境风险潜势为</w:t>
            </w:r>
            <w:r>
              <w:rPr>
                <w:snapToGrid w:val="0"/>
              </w:rPr>
              <w:fldChar w:fldCharType="begin"/>
            </w:r>
            <w:r>
              <w:rPr>
                <w:snapToGrid w:val="0"/>
              </w:rPr>
              <w:instrText xml:space="preserve"> = 1 \* ROMAN </w:instrText>
            </w:r>
            <w:r>
              <w:rPr>
                <w:snapToGrid w:val="0"/>
              </w:rPr>
              <w:fldChar w:fldCharType="separate"/>
            </w:r>
            <w:r>
              <w:rPr>
                <w:snapToGrid w:val="0"/>
              </w:rPr>
              <w:t>I</w:t>
            </w:r>
            <w:r>
              <w:rPr>
                <w:snapToGrid w:val="0"/>
              </w:rPr>
              <w:fldChar w:fldCharType="end"/>
            </w:r>
            <w:r>
              <w:rPr>
                <w:rFonts w:hint="eastAsia"/>
                <w:snapToGrid w:val="0"/>
              </w:rPr>
              <w:t>。</w:t>
            </w:r>
          </w:p>
          <w:p>
            <w:pPr>
              <w:pStyle w:val="87"/>
              <w:rPr>
                <w:snapToGrid w:val="0"/>
              </w:rPr>
            </w:pPr>
            <w:r>
              <w:rPr>
                <w:snapToGrid w:val="0"/>
              </w:rPr>
              <w:t xml:space="preserve">     </w:t>
            </w:r>
            <w:r>
              <w:rPr>
                <w:rFonts w:hint="eastAsia"/>
                <w:snapToGrid w:val="0"/>
              </w:rPr>
              <w:t>当</w:t>
            </w:r>
            <w:r>
              <w:rPr>
                <w:snapToGrid w:val="0"/>
              </w:rPr>
              <w:t>Q</w:t>
            </w:r>
            <w:r>
              <w:rPr>
                <w:rFonts w:hint="eastAsia"/>
                <w:snapToGrid w:val="0"/>
              </w:rPr>
              <w:t>≥</w:t>
            </w:r>
            <w:r>
              <w:rPr>
                <w:snapToGrid w:val="0"/>
              </w:rPr>
              <w:t>1</w:t>
            </w:r>
            <w:r>
              <w:rPr>
                <w:rFonts w:hint="eastAsia"/>
                <w:snapToGrid w:val="0"/>
              </w:rPr>
              <w:t>时，将</w:t>
            </w:r>
            <w:r>
              <w:rPr>
                <w:snapToGrid w:val="0"/>
              </w:rPr>
              <w:t>Q</w:t>
            </w:r>
            <w:r>
              <w:rPr>
                <w:rFonts w:hint="eastAsia"/>
                <w:snapToGrid w:val="0"/>
              </w:rPr>
              <w:t>值划分为：（</w:t>
            </w:r>
            <w:r>
              <w:rPr>
                <w:snapToGrid w:val="0"/>
              </w:rPr>
              <w:t>1</w:t>
            </w:r>
            <w:r>
              <w:rPr>
                <w:rFonts w:hint="eastAsia"/>
                <w:snapToGrid w:val="0"/>
              </w:rPr>
              <w:t>）</w:t>
            </w:r>
            <w:r>
              <w:rPr>
                <w:snapToGrid w:val="0"/>
              </w:rPr>
              <w:t>1</w:t>
            </w:r>
            <w:r>
              <w:rPr>
                <w:rFonts w:hint="eastAsia"/>
                <w:snapToGrid w:val="0"/>
              </w:rPr>
              <w:t>≤</w:t>
            </w:r>
            <w:r>
              <w:rPr>
                <w:snapToGrid w:val="0"/>
              </w:rPr>
              <w:t>Q</w:t>
            </w:r>
            <w:r>
              <w:rPr>
                <w:rFonts w:hint="eastAsia"/>
                <w:snapToGrid w:val="0"/>
              </w:rPr>
              <w:t>＜</w:t>
            </w:r>
            <w:r>
              <w:rPr>
                <w:snapToGrid w:val="0"/>
              </w:rPr>
              <w:t>10</w:t>
            </w:r>
            <w:r>
              <w:rPr>
                <w:rFonts w:hint="eastAsia"/>
                <w:snapToGrid w:val="0"/>
              </w:rPr>
              <w:t>；（</w:t>
            </w:r>
            <w:r>
              <w:rPr>
                <w:snapToGrid w:val="0"/>
              </w:rPr>
              <w:t>2</w:t>
            </w:r>
            <w:r>
              <w:rPr>
                <w:rFonts w:hint="eastAsia"/>
                <w:snapToGrid w:val="0"/>
              </w:rPr>
              <w:t>）</w:t>
            </w:r>
            <w:r>
              <w:rPr>
                <w:snapToGrid w:val="0"/>
              </w:rPr>
              <w:t>10</w:t>
            </w:r>
            <w:r>
              <w:rPr>
                <w:rFonts w:hint="eastAsia"/>
                <w:snapToGrid w:val="0"/>
              </w:rPr>
              <w:t>≤</w:t>
            </w:r>
            <w:r>
              <w:rPr>
                <w:snapToGrid w:val="0"/>
              </w:rPr>
              <w:t>Q</w:t>
            </w:r>
            <w:r>
              <w:rPr>
                <w:rFonts w:hint="eastAsia"/>
                <w:snapToGrid w:val="0"/>
              </w:rPr>
              <w:t>＜</w:t>
            </w:r>
            <w:r>
              <w:rPr>
                <w:snapToGrid w:val="0"/>
              </w:rPr>
              <w:t>100</w:t>
            </w:r>
            <w:r>
              <w:rPr>
                <w:rFonts w:hint="eastAsia"/>
                <w:snapToGrid w:val="0"/>
              </w:rPr>
              <w:t>；（</w:t>
            </w:r>
            <w:r>
              <w:rPr>
                <w:snapToGrid w:val="0"/>
              </w:rPr>
              <w:t>3</w:t>
            </w:r>
            <w:r>
              <w:rPr>
                <w:rFonts w:hint="eastAsia"/>
                <w:snapToGrid w:val="0"/>
              </w:rPr>
              <w:t>）</w:t>
            </w:r>
            <w:r>
              <w:rPr>
                <w:snapToGrid w:val="0"/>
              </w:rPr>
              <w:t>Q</w:t>
            </w:r>
            <w:r>
              <w:rPr>
                <w:rFonts w:hint="eastAsia"/>
                <w:snapToGrid w:val="0"/>
              </w:rPr>
              <w:t>≥</w:t>
            </w:r>
            <w:r>
              <w:rPr>
                <w:snapToGrid w:val="0"/>
              </w:rPr>
              <w:t>100</w:t>
            </w:r>
            <w:r>
              <w:rPr>
                <w:rFonts w:hint="eastAsia"/>
                <w:snapToGrid w:val="0"/>
              </w:rPr>
              <w:t>。</w:t>
            </w:r>
          </w:p>
          <w:p>
            <w:pPr>
              <w:autoSpaceDE w:val="0"/>
              <w:autoSpaceDN w:val="0"/>
              <w:adjustRightInd w:val="0"/>
              <w:snapToGrid w:val="0"/>
              <w:spacing w:line="400" w:lineRule="exact"/>
              <w:ind w:left="420" w:leftChars="200" w:firstLine="118" w:firstLineChars="49"/>
              <w:rPr>
                <w:rFonts w:hAnsi="宋体"/>
                <w:b/>
                <w:sz w:val="24"/>
              </w:rPr>
            </w:pPr>
            <w:r>
              <w:rPr>
                <w:rFonts w:hint="eastAsia" w:hAnsi="宋体"/>
                <w:b/>
                <w:sz w:val="24"/>
              </w:rPr>
              <w:t>表53             风险物资临界量</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2845"/>
              <w:gridCol w:w="2425"/>
              <w:gridCol w:w="18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6" w:type="pct"/>
                  <w:tcBorders>
                    <w:top w:val="single" w:color="auto" w:sz="12" w:space="0"/>
                    <w:left w:val="nil"/>
                    <w:bottom w:val="single" w:color="auto" w:sz="4" w:space="0"/>
                    <w:right w:val="single" w:color="auto" w:sz="4" w:space="0"/>
                  </w:tcBorders>
                  <w:vAlign w:val="center"/>
                </w:tcPr>
                <w:p>
                  <w:pPr>
                    <w:spacing w:line="320" w:lineRule="exact"/>
                    <w:jc w:val="center"/>
                    <w:rPr>
                      <w:rFonts w:ascii="宋体" w:hAnsi="宋体"/>
                      <w:b/>
                      <w:szCs w:val="21"/>
                    </w:rPr>
                  </w:pPr>
                  <w:r>
                    <w:rPr>
                      <w:rFonts w:hint="eastAsia"/>
                      <w:b/>
                      <w:szCs w:val="21"/>
                    </w:rPr>
                    <w:t>物质名称</w:t>
                  </w:r>
                </w:p>
              </w:tc>
              <w:tc>
                <w:tcPr>
                  <w:tcW w:w="1524" w:type="pct"/>
                  <w:tcBorders>
                    <w:top w:val="single" w:color="auto" w:sz="12"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b/>
                      <w:szCs w:val="21"/>
                    </w:rPr>
                    <w:t>贮存形式</w:t>
                  </w:r>
                </w:p>
              </w:tc>
              <w:tc>
                <w:tcPr>
                  <w:tcW w:w="1299" w:type="pct"/>
                  <w:tcBorders>
                    <w:top w:val="single" w:color="auto" w:sz="12"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b/>
                      <w:szCs w:val="21"/>
                    </w:rPr>
                    <w:t>最大储存量（</w:t>
                  </w:r>
                  <w:r>
                    <w:rPr>
                      <w:b/>
                      <w:szCs w:val="21"/>
                    </w:rPr>
                    <w:t>t</w:t>
                  </w:r>
                  <w:r>
                    <w:rPr>
                      <w:rFonts w:hint="eastAsia"/>
                      <w:b/>
                      <w:szCs w:val="21"/>
                    </w:rPr>
                    <w:t>）</w:t>
                  </w:r>
                </w:p>
              </w:tc>
              <w:tc>
                <w:tcPr>
                  <w:tcW w:w="982" w:type="pct"/>
                  <w:tcBorders>
                    <w:top w:val="single" w:color="auto" w:sz="12" w:space="0"/>
                    <w:left w:val="single" w:color="auto" w:sz="4" w:space="0"/>
                    <w:bottom w:val="single" w:color="auto" w:sz="4" w:space="0"/>
                    <w:right w:val="nil"/>
                  </w:tcBorders>
                  <w:vAlign w:val="center"/>
                </w:tcPr>
                <w:p>
                  <w:pPr>
                    <w:spacing w:line="320" w:lineRule="exact"/>
                    <w:jc w:val="center"/>
                    <w:rPr>
                      <w:rFonts w:ascii="宋体" w:hAnsi="宋体"/>
                      <w:b/>
                      <w:szCs w:val="21"/>
                    </w:rPr>
                  </w:pPr>
                  <w:r>
                    <w:rPr>
                      <w:rFonts w:hint="eastAsia"/>
                      <w:b/>
                      <w:szCs w:val="21"/>
                    </w:rPr>
                    <w:t>临界量（</w:t>
                  </w:r>
                  <w:r>
                    <w:rPr>
                      <w:b/>
                      <w:szCs w:val="21"/>
                    </w:rPr>
                    <w:t>t</w:t>
                  </w:r>
                  <w:r>
                    <w:rPr>
                      <w:rFonts w:hint="eastAsia"/>
                      <w:b/>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6" w:type="pct"/>
                  <w:tcBorders>
                    <w:top w:val="single" w:color="auto" w:sz="4" w:space="0"/>
                    <w:left w:val="nil"/>
                    <w:bottom w:val="single" w:color="auto" w:sz="12" w:space="0"/>
                    <w:right w:val="single" w:color="auto" w:sz="4" w:space="0"/>
                  </w:tcBorders>
                  <w:vAlign w:val="center"/>
                </w:tcPr>
                <w:p>
                  <w:pPr>
                    <w:spacing w:line="320" w:lineRule="exact"/>
                    <w:jc w:val="center"/>
                    <w:rPr>
                      <w:rFonts w:ascii="宋体" w:hAnsi="宋体"/>
                      <w:szCs w:val="21"/>
                    </w:rPr>
                  </w:pPr>
                  <w:r>
                    <w:rPr>
                      <w:rFonts w:hint="eastAsia"/>
                      <w:szCs w:val="21"/>
                    </w:rPr>
                    <w:t>油类物质</w:t>
                  </w:r>
                </w:p>
              </w:tc>
              <w:tc>
                <w:tcPr>
                  <w:tcW w:w="1524" w:type="pct"/>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szCs w:val="21"/>
                    </w:rPr>
                  </w:pPr>
                  <w:r>
                    <w:rPr>
                      <w:rFonts w:hint="eastAsia"/>
                      <w:szCs w:val="21"/>
                    </w:rPr>
                    <w:t>桶装</w:t>
                  </w:r>
                </w:p>
              </w:tc>
              <w:tc>
                <w:tcPr>
                  <w:tcW w:w="1299" w:type="pct"/>
                  <w:tcBorders>
                    <w:top w:val="single" w:color="auto" w:sz="4" w:space="0"/>
                    <w:left w:val="single" w:color="auto" w:sz="4" w:space="0"/>
                    <w:bottom w:val="single" w:color="auto" w:sz="12" w:space="0"/>
                    <w:right w:val="single" w:color="auto" w:sz="4" w:space="0"/>
                  </w:tcBorders>
                  <w:vAlign w:val="center"/>
                </w:tcPr>
                <w:p>
                  <w:pPr>
                    <w:spacing w:line="320" w:lineRule="exact"/>
                    <w:jc w:val="center"/>
                    <w:rPr>
                      <w:szCs w:val="21"/>
                    </w:rPr>
                  </w:pPr>
                  <w:r>
                    <w:rPr>
                      <w:rFonts w:hint="eastAsia"/>
                      <w:szCs w:val="21"/>
                    </w:rPr>
                    <w:t>1.1</w:t>
                  </w:r>
                </w:p>
              </w:tc>
              <w:tc>
                <w:tcPr>
                  <w:tcW w:w="982" w:type="pct"/>
                  <w:tcBorders>
                    <w:top w:val="single" w:color="auto" w:sz="4" w:space="0"/>
                    <w:left w:val="single" w:color="auto" w:sz="4" w:space="0"/>
                    <w:bottom w:val="single" w:color="auto" w:sz="12" w:space="0"/>
                    <w:right w:val="nil"/>
                  </w:tcBorders>
                  <w:vAlign w:val="center"/>
                </w:tcPr>
                <w:p>
                  <w:pPr>
                    <w:spacing w:line="320" w:lineRule="exact"/>
                    <w:jc w:val="center"/>
                    <w:rPr>
                      <w:szCs w:val="21"/>
                    </w:rPr>
                  </w:pPr>
                  <w:r>
                    <w:rPr>
                      <w:szCs w:val="21"/>
                    </w:rPr>
                    <w:t>2500</w:t>
                  </w:r>
                </w:p>
              </w:tc>
            </w:tr>
          </w:tbl>
          <w:p>
            <w:pPr>
              <w:pStyle w:val="87"/>
              <w:rPr>
                <w:snapToGrid w:val="0"/>
              </w:rPr>
            </w:pPr>
            <w:r>
              <w:rPr>
                <w:rFonts w:hint="eastAsia"/>
                <w:snapToGrid w:val="0"/>
              </w:rPr>
              <w:t>根据计算可知，本项目</w:t>
            </w:r>
            <w:r>
              <w:rPr>
                <w:snapToGrid w:val="0"/>
              </w:rPr>
              <w:t>Q=0.000</w:t>
            </w:r>
            <w:r>
              <w:rPr>
                <w:rFonts w:hint="eastAsia"/>
                <w:snapToGrid w:val="0"/>
              </w:rPr>
              <w:t>4＜</w:t>
            </w:r>
            <w:r>
              <w:rPr>
                <w:snapToGrid w:val="0"/>
              </w:rPr>
              <w:t>1</w:t>
            </w:r>
            <w:r>
              <w:rPr>
                <w:rFonts w:hint="eastAsia"/>
                <w:snapToGrid w:val="0"/>
              </w:rPr>
              <w:t>。</w:t>
            </w:r>
          </w:p>
          <w:p>
            <w:pPr>
              <w:pStyle w:val="87"/>
            </w:pPr>
            <w:r>
              <w:rPr>
                <w:snapToGrid w:val="0"/>
              </w:rPr>
              <w:fldChar w:fldCharType="begin"/>
            </w:r>
            <w:r>
              <w:rPr>
                <w:snapToGrid w:val="0"/>
              </w:rPr>
              <w:instrText xml:space="preserve"> </w:instrText>
            </w:r>
            <w:r>
              <w:rPr>
                <w:rFonts w:hint="eastAsia"/>
                <w:snapToGrid w:val="0"/>
              </w:rPr>
              <w:instrText xml:space="preserve">= 2 \* GB3</w:instrText>
            </w:r>
            <w:r>
              <w:rPr>
                <w:snapToGrid w:val="0"/>
              </w:rPr>
              <w:instrText xml:space="preserve"> </w:instrText>
            </w:r>
            <w:r>
              <w:rPr>
                <w:snapToGrid w:val="0"/>
              </w:rPr>
              <w:fldChar w:fldCharType="separate"/>
            </w:r>
            <w:r>
              <w:rPr>
                <w:rFonts w:hint="eastAsia"/>
                <w:snapToGrid w:val="0"/>
              </w:rPr>
              <w:t>②</w:t>
            </w:r>
            <w:r>
              <w:rPr>
                <w:snapToGrid w:val="0"/>
              </w:rPr>
              <w:fldChar w:fldCharType="end"/>
            </w:r>
            <w:r>
              <w:rPr>
                <w:rFonts w:hint="eastAsia"/>
              </w:rPr>
              <w:t>项目风险潜势</w:t>
            </w:r>
          </w:p>
          <w:p>
            <w:pPr>
              <w:pStyle w:val="87"/>
              <w:rPr>
                <w:snapToGrid w:val="0"/>
              </w:rPr>
            </w:pPr>
            <w:r>
              <w:rPr>
                <w:rFonts w:hint="eastAsia"/>
                <w:snapToGrid w:val="0"/>
              </w:rPr>
              <w:t>根据《建设项目环境风险评价</w:t>
            </w:r>
            <w:r>
              <w:rPr>
                <w:snapToGrid w:val="0"/>
              </w:rPr>
              <w:t xml:space="preserve"> </w:t>
            </w:r>
            <w:r>
              <w:rPr>
                <w:rFonts w:hint="eastAsia"/>
                <w:snapToGrid w:val="0"/>
              </w:rPr>
              <w:t>技术导则》（</w:t>
            </w:r>
            <w:r>
              <w:rPr>
                <w:snapToGrid w:val="0"/>
              </w:rPr>
              <w:t>HJ/T 169—2018</w:t>
            </w:r>
            <w:r>
              <w:rPr>
                <w:rFonts w:hint="eastAsia"/>
                <w:snapToGrid w:val="0"/>
              </w:rPr>
              <w:t>），当</w:t>
            </w:r>
            <w:r>
              <w:rPr>
                <w:snapToGrid w:val="0"/>
              </w:rPr>
              <w:t>Q</w:t>
            </w:r>
            <w:r>
              <w:rPr>
                <w:rFonts w:hint="eastAsia"/>
                <w:snapToGrid w:val="0"/>
              </w:rPr>
              <w:t>＜</w:t>
            </w:r>
            <w:r>
              <w:rPr>
                <w:snapToGrid w:val="0"/>
              </w:rPr>
              <w:t>1</w:t>
            </w:r>
            <w:r>
              <w:rPr>
                <w:rFonts w:hint="eastAsia"/>
                <w:snapToGrid w:val="0"/>
              </w:rPr>
              <w:t>时，该项目环境风险潜势为</w:t>
            </w:r>
            <w:r>
              <w:rPr>
                <w:snapToGrid w:val="0"/>
              </w:rPr>
              <w:fldChar w:fldCharType="begin"/>
            </w:r>
            <w:r>
              <w:rPr>
                <w:snapToGrid w:val="0"/>
              </w:rPr>
              <w:instrText xml:space="preserve"> = 1 \* ROMAN </w:instrText>
            </w:r>
            <w:r>
              <w:rPr>
                <w:snapToGrid w:val="0"/>
              </w:rPr>
              <w:fldChar w:fldCharType="separate"/>
            </w:r>
            <w:r>
              <w:rPr>
                <w:snapToGrid w:val="0"/>
              </w:rPr>
              <w:t>I</w:t>
            </w:r>
            <w:r>
              <w:rPr>
                <w:snapToGrid w:val="0"/>
              </w:rPr>
              <w:fldChar w:fldCharType="end"/>
            </w:r>
            <w:r>
              <w:rPr>
                <w:rFonts w:hint="eastAsia"/>
                <w:snapToGrid w:val="0"/>
              </w:rPr>
              <w:t>，因此，本项目环境风险潜势为</w:t>
            </w:r>
            <w:r>
              <w:rPr>
                <w:snapToGrid w:val="0"/>
              </w:rPr>
              <w:fldChar w:fldCharType="begin"/>
            </w:r>
            <w:r>
              <w:rPr>
                <w:snapToGrid w:val="0"/>
              </w:rPr>
              <w:instrText xml:space="preserve"> = 1 \* ROMAN </w:instrText>
            </w:r>
            <w:r>
              <w:rPr>
                <w:snapToGrid w:val="0"/>
              </w:rPr>
              <w:fldChar w:fldCharType="separate"/>
            </w:r>
            <w:r>
              <w:rPr>
                <w:snapToGrid w:val="0"/>
              </w:rPr>
              <w:t>I</w:t>
            </w:r>
            <w:r>
              <w:rPr>
                <w:snapToGrid w:val="0"/>
              </w:rPr>
              <w:fldChar w:fldCharType="end"/>
            </w:r>
            <w:r>
              <w:rPr>
                <w:rFonts w:hint="eastAsia"/>
                <w:snapToGrid w:val="0"/>
              </w:rPr>
              <w:t>。</w:t>
            </w:r>
          </w:p>
          <w:p>
            <w:pPr>
              <w:pStyle w:val="4"/>
              <w:adjustRightInd w:val="0"/>
              <w:snapToGrid w:val="0"/>
              <w:spacing w:before="0" w:after="0" w:line="500" w:lineRule="exact"/>
              <w:ind w:firstLine="480" w:firstLineChars="200"/>
              <w:jc w:val="left"/>
              <w:rPr>
                <w:b w:val="0"/>
                <w:bCs w:val="0"/>
                <w:color w:val="000000"/>
                <w:sz w:val="24"/>
                <w:szCs w:val="24"/>
              </w:rPr>
            </w:pPr>
            <w:r>
              <w:rPr>
                <w:rFonts w:hAnsi="宋体"/>
                <w:b w:val="0"/>
                <w:bCs w:val="0"/>
                <w:color w:val="000000"/>
                <w:sz w:val="24"/>
                <w:szCs w:val="24"/>
              </w:rPr>
              <w:t>（</w:t>
            </w:r>
            <w:r>
              <w:rPr>
                <w:b w:val="0"/>
                <w:bCs w:val="0"/>
                <w:color w:val="000000"/>
                <w:sz w:val="24"/>
                <w:szCs w:val="24"/>
              </w:rPr>
              <w:t>4</w:t>
            </w:r>
            <w:r>
              <w:rPr>
                <w:rFonts w:hAnsi="宋体"/>
                <w:b w:val="0"/>
                <w:bCs w:val="0"/>
                <w:color w:val="000000"/>
                <w:sz w:val="24"/>
                <w:szCs w:val="24"/>
              </w:rPr>
              <w:t>）评价等级</w:t>
            </w:r>
          </w:p>
          <w:p>
            <w:pPr>
              <w:adjustRightInd w:val="0"/>
              <w:snapToGrid w:val="0"/>
              <w:spacing w:line="500" w:lineRule="exact"/>
              <w:ind w:firstLine="480" w:firstLineChars="200"/>
              <w:rPr>
                <w:sz w:val="24"/>
              </w:rPr>
            </w:pPr>
            <w:r>
              <w:rPr>
                <w:rFonts w:hAnsi="宋体"/>
                <w:snapToGrid w:val="0"/>
                <w:sz w:val="24"/>
              </w:rPr>
              <w:t>根</w:t>
            </w:r>
            <w:r>
              <w:rPr>
                <w:rFonts w:hAnsi="宋体"/>
                <w:color w:val="000000"/>
                <w:sz w:val="24"/>
              </w:rPr>
              <w:t>据《建设项目环境风险评价</w:t>
            </w:r>
            <w:r>
              <w:rPr>
                <w:color w:val="000000"/>
                <w:sz w:val="24"/>
              </w:rPr>
              <w:t xml:space="preserve"> </w:t>
            </w:r>
            <w:r>
              <w:rPr>
                <w:rFonts w:hAnsi="宋体"/>
                <w:color w:val="000000"/>
                <w:sz w:val="24"/>
              </w:rPr>
              <w:t>技术导则》（</w:t>
            </w:r>
            <w:r>
              <w:rPr>
                <w:color w:val="000000"/>
                <w:sz w:val="24"/>
              </w:rPr>
              <w:t>HJ/T 169—2018</w:t>
            </w:r>
            <w:r>
              <w:rPr>
                <w:rFonts w:hAnsi="宋体"/>
                <w:color w:val="000000"/>
                <w:sz w:val="24"/>
              </w:rPr>
              <w:t>），风险潜势为</w:t>
            </w:r>
            <w:r>
              <w:rPr>
                <w:color w:val="000000"/>
                <w:sz w:val="24"/>
              </w:rPr>
              <w:fldChar w:fldCharType="begin"/>
            </w:r>
            <w:r>
              <w:rPr>
                <w:color w:val="000000"/>
                <w:sz w:val="24"/>
              </w:rPr>
              <w:instrText xml:space="preserve"> = 1 \* ROMAN </w:instrText>
            </w:r>
            <w:r>
              <w:rPr>
                <w:color w:val="000000"/>
                <w:sz w:val="24"/>
              </w:rPr>
              <w:fldChar w:fldCharType="separate"/>
            </w:r>
            <w:r>
              <w:rPr>
                <w:color w:val="000000"/>
                <w:sz w:val="24"/>
              </w:rPr>
              <w:t>I</w:t>
            </w:r>
            <w:r>
              <w:rPr>
                <w:color w:val="000000"/>
                <w:sz w:val="24"/>
              </w:rPr>
              <w:fldChar w:fldCharType="end"/>
            </w:r>
            <w:r>
              <w:rPr>
                <w:rFonts w:hAnsi="宋体"/>
                <w:color w:val="000000"/>
                <w:sz w:val="24"/>
              </w:rPr>
              <w:t>，可开展简单分析</w:t>
            </w:r>
            <w:r>
              <w:rPr>
                <w:rFonts w:hint="eastAsia" w:hAnsi="宋体"/>
                <w:color w:val="000000"/>
                <w:sz w:val="24"/>
              </w:rPr>
              <w:t>。</w:t>
            </w:r>
          </w:p>
          <w:p>
            <w:pPr>
              <w:pStyle w:val="4"/>
              <w:adjustRightInd w:val="0"/>
              <w:snapToGrid w:val="0"/>
              <w:spacing w:before="0" w:after="0" w:line="500" w:lineRule="exact"/>
              <w:ind w:firstLine="480" w:firstLineChars="200"/>
              <w:jc w:val="left"/>
              <w:rPr>
                <w:rFonts w:hAnsi="宋体"/>
                <w:b w:val="0"/>
                <w:bCs w:val="0"/>
                <w:color w:val="000000"/>
                <w:sz w:val="24"/>
                <w:szCs w:val="24"/>
              </w:rPr>
            </w:pPr>
            <w:r>
              <w:rPr>
                <w:rFonts w:hAnsi="宋体"/>
                <w:b w:val="0"/>
                <w:bCs w:val="0"/>
                <w:color w:val="000000"/>
                <w:sz w:val="24"/>
                <w:szCs w:val="24"/>
              </w:rPr>
              <w:t>（</w:t>
            </w:r>
            <w:r>
              <w:rPr>
                <w:rFonts w:hint="eastAsia" w:hAnsi="宋体"/>
                <w:b w:val="0"/>
                <w:bCs w:val="0"/>
                <w:color w:val="000000"/>
                <w:sz w:val="24"/>
                <w:szCs w:val="24"/>
              </w:rPr>
              <w:t>5</w:t>
            </w:r>
            <w:r>
              <w:rPr>
                <w:rFonts w:hAnsi="宋体"/>
                <w:b w:val="0"/>
                <w:bCs w:val="0"/>
                <w:color w:val="000000"/>
                <w:sz w:val="24"/>
                <w:szCs w:val="24"/>
              </w:rPr>
              <w:t>）风险事故影响分析</w:t>
            </w:r>
          </w:p>
          <w:p>
            <w:pPr>
              <w:pStyle w:val="10"/>
              <w:adjustRightInd w:val="0"/>
              <w:snapToGrid w:val="0"/>
              <w:spacing w:afterLines="0" w:line="500" w:lineRule="exact"/>
              <w:ind w:firstLine="480" w:firstLineChars="200"/>
              <w:jc w:val="left"/>
              <w:rPr>
                <w:rFonts w:hAnsi="宋体"/>
                <w:color w:val="000000"/>
                <w:sz w:val="24"/>
                <w:szCs w:val="24"/>
              </w:rPr>
            </w:pPr>
            <w:r>
              <w:rPr>
                <w:rFonts w:hint="eastAsia" w:hAnsi="宋体"/>
                <w:color w:val="000000"/>
                <w:sz w:val="24"/>
                <w:szCs w:val="24"/>
              </w:rPr>
              <w:t>项目产生的的废润滑油、废切削液在使用时如发生泄露可能会污染土壤或水体。本项目使用的废润滑油、废切削液为设备维护时产生，在车间内存放量较小，且采用桶装形式存放，如发生泄漏事故能够在故障发生初期被监查到，只要采取及时有效的应急措施，可控制其泄露风险。</w:t>
            </w:r>
          </w:p>
          <w:p>
            <w:pPr>
              <w:pStyle w:val="4"/>
              <w:adjustRightInd w:val="0"/>
              <w:snapToGrid w:val="0"/>
              <w:spacing w:before="0" w:after="0" w:line="500" w:lineRule="exact"/>
              <w:ind w:firstLine="480" w:firstLineChars="200"/>
              <w:jc w:val="left"/>
              <w:rPr>
                <w:b w:val="0"/>
                <w:bCs w:val="0"/>
                <w:color w:val="000000"/>
                <w:sz w:val="24"/>
                <w:szCs w:val="24"/>
              </w:rPr>
            </w:pPr>
            <w:r>
              <w:rPr>
                <w:rFonts w:hAnsi="宋体"/>
                <w:b w:val="0"/>
                <w:bCs w:val="0"/>
                <w:color w:val="000000"/>
                <w:sz w:val="24"/>
                <w:szCs w:val="24"/>
              </w:rPr>
              <w:t>（</w:t>
            </w:r>
            <w:r>
              <w:rPr>
                <w:rFonts w:hint="eastAsia"/>
                <w:b w:val="0"/>
                <w:bCs w:val="0"/>
                <w:color w:val="000000"/>
                <w:sz w:val="24"/>
                <w:szCs w:val="24"/>
              </w:rPr>
              <w:t>6</w:t>
            </w:r>
            <w:r>
              <w:rPr>
                <w:rFonts w:hAnsi="宋体"/>
                <w:b w:val="0"/>
                <w:bCs w:val="0"/>
                <w:color w:val="000000"/>
                <w:sz w:val="24"/>
                <w:szCs w:val="24"/>
              </w:rPr>
              <w:t>）环境事故措施及应急预案</w:t>
            </w:r>
          </w:p>
          <w:p>
            <w:pPr>
              <w:pStyle w:val="4"/>
              <w:adjustRightInd w:val="0"/>
              <w:snapToGrid w:val="0"/>
              <w:spacing w:before="0" w:after="0" w:line="500" w:lineRule="exact"/>
              <w:ind w:firstLine="480" w:firstLineChars="200"/>
              <w:jc w:val="left"/>
              <w:rPr>
                <w:rFonts w:hAnsi="宋体"/>
                <w:b w:val="0"/>
                <w:bCs w:val="0"/>
                <w:sz w:val="24"/>
                <w:szCs w:val="24"/>
              </w:rPr>
            </w:pPr>
            <w:r>
              <w:rPr>
                <w:rFonts w:hAnsi="宋体"/>
                <w:b w:val="0"/>
                <w:bCs w:val="0"/>
                <w:sz w:val="24"/>
                <w:szCs w:val="24"/>
              </w:rPr>
              <w:fldChar w:fldCharType="begin"/>
            </w:r>
            <w:r>
              <w:rPr>
                <w:rFonts w:hAnsi="宋体"/>
                <w:b w:val="0"/>
                <w:bCs w:val="0"/>
                <w:sz w:val="24"/>
                <w:szCs w:val="24"/>
              </w:rPr>
              <w:instrText xml:space="preserve"> </w:instrText>
            </w:r>
            <w:r>
              <w:rPr>
                <w:rFonts w:hint="eastAsia" w:hAnsi="宋体"/>
                <w:b w:val="0"/>
                <w:bCs w:val="0"/>
                <w:sz w:val="24"/>
                <w:szCs w:val="24"/>
              </w:rPr>
              <w:instrText xml:space="preserve">= 1 \* GB3</w:instrText>
            </w:r>
            <w:r>
              <w:rPr>
                <w:rFonts w:hAnsi="宋体"/>
                <w:b w:val="0"/>
                <w:bCs w:val="0"/>
                <w:sz w:val="24"/>
                <w:szCs w:val="24"/>
              </w:rPr>
              <w:instrText xml:space="preserve"> </w:instrText>
            </w:r>
            <w:r>
              <w:rPr>
                <w:rFonts w:hAnsi="宋体"/>
                <w:b w:val="0"/>
                <w:bCs w:val="0"/>
                <w:sz w:val="24"/>
                <w:szCs w:val="24"/>
              </w:rPr>
              <w:fldChar w:fldCharType="separate"/>
            </w:r>
            <w:r>
              <w:rPr>
                <w:rFonts w:hint="eastAsia" w:hAnsi="宋体"/>
                <w:b w:val="0"/>
                <w:bCs w:val="0"/>
                <w:sz w:val="24"/>
                <w:szCs w:val="24"/>
              </w:rPr>
              <w:t>①</w:t>
            </w:r>
            <w:r>
              <w:rPr>
                <w:rFonts w:hAnsi="宋体"/>
                <w:b w:val="0"/>
                <w:bCs w:val="0"/>
                <w:sz w:val="24"/>
                <w:szCs w:val="24"/>
              </w:rPr>
              <w:fldChar w:fldCharType="end"/>
            </w:r>
            <w:r>
              <w:rPr>
                <w:rFonts w:hint="eastAsia" w:hAnsi="宋体"/>
                <w:b w:val="0"/>
                <w:bCs w:val="0"/>
                <w:sz w:val="24"/>
                <w:szCs w:val="24"/>
              </w:rPr>
              <w:t>强化风险意识、加强安全管理，严格按操作规程操作危险废物妥善收集，作好防渗透处理，临时堆存时间不得过长，堆存量不得超过规定要求，以防造成渗漏等二次污染或安全事故。按照安全生产规范使用和保存危险化学品，避免或减轻由安全事故引发的环境风险。</w:t>
            </w:r>
          </w:p>
          <w:p>
            <w:pPr>
              <w:pStyle w:val="4"/>
              <w:adjustRightInd w:val="0"/>
              <w:snapToGrid w:val="0"/>
              <w:spacing w:before="0" w:after="0" w:line="500" w:lineRule="exact"/>
              <w:ind w:firstLine="480" w:firstLineChars="200"/>
              <w:jc w:val="left"/>
              <w:rPr>
                <w:rFonts w:hAnsi="宋体"/>
                <w:b w:val="0"/>
                <w:bCs w:val="0"/>
                <w:sz w:val="24"/>
                <w:szCs w:val="24"/>
              </w:rPr>
            </w:pPr>
            <w:r>
              <w:rPr>
                <w:rFonts w:hAnsi="宋体"/>
                <w:b w:val="0"/>
                <w:bCs w:val="0"/>
                <w:sz w:val="24"/>
                <w:szCs w:val="24"/>
              </w:rPr>
              <w:fldChar w:fldCharType="begin"/>
            </w:r>
            <w:r>
              <w:rPr>
                <w:rFonts w:hAnsi="宋体"/>
                <w:b w:val="0"/>
                <w:bCs w:val="0"/>
                <w:sz w:val="24"/>
                <w:szCs w:val="24"/>
              </w:rPr>
              <w:instrText xml:space="preserve"> </w:instrText>
            </w:r>
            <w:r>
              <w:rPr>
                <w:rFonts w:hint="eastAsia" w:hAnsi="宋体"/>
                <w:b w:val="0"/>
                <w:bCs w:val="0"/>
                <w:sz w:val="24"/>
                <w:szCs w:val="24"/>
              </w:rPr>
              <w:instrText xml:space="preserve">= 2 \* GB3</w:instrText>
            </w:r>
            <w:r>
              <w:rPr>
                <w:rFonts w:hAnsi="宋体"/>
                <w:b w:val="0"/>
                <w:bCs w:val="0"/>
                <w:sz w:val="24"/>
                <w:szCs w:val="24"/>
              </w:rPr>
              <w:instrText xml:space="preserve"> </w:instrText>
            </w:r>
            <w:r>
              <w:rPr>
                <w:rFonts w:hAnsi="宋体"/>
                <w:b w:val="0"/>
                <w:bCs w:val="0"/>
                <w:sz w:val="24"/>
                <w:szCs w:val="24"/>
              </w:rPr>
              <w:fldChar w:fldCharType="separate"/>
            </w:r>
            <w:r>
              <w:rPr>
                <w:rFonts w:hint="eastAsia" w:hAnsi="宋体"/>
                <w:b w:val="0"/>
                <w:bCs w:val="0"/>
                <w:sz w:val="24"/>
                <w:szCs w:val="24"/>
              </w:rPr>
              <w:t>②</w:t>
            </w:r>
            <w:r>
              <w:rPr>
                <w:rFonts w:hAnsi="宋体"/>
                <w:b w:val="0"/>
                <w:bCs w:val="0"/>
                <w:sz w:val="24"/>
                <w:szCs w:val="24"/>
              </w:rPr>
              <w:fldChar w:fldCharType="end"/>
            </w:r>
            <w:r>
              <w:rPr>
                <w:rFonts w:hint="eastAsia" w:hAnsi="宋体"/>
                <w:b w:val="0"/>
                <w:bCs w:val="0"/>
                <w:sz w:val="24"/>
                <w:szCs w:val="24"/>
              </w:rPr>
              <w:t>废润滑油存放处地面需硬化并设置防渗层，防渗系数≤10</w:t>
            </w:r>
            <w:r>
              <w:rPr>
                <w:rFonts w:hint="eastAsia" w:hAnsi="宋体"/>
                <w:b w:val="0"/>
                <w:bCs w:val="0"/>
                <w:sz w:val="24"/>
                <w:szCs w:val="24"/>
                <w:vertAlign w:val="superscript"/>
              </w:rPr>
              <w:t>-7</w:t>
            </w:r>
            <w:r>
              <w:rPr>
                <w:rFonts w:hint="eastAsia" w:hAnsi="宋体"/>
                <w:b w:val="0"/>
                <w:bCs w:val="0"/>
                <w:sz w:val="24"/>
                <w:szCs w:val="24"/>
              </w:rPr>
              <w:t>cm/s，防止物料泄漏对土壤及地下水造成影响。</w:t>
            </w:r>
          </w:p>
          <w:p>
            <w:pPr>
              <w:pStyle w:val="4"/>
              <w:adjustRightInd w:val="0"/>
              <w:snapToGrid w:val="0"/>
              <w:spacing w:before="0" w:after="0" w:line="500" w:lineRule="exact"/>
              <w:ind w:firstLine="480" w:firstLineChars="200"/>
              <w:jc w:val="left"/>
              <w:rPr>
                <w:rFonts w:hAnsi="宋体"/>
                <w:b w:val="0"/>
                <w:bCs w:val="0"/>
                <w:sz w:val="24"/>
                <w:szCs w:val="24"/>
              </w:rPr>
            </w:pPr>
            <w:r>
              <w:rPr>
                <w:rFonts w:hAnsi="宋体"/>
                <w:b w:val="0"/>
                <w:bCs w:val="0"/>
                <w:sz w:val="24"/>
                <w:szCs w:val="24"/>
              </w:rPr>
              <w:fldChar w:fldCharType="begin"/>
            </w:r>
            <w:r>
              <w:rPr>
                <w:rFonts w:hAnsi="宋体"/>
                <w:b w:val="0"/>
                <w:bCs w:val="0"/>
                <w:sz w:val="24"/>
                <w:szCs w:val="24"/>
              </w:rPr>
              <w:instrText xml:space="preserve"> </w:instrText>
            </w:r>
            <w:r>
              <w:rPr>
                <w:rFonts w:hint="eastAsia" w:hAnsi="宋体"/>
                <w:b w:val="0"/>
                <w:bCs w:val="0"/>
                <w:sz w:val="24"/>
                <w:szCs w:val="24"/>
              </w:rPr>
              <w:instrText xml:space="preserve">= 3 \* GB3</w:instrText>
            </w:r>
            <w:r>
              <w:rPr>
                <w:rFonts w:hAnsi="宋体"/>
                <w:b w:val="0"/>
                <w:bCs w:val="0"/>
                <w:sz w:val="24"/>
                <w:szCs w:val="24"/>
              </w:rPr>
              <w:instrText xml:space="preserve"> </w:instrText>
            </w:r>
            <w:r>
              <w:rPr>
                <w:rFonts w:hAnsi="宋体"/>
                <w:b w:val="0"/>
                <w:bCs w:val="0"/>
                <w:sz w:val="24"/>
                <w:szCs w:val="24"/>
              </w:rPr>
              <w:fldChar w:fldCharType="separate"/>
            </w:r>
            <w:r>
              <w:rPr>
                <w:rFonts w:hint="eastAsia" w:hAnsi="宋体"/>
                <w:b w:val="0"/>
                <w:bCs w:val="0"/>
                <w:sz w:val="24"/>
                <w:szCs w:val="24"/>
              </w:rPr>
              <w:t>③</w:t>
            </w:r>
            <w:r>
              <w:rPr>
                <w:rFonts w:hAnsi="宋体"/>
                <w:b w:val="0"/>
                <w:bCs w:val="0"/>
                <w:sz w:val="24"/>
                <w:szCs w:val="24"/>
              </w:rPr>
              <w:fldChar w:fldCharType="end"/>
            </w:r>
            <w:r>
              <w:rPr>
                <w:rFonts w:hint="eastAsia" w:hAnsi="宋体"/>
                <w:b w:val="0"/>
                <w:bCs w:val="0"/>
                <w:sz w:val="24"/>
                <w:szCs w:val="24"/>
              </w:rPr>
              <w:t>严格按照相关的防火设计要求和有毒物质存贮要求对车间厂房进行装修，并配置相关的防护设施和用具，落实安全管理责任。</w:t>
            </w:r>
          </w:p>
          <w:p>
            <w:pPr>
              <w:pStyle w:val="4"/>
              <w:adjustRightInd w:val="0"/>
              <w:snapToGrid w:val="0"/>
              <w:spacing w:before="0" w:after="0" w:line="500" w:lineRule="exact"/>
              <w:ind w:firstLine="480" w:firstLineChars="200"/>
              <w:jc w:val="left"/>
              <w:rPr>
                <w:rFonts w:hAnsi="宋体"/>
                <w:b w:val="0"/>
                <w:bCs w:val="0"/>
                <w:sz w:val="24"/>
                <w:szCs w:val="24"/>
              </w:rPr>
            </w:pPr>
            <w:r>
              <w:rPr>
                <w:rFonts w:hAnsi="宋体"/>
                <w:b w:val="0"/>
                <w:bCs w:val="0"/>
                <w:sz w:val="24"/>
                <w:szCs w:val="24"/>
              </w:rPr>
              <w:fldChar w:fldCharType="begin"/>
            </w:r>
            <w:r>
              <w:rPr>
                <w:rFonts w:hAnsi="宋体"/>
                <w:b w:val="0"/>
                <w:bCs w:val="0"/>
                <w:sz w:val="24"/>
                <w:szCs w:val="24"/>
              </w:rPr>
              <w:instrText xml:space="preserve"> </w:instrText>
            </w:r>
            <w:r>
              <w:rPr>
                <w:rFonts w:hint="eastAsia" w:hAnsi="宋体"/>
                <w:b w:val="0"/>
                <w:bCs w:val="0"/>
                <w:sz w:val="24"/>
                <w:szCs w:val="24"/>
              </w:rPr>
              <w:instrText xml:space="preserve">= 4 \* GB3</w:instrText>
            </w:r>
            <w:r>
              <w:rPr>
                <w:rFonts w:hAnsi="宋体"/>
                <w:b w:val="0"/>
                <w:bCs w:val="0"/>
                <w:sz w:val="24"/>
                <w:szCs w:val="24"/>
              </w:rPr>
              <w:instrText xml:space="preserve"> </w:instrText>
            </w:r>
            <w:r>
              <w:rPr>
                <w:rFonts w:hAnsi="宋体"/>
                <w:b w:val="0"/>
                <w:bCs w:val="0"/>
                <w:sz w:val="24"/>
                <w:szCs w:val="24"/>
              </w:rPr>
              <w:fldChar w:fldCharType="separate"/>
            </w:r>
            <w:r>
              <w:rPr>
                <w:rFonts w:hint="eastAsia" w:hAnsi="宋体"/>
                <w:b w:val="0"/>
                <w:bCs w:val="0"/>
                <w:sz w:val="24"/>
                <w:szCs w:val="24"/>
              </w:rPr>
              <w:t>④</w:t>
            </w:r>
            <w:r>
              <w:rPr>
                <w:rFonts w:hAnsi="宋体"/>
                <w:b w:val="0"/>
                <w:bCs w:val="0"/>
                <w:sz w:val="24"/>
                <w:szCs w:val="24"/>
              </w:rPr>
              <w:fldChar w:fldCharType="end"/>
            </w:r>
            <w:r>
              <w:rPr>
                <w:rFonts w:hint="eastAsia" w:hAnsi="宋体"/>
                <w:b w:val="0"/>
                <w:bCs w:val="0"/>
                <w:sz w:val="24"/>
                <w:szCs w:val="24"/>
              </w:rPr>
              <w:t>配备相应品种和数量的消防器材。</w:t>
            </w:r>
          </w:p>
          <w:p>
            <w:pPr>
              <w:pStyle w:val="4"/>
              <w:adjustRightInd w:val="0"/>
              <w:snapToGrid w:val="0"/>
              <w:spacing w:before="0" w:after="0" w:line="500" w:lineRule="exact"/>
              <w:ind w:firstLine="480" w:firstLineChars="200"/>
              <w:jc w:val="left"/>
              <w:rPr>
                <w:rFonts w:hAnsi="宋体"/>
                <w:b w:val="0"/>
                <w:bCs w:val="0"/>
                <w:sz w:val="24"/>
                <w:szCs w:val="24"/>
              </w:rPr>
            </w:pPr>
            <w:r>
              <w:rPr>
                <w:rFonts w:hAnsi="宋体"/>
                <w:b w:val="0"/>
                <w:bCs w:val="0"/>
                <w:sz w:val="24"/>
                <w:szCs w:val="24"/>
              </w:rPr>
              <w:fldChar w:fldCharType="begin"/>
            </w:r>
            <w:r>
              <w:rPr>
                <w:rFonts w:hAnsi="宋体"/>
                <w:b w:val="0"/>
                <w:bCs w:val="0"/>
                <w:sz w:val="24"/>
                <w:szCs w:val="24"/>
              </w:rPr>
              <w:instrText xml:space="preserve"> </w:instrText>
            </w:r>
            <w:r>
              <w:rPr>
                <w:rFonts w:hint="eastAsia" w:hAnsi="宋体"/>
                <w:b w:val="0"/>
                <w:bCs w:val="0"/>
                <w:sz w:val="24"/>
                <w:szCs w:val="24"/>
              </w:rPr>
              <w:instrText xml:space="preserve">= 5 \* GB3</w:instrText>
            </w:r>
            <w:r>
              <w:rPr>
                <w:rFonts w:hAnsi="宋体"/>
                <w:b w:val="0"/>
                <w:bCs w:val="0"/>
                <w:sz w:val="24"/>
                <w:szCs w:val="24"/>
              </w:rPr>
              <w:instrText xml:space="preserve"> </w:instrText>
            </w:r>
            <w:r>
              <w:rPr>
                <w:rFonts w:hAnsi="宋体"/>
                <w:b w:val="0"/>
                <w:bCs w:val="0"/>
                <w:sz w:val="24"/>
                <w:szCs w:val="24"/>
              </w:rPr>
              <w:fldChar w:fldCharType="separate"/>
            </w:r>
            <w:r>
              <w:rPr>
                <w:rFonts w:hint="eastAsia" w:hAnsi="宋体"/>
                <w:b w:val="0"/>
                <w:bCs w:val="0"/>
                <w:sz w:val="24"/>
                <w:szCs w:val="24"/>
              </w:rPr>
              <w:t>⑤</w:t>
            </w:r>
            <w:r>
              <w:rPr>
                <w:rFonts w:hAnsi="宋体"/>
                <w:b w:val="0"/>
                <w:bCs w:val="0"/>
                <w:sz w:val="24"/>
                <w:szCs w:val="24"/>
              </w:rPr>
              <w:fldChar w:fldCharType="end"/>
            </w:r>
            <w:r>
              <w:rPr>
                <w:rFonts w:hint="eastAsia" w:hAnsi="宋体"/>
                <w:b w:val="0"/>
                <w:bCs w:val="0"/>
                <w:sz w:val="24"/>
                <w:szCs w:val="24"/>
              </w:rPr>
              <w:t>工作人员应经过专业安全培训，熟悉操作规程，经考核合格，才能上岗操作。</w:t>
            </w:r>
          </w:p>
          <w:p>
            <w:pPr>
              <w:pStyle w:val="4"/>
              <w:adjustRightInd w:val="0"/>
              <w:snapToGrid w:val="0"/>
              <w:spacing w:before="0" w:after="0" w:line="500" w:lineRule="exact"/>
              <w:ind w:firstLine="480" w:firstLineChars="200"/>
              <w:jc w:val="left"/>
              <w:rPr>
                <w:rFonts w:hAnsi="宋体"/>
                <w:b w:val="0"/>
                <w:bCs w:val="0"/>
                <w:sz w:val="24"/>
                <w:szCs w:val="24"/>
              </w:rPr>
            </w:pPr>
            <w:r>
              <w:rPr>
                <w:rFonts w:hAnsi="宋体"/>
                <w:b w:val="0"/>
                <w:bCs w:val="0"/>
                <w:sz w:val="24"/>
                <w:szCs w:val="24"/>
              </w:rPr>
              <w:fldChar w:fldCharType="begin"/>
            </w:r>
            <w:r>
              <w:rPr>
                <w:rFonts w:hAnsi="宋体"/>
                <w:b w:val="0"/>
                <w:bCs w:val="0"/>
                <w:sz w:val="24"/>
                <w:szCs w:val="24"/>
              </w:rPr>
              <w:instrText xml:space="preserve"> </w:instrText>
            </w:r>
            <w:r>
              <w:rPr>
                <w:rFonts w:hint="eastAsia" w:hAnsi="宋体"/>
                <w:b w:val="0"/>
                <w:bCs w:val="0"/>
                <w:sz w:val="24"/>
                <w:szCs w:val="24"/>
              </w:rPr>
              <w:instrText xml:space="preserve">= 6 \* GB3</w:instrText>
            </w:r>
            <w:r>
              <w:rPr>
                <w:rFonts w:hAnsi="宋体"/>
                <w:b w:val="0"/>
                <w:bCs w:val="0"/>
                <w:sz w:val="24"/>
                <w:szCs w:val="24"/>
              </w:rPr>
              <w:instrText xml:space="preserve"> </w:instrText>
            </w:r>
            <w:r>
              <w:rPr>
                <w:rFonts w:hAnsi="宋体"/>
                <w:b w:val="0"/>
                <w:bCs w:val="0"/>
                <w:sz w:val="24"/>
                <w:szCs w:val="24"/>
              </w:rPr>
              <w:fldChar w:fldCharType="separate"/>
            </w:r>
            <w:r>
              <w:rPr>
                <w:rFonts w:hint="eastAsia" w:hAnsi="宋体"/>
                <w:b w:val="0"/>
                <w:bCs w:val="0"/>
                <w:sz w:val="24"/>
                <w:szCs w:val="24"/>
              </w:rPr>
              <w:t>⑥</w:t>
            </w:r>
            <w:r>
              <w:rPr>
                <w:rFonts w:hAnsi="宋体"/>
                <w:b w:val="0"/>
                <w:bCs w:val="0"/>
                <w:sz w:val="24"/>
                <w:szCs w:val="24"/>
              </w:rPr>
              <w:fldChar w:fldCharType="end"/>
            </w:r>
            <w:r>
              <w:rPr>
                <w:rFonts w:hint="eastAsia" w:hAnsi="宋体"/>
                <w:b w:val="0"/>
                <w:bCs w:val="0"/>
                <w:sz w:val="24"/>
                <w:szCs w:val="24"/>
              </w:rPr>
              <w:t>工作现场禁止吸烟、进食。</w:t>
            </w:r>
          </w:p>
          <w:p>
            <w:pPr>
              <w:pStyle w:val="4"/>
              <w:adjustRightInd w:val="0"/>
              <w:snapToGrid w:val="0"/>
              <w:spacing w:before="0" w:after="0" w:line="500" w:lineRule="exact"/>
              <w:ind w:firstLine="480" w:firstLineChars="200"/>
              <w:jc w:val="left"/>
              <w:rPr>
                <w:rFonts w:hAnsi="宋体"/>
                <w:b w:val="0"/>
                <w:bCs w:val="0"/>
                <w:sz w:val="24"/>
                <w:szCs w:val="24"/>
              </w:rPr>
            </w:pPr>
            <w:r>
              <w:rPr>
                <w:rFonts w:hAnsi="宋体"/>
                <w:b w:val="0"/>
                <w:bCs w:val="0"/>
                <w:sz w:val="24"/>
                <w:szCs w:val="24"/>
              </w:rPr>
              <w:fldChar w:fldCharType="begin"/>
            </w:r>
            <w:r>
              <w:rPr>
                <w:rFonts w:hAnsi="宋体"/>
                <w:b w:val="0"/>
                <w:bCs w:val="0"/>
                <w:sz w:val="24"/>
                <w:szCs w:val="24"/>
              </w:rPr>
              <w:instrText xml:space="preserve"> </w:instrText>
            </w:r>
            <w:r>
              <w:rPr>
                <w:rFonts w:hint="eastAsia" w:hAnsi="宋体"/>
                <w:b w:val="0"/>
                <w:bCs w:val="0"/>
                <w:sz w:val="24"/>
                <w:szCs w:val="24"/>
              </w:rPr>
              <w:instrText xml:space="preserve">= 7 \* GB3</w:instrText>
            </w:r>
            <w:r>
              <w:rPr>
                <w:rFonts w:hAnsi="宋体"/>
                <w:b w:val="0"/>
                <w:bCs w:val="0"/>
                <w:sz w:val="24"/>
                <w:szCs w:val="24"/>
              </w:rPr>
              <w:instrText xml:space="preserve"> </w:instrText>
            </w:r>
            <w:r>
              <w:rPr>
                <w:rFonts w:hAnsi="宋体"/>
                <w:b w:val="0"/>
                <w:bCs w:val="0"/>
                <w:sz w:val="24"/>
                <w:szCs w:val="24"/>
              </w:rPr>
              <w:fldChar w:fldCharType="separate"/>
            </w:r>
            <w:r>
              <w:rPr>
                <w:rFonts w:hint="eastAsia" w:hAnsi="宋体"/>
                <w:b w:val="0"/>
                <w:bCs w:val="0"/>
                <w:sz w:val="24"/>
                <w:szCs w:val="24"/>
              </w:rPr>
              <w:t>⑦</w:t>
            </w:r>
            <w:r>
              <w:rPr>
                <w:rFonts w:hAnsi="宋体"/>
                <w:b w:val="0"/>
                <w:bCs w:val="0"/>
                <w:sz w:val="24"/>
                <w:szCs w:val="24"/>
              </w:rPr>
              <w:fldChar w:fldCharType="end"/>
            </w:r>
            <w:r>
              <w:rPr>
                <w:rFonts w:hint="eastAsia" w:hAnsi="宋体"/>
                <w:b w:val="0"/>
                <w:bCs w:val="0"/>
                <w:sz w:val="24"/>
                <w:szCs w:val="24"/>
              </w:rPr>
              <w:t>建立安全生产岗位责任制，制定安全生产规章制度、安全操作规程，加强生产工人安全环境意识教育，树立安全生产意识，防止人为事故发生。</w:t>
            </w:r>
          </w:p>
          <w:p>
            <w:pPr>
              <w:pStyle w:val="4"/>
              <w:adjustRightInd w:val="0"/>
              <w:snapToGrid w:val="0"/>
              <w:spacing w:before="0" w:after="0" w:line="500" w:lineRule="exact"/>
              <w:ind w:firstLine="480" w:firstLineChars="200"/>
              <w:jc w:val="left"/>
              <w:rPr>
                <w:b w:val="0"/>
                <w:bCs w:val="0"/>
                <w:sz w:val="24"/>
                <w:szCs w:val="24"/>
              </w:rPr>
            </w:pPr>
            <w:r>
              <w:rPr>
                <w:rFonts w:hAnsi="宋体"/>
                <w:b w:val="0"/>
                <w:bCs w:val="0"/>
                <w:sz w:val="24"/>
                <w:szCs w:val="24"/>
              </w:rPr>
              <w:t>火灾、爆炸事故的诱发因素很多（包括很多自然因素），因此，对突发性事故的防治对策除了科学合理地进行厂区布置外，还应严格控制和管理，加强施工预防措施和应急处理的能力。</w:t>
            </w:r>
            <w:r>
              <w:rPr>
                <w:b w:val="0"/>
                <w:bCs w:val="0"/>
                <w:sz w:val="24"/>
                <w:szCs w:val="24"/>
              </w:rPr>
              <w:t>“</w:t>
            </w:r>
            <w:r>
              <w:rPr>
                <w:rFonts w:hAnsi="宋体"/>
                <w:b w:val="0"/>
                <w:bCs w:val="0"/>
                <w:sz w:val="24"/>
                <w:szCs w:val="24"/>
              </w:rPr>
              <w:t>预防为主、安全第一</w:t>
            </w:r>
            <w:r>
              <w:rPr>
                <w:b w:val="0"/>
                <w:bCs w:val="0"/>
                <w:sz w:val="24"/>
                <w:szCs w:val="24"/>
              </w:rPr>
              <w:t>”</w:t>
            </w:r>
            <w:r>
              <w:rPr>
                <w:rFonts w:hAnsi="宋体"/>
                <w:b w:val="0"/>
                <w:bCs w:val="0"/>
                <w:sz w:val="24"/>
                <w:szCs w:val="24"/>
              </w:rPr>
              <w:t>是减少突发性事故发生、降低突发性事故危害的重要保障。根据国家相关法律法规，结合公司实际，建议项目制定环保事故应急预案，本报告提出以下建议方案供参考。</w:t>
            </w:r>
          </w:p>
          <w:p>
            <w:pPr>
              <w:pStyle w:val="4"/>
              <w:adjustRightInd w:val="0"/>
              <w:snapToGrid w:val="0"/>
              <w:spacing w:before="0" w:after="0" w:line="500" w:lineRule="exact"/>
              <w:ind w:firstLine="480" w:firstLineChars="200"/>
              <w:jc w:val="left"/>
              <w:rPr>
                <w:b w:val="0"/>
                <w:bCs w:val="0"/>
                <w:sz w:val="24"/>
                <w:szCs w:val="24"/>
              </w:rPr>
            </w:pPr>
            <w:r>
              <w:rPr>
                <w:rFonts w:hAnsi="宋体"/>
                <w:b w:val="0"/>
                <w:bCs w:val="0"/>
                <w:sz w:val="24"/>
                <w:szCs w:val="24"/>
              </w:rPr>
              <w:t>制订应急预案的原则如下：</w:t>
            </w:r>
          </w:p>
          <w:p>
            <w:pPr>
              <w:pStyle w:val="4"/>
              <w:adjustRightInd w:val="0"/>
              <w:snapToGrid w:val="0"/>
              <w:spacing w:before="0" w:after="0" w:line="500" w:lineRule="exact"/>
              <w:ind w:firstLine="480" w:firstLineChars="200"/>
              <w:jc w:val="left"/>
              <w:rPr>
                <w:b w:val="0"/>
                <w:bCs w:val="0"/>
                <w:sz w:val="24"/>
                <w:szCs w:val="24"/>
              </w:rPr>
            </w:pPr>
            <w:r>
              <w:rPr>
                <w:rFonts w:ascii="宋体" w:hAnsi="宋体"/>
                <w:b w:val="0"/>
                <w:bCs w:val="0"/>
                <w:sz w:val="24"/>
                <w:szCs w:val="24"/>
              </w:rPr>
              <w:t>①</w:t>
            </w:r>
            <w:r>
              <w:rPr>
                <w:rFonts w:hAnsi="宋体"/>
                <w:b w:val="0"/>
                <w:bCs w:val="0"/>
                <w:sz w:val="24"/>
                <w:szCs w:val="24"/>
              </w:rPr>
              <w:t>制定事故类型、等级和相应的应急响应程序；</w:t>
            </w:r>
          </w:p>
          <w:p>
            <w:pPr>
              <w:pStyle w:val="4"/>
              <w:adjustRightInd w:val="0"/>
              <w:snapToGrid w:val="0"/>
              <w:spacing w:before="0" w:after="0" w:line="500" w:lineRule="exact"/>
              <w:ind w:firstLine="480" w:firstLineChars="200"/>
              <w:jc w:val="left"/>
              <w:rPr>
                <w:b w:val="0"/>
                <w:bCs w:val="0"/>
                <w:sz w:val="24"/>
                <w:szCs w:val="24"/>
              </w:rPr>
            </w:pPr>
            <w:r>
              <w:rPr>
                <w:rFonts w:ascii="宋体" w:hAnsi="宋体"/>
                <w:b w:val="0"/>
                <w:bCs w:val="0"/>
                <w:sz w:val="24"/>
                <w:szCs w:val="24"/>
              </w:rPr>
              <w:t>②</w:t>
            </w:r>
            <w:r>
              <w:rPr>
                <w:rFonts w:hAnsi="宋体"/>
                <w:b w:val="0"/>
                <w:bCs w:val="0"/>
                <w:sz w:val="24"/>
                <w:szCs w:val="24"/>
              </w:rPr>
              <w:t>对生产系统制定应急状态切断终止或自动报警连锁保护程序；</w:t>
            </w:r>
          </w:p>
          <w:p>
            <w:pPr>
              <w:pStyle w:val="4"/>
              <w:adjustRightInd w:val="0"/>
              <w:snapToGrid w:val="0"/>
              <w:spacing w:before="0" w:after="0" w:line="500" w:lineRule="exact"/>
              <w:ind w:firstLine="480" w:firstLineChars="200"/>
              <w:jc w:val="left"/>
              <w:rPr>
                <w:b w:val="0"/>
                <w:bCs w:val="0"/>
                <w:sz w:val="24"/>
                <w:szCs w:val="24"/>
              </w:rPr>
            </w:pPr>
            <w:r>
              <w:rPr>
                <w:rFonts w:ascii="宋体" w:hAnsi="宋体"/>
                <w:b w:val="0"/>
                <w:bCs w:val="0"/>
                <w:sz w:val="24"/>
                <w:szCs w:val="24"/>
              </w:rPr>
              <w:t>③</w:t>
            </w:r>
            <w:r>
              <w:rPr>
                <w:rFonts w:hAnsi="宋体"/>
                <w:b w:val="0"/>
                <w:bCs w:val="0"/>
                <w:sz w:val="24"/>
                <w:szCs w:val="24"/>
              </w:rPr>
              <w:t>岗位培训和演习，设置事故应急学习手册及报告、记录和评估。</w:t>
            </w:r>
          </w:p>
          <w:p>
            <w:pPr>
              <w:pStyle w:val="4"/>
              <w:adjustRightInd w:val="0"/>
              <w:snapToGrid w:val="0"/>
              <w:spacing w:before="0" w:after="0" w:line="500" w:lineRule="exact"/>
              <w:ind w:firstLine="480" w:firstLineChars="200"/>
              <w:jc w:val="left"/>
              <w:rPr>
                <w:b w:val="0"/>
                <w:bCs w:val="0"/>
                <w:sz w:val="24"/>
                <w:szCs w:val="24"/>
              </w:rPr>
            </w:pPr>
            <w:r>
              <w:rPr>
                <w:rFonts w:hAnsi="宋体"/>
                <w:b w:val="0"/>
                <w:bCs w:val="0"/>
                <w:sz w:val="24"/>
                <w:szCs w:val="24"/>
              </w:rPr>
              <w:t>事故应急措施如下：</w:t>
            </w:r>
            <w:r>
              <w:rPr>
                <w:b w:val="0"/>
                <w:bCs w:val="0"/>
                <w:sz w:val="24"/>
                <w:szCs w:val="24"/>
              </w:rPr>
              <w:t xml:space="preserve"> </w:t>
            </w:r>
          </w:p>
          <w:p>
            <w:pPr>
              <w:pStyle w:val="4"/>
              <w:adjustRightInd w:val="0"/>
              <w:snapToGrid w:val="0"/>
              <w:spacing w:before="0" w:after="0" w:line="500" w:lineRule="exact"/>
              <w:ind w:firstLine="480" w:firstLineChars="200"/>
              <w:jc w:val="left"/>
              <w:rPr>
                <w:b w:val="0"/>
                <w:bCs w:val="0"/>
                <w:sz w:val="24"/>
                <w:szCs w:val="24"/>
              </w:rPr>
            </w:pPr>
            <w:r>
              <w:rPr>
                <w:rFonts w:ascii="宋体" w:hAnsi="宋体"/>
                <w:b w:val="0"/>
                <w:bCs w:val="0"/>
                <w:sz w:val="24"/>
                <w:szCs w:val="24"/>
              </w:rPr>
              <w:t>①</w:t>
            </w:r>
            <w:r>
              <w:rPr>
                <w:rFonts w:hAnsi="宋体"/>
                <w:b w:val="0"/>
                <w:bCs w:val="0"/>
                <w:sz w:val="24"/>
                <w:szCs w:val="24"/>
              </w:rPr>
              <w:t>发生事故的单位应迅速查明事故情况后报告</w:t>
            </w:r>
            <w:r>
              <w:rPr>
                <w:rFonts w:hint="eastAsia" w:hAnsi="宋体"/>
                <w:b w:val="0"/>
                <w:bCs w:val="0"/>
                <w:sz w:val="24"/>
                <w:szCs w:val="24"/>
              </w:rPr>
              <w:t>厂长</w:t>
            </w:r>
            <w:r>
              <w:rPr>
                <w:rFonts w:hAnsi="宋体"/>
                <w:b w:val="0"/>
                <w:bCs w:val="0"/>
                <w:sz w:val="24"/>
                <w:szCs w:val="24"/>
              </w:rPr>
              <w:t>，并积极采取有效措施控制事故的蔓延；</w:t>
            </w:r>
          </w:p>
          <w:p>
            <w:pPr>
              <w:pStyle w:val="4"/>
              <w:adjustRightInd w:val="0"/>
              <w:snapToGrid w:val="0"/>
              <w:spacing w:before="0" w:after="0" w:line="500" w:lineRule="exact"/>
              <w:ind w:firstLine="480" w:firstLineChars="200"/>
              <w:jc w:val="left"/>
              <w:rPr>
                <w:b w:val="0"/>
                <w:bCs w:val="0"/>
                <w:sz w:val="24"/>
                <w:szCs w:val="24"/>
              </w:rPr>
            </w:pPr>
            <w:r>
              <w:rPr>
                <w:rFonts w:ascii="宋体" w:hAnsi="宋体"/>
                <w:b w:val="0"/>
                <w:bCs w:val="0"/>
                <w:sz w:val="24"/>
                <w:szCs w:val="24"/>
              </w:rPr>
              <w:t>②</w:t>
            </w:r>
            <w:r>
              <w:rPr>
                <w:rFonts w:hAnsi="宋体"/>
                <w:b w:val="0"/>
                <w:bCs w:val="0"/>
                <w:sz w:val="24"/>
                <w:szCs w:val="24"/>
              </w:rPr>
              <w:t>维修人员在接到报警后，应迅速查明事故情况，作好事故处理及抢险抢修等协调工作和应急相关准备工作，并立即报告</w:t>
            </w:r>
            <w:r>
              <w:rPr>
                <w:rFonts w:hint="eastAsia" w:hAnsi="宋体"/>
                <w:b w:val="0"/>
                <w:bCs w:val="0"/>
                <w:sz w:val="24"/>
                <w:szCs w:val="24"/>
              </w:rPr>
              <w:t>厂长</w:t>
            </w:r>
            <w:r>
              <w:rPr>
                <w:rFonts w:hAnsi="宋体"/>
                <w:b w:val="0"/>
                <w:bCs w:val="0"/>
                <w:sz w:val="24"/>
                <w:szCs w:val="24"/>
              </w:rPr>
              <w:t>；</w:t>
            </w:r>
          </w:p>
          <w:p>
            <w:pPr>
              <w:pStyle w:val="4"/>
              <w:adjustRightInd w:val="0"/>
              <w:snapToGrid w:val="0"/>
              <w:spacing w:before="0" w:after="0" w:line="500" w:lineRule="exact"/>
              <w:ind w:firstLine="480" w:firstLineChars="200"/>
              <w:jc w:val="left"/>
              <w:rPr>
                <w:b w:val="0"/>
                <w:bCs w:val="0"/>
                <w:sz w:val="24"/>
                <w:szCs w:val="24"/>
              </w:rPr>
            </w:pPr>
            <w:r>
              <w:rPr>
                <w:rFonts w:ascii="宋体" w:hAnsi="宋体"/>
                <w:b w:val="0"/>
                <w:bCs w:val="0"/>
                <w:sz w:val="24"/>
                <w:szCs w:val="24"/>
              </w:rPr>
              <w:t>③</w:t>
            </w:r>
            <w:r>
              <w:rPr>
                <w:rFonts w:hAnsi="宋体"/>
                <w:b w:val="0"/>
                <w:bCs w:val="0"/>
                <w:sz w:val="24"/>
                <w:szCs w:val="24"/>
              </w:rPr>
              <w:t>向主管领导报告和向相关单位通报情况；</w:t>
            </w:r>
          </w:p>
          <w:p>
            <w:pPr>
              <w:pStyle w:val="4"/>
              <w:adjustRightInd w:val="0"/>
              <w:snapToGrid w:val="0"/>
              <w:spacing w:before="0" w:after="0" w:line="500" w:lineRule="exact"/>
              <w:ind w:firstLine="480" w:firstLineChars="200"/>
              <w:jc w:val="left"/>
              <w:rPr>
                <w:b w:val="0"/>
                <w:bCs w:val="0"/>
                <w:sz w:val="24"/>
                <w:szCs w:val="24"/>
              </w:rPr>
            </w:pPr>
            <w:r>
              <w:rPr>
                <w:rFonts w:ascii="宋体" w:hAnsi="宋体"/>
                <w:b w:val="0"/>
                <w:bCs w:val="0"/>
                <w:sz w:val="24"/>
                <w:szCs w:val="24"/>
              </w:rPr>
              <w:t>④</w:t>
            </w:r>
            <w:r>
              <w:rPr>
                <w:rFonts w:hAnsi="宋体"/>
                <w:b w:val="0"/>
                <w:bCs w:val="0"/>
                <w:sz w:val="24"/>
                <w:szCs w:val="24"/>
              </w:rPr>
              <w:t>组织调查事故原因，并做好善后工作；</w:t>
            </w:r>
          </w:p>
          <w:p>
            <w:pPr>
              <w:pStyle w:val="4"/>
              <w:adjustRightInd w:val="0"/>
              <w:snapToGrid w:val="0"/>
              <w:spacing w:before="0" w:after="0" w:line="500" w:lineRule="exact"/>
              <w:ind w:firstLine="480" w:firstLineChars="200"/>
              <w:jc w:val="left"/>
              <w:rPr>
                <w:b w:val="0"/>
                <w:bCs w:val="0"/>
                <w:sz w:val="24"/>
                <w:szCs w:val="24"/>
              </w:rPr>
            </w:pPr>
            <w:r>
              <w:rPr>
                <w:rFonts w:ascii="宋体" w:hAnsi="宋体"/>
                <w:b w:val="0"/>
                <w:bCs w:val="0"/>
                <w:sz w:val="24"/>
                <w:szCs w:val="24"/>
              </w:rPr>
              <w:t>⑤</w:t>
            </w:r>
            <w:r>
              <w:rPr>
                <w:rFonts w:hAnsi="宋体"/>
                <w:b w:val="0"/>
                <w:bCs w:val="0"/>
                <w:sz w:val="24"/>
                <w:szCs w:val="24"/>
              </w:rPr>
              <w:t>总结应急救援工作中的经验与教训，对本预案的有效性、适宜性进行评审。</w:t>
            </w:r>
          </w:p>
          <w:p>
            <w:pPr>
              <w:pStyle w:val="4"/>
              <w:adjustRightInd w:val="0"/>
              <w:snapToGrid w:val="0"/>
              <w:spacing w:before="0" w:after="0" w:line="500" w:lineRule="exact"/>
              <w:ind w:firstLine="480" w:firstLineChars="200"/>
              <w:jc w:val="left"/>
              <w:rPr>
                <w:b w:val="0"/>
                <w:bCs w:val="0"/>
                <w:sz w:val="24"/>
                <w:szCs w:val="24"/>
              </w:rPr>
            </w:pPr>
            <w:r>
              <w:rPr>
                <w:rFonts w:hAnsi="宋体"/>
                <w:b w:val="0"/>
                <w:bCs w:val="0"/>
                <w:sz w:val="24"/>
                <w:szCs w:val="24"/>
              </w:rPr>
              <w:t>（</w:t>
            </w:r>
            <w:r>
              <w:rPr>
                <w:rFonts w:hint="eastAsia"/>
                <w:b w:val="0"/>
                <w:bCs w:val="0"/>
                <w:sz w:val="24"/>
                <w:szCs w:val="24"/>
              </w:rPr>
              <w:t>7</w:t>
            </w:r>
            <w:r>
              <w:rPr>
                <w:rFonts w:hAnsi="宋体"/>
                <w:b w:val="0"/>
                <w:bCs w:val="0"/>
                <w:sz w:val="24"/>
                <w:szCs w:val="24"/>
              </w:rPr>
              <w:t>）环境风险分析结论</w:t>
            </w:r>
          </w:p>
          <w:p>
            <w:pPr>
              <w:pStyle w:val="4"/>
              <w:adjustRightInd w:val="0"/>
              <w:snapToGrid w:val="0"/>
              <w:spacing w:before="0" w:after="0" w:line="500" w:lineRule="exact"/>
              <w:ind w:firstLine="480" w:firstLineChars="200"/>
              <w:jc w:val="left"/>
              <w:rPr>
                <w:b w:val="0"/>
                <w:bCs w:val="0"/>
                <w:sz w:val="24"/>
                <w:szCs w:val="24"/>
              </w:rPr>
            </w:pPr>
            <w:r>
              <w:rPr>
                <w:rFonts w:hAnsi="宋体"/>
                <w:b w:val="0"/>
                <w:bCs w:val="0"/>
                <w:sz w:val="24"/>
                <w:szCs w:val="24"/>
              </w:rPr>
              <w:t>评价认为，采取以上风险防范措施后，可将风险隐患降至最低。</w:t>
            </w:r>
          </w:p>
          <w:p>
            <w:pPr>
              <w:adjustRightInd w:val="0"/>
              <w:snapToGrid w:val="0"/>
              <w:spacing w:line="500" w:lineRule="exact"/>
              <w:rPr>
                <w:b/>
                <w:bCs/>
                <w:sz w:val="24"/>
              </w:rPr>
            </w:pPr>
            <w:r>
              <w:rPr>
                <w:rFonts w:hint="eastAsia"/>
                <w:b/>
                <w:bCs/>
                <w:sz w:val="24"/>
              </w:rPr>
              <w:t>7</w:t>
            </w:r>
            <w:r>
              <w:rPr>
                <w:b/>
                <w:bCs/>
                <w:sz w:val="24"/>
              </w:rPr>
              <w:t>.</w:t>
            </w:r>
            <w:r>
              <w:rPr>
                <w:rFonts w:hAnsi="宋体"/>
                <w:b/>
                <w:bCs/>
                <w:sz w:val="24"/>
              </w:rPr>
              <w:t>选址合理性分析</w:t>
            </w:r>
          </w:p>
          <w:p>
            <w:pPr>
              <w:adjustRightInd w:val="0"/>
              <w:snapToGrid w:val="0"/>
              <w:spacing w:line="500" w:lineRule="exact"/>
              <w:ind w:firstLine="480" w:firstLineChars="200"/>
              <w:textAlignment w:val="baseline"/>
              <w:rPr>
                <w:bCs/>
                <w:kern w:val="0"/>
                <w:sz w:val="24"/>
              </w:rPr>
            </w:pPr>
            <w:r>
              <w:rPr>
                <w:bCs/>
                <w:kern w:val="0"/>
                <w:sz w:val="24"/>
              </w:rPr>
              <w:t>(1)</w:t>
            </w:r>
            <w:r>
              <w:rPr>
                <w:rFonts w:hAnsi="宋体"/>
                <w:bCs/>
                <w:kern w:val="0"/>
                <w:sz w:val="24"/>
              </w:rPr>
              <w:t>政策相符性</w:t>
            </w:r>
          </w:p>
          <w:p>
            <w:pPr>
              <w:adjustRightInd w:val="0"/>
              <w:snapToGrid w:val="0"/>
              <w:spacing w:line="500" w:lineRule="exact"/>
              <w:ind w:firstLine="480" w:firstLineChars="200"/>
              <w:textAlignment w:val="baseline"/>
              <w:rPr>
                <w:bCs/>
                <w:kern w:val="0"/>
                <w:sz w:val="24"/>
              </w:rPr>
            </w:pPr>
            <w:r>
              <w:rPr>
                <w:rFonts w:hAnsi="宋体"/>
                <w:bCs/>
                <w:kern w:val="0"/>
                <w:sz w:val="24"/>
              </w:rPr>
              <w:t>项目设备、产品及规模等均不在《产业结构调整指导目录（</w:t>
            </w:r>
            <w:r>
              <w:rPr>
                <w:bCs/>
                <w:kern w:val="0"/>
                <w:sz w:val="24"/>
              </w:rPr>
              <w:t>2019</w:t>
            </w:r>
            <w:r>
              <w:rPr>
                <w:rFonts w:hAnsi="宋体"/>
                <w:bCs/>
                <w:kern w:val="0"/>
                <w:sz w:val="24"/>
              </w:rPr>
              <w:t>年本）》限制类及淘汰类之列，属于允许建设的项目；项目已在</w:t>
            </w:r>
            <w:r>
              <w:rPr>
                <w:rFonts w:hint="eastAsia" w:hAnsi="宋体"/>
                <w:bCs/>
                <w:kern w:val="0"/>
                <w:sz w:val="24"/>
              </w:rPr>
              <w:t>新乡县发展和改革委员会</w:t>
            </w:r>
            <w:r>
              <w:rPr>
                <w:rFonts w:hAnsi="宋体"/>
                <w:bCs/>
                <w:kern w:val="0"/>
                <w:sz w:val="24"/>
              </w:rPr>
              <w:t>备案，项目代码为</w:t>
            </w:r>
            <w:r>
              <w:rPr>
                <w:rFonts w:hAnsi="宋体"/>
                <w:bCs/>
                <w:sz w:val="24"/>
              </w:rPr>
              <w:t xml:space="preserve">2020-410721-34-03-075905 </w:t>
            </w:r>
            <w:r>
              <w:rPr>
                <w:bCs/>
                <w:kern w:val="0"/>
                <w:sz w:val="24"/>
              </w:rPr>
              <w:t>(</w:t>
            </w:r>
            <w:r>
              <w:rPr>
                <w:rFonts w:hAnsi="宋体"/>
                <w:bCs/>
                <w:kern w:val="0"/>
                <w:sz w:val="24"/>
              </w:rPr>
              <w:t>见附件</w:t>
            </w:r>
            <w:r>
              <w:rPr>
                <w:bCs/>
                <w:kern w:val="0"/>
                <w:sz w:val="24"/>
              </w:rPr>
              <w:t>2</w:t>
            </w:r>
            <w:r>
              <w:rPr>
                <w:rFonts w:hAnsi="宋体"/>
                <w:bCs/>
                <w:kern w:val="0"/>
                <w:sz w:val="24"/>
              </w:rPr>
              <w:t>），因此本项目符合国家现行产业政策。</w:t>
            </w:r>
          </w:p>
          <w:p>
            <w:pPr>
              <w:adjustRightInd w:val="0"/>
              <w:snapToGrid w:val="0"/>
              <w:spacing w:line="500" w:lineRule="exact"/>
              <w:ind w:firstLine="480" w:firstLineChars="200"/>
              <w:textAlignment w:val="baseline"/>
              <w:rPr>
                <w:bCs/>
                <w:kern w:val="0"/>
                <w:sz w:val="24"/>
              </w:rPr>
            </w:pPr>
            <w:r>
              <w:rPr>
                <w:bCs/>
                <w:kern w:val="0"/>
                <w:sz w:val="24"/>
              </w:rPr>
              <w:t>(2)</w:t>
            </w:r>
            <w:r>
              <w:rPr>
                <w:rFonts w:hAnsi="宋体"/>
                <w:bCs/>
                <w:kern w:val="0"/>
                <w:sz w:val="24"/>
              </w:rPr>
              <w:t>规划相符性</w:t>
            </w:r>
          </w:p>
          <w:p>
            <w:pPr>
              <w:adjustRightInd w:val="0"/>
              <w:snapToGrid w:val="0"/>
              <w:spacing w:line="500" w:lineRule="exact"/>
              <w:ind w:firstLine="480" w:firstLineChars="200"/>
              <w:rPr>
                <w:sz w:val="24"/>
              </w:rPr>
            </w:pPr>
            <w:r>
              <w:rPr>
                <w:sz w:val="24"/>
              </w:rPr>
              <w:t>根据</w:t>
            </w:r>
            <w:r>
              <w:rPr>
                <w:rFonts w:hint="eastAsia"/>
                <w:sz w:val="24"/>
              </w:rPr>
              <w:t>新乡县朗公庙镇人民政府</w:t>
            </w:r>
            <w:r>
              <w:rPr>
                <w:sz w:val="24"/>
              </w:rPr>
              <w:t>出具的证明（见附件3），“新乡市天华科技有限公司</w:t>
            </w:r>
            <w:r>
              <w:rPr>
                <w:rFonts w:hint="eastAsia"/>
                <w:sz w:val="24"/>
              </w:rPr>
              <w:t>扩建</w:t>
            </w:r>
            <w:r>
              <w:rPr>
                <w:sz w:val="24"/>
              </w:rPr>
              <w:t>年产</w:t>
            </w:r>
            <w:r>
              <w:rPr>
                <w:rFonts w:hint="eastAsia"/>
                <w:sz w:val="24"/>
              </w:rPr>
              <w:t>300台</w:t>
            </w:r>
            <w:r>
              <w:rPr>
                <w:sz w:val="24"/>
              </w:rPr>
              <w:t>振动</w:t>
            </w:r>
            <w:r>
              <w:rPr>
                <w:rFonts w:hint="eastAsia"/>
                <w:sz w:val="24"/>
              </w:rPr>
              <w:t>输送设备</w:t>
            </w:r>
            <w:r>
              <w:rPr>
                <w:sz w:val="24"/>
              </w:rPr>
              <w:t>项目”位于</w:t>
            </w:r>
            <w:r>
              <w:rPr>
                <w:rFonts w:hint="eastAsia"/>
                <w:sz w:val="24"/>
              </w:rPr>
              <w:t>乡县朗公庙镇曲水村北</w:t>
            </w:r>
            <w:r>
              <w:rPr>
                <w:sz w:val="24"/>
              </w:rPr>
              <w:t>，</w:t>
            </w:r>
            <w:r>
              <w:rPr>
                <w:rFonts w:hint="eastAsia"/>
                <w:sz w:val="24"/>
              </w:rPr>
              <w:t>利用现有厂房，不新占用地，厂址符合朗公庙镇总体发展规划、土地利用规划和产业发展规划。</w:t>
            </w:r>
          </w:p>
          <w:p>
            <w:pPr>
              <w:pStyle w:val="2"/>
              <w:adjustRightInd w:val="0"/>
              <w:snapToGrid w:val="0"/>
              <w:spacing w:line="500" w:lineRule="exact"/>
              <w:ind w:firstLine="480" w:firstLineChars="200"/>
              <w:jc w:val="left"/>
              <w:rPr>
                <w:b w:val="0"/>
                <w:bCs w:val="0"/>
              </w:rPr>
            </w:pPr>
            <w:r>
              <w:rPr>
                <w:b w:val="0"/>
                <w:bCs w:val="0"/>
              </w:rPr>
              <w:t>综上，本项目选址符合</w:t>
            </w:r>
            <w:r>
              <w:rPr>
                <w:rFonts w:hint="eastAsia"/>
                <w:b w:val="0"/>
                <w:bCs w:val="0"/>
              </w:rPr>
              <w:t>新乡县朗公庙镇</w:t>
            </w:r>
            <w:r>
              <w:rPr>
                <w:b w:val="0"/>
                <w:bCs w:val="0"/>
              </w:rPr>
              <w:t>规划，项目选址可行。</w:t>
            </w:r>
          </w:p>
          <w:p>
            <w:pPr>
              <w:adjustRightInd w:val="0"/>
              <w:snapToGrid w:val="0"/>
              <w:spacing w:line="500" w:lineRule="exact"/>
              <w:ind w:firstLine="480" w:firstLineChars="200"/>
              <w:textAlignment w:val="baseline"/>
              <w:rPr>
                <w:bCs/>
                <w:kern w:val="0"/>
                <w:sz w:val="24"/>
              </w:rPr>
            </w:pPr>
            <w:r>
              <w:rPr>
                <w:bCs/>
                <w:kern w:val="0"/>
                <w:sz w:val="24"/>
              </w:rPr>
              <w:t xml:space="preserve"> (3)</w:t>
            </w:r>
            <w:r>
              <w:rPr>
                <w:rFonts w:hAnsi="宋体"/>
                <w:bCs/>
                <w:kern w:val="0"/>
                <w:sz w:val="24"/>
              </w:rPr>
              <w:t>污染物达标排放分析</w:t>
            </w:r>
          </w:p>
          <w:p>
            <w:pPr>
              <w:pStyle w:val="38"/>
              <w:adjustRightInd w:val="0"/>
              <w:snapToGrid w:val="0"/>
              <w:spacing w:before="0" w:after="0" w:line="500" w:lineRule="exact"/>
              <w:textAlignment w:val="baseline"/>
              <w:rPr>
                <w:snapToGrid/>
                <w:szCs w:val="24"/>
              </w:rPr>
            </w:pPr>
            <w:r>
              <w:rPr>
                <w:rFonts w:hAnsi="宋体"/>
                <w:snapToGrid/>
                <w:szCs w:val="24"/>
              </w:rPr>
              <w:t>项目营运期产生</w:t>
            </w:r>
            <w:r>
              <w:rPr>
                <w:rFonts w:hint="eastAsia" w:hAnsi="宋体"/>
                <w:snapToGrid/>
                <w:szCs w:val="24"/>
              </w:rPr>
              <w:t>废气、废水、固废</w:t>
            </w:r>
            <w:r>
              <w:rPr>
                <w:rFonts w:hAnsi="宋体"/>
                <w:snapToGrid/>
                <w:szCs w:val="24"/>
              </w:rPr>
              <w:t>和噪声经采取相应的措施后能够达标排放或得到合理的处置，对周围环境影响较小。从声环境角度出发，项目的选址是基本合理的。</w:t>
            </w:r>
          </w:p>
          <w:p>
            <w:pPr>
              <w:pStyle w:val="38"/>
              <w:adjustRightInd w:val="0"/>
              <w:snapToGrid w:val="0"/>
              <w:spacing w:before="0" w:after="0" w:line="500" w:lineRule="exact"/>
              <w:textAlignment w:val="baseline"/>
              <w:rPr>
                <w:bCs/>
                <w:szCs w:val="24"/>
              </w:rPr>
            </w:pPr>
            <w:r>
              <w:rPr>
                <w:rFonts w:hAnsi="宋体"/>
                <w:bCs/>
                <w:szCs w:val="24"/>
              </w:rPr>
              <w:t>综上所述，评价认为本项目选址合理。</w:t>
            </w:r>
          </w:p>
          <w:p>
            <w:pPr>
              <w:pStyle w:val="38"/>
              <w:adjustRightInd w:val="0"/>
              <w:snapToGrid w:val="0"/>
              <w:spacing w:before="0" w:after="0" w:line="500" w:lineRule="exact"/>
              <w:ind w:firstLine="0" w:firstLineChars="0"/>
              <w:textAlignment w:val="baseline"/>
              <w:rPr>
                <w:b/>
                <w:bCs/>
                <w:szCs w:val="24"/>
              </w:rPr>
            </w:pPr>
            <w:r>
              <w:rPr>
                <w:rFonts w:hint="eastAsia"/>
                <w:b/>
                <w:bCs/>
                <w:szCs w:val="24"/>
              </w:rPr>
              <w:t>8</w:t>
            </w:r>
            <w:r>
              <w:rPr>
                <w:rFonts w:hint="eastAsia" w:hAnsi="宋体"/>
                <w:b/>
                <w:bCs/>
                <w:szCs w:val="24"/>
              </w:rPr>
              <w:t>.</w:t>
            </w:r>
            <w:r>
              <w:rPr>
                <w:rFonts w:hAnsi="宋体"/>
                <w:b/>
                <w:bCs/>
                <w:szCs w:val="24"/>
              </w:rPr>
              <w:t>环保投资及其</w:t>
            </w:r>
            <w:r>
              <w:rPr>
                <w:b/>
                <w:bCs/>
                <w:szCs w:val="24"/>
              </w:rPr>
              <w:t>“</w:t>
            </w:r>
            <w:r>
              <w:rPr>
                <w:rFonts w:hAnsi="宋体"/>
                <w:b/>
                <w:bCs/>
                <w:szCs w:val="24"/>
              </w:rPr>
              <w:t>三同时</w:t>
            </w:r>
            <w:r>
              <w:rPr>
                <w:b/>
                <w:bCs/>
                <w:szCs w:val="24"/>
              </w:rPr>
              <w:t>”</w:t>
            </w:r>
            <w:r>
              <w:rPr>
                <w:rFonts w:hAnsi="宋体"/>
                <w:b/>
                <w:bCs/>
                <w:szCs w:val="24"/>
              </w:rPr>
              <w:t>验收</w:t>
            </w:r>
          </w:p>
          <w:p>
            <w:pPr>
              <w:adjustRightInd w:val="0"/>
              <w:snapToGrid w:val="0"/>
              <w:spacing w:line="500" w:lineRule="exact"/>
              <w:ind w:firstLine="480" w:firstLineChars="200"/>
              <w:textAlignment w:val="baseline"/>
              <w:outlineLvl w:val="3"/>
              <w:rPr>
                <w:color w:val="000000"/>
                <w:kern w:val="0"/>
                <w:sz w:val="24"/>
              </w:rPr>
            </w:pPr>
            <w:r>
              <w:rPr>
                <w:rFonts w:hAnsi="宋体"/>
                <w:sz w:val="24"/>
              </w:rPr>
              <w:t>本项目总投资</w:t>
            </w:r>
            <w:r>
              <w:rPr>
                <w:rFonts w:hint="eastAsia"/>
                <w:sz w:val="24"/>
              </w:rPr>
              <w:t>80</w:t>
            </w:r>
            <w:r>
              <w:rPr>
                <w:rFonts w:hAnsi="宋体"/>
                <w:sz w:val="24"/>
              </w:rPr>
              <w:t>万元，其中环保投资为</w:t>
            </w:r>
            <w:r>
              <w:rPr>
                <w:rFonts w:hint="eastAsia"/>
                <w:sz w:val="24"/>
              </w:rPr>
              <w:t>12</w:t>
            </w:r>
            <w:r>
              <w:rPr>
                <w:rFonts w:hAnsi="宋体"/>
                <w:sz w:val="24"/>
              </w:rPr>
              <w:t>万元，占总投资的</w:t>
            </w:r>
            <w:r>
              <w:rPr>
                <w:rFonts w:hint="eastAsia"/>
                <w:sz w:val="24"/>
              </w:rPr>
              <w:t>15</w:t>
            </w:r>
            <w:r>
              <w:rPr>
                <w:sz w:val="24"/>
              </w:rPr>
              <w:t>%</w:t>
            </w:r>
            <w:r>
              <w:rPr>
                <w:rFonts w:hAnsi="宋体"/>
                <w:sz w:val="24"/>
              </w:rPr>
              <w:t>。</w:t>
            </w:r>
            <w:r>
              <w:rPr>
                <w:rFonts w:hAnsi="宋体"/>
                <w:color w:val="000000"/>
                <w:kern w:val="0"/>
                <w:sz w:val="24"/>
              </w:rPr>
              <w:t>环保投资及</w:t>
            </w:r>
            <w:r>
              <w:rPr>
                <w:color w:val="000000"/>
                <w:kern w:val="0"/>
                <w:sz w:val="24"/>
              </w:rPr>
              <w:t>“</w:t>
            </w:r>
            <w:r>
              <w:rPr>
                <w:rFonts w:hAnsi="宋体"/>
                <w:color w:val="000000"/>
                <w:kern w:val="0"/>
                <w:sz w:val="24"/>
              </w:rPr>
              <w:t>三同时</w:t>
            </w:r>
            <w:r>
              <w:rPr>
                <w:color w:val="000000"/>
                <w:kern w:val="0"/>
                <w:sz w:val="24"/>
              </w:rPr>
              <w:t>”</w:t>
            </w:r>
            <w:r>
              <w:rPr>
                <w:rFonts w:hAnsi="宋体"/>
                <w:color w:val="000000"/>
                <w:kern w:val="0"/>
                <w:sz w:val="24"/>
              </w:rPr>
              <w:t>验收一览表详见表</w:t>
            </w:r>
            <w:r>
              <w:rPr>
                <w:rFonts w:hint="eastAsia"/>
                <w:color w:val="000000"/>
                <w:kern w:val="0"/>
                <w:sz w:val="24"/>
              </w:rPr>
              <w:t>54</w:t>
            </w:r>
            <w:r>
              <w:rPr>
                <w:rFonts w:hAnsi="宋体"/>
                <w:color w:val="000000"/>
                <w:kern w:val="0"/>
                <w:sz w:val="24"/>
              </w:rPr>
              <w:t>。</w:t>
            </w:r>
          </w:p>
          <w:p>
            <w:pPr>
              <w:autoSpaceDE w:val="0"/>
              <w:autoSpaceDN w:val="0"/>
              <w:adjustRightInd w:val="0"/>
              <w:snapToGrid w:val="0"/>
              <w:spacing w:line="400" w:lineRule="exact"/>
              <w:ind w:left="420" w:leftChars="200" w:firstLine="118" w:firstLineChars="49"/>
              <w:rPr>
                <w:rFonts w:hAnsi="宋体"/>
                <w:b/>
                <w:sz w:val="24"/>
              </w:rPr>
            </w:pPr>
            <w:r>
              <w:rPr>
                <w:rFonts w:hAnsi="宋体"/>
                <w:b/>
                <w:sz w:val="24"/>
              </w:rPr>
              <w:t>表</w:t>
            </w:r>
            <w:r>
              <w:rPr>
                <w:rFonts w:hint="eastAsia" w:hAnsi="宋体"/>
                <w:b/>
                <w:sz w:val="24"/>
              </w:rPr>
              <w:t>54</w:t>
            </w:r>
            <w:r>
              <w:rPr>
                <w:rFonts w:hAnsi="宋体"/>
                <w:b/>
                <w:sz w:val="24"/>
              </w:rPr>
              <w:t xml:space="preserve">            </w:t>
            </w:r>
            <w:r>
              <w:rPr>
                <w:rFonts w:hint="eastAsia" w:hAnsi="宋体"/>
                <w:b/>
                <w:sz w:val="24"/>
              </w:rPr>
              <w:t xml:space="preserve">    </w:t>
            </w:r>
            <w:r>
              <w:rPr>
                <w:rFonts w:hAnsi="宋体"/>
                <w:b/>
                <w:sz w:val="24"/>
              </w:rPr>
              <w:t>“三同时”环保验收一览表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404"/>
              <w:gridCol w:w="2524"/>
              <w:gridCol w:w="3746"/>
              <w:gridCol w:w="10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329" w:type="pct"/>
                  <w:vAlign w:val="center"/>
                </w:tcPr>
                <w:p>
                  <w:pPr>
                    <w:adjustRightInd w:val="0"/>
                    <w:snapToGrid w:val="0"/>
                    <w:jc w:val="center"/>
                    <w:rPr>
                      <w:b/>
                      <w:szCs w:val="21"/>
                    </w:rPr>
                  </w:pPr>
                  <w:r>
                    <w:rPr>
                      <w:rFonts w:hAnsi="宋体"/>
                      <w:b/>
                      <w:szCs w:val="21"/>
                    </w:rPr>
                    <w:t>类别</w:t>
                  </w:r>
                </w:p>
              </w:tc>
              <w:tc>
                <w:tcPr>
                  <w:tcW w:w="752" w:type="pct"/>
                  <w:vAlign w:val="center"/>
                </w:tcPr>
                <w:p>
                  <w:pPr>
                    <w:adjustRightInd w:val="0"/>
                    <w:snapToGrid w:val="0"/>
                    <w:jc w:val="center"/>
                    <w:rPr>
                      <w:b/>
                      <w:szCs w:val="21"/>
                    </w:rPr>
                  </w:pPr>
                  <w:r>
                    <w:rPr>
                      <w:rFonts w:hAnsi="宋体"/>
                      <w:b/>
                      <w:szCs w:val="21"/>
                    </w:rPr>
                    <w:t>产污点</w:t>
                  </w:r>
                </w:p>
              </w:tc>
              <w:tc>
                <w:tcPr>
                  <w:tcW w:w="1352" w:type="pct"/>
                  <w:vAlign w:val="center"/>
                </w:tcPr>
                <w:p>
                  <w:pPr>
                    <w:adjustRightInd w:val="0"/>
                    <w:snapToGrid w:val="0"/>
                    <w:jc w:val="center"/>
                    <w:rPr>
                      <w:b/>
                      <w:szCs w:val="21"/>
                    </w:rPr>
                  </w:pPr>
                  <w:r>
                    <w:rPr>
                      <w:rFonts w:hAnsi="宋体"/>
                      <w:b/>
                      <w:szCs w:val="21"/>
                    </w:rPr>
                    <w:t>处置措施</w:t>
                  </w:r>
                </w:p>
              </w:tc>
              <w:tc>
                <w:tcPr>
                  <w:tcW w:w="2007" w:type="pct"/>
                  <w:vAlign w:val="center"/>
                </w:tcPr>
                <w:p>
                  <w:pPr>
                    <w:adjustRightInd w:val="0"/>
                    <w:snapToGrid w:val="0"/>
                    <w:jc w:val="center"/>
                    <w:rPr>
                      <w:b/>
                      <w:szCs w:val="21"/>
                    </w:rPr>
                  </w:pPr>
                  <w:r>
                    <w:rPr>
                      <w:rFonts w:hAnsi="宋体"/>
                      <w:b/>
                      <w:szCs w:val="21"/>
                    </w:rPr>
                    <w:t>验收内容与要求</w:t>
                  </w:r>
                </w:p>
              </w:tc>
              <w:tc>
                <w:tcPr>
                  <w:tcW w:w="560" w:type="pct"/>
                  <w:vAlign w:val="center"/>
                </w:tcPr>
                <w:p>
                  <w:pPr>
                    <w:adjustRightInd w:val="0"/>
                    <w:snapToGrid w:val="0"/>
                    <w:jc w:val="center"/>
                    <w:rPr>
                      <w:b/>
                      <w:szCs w:val="21"/>
                    </w:rPr>
                  </w:pPr>
                  <w:r>
                    <w:rPr>
                      <w:rFonts w:hAnsi="宋体"/>
                      <w:b/>
                      <w:szCs w:val="21"/>
                    </w:rPr>
                    <w:t>投资</w:t>
                  </w:r>
                </w:p>
                <w:p>
                  <w:pPr>
                    <w:adjustRightInd w:val="0"/>
                    <w:snapToGrid w:val="0"/>
                    <w:jc w:val="center"/>
                    <w:rPr>
                      <w:b/>
                      <w:szCs w:val="21"/>
                    </w:rPr>
                  </w:pPr>
                  <w:r>
                    <w:rPr>
                      <w:rFonts w:hAnsi="宋体"/>
                      <w:b/>
                      <w:szCs w:val="21"/>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9" w:type="pct"/>
                  <w:vMerge w:val="restart"/>
                  <w:vAlign w:val="center"/>
                </w:tcPr>
                <w:p>
                  <w:pPr>
                    <w:adjustRightInd w:val="0"/>
                    <w:snapToGrid w:val="0"/>
                    <w:jc w:val="center"/>
                    <w:rPr>
                      <w:rFonts w:hAnsi="宋体"/>
                      <w:szCs w:val="21"/>
                    </w:rPr>
                  </w:pPr>
                  <w:r>
                    <w:rPr>
                      <w:rFonts w:hint="eastAsia" w:hAnsi="宋体"/>
                      <w:szCs w:val="21"/>
                    </w:rPr>
                    <w:t>废气</w:t>
                  </w:r>
                </w:p>
              </w:tc>
              <w:tc>
                <w:tcPr>
                  <w:tcW w:w="752" w:type="pct"/>
                  <w:vMerge w:val="restart"/>
                  <w:vAlign w:val="center"/>
                </w:tcPr>
                <w:p>
                  <w:pPr>
                    <w:adjustRightInd w:val="0"/>
                    <w:snapToGrid w:val="0"/>
                    <w:jc w:val="center"/>
                    <w:rPr>
                      <w:rFonts w:hAnsi="宋体"/>
                      <w:szCs w:val="21"/>
                    </w:rPr>
                  </w:pPr>
                  <w:r>
                    <w:rPr>
                      <w:rFonts w:hint="eastAsia" w:hAnsi="宋体"/>
                      <w:szCs w:val="21"/>
                    </w:rPr>
                    <w:t>生产过程</w:t>
                  </w:r>
                </w:p>
              </w:tc>
              <w:tc>
                <w:tcPr>
                  <w:tcW w:w="1352" w:type="pct"/>
                  <w:vAlign w:val="center"/>
                </w:tcPr>
                <w:p>
                  <w:pPr>
                    <w:adjustRightInd w:val="0"/>
                    <w:snapToGrid w:val="0"/>
                    <w:jc w:val="center"/>
                    <w:rPr>
                      <w:rFonts w:hAnsi="宋体"/>
                      <w:szCs w:val="21"/>
                    </w:rPr>
                  </w:pPr>
                  <w:r>
                    <w:rPr>
                      <w:rFonts w:hint="eastAsia" w:hAnsi="宋体"/>
                      <w:szCs w:val="21"/>
                    </w:rPr>
                    <w:t>设置固定的切割、焊接区域，设置集气罩，切割粉尘、焊接烟尘及打磨粉收集后经1套袋式除尘器处理，风量1000m</w:t>
                  </w:r>
                  <w:r>
                    <w:rPr>
                      <w:rFonts w:hint="eastAsia" w:hAnsi="宋体"/>
                      <w:szCs w:val="21"/>
                      <w:vertAlign w:val="superscript"/>
                    </w:rPr>
                    <w:t>3</w:t>
                  </w:r>
                  <w:r>
                    <w:rPr>
                      <w:rFonts w:hint="eastAsia" w:hAnsi="宋体"/>
                      <w:szCs w:val="21"/>
                    </w:rPr>
                    <w:t>/h，处理达标后经1根15m的排气筒排放</w:t>
                  </w:r>
                </w:p>
              </w:tc>
              <w:tc>
                <w:tcPr>
                  <w:tcW w:w="2007" w:type="pct"/>
                  <w:vMerge w:val="restart"/>
                  <w:vAlign w:val="center"/>
                </w:tcPr>
                <w:p>
                  <w:pPr>
                    <w:adjustRightInd w:val="0"/>
                    <w:snapToGrid w:val="0"/>
                    <w:jc w:val="center"/>
                    <w:rPr>
                      <w:rFonts w:hAnsi="宋体"/>
                      <w:szCs w:val="21"/>
                    </w:rPr>
                  </w:pPr>
                  <w:r>
                    <w:rPr>
                      <w:rFonts w:hint="eastAsia" w:hAnsi="宋体"/>
                      <w:szCs w:val="21"/>
                    </w:rPr>
                    <w:t>满足《大气污染物综合排放标准》（GB16297-1996）表2二级标准有组织：（浓度120mg/m3；速率3.5kg/h</w:t>
                  </w:r>
                </w:p>
                <w:p>
                  <w:pPr>
                    <w:adjustRightInd w:val="0"/>
                    <w:snapToGrid w:val="0"/>
                    <w:jc w:val="center"/>
                    <w:rPr>
                      <w:rFonts w:hAnsi="宋体"/>
                      <w:szCs w:val="21"/>
                    </w:rPr>
                  </w:pPr>
                  <w:r>
                    <w:rPr>
                      <w:rFonts w:hint="eastAsia" w:hAnsi="宋体"/>
                      <w:szCs w:val="21"/>
                    </w:rPr>
                    <w:t>无组织：厂界处浓度1.0mg/m3）；新乡市生态环境局关于进一步规范工业企业颗粒物排放限值的通知：其他所有涉气工业企业排放口颗粒物排放浓度不高于10mg/m</w:t>
                  </w:r>
                  <w:r>
                    <w:rPr>
                      <w:rFonts w:hint="eastAsia" w:hAnsi="宋体"/>
                      <w:szCs w:val="21"/>
                      <w:vertAlign w:val="superscript"/>
                    </w:rPr>
                    <w:t>3</w:t>
                  </w:r>
                  <w:r>
                    <w:rPr>
                      <w:rFonts w:hint="eastAsia" w:hAnsi="宋体"/>
                      <w:szCs w:val="21"/>
                    </w:rPr>
                    <w:t>，厂界颗粒物排放浓度不高于0.5 mg/m</w:t>
                  </w:r>
                  <w:r>
                    <w:rPr>
                      <w:rFonts w:hint="eastAsia" w:hAnsi="宋体"/>
                      <w:szCs w:val="21"/>
                      <w:vertAlign w:val="superscript"/>
                    </w:rPr>
                    <w:t>3</w:t>
                  </w:r>
                  <w:r>
                    <w:rPr>
                      <w:rFonts w:hint="eastAsia" w:hAnsi="宋体"/>
                      <w:szCs w:val="21"/>
                    </w:rPr>
                    <w:t>。</w:t>
                  </w:r>
                </w:p>
              </w:tc>
              <w:tc>
                <w:tcPr>
                  <w:tcW w:w="560" w:type="pct"/>
                  <w:vAlign w:val="center"/>
                </w:tcPr>
                <w:p>
                  <w:pPr>
                    <w:adjustRightInd w:val="0"/>
                    <w:snapToGrid w:val="0"/>
                    <w:jc w:val="center"/>
                    <w:rPr>
                      <w:rFonts w:hAnsi="宋体"/>
                      <w:szCs w:val="21"/>
                    </w:rPr>
                  </w:pPr>
                  <w:r>
                    <w:rPr>
                      <w:rFonts w:hint="eastAsia"/>
                      <w:szCs w:val="21"/>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9" w:type="pct"/>
                  <w:vMerge w:val="continue"/>
                  <w:vAlign w:val="center"/>
                </w:tcPr>
                <w:p>
                  <w:pPr>
                    <w:adjustRightInd w:val="0"/>
                    <w:snapToGrid w:val="0"/>
                    <w:jc w:val="center"/>
                    <w:rPr>
                      <w:rFonts w:hAnsi="宋体"/>
                      <w:szCs w:val="21"/>
                    </w:rPr>
                  </w:pPr>
                </w:p>
              </w:tc>
              <w:tc>
                <w:tcPr>
                  <w:tcW w:w="752" w:type="pct"/>
                  <w:vMerge w:val="continue"/>
                  <w:vAlign w:val="center"/>
                </w:tcPr>
                <w:p>
                  <w:pPr>
                    <w:adjustRightInd w:val="0"/>
                    <w:snapToGrid w:val="0"/>
                    <w:jc w:val="center"/>
                    <w:rPr>
                      <w:rFonts w:hAnsi="宋体"/>
                      <w:szCs w:val="21"/>
                    </w:rPr>
                  </w:pPr>
                </w:p>
              </w:tc>
              <w:tc>
                <w:tcPr>
                  <w:tcW w:w="1352" w:type="pct"/>
                  <w:vAlign w:val="center"/>
                </w:tcPr>
                <w:p>
                  <w:pPr>
                    <w:adjustRightInd w:val="0"/>
                    <w:snapToGrid w:val="0"/>
                    <w:jc w:val="center"/>
                    <w:rPr>
                      <w:rFonts w:hAnsi="宋体"/>
                      <w:szCs w:val="21"/>
                    </w:rPr>
                  </w:pPr>
                  <w:r>
                    <w:rPr>
                      <w:rFonts w:hint="eastAsia" w:hAnsi="宋体"/>
                      <w:szCs w:val="21"/>
                    </w:rPr>
                    <w:t>无法固定焊接区域的焊接产生的焊接烟尘设置移动式焊接烟尘净化器处理，共设置3套</w:t>
                  </w:r>
                </w:p>
              </w:tc>
              <w:tc>
                <w:tcPr>
                  <w:tcW w:w="2007" w:type="pct"/>
                  <w:vMerge w:val="continue"/>
                  <w:vAlign w:val="center"/>
                </w:tcPr>
                <w:p>
                  <w:pPr>
                    <w:adjustRightInd w:val="0"/>
                    <w:snapToGrid w:val="0"/>
                    <w:jc w:val="center"/>
                    <w:rPr>
                      <w:rFonts w:hAnsi="宋体"/>
                      <w:szCs w:val="21"/>
                    </w:rPr>
                  </w:pPr>
                </w:p>
              </w:tc>
              <w:tc>
                <w:tcPr>
                  <w:tcW w:w="560" w:type="pct"/>
                  <w:vAlign w:val="center"/>
                </w:tcPr>
                <w:p>
                  <w:pPr>
                    <w:adjustRightInd w:val="0"/>
                    <w:snapToGrid w:val="0"/>
                    <w:jc w:val="center"/>
                    <w:rPr>
                      <w:szCs w:val="21"/>
                    </w:rPr>
                  </w:pPr>
                  <w:r>
                    <w:rPr>
                      <w:rFonts w:hint="eastAsia"/>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9" w:type="pct"/>
                  <w:vAlign w:val="center"/>
                </w:tcPr>
                <w:p>
                  <w:pPr>
                    <w:adjustRightInd w:val="0"/>
                    <w:snapToGrid w:val="0"/>
                    <w:jc w:val="center"/>
                    <w:rPr>
                      <w:szCs w:val="21"/>
                    </w:rPr>
                  </w:pPr>
                  <w:r>
                    <w:rPr>
                      <w:rFonts w:hAnsi="宋体"/>
                      <w:szCs w:val="21"/>
                    </w:rPr>
                    <w:t>废水</w:t>
                  </w:r>
                </w:p>
              </w:tc>
              <w:tc>
                <w:tcPr>
                  <w:tcW w:w="752" w:type="pct"/>
                  <w:vAlign w:val="center"/>
                </w:tcPr>
                <w:p>
                  <w:pPr>
                    <w:adjustRightInd w:val="0"/>
                    <w:snapToGrid w:val="0"/>
                    <w:jc w:val="center"/>
                    <w:rPr>
                      <w:szCs w:val="21"/>
                    </w:rPr>
                  </w:pPr>
                  <w:r>
                    <w:rPr>
                      <w:rFonts w:hAnsi="宋体"/>
                      <w:szCs w:val="21"/>
                    </w:rPr>
                    <w:t>职工生活</w:t>
                  </w:r>
                </w:p>
              </w:tc>
              <w:tc>
                <w:tcPr>
                  <w:tcW w:w="1352" w:type="pct"/>
                  <w:vAlign w:val="center"/>
                </w:tcPr>
                <w:p>
                  <w:pPr>
                    <w:adjustRightInd w:val="0"/>
                    <w:snapToGrid w:val="0"/>
                    <w:jc w:val="center"/>
                    <w:rPr>
                      <w:szCs w:val="21"/>
                    </w:rPr>
                  </w:pPr>
                  <w:r>
                    <w:rPr>
                      <w:rFonts w:hint="eastAsia" w:hAnsi="宋体"/>
                      <w:bCs/>
                      <w:szCs w:val="21"/>
                    </w:rPr>
                    <w:t>依托厂区现有化粪池1座（10m</w:t>
                  </w:r>
                  <w:r>
                    <w:rPr>
                      <w:rFonts w:hint="eastAsia" w:hAnsi="宋体"/>
                      <w:bCs/>
                      <w:szCs w:val="21"/>
                      <w:vertAlign w:val="superscript"/>
                    </w:rPr>
                    <w:t>3</w:t>
                  </w:r>
                  <w:r>
                    <w:rPr>
                      <w:rFonts w:hint="eastAsia" w:hAnsi="宋体"/>
                      <w:bCs/>
                      <w:szCs w:val="21"/>
                    </w:rPr>
                    <w:t>）处理后，定期清运不外排</w:t>
                  </w:r>
                </w:p>
              </w:tc>
              <w:tc>
                <w:tcPr>
                  <w:tcW w:w="2007" w:type="pct"/>
                  <w:vAlign w:val="center"/>
                </w:tcPr>
                <w:p>
                  <w:pPr>
                    <w:adjustRightInd w:val="0"/>
                    <w:snapToGrid w:val="0"/>
                    <w:jc w:val="center"/>
                    <w:rPr>
                      <w:szCs w:val="21"/>
                    </w:rPr>
                  </w:pPr>
                  <w:r>
                    <w:rPr>
                      <w:rFonts w:hint="eastAsia"/>
                      <w:szCs w:val="21"/>
                    </w:rPr>
                    <w:t>/</w:t>
                  </w:r>
                </w:p>
              </w:tc>
              <w:tc>
                <w:tcPr>
                  <w:tcW w:w="560" w:type="pct"/>
                  <w:vAlign w:val="center"/>
                </w:tcPr>
                <w:p>
                  <w:pPr>
                    <w:adjustRightInd w:val="0"/>
                    <w:snapToGrid w:val="0"/>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9" w:type="pct"/>
                  <w:vAlign w:val="center"/>
                </w:tcPr>
                <w:p>
                  <w:pPr>
                    <w:adjustRightInd w:val="0"/>
                    <w:snapToGrid w:val="0"/>
                    <w:jc w:val="center"/>
                    <w:rPr>
                      <w:szCs w:val="21"/>
                    </w:rPr>
                  </w:pPr>
                  <w:r>
                    <w:rPr>
                      <w:rFonts w:hAnsi="宋体"/>
                      <w:szCs w:val="21"/>
                    </w:rPr>
                    <w:t>噪声</w:t>
                  </w:r>
                </w:p>
              </w:tc>
              <w:tc>
                <w:tcPr>
                  <w:tcW w:w="752" w:type="pct"/>
                  <w:vAlign w:val="center"/>
                </w:tcPr>
                <w:p>
                  <w:pPr>
                    <w:adjustRightInd w:val="0"/>
                    <w:snapToGrid w:val="0"/>
                    <w:jc w:val="center"/>
                    <w:rPr>
                      <w:szCs w:val="21"/>
                    </w:rPr>
                  </w:pPr>
                  <w:r>
                    <w:rPr>
                      <w:rFonts w:hAnsi="宋体"/>
                      <w:szCs w:val="21"/>
                    </w:rPr>
                    <w:t>设备噪声</w:t>
                  </w:r>
                </w:p>
              </w:tc>
              <w:tc>
                <w:tcPr>
                  <w:tcW w:w="1352" w:type="pct"/>
                  <w:vAlign w:val="center"/>
                </w:tcPr>
                <w:p>
                  <w:pPr>
                    <w:adjustRightInd w:val="0"/>
                    <w:snapToGrid w:val="0"/>
                    <w:jc w:val="center"/>
                    <w:rPr>
                      <w:szCs w:val="21"/>
                    </w:rPr>
                  </w:pPr>
                  <w:r>
                    <w:rPr>
                      <w:rFonts w:hAnsi="宋体"/>
                      <w:kern w:val="0"/>
                      <w:szCs w:val="21"/>
                    </w:rPr>
                    <w:t>基础减振、</w:t>
                  </w:r>
                  <w:r>
                    <w:rPr>
                      <w:rFonts w:hAnsi="宋体"/>
                      <w:szCs w:val="21"/>
                    </w:rPr>
                    <w:t>厂房隔声</w:t>
                  </w:r>
                </w:p>
              </w:tc>
              <w:tc>
                <w:tcPr>
                  <w:tcW w:w="2007" w:type="pct"/>
                  <w:vAlign w:val="center"/>
                </w:tcPr>
                <w:p>
                  <w:pPr>
                    <w:adjustRightInd w:val="0"/>
                    <w:snapToGrid w:val="0"/>
                    <w:jc w:val="center"/>
                    <w:rPr>
                      <w:szCs w:val="21"/>
                    </w:rPr>
                  </w:pPr>
                  <w:r>
                    <w:rPr>
                      <w:rFonts w:hAnsi="宋体"/>
                      <w:szCs w:val="21"/>
                    </w:rPr>
                    <w:t>《工业企业厂界环境噪声排放标准（</w:t>
                  </w:r>
                  <w:r>
                    <w:rPr>
                      <w:szCs w:val="21"/>
                    </w:rPr>
                    <w:t>GB12348-2008</w:t>
                  </w:r>
                  <w:r>
                    <w:rPr>
                      <w:rFonts w:hAnsi="宋体"/>
                      <w:szCs w:val="21"/>
                    </w:rPr>
                    <w:t>）》昼间</w:t>
                  </w:r>
                  <w:r>
                    <w:rPr>
                      <w:szCs w:val="21"/>
                    </w:rPr>
                    <w:t>60dB</w:t>
                  </w:r>
                  <w:r>
                    <w:rPr>
                      <w:rFonts w:hAnsi="宋体"/>
                      <w:szCs w:val="21"/>
                    </w:rPr>
                    <w:t>、夜间</w:t>
                  </w:r>
                  <w:r>
                    <w:rPr>
                      <w:szCs w:val="21"/>
                    </w:rPr>
                    <w:t>50dB</w:t>
                  </w:r>
                </w:p>
              </w:tc>
              <w:tc>
                <w:tcPr>
                  <w:tcW w:w="560" w:type="pct"/>
                  <w:vAlign w:val="center"/>
                </w:tcPr>
                <w:p>
                  <w:pPr>
                    <w:adjustRightInd w:val="0"/>
                    <w:snapToGrid w:val="0"/>
                    <w:jc w:val="center"/>
                    <w:rPr>
                      <w:szCs w:val="21"/>
                    </w:rPr>
                  </w:pPr>
                  <w:r>
                    <w:rPr>
                      <w:rFonts w:hint="eastAsia"/>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9" w:type="pct"/>
                  <w:vMerge w:val="restart"/>
                  <w:vAlign w:val="center"/>
                </w:tcPr>
                <w:p>
                  <w:pPr>
                    <w:adjustRightInd w:val="0"/>
                    <w:snapToGrid w:val="0"/>
                    <w:rPr>
                      <w:szCs w:val="21"/>
                    </w:rPr>
                  </w:pPr>
                  <w:r>
                    <w:rPr>
                      <w:rFonts w:hAnsi="宋体"/>
                      <w:szCs w:val="21"/>
                    </w:rPr>
                    <w:t>固废</w:t>
                  </w:r>
                </w:p>
              </w:tc>
              <w:tc>
                <w:tcPr>
                  <w:tcW w:w="752" w:type="pct"/>
                  <w:vAlign w:val="center"/>
                </w:tcPr>
                <w:p>
                  <w:pPr>
                    <w:adjustRightInd w:val="0"/>
                    <w:snapToGrid w:val="0"/>
                    <w:jc w:val="center"/>
                    <w:rPr>
                      <w:szCs w:val="21"/>
                    </w:rPr>
                  </w:pPr>
                  <w:r>
                    <w:rPr>
                      <w:rFonts w:hAnsi="宋体"/>
                      <w:szCs w:val="21"/>
                    </w:rPr>
                    <w:t>一般固废</w:t>
                  </w:r>
                </w:p>
              </w:tc>
              <w:tc>
                <w:tcPr>
                  <w:tcW w:w="1352" w:type="pct"/>
                  <w:vAlign w:val="center"/>
                </w:tcPr>
                <w:p>
                  <w:pPr>
                    <w:adjustRightInd w:val="0"/>
                    <w:snapToGrid w:val="0"/>
                    <w:jc w:val="center"/>
                    <w:rPr>
                      <w:szCs w:val="21"/>
                    </w:rPr>
                  </w:pPr>
                  <w:r>
                    <w:rPr>
                      <w:rFonts w:hint="eastAsia" w:hAnsi="宋体"/>
                      <w:szCs w:val="21"/>
                    </w:rPr>
                    <w:t>一般固废暂存间（10m</w:t>
                  </w:r>
                  <w:r>
                    <w:rPr>
                      <w:rFonts w:hint="eastAsia" w:hAnsi="宋体"/>
                      <w:szCs w:val="21"/>
                      <w:vertAlign w:val="superscript"/>
                    </w:rPr>
                    <w:t>2</w:t>
                  </w:r>
                  <w:r>
                    <w:rPr>
                      <w:rFonts w:hint="eastAsia" w:hAnsi="宋体"/>
                      <w:szCs w:val="21"/>
                    </w:rPr>
                    <w:t>)</w:t>
                  </w:r>
                </w:p>
              </w:tc>
              <w:tc>
                <w:tcPr>
                  <w:tcW w:w="2007" w:type="pct"/>
                  <w:vAlign w:val="center"/>
                </w:tcPr>
                <w:p>
                  <w:pPr>
                    <w:adjustRightInd w:val="0"/>
                    <w:snapToGrid w:val="0"/>
                    <w:jc w:val="center"/>
                    <w:rPr>
                      <w:szCs w:val="21"/>
                    </w:rPr>
                  </w:pPr>
                  <w:r>
                    <w:rPr>
                      <w:rFonts w:hint="eastAsia"/>
                      <w:szCs w:val="21"/>
                    </w:rPr>
                    <w:t>满足《一般工业固体废物贮存、处置场污染控制标准》（GB18599-2001）及其修改单</w:t>
                  </w:r>
                </w:p>
              </w:tc>
              <w:tc>
                <w:tcPr>
                  <w:tcW w:w="560" w:type="pct"/>
                  <w:vMerge w:val="restart"/>
                  <w:vAlign w:val="center"/>
                </w:tcPr>
                <w:p>
                  <w:pPr>
                    <w:adjustRightInd w:val="0"/>
                    <w:snapToGrid w:val="0"/>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9" w:type="pct"/>
                  <w:vMerge w:val="continue"/>
                  <w:vAlign w:val="center"/>
                </w:tcPr>
                <w:p>
                  <w:pPr>
                    <w:adjustRightInd w:val="0"/>
                    <w:snapToGrid w:val="0"/>
                    <w:rPr>
                      <w:rFonts w:hAnsi="宋体"/>
                      <w:szCs w:val="21"/>
                    </w:rPr>
                  </w:pPr>
                </w:p>
              </w:tc>
              <w:tc>
                <w:tcPr>
                  <w:tcW w:w="752" w:type="pct"/>
                  <w:vAlign w:val="center"/>
                </w:tcPr>
                <w:p>
                  <w:pPr>
                    <w:adjustRightInd w:val="0"/>
                    <w:snapToGrid w:val="0"/>
                    <w:jc w:val="center"/>
                    <w:rPr>
                      <w:rFonts w:hAnsi="宋体"/>
                      <w:szCs w:val="21"/>
                    </w:rPr>
                  </w:pPr>
                  <w:r>
                    <w:rPr>
                      <w:rFonts w:hint="eastAsia" w:hAnsi="宋体"/>
                      <w:szCs w:val="21"/>
                    </w:rPr>
                    <w:t>危险废物</w:t>
                  </w:r>
                </w:p>
              </w:tc>
              <w:tc>
                <w:tcPr>
                  <w:tcW w:w="1352" w:type="pct"/>
                  <w:vAlign w:val="center"/>
                </w:tcPr>
                <w:p>
                  <w:pPr>
                    <w:adjustRightInd w:val="0"/>
                    <w:snapToGrid w:val="0"/>
                    <w:jc w:val="center"/>
                    <w:rPr>
                      <w:rFonts w:hAnsi="宋体"/>
                      <w:szCs w:val="21"/>
                    </w:rPr>
                  </w:pPr>
                  <w:r>
                    <w:rPr>
                      <w:rFonts w:hint="eastAsia" w:hAnsi="宋体"/>
                      <w:szCs w:val="21"/>
                    </w:rPr>
                    <w:t>危废暂存间（5m</w:t>
                  </w:r>
                  <w:r>
                    <w:rPr>
                      <w:rFonts w:hint="eastAsia" w:hAnsi="宋体"/>
                      <w:szCs w:val="21"/>
                      <w:vertAlign w:val="superscript"/>
                    </w:rPr>
                    <w:t>2</w:t>
                  </w:r>
                  <w:r>
                    <w:rPr>
                      <w:rFonts w:hint="eastAsia" w:hAnsi="宋体"/>
                      <w:szCs w:val="21"/>
                    </w:rPr>
                    <w:t>)</w:t>
                  </w:r>
                </w:p>
              </w:tc>
              <w:tc>
                <w:tcPr>
                  <w:tcW w:w="2007" w:type="pct"/>
                  <w:vAlign w:val="center"/>
                </w:tcPr>
                <w:p>
                  <w:pPr>
                    <w:adjustRightInd w:val="0"/>
                    <w:snapToGrid w:val="0"/>
                    <w:jc w:val="center"/>
                    <w:rPr>
                      <w:szCs w:val="21"/>
                    </w:rPr>
                  </w:pPr>
                  <w:r>
                    <w:rPr>
                      <w:rFonts w:hint="eastAsia"/>
                      <w:szCs w:val="21"/>
                    </w:rPr>
                    <w:t>满足危险固废贮存、处置执行《危险废物贮存污染控制标准》（GB18597-2001）及2013 年修改单中的有关规定</w:t>
                  </w:r>
                </w:p>
              </w:tc>
              <w:tc>
                <w:tcPr>
                  <w:tcW w:w="560" w:type="pct"/>
                  <w:vMerge w:val="continue"/>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9" w:type="pct"/>
                  <w:vMerge w:val="continue"/>
                  <w:vAlign w:val="center"/>
                </w:tcPr>
                <w:p>
                  <w:pPr>
                    <w:adjustRightInd w:val="0"/>
                    <w:snapToGrid w:val="0"/>
                    <w:rPr>
                      <w:szCs w:val="21"/>
                    </w:rPr>
                  </w:pPr>
                </w:p>
              </w:tc>
              <w:tc>
                <w:tcPr>
                  <w:tcW w:w="752" w:type="pct"/>
                  <w:vAlign w:val="center"/>
                </w:tcPr>
                <w:p>
                  <w:pPr>
                    <w:adjustRightInd w:val="0"/>
                    <w:snapToGrid w:val="0"/>
                    <w:jc w:val="center"/>
                    <w:rPr>
                      <w:szCs w:val="21"/>
                    </w:rPr>
                  </w:pPr>
                  <w:r>
                    <w:rPr>
                      <w:rFonts w:hAnsi="宋体"/>
                      <w:szCs w:val="21"/>
                    </w:rPr>
                    <w:t>生活垃圾</w:t>
                  </w:r>
                </w:p>
              </w:tc>
              <w:tc>
                <w:tcPr>
                  <w:tcW w:w="1352" w:type="pct"/>
                  <w:vAlign w:val="center"/>
                </w:tcPr>
                <w:p>
                  <w:pPr>
                    <w:adjustRightInd w:val="0"/>
                    <w:snapToGrid w:val="0"/>
                    <w:jc w:val="center"/>
                    <w:rPr>
                      <w:szCs w:val="21"/>
                    </w:rPr>
                  </w:pPr>
                  <w:r>
                    <w:rPr>
                      <w:rFonts w:hint="eastAsia" w:hAnsi="宋体"/>
                      <w:bCs/>
                      <w:szCs w:val="21"/>
                    </w:rPr>
                    <w:t>若干垃圾桶</w:t>
                  </w:r>
                </w:p>
              </w:tc>
              <w:tc>
                <w:tcPr>
                  <w:tcW w:w="2007" w:type="pct"/>
                  <w:vAlign w:val="center"/>
                </w:tcPr>
                <w:p>
                  <w:pPr>
                    <w:adjustRightInd w:val="0"/>
                    <w:snapToGrid w:val="0"/>
                    <w:jc w:val="center"/>
                    <w:rPr>
                      <w:szCs w:val="21"/>
                    </w:rPr>
                  </w:pPr>
                  <w:r>
                    <w:rPr>
                      <w:rFonts w:hint="eastAsia"/>
                      <w:szCs w:val="21"/>
                    </w:rPr>
                    <w:t>环卫部门定期清运，对环境影响较小</w:t>
                  </w:r>
                </w:p>
              </w:tc>
              <w:tc>
                <w:tcPr>
                  <w:tcW w:w="560" w:type="pct"/>
                  <w:vMerge w:val="continue"/>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9" w:type="pct"/>
                  <w:vMerge w:val="restart"/>
                  <w:vAlign w:val="center"/>
                </w:tcPr>
                <w:p>
                  <w:pPr>
                    <w:adjustRightInd w:val="0"/>
                    <w:snapToGrid w:val="0"/>
                    <w:jc w:val="center"/>
                    <w:rPr>
                      <w:color w:val="000000"/>
                      <w:szCs w:val="21"/>
                    </w:rPr>
                  </w:pPr>
                  <w:r>
                    <w:rPr>
                      <w:color w:val="000000"/>
                      <w:szCs w:val="21"/>
                    </w:rPr>
                    <w:t>管理</w:t>
                  </w:r>
                </w:p>
              </w:tc>
              <w:tc>
                <w:tcPr>
                  <w:tcW w:w="4111" w:type="pct"/>
                  <w:gridSpan w:val="3"/>
                  <w:vAlign w:val="center"/>
                </w:tcPr>
                <w:p>
                  <w:pPr>
                    <w:adjustRightInd w:val="0"/>
                    <w:snapToGrid w:val="0"/>
                    <w:jc w:val="center"/>
                    <w:rPr>
                      <w:rFonts w:hAnsi="宋体"/>
                      <w:bCs/>
                      <w:color w:val="000000"/>
                      <w:szCs w:val="21"/>
                    </w:rPr>
                  </w:pPr>
                  <w:r>
                    <w:rPr>
                      <w:rFonts w:hint="eastAsia" w:hAnsi="宋体"/>
                      <w:bCs/>
                      <w:color w:val="000000"/>
                      <w:szCs w:val="21"/>
                    </w:rPr>
                    <w:t>总用电处、生产设施处和废气处理设施处安装用电量监控系统并与县监控平台联网</w:t>
                  </w:r>
                </w:p>
              </w:tc>
              <w:tc>
                <w:tcPr>
                  <w:tcW w:w="560" w:type="pct"/>
                  <w:vAlign w:val="center"/>
                </w:tcPr>
                <w:p>
                  <w:pPr>
                    <w:adjustRightInd w:val="0"/>
                    <w:snapToGrid w:val="0"/>
                    <w:jc w:val="center"/>
                    <w:rPr>
                      <w:szCs w:val="21"/>
                    </w:rPr>
                  </w:pPr>
                  <w:r>
                    <w:rPr>
                      <w:rFonts w:hint="eastAsia"/>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9" w:type="pct"/>
                  <w:vMerge w:val="continue"/>
                  <w:vAlign w:val="center"/>
                </w:tcPr>
                <w:p>
                  <w:pPr>
                    <w:adjustRightInd w:val="0"/>
                    <w:snapToGrid w:val="0"/>
                    <w:jc w:val="center"/>
                    <w:rPr>
                      <w:color w:val="000000"/>
                      <w:szCs w:val="21"/>
                    </w:rPr>
                  </w:pPr>
                </w:p>
              </w:tc>
              <w:tc>
                <w:tcPr>
                  <w:tcW w:w="4111" w:type="pct"/>
                  <w:gridSpan w:val="3"/>
                  <w:vAlign w:val="center"/>
                </w:tcPr>
                <w:p>
                  <w:pPr>
                    <w:adjustRightInd w:val="0"/>
                    <w:snapToGrid w:val="0"/>
                    <w:jc w:val="center"/>
                    <w:rPr>
                      <w:rFonts w:hAnsi="宋体"/>
                      <w:bCs/>
                      <w:color w:val="000000"/>
                      <w:szCs w:val="21"/>
                    </w:rPr>
                  </w:pPr>
                  <w:r>
                    <w:rPr>
                      <w:rFonts w:hint="eastAsia" w:hAnsi="宋体"/>
                      <w:bCs/>
                      <w:color w:val="000000"/>
                      <w:szCs w:val="21"/>
                    </w:rPr>
                    <w:t>在废气治理装置区、生产区安装视频监控</w:t>
                  </w:r>
                </w:p>
              </w:tc>
              <w:tc>
                <w:tcPr>
                  <w:tcW w:w="560" w:type="pct"/>
                  <w:vAlign w:val="center"/>
                </w:tcPr>
                <w:p>
                  <w:pPr>
                    <w:adjustRightInd w:val="0"/>
                    <w:snapToGrid w:val="0"/>
                    <w:jc w:val="center"/>
                    <w:rPr>
                      <w:szCs w:val="21"/>
                    </w:rPr>
                  </w:pPr>
                  <w:r>
                    <w:rPr>
                      <w:rFonts w:hint="eastAsia"/>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1" w:type="pct"/>
                  <w:gridSpan w:val="2"/>
                  <w:vAlign w:val="center"/>
                </w:tcPr>
                <w:p>
                  <w:pPr>
                    <w:adjustRightInd w:val="0"/>
                    <w:snapToGrid w:val="0"/>
                    <w:jc w:val="center"/>
                    <w:rPr>
                      <w:szCs w:val="21"/>
                    </w:rPr>
                  </w:pPr>
                  <w:r>
                    <w:rPr>
                      <w:rFonts w:hAnsi="宋体"/>
                      <w:szCs w:val="21"/>
                    </w:rPr>
                    <w:t>总计</w:t>
                  </w:r>
                </w:p>
              </w:tc>
              <w:tc>
                <w:tcPr>
                  <w:tcW w:w="1352" w:type="pct"/>
                  <w:vAlign w:val="center"/>
                </w:tcPr>
                <w:p>
                  <w:pPr>
                    <w:adjustRightInd w:val="0"/>
                    <w:snapToGrid w:val="0"/>
                    <w:jc w:val="center"/>
                    <w:rPr>
                      <w:szCs w:val="21"/>
                    </w:rPr>
                  </w:pPr>
                  <w:r>
                    <w:rPr>
                      <w:szCs w:val="21"/>
                    </w:rPr>
                    <w:t>/</w:t>
                  </w:r>
                </w:p>
              </w:tc>
              <w:tc>
                <w:tcPr>
                  <w:tcW w:w="2007" w:type="pct"/>
                  <w:vAlign w:val="center"/>
                </w:tcPr>
                <w:p>
                  <w:pPr>
                    <w:adjustRightInd w:val="0"/>
                    <w:snapToGrid w:val="0"/>
                    <w:jc w:val="center"/>
                    <w:rPr>
                      <w:szCs w:val="21"/>
                    </w:rPr>
                  </w:pPr>
                  <w:r>
                    <w:rPr>
                      <w:szCs w:val="21"/>
                    </w:rPr>
                    <w:t>/</w:t>
                  </w:r>
                </w:p>
              </w:tc>
              <w:tc>
                <w:tcPr>
                  <w:tcW w:w="560" w:type="pct"/>
                  <w:vAlign w:val="center"/>
                </w:tcPr>
                <w:p>
                  <w:pPr>
                    <w:adjustRightInd w:val="0"/>
                    <w:snapToGrid w:val="0"/>
                    <w:jc w:val="center"/>
                    <w:rPr>
                      <w:szCs w:val="21"/>
                    </w:rPr>
                  </w:pPr>
                  <w:r>
                    <w:rPr>
                      <w:rFonts w:hint="eastAsia"/>
                      <w:szCs w:val="21"/>
                    </w:rPr>
                    <w:t>12</w:t>
                  </w:r>
                </w:p>
              </w:tc>
            </w:tr>
          </w:tbl>
          <w:p>
            <w:pPr>
              <w:adjustRightInd w:val="0"/>
              <w:snapToGrid w:val="0"/>
              <w:spacing w:line="500" w:lineRule="exact"/>
              <w:rPr>
                <w:b/>
                <w:bCs/>
                <w:sz w:val="24"/>
              </w:rPr>
            </w:pPr>
            <w:r>
              <w:rPr>
                <w:rFonts w:hint="eastAsia"/>
                <w:b/>
                <w:bCs/>
                <w:sz w:val="24"/>
              </w:rPr>
              <w:t>9.</w:t>
            </w:r>
            <w:r>
              <w:rPr>
                <w:b/>
                <w:bCs/>
                <w:sz w:val="24"/>
              </w:rPr>
              <w:t xml:space="preserve"> 项目</w:t>
            </w:r>
            <w:r>
              <w:rPr>
                <w:rFonts w:hint="eastAsia"/>
                <w:b/>
                <w:bCs/>
                <w:sz w:val="24"/>
              </w:rPr>
              <w:t>扩</w:t>
            </w:r>
            <w:r>
              <w:rPr>
                <w:b/>
                <w:bCs/>
                <w:sz w:val="24"/>
              </w:rPr>
              <w:t>建前后污染物排放“三本账”</w:t>
            </w:r>
          </w:p>
          <w:p>
            <w:pPr>
              <w:adjustRightInd w:val="0"/>
              <w:snapToGrid w:val="0"/>
              <w:spacing w:line="500" w:lineRule="exact"/>
              <w:ind w:firstLine="480" w:firstLineChars="200"/>
              <w:textAlignment w:val="baseline"/>
              <w:outlineLvl w:val="3"/>
              <w:rPr>
                <w:rFonts w:hAnsi="宋体"/>
                <w:sz w:val="24"/>
              </w:rPr>
            </w:pPr>
            <w:r>
              <w:rPr>
                <w:rFonts w:hint="eastAsia" w:hAnsi="宋体"/>
                <w:sz w:val="24"/>
              </w:rPr>
              <w:t>项目扩建前后污染物排放“三本账”详见表55。</w:t>
            </w:r>
          </w:p>
          <w:p>
            <w:pPr>
              <w:autoSpaceDE w:val="0"/>
              <w:autoSpaceDN w:val="0"/>
              <w:adjustRightInd w:val="0"/>
              <w:snapToGrid w:val="0"/>
              <w:spacing w:line="400" w:lineRule="exact"/>
              <w:ind w:left="420" w:leftChars="200" w:firstLine="118" w:firstLineChars="49"/>
              <w:rPr>
                <w:rFonts w:hAnsi="宋体"/>
                <w:b/>
                <w:sz w:val="24"/>
              </w:rPr>
            </w:pPr>
            <w:r>
              <w:rPr>
                <w:rFonts w:hAnsi="宋体"/>
                <w:b/>
                <w:sz w:val="24"/>
              </w:rPr>
              <w:t>表</w:t>
            </w:r>
            <w:r>
              <w:rPr>
                <w:rFonts w:hint="eastAsia" w:hAnsi="宋体"/>
                <w:b/>
                <w:sz w:val="24"/>
              </w:rPr>
              <w:t>55</w:t>
            </w:r>
            <w:r>
              <w:rPr>
                <w:rFonts w:hAnsi="宋体"/>
                <w:b/>
                <w:sz w:val="24"/>
              </w:rPr>
              <w:t xml:space="preserve">           </w:t>
            </w:r>
            <w:r>
              <w:rPr>
                <w:rFonts w:hint="eastAsia" w:hAnsi="宋体"/>
                <w:b/>
                <w:sz w:val="24"/>
              </w:rPr>
              <w:t xml:space="preserve">     </w:t>
            </w:r>
            <w:r>
              <w:rPr>
                <w:rFonts w:hAnsi="宋体"/>
                <w:b/>
                <w:sz w:val="24"/>
              </w:rPr>
              <w:t xml:space="preserve">  </w:t>
            </w:r>
            <w:r>
              <w:rPr>
                <w:rFonts w:hint="eastAsia" w:hAnsi="宋体"/>
                <w:b/>
                <w:sz w:val="24"/>
              </w:rPr>
              <w:t xml:space="preserve"> </w:t>
            </w:r>
            <w:r>
              <w:rPr>
                <w:rFonts w:hAnsi="宋体"/>
                <w:b/>
                <w:sz w:val="24"/>
              </w:rPr>
              <w:t xml:space="preserve">    项目</w:t>
            </w:r>
            <w:r>
              <w:rPr>
                <w:rFonts w:hint="eastAsia" w:hAnsi="宋体"/>
                <w:b/>
                <w:sz w:val="24"/>
              </w:rPr>
              <w:t>扩建</w:t>
            </w:r>
            <w:r>
              <w:rPr>
                <w:rFonts w:hAnsi="宋体"/>
                <w:b/>
                <w:sz w:val="24"/>
              </w:rPr>
              <w:t>前、后污染物排放“三本帐”</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12"/>
              <w:gridCol w:w="426"/>
              <w:gridCol w:w="1299"/>
              <w:gridCol w:w="1127"/>
              <w:gridCol w:w="987"/>
              <w:gridCol w:w="847"/>
              <w:gridCol w:w="847"/>
              <w:gridCol w:w="794"/>
              <w:gridCol w:w="855"/>
              <w:gridCol w:w="9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1" w:type="pct"/>
                  <w:gridSpan w:val="3"/>
                  <w:vMerge w:val="restart"/>
                  <w:vAlign w:val="center"/>
                </w:tcPr>
                <w:p>
                  <w:pPr>
                    <w:snapToGrid w:val="0"/>
                    <w:jc w:val="center"/>
                    <w:textAlignment w:val="baseline"/>
                    <w:rPr>
                      <w:b/>
                      <w:kern w:val="0"/>
                      <w:szCs w:val="21"/>
                    </w:rPr>
                  </w:pPr>
                  <w:r>
                    <w:rPr>
                      <w:b/>
                      <w:kern w:val="0"/>
                      <w:szCs w:val="21"/>
                    </w:rPr>
                    <w:t>类别</w:t>
                  </w:r>
                </w:p>
              </w:tc>
              <w:tc>
                <w:tcPr>
                  <w:tcW w:w="696" w:type="pct"/>
                  <w:vMerge w:val="restart"/>
                  <w:vAlign w:val="center"/>
                </w:tcPr>
                <w:p>
                  <w:pPr>
                    <w:snapToGrid w:val="0"/>
                    <w:jc w:val="center"/>
                    <w:textAlignment w:val="baseline"/>
                    <w:rPr>
                      <w:b/>
                      <w:kern w:val="0"/>
                      <w:szCs w:val="21"/>
                    </w:rPr>
                  </w:pPr>
                  <w:r>
                    <w:rPr>
                      <w:b/>
                      <w:kern w:val="0"/>
                      <w:szCs w:val="21"/>
                    </w:rPr>
                    <w:t>污染物</w:t>
                  </w:r>
                </w:p>
              </w:tc>
              <w:tc>
                <w:tcPr>
                  <w:tcW w:w="604" w:type="pct"/>
                  <w:vAlign w:val="center"/>
                </w:tcPr>
                <w:p>
                  <w:pPr>
                    <w:snapToGrid w:val="0"/>
                    <w:jc w:val="center"/>
                    <w:textAlignment w:val="baseline"/>
                    <w:rPr>
                      <w:b/>
                      <w:kern w:val="0"/>
                      <w:szCs w:val="21"/>
                    </w:rPr>
                  </w:pPr>
                  <w:r>
                    <w:rPr>
                      <w:b/>
                      <w:kern w:val="0"/>
                      <w:szCs w:val="21"/>
                    </w:rPr>
                    <w:t>现有工程</w:t>
                  </w:r>
                </w:p>
              </w:tc>
              <w:tc>
                <w:tcPr>
                  <w:tcW w:w="1436" w:type="pct"/>
                  <w:gridSpan w:val="3"/>
                  <w:vAlign w:val="center"/>
                </w:tcPr>
                <w:p>
                  <w:pPr>
                    <w:snapToGrid w:val="0"/>
                    <w:jc w:val="center"/>
                    <w:textAlignment w:val="baseline"/>
                    <w:rPr>
                      <w:b/>
                      <w:kern w:val="0"/>
                      <w:szCs w:val="21"/>
                    </w:rPr>
                  </w:pPr>
                  <w:r>
                    <w:rPr>
                      <w:b/>
                      <w:kern w:val="0"/>
                      <w:szCs w:val="21"/>
                    </w:rPr>
                    <w:t>扩建项目</w:t>
                  </w:r>
                </w:p>
              </w:tc>
              <w:tc>
                <w:tcPr>
                  <w:tcW w:w="425" w:type="pct"/>
                  <w:vMerge w:val="restart"/>
                  <w:vAlign w:val="center"/>
                </w:tcPr>
                <w:p>
                  <w:pPr>
                    <w:snapToGrid w:val="0"/>
                    <w:jc w:val="center"/>
                    <w:textAlignment w:val="baseline"/>
                    <w:rPr>
                      <w:b/>
                      <w:kern w:val="0"/>
                      <w:szCs w:val="21"/>
                    </w:rPr>
                  </w:pPr>
                  <w:r>
                    <w:rPr>
                      <w:rFonts w:hint="eastAsia"/>
                      <w:b/>
                      <w:kern w:val="0"/>
                      <w:szCs w:val="21"/>
                    </w:rPr>
                    <w:t>以新代老量</w:t>
                  </w:r>
                  <w:r>
                    <w:rPr>
                      <w:b/>
                      <w:kern w:val="0"/>
                      <w:szCs w:val="21"/>
                    </w:rPr>
                    <w:t>(t/a)</w:t>
                  </w:r>
                </w:p>
              </w:tc>
              <w:tc>
                <w:tcPr>
                  <w:tcW w:w="458" w:type="pct"/>
                  <w:vMerge w:val="restart"/>
                  <w:vAlign w:val="center"/>
                </w:tcPr>
                <w:p>
                  <w:pPr>
                    <w:snapToGrid w:val="0"/>
                    <w:jc w:val="center"/>
                    <w:textAlignment w:val="baseline"/>
                    <w:rPr>
                      <w:b/>
                      <w:kern w:val="0"/>
                      <w:szCs w:val="21"/>
                    </w:rPr>
                  </w:pPr>
                  <w:r>
                    <w:rPr>
                      <w:b/>
                      <w:kern w:val="0"/>
                      <w:szCs w:val="21"/>
                    </w:rPr>
                    <w:t>总排放量(t/a)</w:t>
                  </w:r>
                </w:p>
              </w:tc>
              <w:tc>
                <w:tcPr>
                  <w:tcW w:w="489" w:type="pct"/>
                  <w:vMerge w:val="restart"/>
                  <w:vAlign w:val="center"/>
                </w:tcPr>
                <w:p>
                  <w:pPr>
                    <w:snapToGrid w:val="0"/>
                    <w:jc w:val="center"/>
                    <w:textAlignment w:val="baseline"/>
                    <w:rPr>
                      <w:b/>
                      <w:kern w:val="0"/>
                      <w:szCs w:val="21"/>
                    </w:rPr>
                  </w:pPr>
                  <w:r>
                    <w:rPr>
                      <w:b/>
                      <w:kern w:val="0"/>
                      <w:szCs w:val="21"/>
                    </w:rPr>
                    <w:t>排放增减量(t/a)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1" w:type="pct"/>
                  <w:gridSpan w:val="3"/>
                  <w:vMerge w:val="continue"/>
                  <w:vAlign w:val="center"/>
                </w:tcPr>
                <w:p>
                  <w:pPr>
                    <w:snapToGrid w:val="0"/>
                    <w:jc w:val="center"/>
                    <w:textAlignment w:val="baseline"/>
                    <w:rPr>
                      <w:b/>
                      <w:kern w:val="0"/>
                      <w:szCs w:val="21"/>
                    </w:rPr>
                  </w:pPr>
                </w:p>
              </w:tc>
              <w:tc>
                <w:tcPr>
                  <w:tcW w:w="696" w:type="pct"/>
                  <w:vMerge w:val="continue"/>
                  <w:vAlign w:val="center"/>
                </w:tcPr>
                <w:p>
                  <w:pPr>
                    <w:snapToGrid w:val="0"/>
                    <w:jc w:val="center"/>
                    <w:textAlignment w:val="baseline"/>
                    <w:rPr>
                      <w:b/>
                      <w:kern w:val="0"/>
                      <w:szCs w:val="21"/>
                    </w:rPr>
                  </w:pPr>
                </w:p>
              </w:tc>
              <w:tc>
                <w:tcPr>
                  <w:tcW w:w="604" w:type="pct"/>
                  <w:vAlign w:val="center"/>
                </w:tcPr>
                <w:p>
                  <w:pPr>
                    <w:snapToGrid w:val="0"/>
                    <w:jc w:val="center"/>
                    <w:textAlignment w:val="baseline"/>
                    <w:rPr>
                      <w:b/>
                      <w:kern w:val="0"/>
                      <w:szCs w:val="21"/>
                    </w:rPr>
                  </w:pPr>
                  <w:r>
                    <w:rPr>
                      <w:b/>
                      <w:kern w:val="0"/>
                      <w:szCs w:val="21"/>
                    </w:rPr>
                    <w:t>排放量(t/a)</w:t>
                  </w:r>
                </w:p>
              </w:tc>
              <w:tc>
                <w:tcPr>
                  <w:tcW w:w="529" w:type="pct"/>
                  <w:vAlign w:val="center"/>
                </w:tcPr>
                <w:p>
                  <w:pPr>
                    <w:snapToGrid w:val="0"/>
                    <w:jc w:val="center"/>
                    <w:textAlignment w:val="baseline"/>
                    <w:rPr>
                      <w:b/>
                      <w:kern w:val="0"/>
                      <w:szCs w:val="21"/>
                    </w:rPr>
                  </w:pPr>
                  <w:r>
                    <w:rPr>
                      <w:b/>
                      <w:kern w:val="0"/>
                      <w:szCs w:val="21"/>
                    </w:rPr>
                    <w:t>产生量(t/a)</w:t>
                  </w:r>
                </w:p>
              </w:tc>
              <w:tc>
                <w:tcPr>
                  <w:tcW w:w="454" w:type="pct"/>
                  <w:vAlign w:val="center"/>
                </w:tcPr>
                <w:p>
                  <w:pPr>
                    <w:snapToGrid w:val="0"/>
                    <w:jc w:val="center"/>
                    <w:textAlignment w:val="baseline"/>
                    <w:rPr>
                      <w:b/>
                      <w:kern w:val="0"/>
                      <w:szCs w:val="21"/>
                    </w:rPr>
                  </w:pPr>
                  <w:r>
                    <w:rPr>
                      <w:b/>
                      <w:kern w:val="0"/>
                      <w:szCs w:val="21"/>
                    </w:rPr>
                    <w:t>削减量(t/a)</w:t>
                  </w:r>
                </w:p>
              </w:tc>
              <w:tc>
                <w:tcPr>
                  <w:tcW w:w="454" w:type="pct"/>
                  <w:vAlign w:val="center"/>
                </w:tcPr>
                <w:p>
                  <w:pPr>
                    <w:snapToGrid w:val="0"/>
                    <w:jc w:val="center"/>
                    <w:textAlignment w:val="baseline"/>
                    <w:rPr>
                      <w:b/>
                      <w:kern w:val="0"/>
                      <w:szCs w:val="21"/>
                    </w:rPr>
                  </w:pPr>
                  <w:r>
                    <w:rPr>
                      <w:b/>
                      <w:kern w:val="0"/>
                      <w:szCs w:val="21"/>
                    </w:rPr>
                    <w:t>排放量(t/a)</w:t>
                  </w:r>
                </w:p>
              </w:tc>
              <w:tc>
                <w:tcPr>
                  <w:tcW w:w="425" w:type="pct"/>
                  <w:vMerge w:val="continue"/>
                  <w:vAlign w:val="center"/>
                </w:tcPr>
                <w:p>
                  <w:pPr>
                    <w:snapToGrid w:val="0"/>
                    <w:jc w:val="center"/>
                    <w:textAlignment w:val="baseline"/>
                    <w:rPr>
                      <w:b/>
                      <w:kern w:val="0"/>
                      <w:szCs w:val="21"/>
                    </w:rPr>
                  </w:pPr>
                </w:p>
              </w:tc>
              <w:tc>
                <w:tcPr>
                  <w:tcW w:w="458" w:type="pct"/>
                  <w:vMerge w:val="continue"/>
                  <w:vAlign w:val="center"/>
                </w:tcPr>
                <w:p>
                  <w:pPr>
                    <w:snapToGrid w:val="0"/>
                    <w:jc w:val="center"/>
                    <w:textAlignment w:val="baseline"/>
                    <w:rPr>
                      <w:b/>
                      <w:kern w:val="0"/>
                      <w:szCs w:val="21"/>
                    </w:rPr>
                  </w:pPr>
                </w:p>
              </w:tc>
              <w:tc>
                <w:tcPr>
                  <w:tcW w:w="489" w:type="pct"/>
                  <w:vMerge w:val="continue"/>
                  <w:vAlign w:val="center"/>
                </w:tcPr>
                <w:p>
                  <w:pPr>
                    <w:snapToGrid w:val="0"/>
                    <w:jc w:val="center"/>
                    <w:textAlignment w:val="baseline"/>
                    <w:rPr>
                      <w:b/>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91" w:type="pct"/>
                  <w:gridSpan w:val="3"/>
                  <w:vMerge w:val="restar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ascii="Times New Roman" w:hAnsi="Times New Roman" w:cs="Times New Roman"/>
                      <w:sz w:val="21"/>
                      <w:szCs w:val="21"/>
                    </w:rPr>
                    <w:t>废气</w:t>
                  </w:r>
                </w:p>
              </w:tc>
              <w:tc>
                <w:tcPr>
                  <w:tcW w:w="696" w:type="pct"/>
                  <w:vAlign w:val="center"/>
                </w:tcPr>
                <w:p>
                  <w:pPr>
                    <w:snapToGrid w:val="0"/>
                    <w:jc w:val="center"/>
                    <w:rPr>
                      <w:szCs w:val="21"/>
                    </w:rPr>
                  </w:pPr>
                  <w:r>
                    <w:rPr>
                      <w:rFonts w:hint="eastAsia"/>
                      <w:szCs w:val="21"/>
                    </w:rPr>
                    <w:t>颗粒物</w:t>
                  </w:r>
                </w:p>
              </w:tc>
              <w:tc>
                <w:tcPr>
                  <w:tcW w:w="604" w:type="pct"/>
                  <w:vAlign w:val="center"/>
                </w:tcPr>
                <w:p>
                  <w:pPr>
                    <w:snapToGrid w:val="0"/>
                    <w:jc w:val="center"/>
                    <w:rPr>
                      <w:szCs w:val="21"/>
                    </w:rPr>
                  </w:pPr>
                  <w:r>
                    <w:rPr>
                      <w:rFonts w:hint="eastAsia"/>
                      <w:szCs w:val="21"/>
                    </w:rPr>
                    <w:t>0.0019</w:t>
                  </w:r>
                </w:p>
              </w:tc>
              <w:tc>
                <w:tcPr>
                  <w:tcW w:w="529" w:type="pct"/>
                  <w:vAlign w:val="center"/>
                </w:tcPr>
                <w:p>
                  <w:pPr>
                    <w:snapToGrid w:val="0"/>
                    <w:jc w:val="center"/>
                    <w:rPr>
                      <w:szCs w:val="21"/>
                    </w:rPr>
                  </w:pPr>
                  <w:r>
                    <w:rPr>
                      <w:rFonts w:hint="eastAsia"/>
                      <w:szCs w:val="21"/>
                    </w:rPr>
                    <w:t>0.0460</w:t>
                  </w:r>
                </w:p>
              </w:tc>
              <w:tc>
                <w:tcPr>
                  <w:tcW w:w="454" w:type="pct"/>
                  <w:vAlign w:val="center"/>
                </w:tcPr>
                <w:p>
                  <w:pPr>
                    <w:snapToGrid w:val="0"/>
                    <w:jc w:val="center"/>
                    <w:rPr>
                      <w:szCs w:val="21"/>
                    </w:rPr>
                  </w:pPr>
                  <w:r>
                    <w:rPr>
                      <w:rFonts w:hint="eastAsia"/>
                      <w:szCs w:val="21"/>
                    </w:rPr>
                    <w:t>0.0404</w:t>
                  </w:r>
                </w:p>
              </w:tc>
              <w:tc>
                <w:tcPr>
                  <w:tcW w:w="454" w:type="pct"/>
                  <w:vAlign w:val="center"/>
                </w:tcPr>
                <w:p>
                  <w:pPr>
                    <w:snapToGrid w:val="0"/>
                    <w:jc w:val="center"/>
                    <w:rPr>
                      <w:szCs w:val="21"/>
                    </w:rPr>
                  </w:pPr>
                  <w:r>
                    <w:rPr>
                      <w:rFonts w:hint="eastAsia"/>
                      <w:szCs w:val="21"/>
                    </w:rPr>
                    <w:t>0.0056</w:t>
                  </w:r>
                </w:p>
              </w:tc>
              <w:tc>
                <w:tcPr>
                  <w:tcW w:w="425" w:type="pct"/>
                  <w:vAlign w:val="center"/>
                </w:tcPr>
                <w:p>
                  <w:pPr>
                    <w:snapToGrid w:val="0"/>
                    <w:jc w:val="center"/>
                    <w:rPr>
                      <w:szCs w:val="21"/>
                    </w:rPr>
                  </w:pPr>
                  <w:r>
                    <w:rPr>
                      <w:rFonts w:hint="eastAsia"/>
                      <w:szCs w:val="21"/>
                    </w:rPr>
                    <w:t>/</w:t>
                  </w:r>
                </w:p>
              </w:tc>
              <w:tc>
                <w:tcPr>
                  <w:tcW w:w="458" w:type="pct"/>
                  <w:vAlign w:val="center"/>
                </w:tcPr>
                <w:p>
                  <w:pPr>
                    <w:snapToGrid w:val="0"/>
                    <w:jc w:val="center"/>
                    <w:rPr>
                      <w:szCs w:val="21"/>
                    </w:rPr>
                  </w:pPr>
                  <w:r>
                    <w:rPr>
                      <w:rFonts w:hint="eastAsia"/>
                      <w:szCs w:val="21"/>
                    </w:rPr>
                    <w:t>0.0075</w:t>
                  </w:r>
                </w:p>
              </w:tc>
              <w:tc>
                <w:tcPr>
                  <w:tcW w:w="489" w:type="pct"/>
                  <w:vAlign w:val="center"/>
                </w:tcPr>
                <w:p>
                  <w:pPr>
                    <w:snapToGrid w:val="0"/>
                    <w:jc w:val="center"/>
                    <w:rPr>
                      <w:szCs w:val="21"/>
                    </w:rPr>
                  </w:pPr>
                  <w:r>
                    <w:rPr>
                      <w:rFonts w:hint="eastAsia"/>
                      <w:szCs w:val="21"/>
                    </w:rPr>
                    <w:t>+0.0056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91" w:type="pct"/>
                  <w:gridSpan w:val="3"/>
                  <w:vMerge w:val="continue"/>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p>
              </w:tc>
              <w:tc>
                <w:tcPr>
                  <w:tcW w:w="696" w:type="pct"/>
                  <w:vAlign w:val="center"/>
                </w:tcPr>
                <w:p>
                  <w:pPr>
                    <w:snapToGrid w:val="0"/>
                    <w:jc w:val="center"/>
                    <w:rPr>
                      <w:szCs w:val="21"/>
                    </w:rPr>
                  </w:pPr>
                  <w:r>
                    <w:rPr>
                      <w:rFonts w:hint="eastAsia"/>
                      <w:szCs w:val="21"/>
                    </w:rPr>
                    <w:t>非甲烷总烃</w:t>
                  </w:r>
                </w:p>
              </w:tc>
              <w:tc>
                <w:tcPr>
                  <w:tcW w:w="604" w:type="pct"/>
                  <w:vAlign w:val="center"/>
                </w:tcPr>
                <w:p>
                  <w:pPr>
                    <w:snapToGrid w:val="0"/>
                    <w:jc w:val="center"/>
                    <w:rPr>
                      <w:szCs w:val="21"/>
                    </w:rPr>
                  </w:pPr>
                  <w:r>
                    <w:rPr>
                      <w:rFonts w:hint="eastAsia"/>
                      <w:szCs w:val="21"/>
                    </w:rPr>
                    <w:t>0.06</w:t>
                  </w:r>
                </w:p>
              </w:tc>
              <w:tc>
                <w:tcPr>
                  <w:tcW w:w="529" w:type="pct"/>
                  <w:vAlign w:val="center"/>
                </w:tcPr>
                <w:p>
                  <w:pPr>
                    <w:snapToGrid w:val="0"/>
                    <w:jc w:val="center"/>
                    <w:rPr>
                      <w:szCs w:val="21"/>
                    </w:rPr>
                  </w:pPr>
                  <w:r>
                    <w:rPr>
                      <w:rFonts w:hint="eastAsia"/>
                      <w:szCs w:val="21"/>
                    </w:rPr>
                    <w:t>/</w:t>
                  </w:r>
                </w:p>
              </w:tc>
              <w:tc>
                <w:tcPr>
                  <w:tcW w:w="454" w:type="pct"/>
                  <w:vAlign w:val="center"/>
                </w:tcPr>
                <w:p>
                  <w:pPr>
                    <w:snapToGrid w:val="0"/>
                    <w:jc w:val="center"/>
                    <w:rPr>
                      <w:szCs w:val="21"/>
                    </w:rPr>
                  </w:pPr>
                  <w:r>
                    <w:rPr>
                      <w:rFonts w:hint="eastAsia"/>
                      <w:szCs w:val="21"/>
                    </w:rPr>
                    <w:t>/</w:t>
                  </w:r>
                </w:p>
              </w:tc>
              <w:tc>
                <w:tcPr>
                  <w:tcW w:w="454" w:type="pct"/>
                  <w:vAlign w:val="center"/>
                </w:tcPr>
                <w:p>
                  <w:pPr>
                    <w:snapToGrid w:val="0"/>
                    <w:jc w:val="center"/>
                    <w:rPr>
                      <w:szCs w:val="21"/>
                    </w:rPr>
                  </w:pPr>
                  <w:r>
                    <w:rPr>
                      <w:rFonts w:hint="eastAsia"/>
                      <w:szCs w:val="21"/>
                    </w:rPr>
                    <w:t>/</w:t>
                  </w:r>
                </w:p>
              </w:tc>
              <w:tc>
                <w:tcPr>
                  <w:tcW w:w="425" w:type="pct"/>
                  <w:vAlign w:val="center"/>
                </w:tcPr>
                <w:p>
                  <w:pPr>
                    <w:snapToGrid w:val="0"/>
                    <w:jc w:val="center"/>
                    <w:rPr>
                      <w:szCs w:val="21"/>
                    </w:rPr>
                  </w:pPr>
                  <w:r>
                    <w:rPr>
                      <w:rFonts w:hint="eastAsia"/>
                      <w:szCs w:val="21"/>
                    </w:rPr>
                    <w:t>0.0459</w:t>
                  </w:r>
                </w:p>
              </w:tc>
              <w:tc>
                <w:tcPr>
                  <w:tcW w:w="458" w:type="pct"/>
                  <w:vAlign w:val="center"/>
                </w:tcPr>
                <w:p>
                  <w:pPr>
                    <w:snapToGrid w:val="0"/>
                    <w:jc w:val="center"/>
                    <w:rPr>
                      <w:szCs w:val="21"/>
                    </w:rPr>
                  </w:pPr>
                  <w:r>
                    <w:rPr>
                      <w:rFonts w:hint="eastAsia"/>
                      <w:szCs w:val="21"/>
                    </w:rPr>
                    <w:t>0.0141</w:t>
                  </w:r>
                </w:p>
              </w:tc>
              <w:tc>
                <w:tcPr>
                  <w:tcW w:w="489" w:type="pct"/>
                  <w:vAlign w:val="center"/>
                </w:tcPr>
                <w:p>
                  <w:pPr>
                    <w:snapToGrid w:val="0"/>
                    <w:jc w:val="center"/>
                    <w:rPr>
                      <w:szCs w:val="21"/>
                    </w:rPr>
                  </w:pPr>
                  <w:r>
                    <w:rPr>
                      <w:rFonts w:hint="eastAsia"/>
                      <w:szCs w:val="21"/>
                    </w:rPr>
                    <w:t>-0.0459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Merge w:val="restart"/>
                  <w:vAlign w:val="center"/>
                </w:tcPr>
                <w:p>
                  <w:pPr>
                    <w:snapToGrid w:val="0"/>
                    <w:jc w:val="center"/>
                    <w:textAlignment w:val="baseline"/>
                    <w:rPr>
                      <w:kern w:val="0"/>
                      <w:szCs w:val="21"/>
                    </w:rPr>
                  </w:pPr>
                  <w:r>
                    <w:rPr>
                      <w:kern w:val="0"/>
                      <w:szCs w:val="21"/>
                    </w:rPr>
                    <w:t>废水</w:t>
                  </w:r>
                </w:p>
              </w:tc>
              <w:tc>
                <w:tcPr>
                  <w:tcW w:w="435" w:type="pct"/>
                  <w:vMerge w:val="restart"/>
                  <w:vAlign w:val="center"/>
                </w:tcPr>
                <w:p>
                  <w:pPr>
                    <w:snapToGrid w:val="0"/>
                    <w:jc w:val="center"/>
                    <w:textAlignment w:val="baseline"/>
                    <w:rPr>
                      <w:kern w:val="0"/>
                      <w:szCs w:val="21"/>
                    </w:rPr>
                  </w:pPr>
                  <w:r>
                    <w:rPr>
                      <w:kern w:val="0"/>
                      <w:szCs w:val="21"/>
                    </w:rPr>
                    <w:t>生活污水</w:t>
                  </w:r>
                </w:p>
              </w:tc>
              <w:tc>
                <w:tcPr>
                  <w:tcW w:w="228" w:type="pct"/>
                  <w:vMerge w:val="restart"/>
                  <w:vAlign w:val="center"/>
                </w:tcPr>
                <w:p>
                  <w:pPr>
                    <w:snapToGrid w:val="0"/>
                    <w:jc w:val="center"/>
                    <w:textAlignment w:val="baseline"/>
                    <w:rPr>
                      <w:kern w:val="0"/>
                      <w:szCs w:val="21"/>
                    </w:rPr>
                  </w:pPr>
                  <w:r>
                    <w:rPr>
                      <w:kern w:val="0"/>
                      <w:szCs w:val="21"/>
                    </w:rPr>
                    <w:t>生活污水</w:t>
                  </w:r>
                </w:p>
              </w:tc>
              <w:tc>
                <w:tcPr>
                  <w:tcW w:w="696" w:type="pct"/>
                  <w:vAlign w:val="center"/>
                </w:tcPr>
                <w:p>
                  <w:pPr>
                    <w:snapToGrid w:val="0"/>
                    <w:jc w:val="center"/>
                    <w:rPr>
                      <w:kern w:val="0"/>
                      <w:szCs w:val="21"/>
                    </w:rPr>
                  </w:pPr>
                  <w:r>
                    <w:rPr>
                      <w:kern w:val="0"/>
                      <w:szCs w:val="21"/>
                    </w:rPr>
                    <w:t>水量(m</w:t>
                  </w:r>
                  <w:r>
                    <w:rPr>
                      <w:kern w:val="0"/>
                      <w:szCs w:val="21"/>
                      <w:vertAlign w:val="superscript"/>
                    </w:rPr>
                    <w:t>3</w:t>
                  </w:r>
                  <w:r>
                    <w:rPr>
                      <w:kern w:val="0"/>
                      <w:szCs w:val="21"/>
                    </w:rPr>
                    <w:t>/a)</w:t>
                  </w:r>
                </w:p>
              </w:tc>
              <w:tc>
                <w:tcPr>
                  <w:tcW w:w="604" w:type="pct"/>
                  <w:vAlign w:val="center"/>
                </w:tcPr>
                <w:p>
                  <w:pPr>
                    <w:snapToGrid w:val="0"/>
                    <w:jc w:val="center"/>
                    <w:rPr>
                      <w:szCs w:val="21"/>
                    </w:rPr>
                  </w:pPr>
                  <w:r>
                    <w:rPr>
                      <w:szCs w:val="21"/>
                    </w:rPr>
                    <w:t>0</w:t>
                  </w:r>
                </w:p>
              </w:tc>
              <w:tc>
                <w:tcPr>
                  <w:tcW w:w="529" w:type="pct"/>
                  <w:vAlign w:val="center"/>
                </w:tcPr>
                <w:p>
                  <w:pPr>
                    <w:snapToGrid w:val="0"/>
                    <w:jc w:val="center"/>
                    <w:rPr>
                      <w:szCs w:val="21"/>
                    </w:rPr>
                  </w:pPr>
                  <w:r>
                    <w:rPr>
                      <w:rFonts w:hint="eastAsia"/>
                      <w:szCs w:val="21"/>
                    </w:rPr>
                    <w:t>72</w:t>
                  </w:r>
                </w:p>
              </w:tc>
              <w:tc>
                <w:tcPr>
                  <w:tcW w:w="454" w:type="pct"/>
                  <w:vAlign w:val="center"/>
                </w:tcPr>
                <w:p>
                  <w:pPr>
                    <w:snapToGrid w:val="0"/>
                    <w:jc w:val="center"/>
                    <w:rPr>
                      <w:szCs w:val="21"/>
                    </w:rPr>
                  </w:pPr>
                  <w:r>
                    <w:rPr>
                      <w:rFonts w:hint="eastAsia"/>
                      <w:szCs w:val="21"/>
                    </w:rPr>
                    <w:t>72</w:t>
                  </w:r>
                </w:p>
              </w:tc>
              <w:tc>
                <w:tcPr>
                  <w:tcW w:w="454" w:type="pct"/>
                  <w:vAlign w:val="center"/>
                </w:tcPr>
                <w:p>
                  <w:pPr>
                    <w:snapToGrid w:val="0"/>
                    <w:jc w:val="center"/>
                    <w:textAlignment w:val="baseline"/>
                    <w:rPr>
                      <w:kern w:val="0"/>
                      <w:szCs w:val="21"/>
                    </w:rPr>
                  </w:pPr>
                  <w:r>
                    <w:rPr>
                      <w:kern w:val="0"/>
                      <w:szCs w:val="21"/>
                    </w:rPr>
                    <w:t>0</w:t>
                  </w:r>
                </w:p>
              </w:tc>
              <w:tc>
                <w:tcPr>
                  <w:tcW w:w="425" w:type="pct"/>
                  <w:vAlign w:val="center"/>
                </w:tcPr>
                <w:p>
                  <w:pPr>
                    <w:snapToGrid w:val="0"/>
                    <w:jc w:val="center"/>
                    <w:textAlignment w:val="baseline"/>
                    <w:rPr>
                      <w:kern w:val="0"/>
                      <w:szCs w:val="21"/>
                    </w:rPr>
                  </w:pPr>
                  <w:r>
                    <w:rPr>
                      <w:rFonts w:hint="eastAsia"/>
                      <w:kern w:val="0"/>
                      <w:szCs w:val="21"/>
                    </w:rPr>
                    <w:t>/</w:t>
                  </w:r>
                </w:p>
              </w:tc>
              <w:tc>
                <w:tcPr>
                  <w:tcW w:w="458" w:type="pct"/>
                  <w:vAlign w:val="center"/>
                </w:tcPr>
                <w:p>
                  <w:pPr>
                    <w:snapToGrid w:val="0"/>
                    <w:jc w:val="center"/>
                    <w:textAlignment w:val="baseline"/>
                    <w:rPr>
                      <w:kern w:val="0"/>
                      <w:szCs w:val="21"/>
                    </w:rPr>
                  </w:pPr>
                  <w:r>
                    <w:rPr>
                      <w:kern w:val="0"/>
                      <w:szCs w:val="21"/>
                    </w:rPr>
                    <w:t>0</w:t>
                  </w:r>
                </w:p>
              </w:tc>
              <w:tc>
                <w:tcPr>
                  <w:tcW w:w="489" w:type="pct"/>
                  <w:vAlign w:val="center"/>
                </w:tcPr>
                <w:p>
                  <w:pPr>
                    <w:snapToGrid w:val="0"/>
                    <w:jc w:val="center"/>
                    <w:textAlignment w:val="baseline"/>
                    <w:rPr>
                      <w:kern w:val="0"/>
                      <w:szCs w:val="21"/>
                    </w:rPr>
                  </w:pPr>
                  <w:r>
                    <w:rPr>
                      <w:kern w:val="0"/>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8" w:type="pct"/>
                  <w:vMerge w:val="continue"/>
                  <w:vAlign w:val="center"/>
                </w:tcPr>
                <w:p>
                  <w:pPr>
                    <w:snapToGrid w:val="0"/>
                    <w:jc w:val="center"/>
                    <w:textAlignment w:val="baseline"/>
                    <w:rPr>
                      <w:kern w:val="0"/>
                      <w:szCs w:val="21"/>
                    </w:rPr>
                  </w:pPr>
                </w:p>
              </w:tc>
              <w:tc>
                <w:tcPr>
                  <w:tcW w:w="435" w:type="pct"/>
                  <w:vMerge w:val="continue"/>
                  <w:vAlign w:val="center"/>
                </w:tcPr>
                <w:p>
                  <w:pPr>
                    <w:snapToGrid w:val="0"/>
                    <w:jc w:val="center"/>
                    <w:textAlignment w:val="baseline"/>
                    <w:rPr>
                      <w:kern w:val="0"/>
                      <w:szCs w:val="21"/>
                    </w:rPr>
                  </w:pPr>
                </w:p>
              </w:tc>
              <w:tc>
                <w:tcPr>
                  <w:tcW w:w="228" w:type="pct"/>
                  <w:vMerge w:val="continue"/>
                  <w:vAlign w:val="center"/>
                </w:tcPr>
                <w:p>
                  <w:pPr>
                    <w:snapToGrid w:val="0"/>
                    <w:jc w:val="center"/>
                    <w:textAlignment w:val="baseline"/>
                    <w:rPr>
                      <w:kern w:val="0"/>
                      <w:szCs w:val="21"/>
                    </w:rPr>
                  </w:pPr>
                </w:p>
              </w:tc>
              <w:tc>
                <w:tcPr>
                  <w:tcW w:w="696" w:type="pct"/>
                  <w:vAlign w:val="center"/>
                </w:tcPr>
                <w:p>
                  <w:pPr>
                    <w:snapToGrid w:val="0"/>
                    <w:jc w:val="center"/>
                    <w:rPr>
                      <w:kern w:val="0"/>
                      <w:szCs w:val="21"/>
                    </w:rPr>
                  </w:pPr>
                  <w:r>
                    <w:rPr>
                      <w:kern w:val="0"/>
                      <w:szCs w:val="21"/>
                    </w:rPr>
                    <w:t>COD</w:t>
                  </w:r>
                </w:p>
              </w:tc>
              <w:tc>
                <w:tcPr>
                  <w:tcW w:w="604" w:type="pct"/>
                  <w:vAlign w:val="center"/>
                </w:tcPr>
                <w:p>
                  <w:pPr>
                    <w:snapToGrid w:val="0"/>
                    <w:jc w:val="center"/>
                    <w:rPr>
                      <w:szCs w:val="21"/>
                    </w:rPr>
                  </w:pPr>
                  <w:r>
                    <w:rPr>
                      <w:szCs w:val="21"/>
                    </w:rPr>
                    <w:t>0</w:t>
                  </w:r>
                </w:p>
              </w:tc>
              <w:tc>
                <w:tcPr>
                  <w:tcW w:w="529" w:type="pct"/>
                  <w:vAlign w:val="center"/>
                </w:tcPr>
                <w:p>
                  <w:pPr>
                    <w:snapToGrid w:val="0"/>
                    <w:jc w:val="center"/>
                    <w:rPr>
                      <w:szCs w:val="21"/>
                    </w:rPr>
                  </w:pPr>
                  <w:r>
                    <w:rPr>
                      <w:rFonts w:hint="eastAsia"/>
                      <w:szCs w:val="21"/>
                    </w:rPr>
                    <w:t>0.018</w:t>
                  </w:r>
                </w:p>
              </w:tc>
              <w:tc>
                <w:tcPr>
                  <w:tcW w:w="454" w:type="pct"/>
                  <w:vAlign w:val="center"/>
                </w:tcPr>
                <w:p>
                  <w:pPr>
                    <w:snapToGrid w:val="0"/>
                    <w:jc w:val="center"/>
                    <w:rPr>
                      <w:szCs w:val="21"/>
                    </w:rPr>
                  </w:pPr>
                  <w:r>
                    <w:rPr>
                      <w:szCs w:val="21"/>
                    </w:rPr>
                    <w:t>0.0</w:t>
                  </w:r>
                  <w:r>
                    <w:rPr>
                      <w:rFonts w:hint="eastAsia"/>
                      <w:szCs w:val="21"/>
                    </w:rPr>
                    <w:t>18</w:t>
                  </w:r>
                </w:p>
              </w:tc>
              <w:tc>
                <w:tcPr>
                  <w:tcW w:w="454" w:type="pct"/>
                  <w:vAlign w:val="center"/>
                </w:tcPr>
                <w:p>
                  <w:pPr>
                    <w:snapToGrid w:val="0"/>
                    <w:jc w:val="center"/>
                    <w:rPr>
                      <w:color w:val="000000"/>
                      <w:szCs w:val="21"/>
                    </w:rPr>
                  </w:pPr>
                  <w:r>
                    <w:rPr>
                      <w:color w:val="000000"/>
                      <w:szCs w:val="21"/>
                    </w:rPr>
                    <w:t>0</w:t>
                  </w:r>
                </w:p>
              </w:tc>
              <w:tc>
                <w:tcPr>
                  <w:tcW w:w="425" w:type="pct"/>
                  <w:vAlign w:val="center"/>
                </w:tcPr>
                <w:p>
                  <w:pPr>
                    <w:snapToGrid w:val="0"/>
                    <w:jc w:val="center"/>
                    <w:rPr>
                      <w:color w:val="000000"/>
                      <w:szCs w:val="21"/>
                    </w:rPr>
                  </w:pPr>
                  <w:r>
                    <w:rPr>
                      <w:rFonts w:hint="eastAsia"/>
                      <w:color w:val="000000"/>
                      <w:szCs w:val="21"/>
                    </w:rPr>
                    <w:t>/</w:t>
                  </w:r>
                </w:p>
              </w:tc>
              <w:tc>
                <w:tcPr>
                  <w:tcW w:w="458" w:type="pct"/>
                  <w:vAlign w:val="center"/>
                </w:tcPr>
                <w:p>
                  <w:pPr>
                    <w:snapToGrid w:val="0"/>
                    <w:jc w:val="center"/>
                    <w:rPr>
                      <w:color w:val="000000"/>
                      <w:szCs w:val="21"/>
                    </w:rPr>
                  </w:pPr>
                  <w:r>
                    <w:rPr>
                      <w:color w:val="000000"/>
                      <w:szCs w:val="21"/>
                    </w:rPr>
                    <w:t>0</w:t>
                  </w:r>
                </w:p>
              </w:tc>
              <w:tc>
                <w:tcPr>
                  <w:tcW w:w="489" w:type="pct"/>
                  <w:vAlign w:val="center"/>
                </w:tcPr>
                <w:p>
                  <w:pPr>
                    <w:snapToGrid w:val="0"/>
                    <w:jc w:val="center"/>
                    <w:rPr>
                      <w:color w:val="000000"/>
                      <w:szCs w:val="21"/>
                    </w:rPr>
                  </w:pPr>
                  <w:r>
                    <w:rPr>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Merge w:val="continue"/>
                  <w:vAlign w:val="center"/>
                </w:tcPr>
                <w:p>
                  <w:pPr>
                    <w:snapToGrid w:val="0"/>
                    <w:jc w:val="center"/>
                    <w:textAlignment w:val="baseline"/>
                    <w:rPr>
                      <w:kern w:val="0"/>
                      <w:szCs w:val="21"/>
                    </w:rPr>
                  </w:pPr>
                </w:p>
              </w:tc>
              <w:tc>
                <w:tcPr>
                  <w:tcW w:w="435" w:type="pct"/>
                  <w:vMerge w:val="continue"/>
                  <w:vAlign w:val="center"/>
                </w:tcPr>
                <w:p>
                  <w:pPr>
                    <w:snapToGrid w:val="0"/>
                    <w:jc w:val="center"/>
                    <w:textAlignment w:val="baseline"/>
                    <w:rPr>
                      <w:kern w:val="0"/>
                      <w:szCs w:val="21"/>
                    </w:rPr>
                  </w:pPr>
                </w:p>
              </w:tc>
              <w:tc>
                <w:tcPr>
                  <w:tcW w:w="228" w:type="pct"/>
                  <w:vMerge w:val="continue"/>
                  <w:vAlign w:val="center"/>
                </w:tcPr>
                <w:p>
                  <w:pPr>
                    <w:snapToGrid w:val="0"/>
                    <w:jc w:val="center"/>
                    <w:textAlignment w:val="baseline"/>
                    <w:rPr>
                      <w:kern w:val="0"/>
                      <w:szCs w:val="21"/>
                    </w:rPr>
                  </w:pPr>
                </w:p>
              </w:tc>
              <w:tc>
                <w:tcPr>
                  <w:tcW w:w="696" w:type="pct"/>
                  <w:vAlign w:val="center"/>
                </w:tcPr>
                <w:p>
                  <w:pPr>
                    <w:snapToGrid w:val="0"/>
                    <w:jc w:val="center"/>
                    <w:rPr>
                      <w:kern w:val="0"/>
                      <w:szCs w:val="21"/>
                    </w:rPr>
                  </w:pPr>
                  <w:r>
                    <w:rPr>
                      <w:rFonts w:hint="eastAsia"/>
                      <w:kern w:val="0"/>
                      <w:szCs w:val="21"/>
                    </w:rPr>
                    <w:t>SS</w:t>
                  </w:r>
                </w:p>
              </w:tc>
              <w:tc>
                <w:tcPr>
                  <w:tcW w:w="604" w:type="pct"/>
                  <w:vAlign w:val="center"/>
                </w:tcPr>
                <w:p>
                  <w:pPr>
                    <w:snapToGrid w:val="0"/>
                    <w:jc w:val="center"/>
                    <w:rPr>
                      <w:szCs w:val="21"/>
                    </w:rPr>
                  </w:pPr>
                  <w:r>
                    <w:rPr>
                      <w:szCs w:val="21"/>
                    </w:rPr>
                    <w:t>0</w:t>
                  </w:r>
                </w:p>
              </w:tc>
              <w:tc>
                <w:tcPr>
                  <w:tcW w:w="529" w:type="pct"/>
                  <w:vAlign w:val="center"/>
                </w:tcPr>
                <w:p>
                  <w:pPr>
                    <w:snapToGrid w:val="0"/>
                    <w:jc w:val="center"/>
                    <w:rPr>
                      <w:szCs w:val="21"/>
                    </w:rPr>
                  </w:pPr>
                  <w:r>
                    <w:rPr>
                      <w:rFonts w:hint="eastAsia"/>
                      <w:szCs w:val="21"/>
                    </w:rPr>
                    <w:t>0.016</w:t>
                  </w:r>
                </w:p>
              </w:tc>
              <w:tc>
                <w:tcPr>
                  <w:tcW w:w="454" w:type="pct"/>
                  <w:vAlign w:val="center"/>
                </w:tcPr>
                <w:p>
                  <w:pPr>
                    <w:snapToGrid w:val="0"/>
                    <w:jc w:val="center"/>
                    <w:rPr>
                      <w:szCs w:val="21"/>
                    </w:rPr>
                  </w:pPr>
                  <w:r>
                    <w:rPr>
                      <w:rFonts w:hint="eastAsia"/>
                      <w:szCs w:val="21"/>
                    </w:rPr>
                    <w:t>0.016</w:t>
                  </w:r>
                </w:p>
              </w:tc>
              <w:tc>
                <w:tcPr>
                  <w:tcW w:w="454" w:type="pct"/>
                  <w:vAlign w:val="center"/>
                </w:tcPr>
                <w:p>
                  <w:pPr>
                    <w:snapToGrid w:val="0"/>
                    <w:jc w:val="center"/>
                    <w:rPr>
                      <w:color w:val="000000"/>
                      <w:szCs w:val="21"/>
                    </w:rPr>
                  </w:pPr>
                  <w:r>
                    <w:rPr>
                      <w:color w:val="000000"/>
                      <w:szCs w:val="21"/>
                    </w:rPr>
                    <w:t>0</w:t>
                  </w:r>
                </w:p>
              </w:tc>
              <w:tc>
                <w:tcPr>
                  <w:tcW w:w="425" w:type="pct"/>
                  <w:vAlign w:val="center"/>
                </w:tcPr>
                <w:p>
                  <w:pPr>
                    <w:snapToGrid w:val="0"/>
                    <w:jc w:val="center"/>
                    <w:rPr>
                      <w:color w:val="000000"/>
                      <w:szCs w:val="21"/>
                    </w:rPr>
                  </w:pPr>
                  <w:r>
                    <w:rPr>
                      <w:rFonts w:hint="eastAsia"/>
                      <w:color w:val="000000"/>
                      <w:szCs w:val="21"/>
                    </w:rPr>
                    <w:t>/</w:t>
                  </w:r>
                </w:p>
              </w:tc>
              <w:tc>
                <w:tcPr>
                  <w:tcW w:w="458" w:type="pct"/>
                  <w:vAlign w:val="center"/>
                </w:tcPr>
                <w:p>
                  <w:pPr>
                    <w:snapToGrid w:val="0"/>
                    <w:jc w:val="center"/>
                    <w:rPr>
                      <w:color w:val="000000"/>
                      <w:szCs w:val="21"/>
                    </w:rPr>
                  </w:pPr>
                  <w:r>
                    <w:rPr>
                      <w:color w:val="000000"/>
                      <w:szCs w:val="21"/>
                    </w:rPr>
                    <w:t>0</w:t>
                  </w:r>
                </w:p>
              </w:tc>
              <w:tc>
                <w:tcPr>
                  <w:tcW w:w="489" w:type="pct"/>
                  <w:vAlign w:val="center"/>
                </w:tcPr>
                <w:p>
                  <w:pPr>
                    <w:snapToGrid w:val="0"/>
                    <w:jc w:val="center"/>
                    <w:rPr>
                      <w:color w:val="000000"/>
                      <w:szCs w:val="21"/>
                    </w:rPr>
                  </w:pPr>
                  <w:r>
                    <w:rPr>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Merge w:val="continue"/>
                  <w:vAlign w:val="center"/>
                </w:tcPr>
                <w:p>
                  <w:pPr>
                    <w:snapToGrid w:val="0"/>
                    <w:jc w:val="center"/>
                    <w:textAlignment w:val="baseline"/>
                    <w:rPr>
                      <w:kern w:val="0"/>
                      <w:szCs w:val="21"/>
                    </w:rPr>
                  </w:pPr>
                </w:p>
              </w:tc>
              <w:tc>
                <w:tcPr>
                  <w:tcW w:w="435" w:type="pct"/>
                  <w:vMerge w:val="continue"/>
                  <w:vAlign w:val="center"/>
                </w:tcPr>
                <w:p>
                  <w:pPr>
                    <w:snapToGrid w:val="0"/>
                    <w:jc w:val="center"/>
                    <w:textAlignment w:val="baseline"/>
                    <w:rPr>
                      <w:kern w:val="0"/>
                      <w:szCs w:val="21"/>
                    </w:rPr>
                  </w:pPr>
                </w:p>
              </w:tc>
              <w:tc>
                <w:tcPr>
                  <w:tcW w:w="228" w:type="pct"/>
                  <w:vMerge w:val="continue"/>
                  <w:vAlign w:val="center"/>
                </w:tcPr>
                <w:p>
                  <w:pPr>
                    <w:snapToGrid w:val="0"/>
                    <w:jc w:val="center"/>
                    <w:textAlignment w:val="baseline"/>
                    <w:rPr>
                      <w:kern w:val="0"/>
                      <w:szCs w:val="21"/>
                    </w:rPr>
                  </w:pPr>
                </w:p>
              </w:tc>
              <w:tc>
                <w:tcPr>
                  <w:tcW w:w="696" w:type="pct"/>
                  <w:vAlign w:val="center"/>
                </w:tcPr>
                <w:p>
                  <w:pPr>
                    <w:snapToGrid w:val="0"/>
                    <w:jc w:val="center"/>
                    <w:rPr>
                      <w:kern w:val="0"/>
                      <w:szCs w:val="21"/>
                    </w:rPr>
                  </w:pPr>
                  <w:r>
                    <w:rPr>
                      <w:kern w:val="0"/>
                      <w:szCs w:val="21"/>
                    </w:rPr>
                    <w:t>NH</w:t>
                  </w:r>
                  <w:r>
                    <w:rPr>
                      <w:kern w:val="0"/>
                      <w:szCs w:val="21"/>
                      <w:vertAlign w:val="subscript"/>
                    </w:rPr>
                    <w:t>3</w:t>
                  </w:r>
                  <w:r>
                    <w:rPr>
                      <w:kern w:val="0"/>
                      <w:szCs w:val="21"/>
                    </w:rPr>
                    <w:t>-N</w:t>
                  </w:r>
                </w:p>
              </w:tc>
              <w:tc>
                <w:tcPr>
                  <w:tcW w:w="604" w:type="pct"/>
                  <w:vAlign w:val="center"/>
                </w:tcPr>
                <w:p>
                  <w:pPr>
                    <w:snapToGrid w:val="0"/>
                    <w:jc w:val="center"/>
                    <w:rPr>
                      <w:szCs w:val="21"/>
                    </w:rPr>
                  </w:pPr>
                  <w:r>
                    <w:rPr>
                      <w:szCs w:val="21"/>
                    </w:rPr>
                    <w:t>0</w:t>
                  </w:r>
                </w:p>
              </w:tc>
              <w:tc>
                <w:tcPr>
                  <w:tcW w:w="529" w:type="pct"/>
                  <w:vAlign w:val="center"/>
                </w:tcPr>
                <w:p>
                  <w:pPr>
                    <w:snapToGrid w:val="0"/>
                    <w:jc w:val="center"/>
                    <w:rPr>
                      <w:szCs w:val="21"/>
                    </w:rPr>
                  </w:pPr>
                  <w:r>
                    <w:rPr>
                      <w:rFonts w:hint="eastAsia"/>
                      <w:szCs w:val="21"/>
                    </w:rPr>
                    <w:t>0.002</w:t>
                  </w:r>
                </w:p>
              </w:tc>
              <w:tc>
                <w:tcPr>
                  <w:tcW w:w="454" w:type="pct"/>
                  <w:vAlign w:val="center"/>
                </w:tcPr>
                <w:p>
                  <w:pPr>
                    <w:snapToGrid w:val="0"/>
                    <w:jc w:val="center"/>
                    <w:rPr>
                      <w:szCs w:val="21"/>
                    </w:rPr>
                  </w:pPr>
                  <w:r>
                    <w:rPr>
                      <w:rFonts w:hint="eastAsia"/>
                      <w:szCs w:val="21"/>
                    </w:rPr>
                    <w:t>0.002</w:t>
                  </w:r>
                </w:p>
              </w:tc>
              <w:tc>
                <w:tcPr>
                  <w:tcW w:w="454" w:type="pct"/>
                  <w:vAlign w:val="center"/>
                </w:tcPr>
                <w:p>
                  <w:pPr>
                    <w:snapToGrid w:val="0"/>
                    <w:jc w:val="center"/>
                    <w:rPr>
                      <w:color w:val="000000"/>
                      <w:szCs w:val="21"/>
                    </w:rPr>
                  </w:pPr>
                  <w:r>
                    <w:rPr>
                      <w:color w:val="000000"/>
                      <w:szCs w:val="21"/>
                    </w:rPr>
                    <w:t>0</w:t>
                  </w:r>
                </w:p>
              </w:tc>
              <w:tc>
                <w:tcPr>
                  <w:tcW w:w="425" w:type="pct"/>
                  <w:vAlign w:val="center"/>
                </w:tcPr>
                <w:p>
                  <w:pPr>
                    <w:snapToGrid w:val="0"/>
                    <w:jc w:val="center"/>
                    <w:rPr>
                      <w:color w:val="000000"/>
                      <w:szCs w:val="21"/>
                    </w:rPr>
                  </w:pPr>
                  <w:r>
                    <w:rPr>
                      <w:rFonts w:hint="eastAsia"/>
                      <w:color w:val="000000"/>
                      <w:szCs w:val="21"/>
                    </w:rPr>
                    <w:t>/</w:t>
                  </w:r>
                </w:p>
              </w:tc>
              <w:tc>
                <w:tcPr>
                  <w:tcW w:w="458" w:type="pct"/>
                  <w:vAlign w:val="center"/>
                </w:tcPr>
                <w:p>
                  <w:pPr>
                    <w:snapToGrid w:val="0"/>
                    <w:jc w:val="center"/>
                    <w:rPr>
                      <w:color w:val="000000"/>
                      <w:szCs w:val="21"/>
                    </w:rPr>
                  </w:pPr>
                  <w:r>
                    <w:rPr>
                      <w:color w:val="000000"/>
                      <w:szCs w:val="21"/>
                    </w:rPr>
                    <w:t>0</w:t>
                  </w:r>
                </w:p>
              </w:tc>
              <w:tc>
                <w:tcPr>
                  <w:tcW w:w="489" w:type="pct"/>
                  <w:vAlign w:val="center"/>
                </w:tcPr>
                <w:p>
                  <w:pPr>
                    <w:snapToGrid w:val="0"/>
                    <w:jc w:val="center"/>
                    <w:rPr>
                      <w:color w:val="000000"/>
                      <w:szCs w:val="21"/>
                    </w:rPr>
                  </w:pPr>
                  <w:r>
                    <w:rPr>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Merge w:val="continue"/>
                  <w:vAlign w:val="center"/>
                </w:tcPr>
                <w:p>
                  <w:pPr>
                    <w:snapToGrid w:val="0"/>
                    <w:jc w:val="center"/>
                    <w:textAlignment w:val="baseline"/>
                    <w:rPr>
                      <w:kern w:val="0"/>
                      <w:szCs w:val="21"/>
                    </w:rPr>
                  </w:pPr>
                </w:p>
              </w:tc>
              <w:tc>
                <w:tcPr>
                  <w:tcW w:w="435" w:type="pct"/>
                  <w:vMerge w:val="continue"/>
                  <w:vAlign w:val="center"/>
                </w:tcPr>
                <w:p>
                  <w:pPr>
                    <w:snapToGrid w:val="0"/>
                    <w:jc w:val="center"/>
                    <w:textAlignment w:val="baseline"/>
                    <w:rPr>
                      <w:kern w:val="0"/>
                      <w:szCs w:val="21"/>
                    </w:rPr>
                  </w:pPr>
                </w:p>
              </w:tc>
              <w:tc>
                <w:tcPr>
                  <w:tcW w:w="228" w:type="pct"/>
                  <w:vMerge w:val="continue"/>
                  <w:vAlign w:val="center"/>
                </w:tcPr>
                <w:p>
                  <w:pPr>
                    <w:snapToGrid w:val="0"/>
                    <w:jc w:val="center"/>
                    <w:textAlignment w:val="baseline"/>
                    <w:rPr>
                      <w:kern w:val="0"/>
                      <w:szCs w:val="21"/>
                    </w:rPr>
                  </w:pPr>
                </w:p>
              </w:tc>
              <w:tc>
                <w:tcPr>
                  <w:tcW w:w="696" w:type="pct"/>
                  <w:vAlign w:val="center"/>
                </w:tcPr>
                <w:p>
                  <w:pPr>
                    <w:snapToGrid w:val="0"/>
                    <w:jc w:val="center"/>
                    <w:rPr>
                      <w:kern w:val="0"/>
                      <w:szCs w:val="21"/>
                    </w:rPr>
                  </w:pPr>
                  <w:r>
                    <w:rPr>
                      <w:rFonts w:hint="eastAsia"/>
                      <w:kern w:val="0"/>
                      <w:szCs w:val="21"/>
                    </w:rPr>
                    <w:t>TP</w:t>
                  </w:r>
                </w:p>
              </w:tc>
              <w:tc>
                <w:tcPr>
                  <w:tcW w:w="604" w:type="pct"/>
                  <w:vAlign w:val="center"/>
                </w:tcPr>
                <w:p>
                  <w:pPr>
                    <w:snapToGrid w:val="0"/>
                    <w:jc w:val="center"/>
                    <w:rPr>
                      <w:szCs w:val="21"/>
                    </w:rPr>
                  </w:pPr>
                  <w:r>
                    <w:rPr>
                      <w:szCs w:val="21"/>
                    </w:rPr>
                    <w:t>0</w:t>
                  </w:r>
                </w:p>
              </w:tc>
              <w:tc>
                <w:tcPr>
                  <w:tcW w:w="529" w:type="pct"/>
                  <w:vAlign w:val="center"/>
                </w:tcPr>
                <w:p>
                  <w:pPr>
                    <w:snapToGrid w:val="0"/>
                    <w:jc w:val="center"/>
                    <w:rPr>
                      <w:szCs w:val="21"/>
                    </w:rPr>
                  </w:pPr>
                  <w:r>
                    <w:rPr>
                      <w:rFonts w:hint="eastAsia"/>
                      <w:szCs w:val="21"/>
                    </w:rPr>
                    <w:t>0.0001</w:t>
                  </w:r>
                </w:p>
              </w:tc>
              <w:tc>
                <w:tcPr>
                  <w:tcW w:w="454" w:type="pct"/>
                  <w:vAlign w:val="center"/>
                </w:tcPr>
                <w:p>
                  <w:pPr>
                    <w:snapToGrid w:val="0"/>
                    <w:jc w:val="center"/>
                    <w:rPr>
                      <w:szCs w:val="21"/>
                    </w:rPr>
                  </w:pPr>
                  <w:r>
                    <w:rPr>
                      <w:rFonts w:hint="eastAsia"/>
                      <w:szCs w:val="21"/>
                    </w:rPr>
                    <w:t>0.0001</w:t>
                  </w:r>
                </w:p>
              </w:tc>
              <w:tc>
                <w:tcPr>
                  <w:tcW w:w="454" w:type="pct"/>
                  <w:vAlign w:val="center"/>
                </w:tcPr>
                <w:p>
                  <w:pPr>
                    <w:snapToGrid w:val="0"/>
                    <w:jc w:val="center"/>
                    <w:rPr>
                      <w:color w:val="000000"/>
                      <w:szCs w:val="21"/>
                    </w:rPr>
                  </w:pPr>
                  <w:r>
                    <w:rPr>
                      <w:color w:val="000000"/>
                      <w:szCs w:val="21"/>
                    </w:rPr>
                    <w:t>0</w:t>
                  </w:r>
                </w:p>
              </w:tc>
              <w:tc>
                <w:tcPr>
                  <w:tcW w:w="425" w:type="pct"/>
                  <w:vAlign w:val="center"/>
                </w:tcPr>
                <w:p>
                  <w:pPr>
                    <w:snapToGrid w:val="0"/>
                    <w:jc w:val="center"/>
                    <w:rPr>
                      <w:color w:val="000000"/>
                      <w:szCs w:val="21"/>
                    </w:rPr>
                  </w:pPr>
                  <w:r>
                    <w:rPr>
                      <w:rFonts w:hint="eastAsia"/>
                      <w:color w:val="000000"/>
                      <w:szCs w:val="21"/>
                    </w:rPr>
                    <w:t>/</w:t>
                  </w:r>
                </w:p>
              </w:tc>
              <w:tc>
                <w:tcPr>
                  <w:tcW w:w="458" w:type="pct"/>
                  <w:vAlign w:val="center"/>
                </w:tcPr>
                <w:p>
                  <w:pPr>
                    <w:snapToGrid w:val="0"/>
                    <w:jc w:val="center"/>
                    <w:rPr>
                      <w:color w:val="000000"/>
                      <w:szCs w:val="21"/>
                    </w:rPr>
                  </w:pPr>
                  <w:r>
                    <w:rPr>
                      <w:color w:val="000000"/>
                      <w:szCs w:val="21"/>
                    </w:rPr>
                    <w:t>0</w:t>
                  </w:r>
                </w:p>
              </w:tc>
              <w:tc>
                <w:tcPr>
                  <w:tcW w:w="489" w:type="pct"/>
                  <w:vAlign w:val="center"/>
                </w:tcPr>
                <w:p>
                  <w:pPr>
                    <w:snapToGrid w:val="0"/>
                    <w:jc w:val="center"/>
                    <w:rPr>
                      <w:color w:val="000000"/>
                      <w:szCs w:val="21"/>
                    </w:rPr>
                  </w:pPr>
                  <w:r>
                    <w:rPr>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Merge w:val="restart"/>
                  <w:vAlign w:val="center"/>
                </w:tcPr>
                <w:p>
                  <w:pPr>
                    <w:snapToGrid w:val="0"/>
                    <w:jc w:val="center"/>
                    <w:textAlignment w:val="baseline"/>
                    <w:rPr>
                      <w:kern w:val="0"/>
                      <w:szCs w:val="21"/>
                    </w:rPr>
                  </w:pPr>
                  <w:r>
                    <w:rPr>
                      <w:kern w:val="0"/>
                      <w:szCs w:val="21"/>
                    </w:rPr>
                    <w:t>固体废物</w:t>
                  </w:r>
                </w:p>
              </w:tc>
              <w:tc>
                <w:tcPr>
                  <w:tcW w:w="435" w:type="pct"/>
                  <w:vAlign w:val="center"/>
                </w:tcPr>
                <w:p>
                  <w:pPr>
                    <w:snapToGrid w:val="0"/>
                    <w:jc w:val="center"/>
                    <w:textAlignment w:val="baseline"/>
                    <w:rPr>
                      <w:kern w:val="0"/>
                      <w:szCs w:val="21"/>
                    </w:rPr>
                  </w:pPr>
                  <w:r>
                    <w:rPr>
                      <w:rFonts w:hint="eastAsia"/>
                      <w:kern w:val="0"/>
                      <w:szCs w:val="21"/>
                    </w:rPr>
                    <w:t>职工生活垃圾</w:t>
                  </w:r>
                </w:p>
              </w:tc>
              <w:tc>
                <w:tcPr>
                  <w:tcW w:w="924" w:type="pct"/>
                  <w:gridSpan w:val="2"/>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ascii="Times New Roman" w:hAnsi="Times New Roman" w:cs="Times New Roman"/>
                      <w:sz w:val="21"/>
                      <w:szCs w:val="21"/>
                    </w:rPr>
                    <w:t>生活垃圾</w:t>
                  </w:r>
                  <w:r>
                    <w:rPr>
                      <w:rFonts w:hint="eastAsia" w:ascii="Times New Roman" w:hAnsi="Times New Roman" w:cs="Times New Roman"/>
                      <w:sz w:val="21"/>
                      <w:szCs w:val="21"/>
                    </w:rPr>
                    <w:t>（t/a)</w:t>
                  </w:r>
                </w:p>
              </w:tc>
              <w:tc>
                <w:tcPr>
                  <w:tcW w:w="60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0</w:t>
                  </w:r>
                </w:p>
              </w:tc>
              <w:tc>
                <w:tcPr>
                  <w:tcW w:w="529"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1.5</w:t>
                  </w:r>
                </w:p>
              </w:tc>
              <w:tc>
                <w:tcPr>
                  <w:tcW w:w="45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1.5</w:t>
                  </w:r>
                </w:p>
              </w:tc>
              <w:tc>
                <w:tcPr>
                  <w:tcW w:w="45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ascii="Times New Roman" w:hAnsi="Times New Roman" w:cs="Times New Roman"/>
                      <w:sz w:val="21"/>
                      <w:szCs w:val="21"/>
                    </w:rPr>
                    <w:t>0</w:t>
                  </w:r>
                </w:p>
              </w:tc>
              <w:tc>
                <w:tcPr>
                  <w:tcW w:w="425"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w:t>
                  </w:r>
                </w:p>
              </w:tc>
              <w:tc>
                <w:tcPr>
                  <w:tcW w:w="458"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0</w:t>
                  </w:r>
                </w:p>
              </w:tc>
              <w:tc>
                <w:tcPr>
                  <w:tcW w:w="489" w:type="pct"/>
                  <w:vAlign w:val="center"/>
                </w:tcPr>
                <w:p>
                  <w:pPr>
                    <w:snapToGrid w:val="0"/>
                    <w:jc w:val="center"/>
                    <w:rPr>
                      <w:szCs w:val="21"/>
                    </w:rPr>
                  </w:pPr>
                  <w:r>
                    <w:rPr>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Merge w:val="continue"/>
                  <w:vAlign w:val="center"/>
                </w:tcPr>
                <w:p>
                  <w:pPr>
                    <w:snapToGrid w:val="0"/>
                    <w:jc w:val="center"/>
                    <w:textAlignment w:val="baseline"/>
                    <w:rPr>
                      <w:kern w:val="0"/>
                      <w:szCs w:val="21"/>
                    </w:rPr>
                  </w:pPr>
                </w:p>
              </w:tc>
              <w:tc>
                <w:tcPr>
                  <w:tcW w:w="435" w:type="pct"/>
                  <w:vMerge w:val="restart"/>
                  <w:vAlign w:val="center"/>
                </w:tcPr>
                <w:p>
                  <w:pPr>
                    <w:snapToGrid w:val="0"/>
                    <w:jc w:val="center"/>
                    <w:textAlignment w:val="baseline"/>
                    <w:rPr>
                      <w:kern w:val="0"/>
                      <w:szCs w:val="21"/>
                    </w:rPr>
                  </w:pPr>
                  <w:r>
                    <w:rPr>
                      <w:rFonts w:hint="eastAsia"/>
                      <w:kern w:val="0"/>
                      <w:szCs w:val="21"/>
                    </w:rPr>
                    <w:t>一般固废</w:t>
                  </w:r>
                </w:p>
              </w:tc>
              <w:tc>
                <w:tcPr>
                  <w:tcW w:w="924" w:type="pct"/>
                  <w:gridSpan w:val="2"/>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废边角料及金属屑（t/a)</w:t>
                  </w:r>
                </w:p>
              </w:tc>
              <w:tc>
                <w:tcPr>
                  <w:tcW w:w="60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0</w:t>
                  </w:r>
                </w:p>
              </w:tc>
              <w:tc>
                <w:tcPr>
                  <w:tcW w:w="529"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1</w:t>
                  </w:r>
                </w:p>
              </w:tc>
              <w:tc>
                <w:tcPr>
                  <w:tcW w:w="45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1</w:t>
                  </w:r>
                </w:p>
              </w:tc>
              <w:tc>
                <w:tcPr>
                  <w:tcW w:w="45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0</w:t>
                  </w:r>
                </w:p>
              </w:tc>
              <w:tc>
                <w:tcPr>
                  <w:tcW w:w="425"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w:t>
                  </w:r>
                </w:p>
              </w:tc>
              <w:tc>
                <w:tcPr>
                  <w:tcW w:w="458"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0</w:t>
                  </w:r>
                </w:p>
              </w:tc>
              <w:tc>
                <w:tcPr>
                  <w:tcW w:w="489" w:type="pct"/>
                  <w:vAlign w:val="center"/>
                </w:tcPr>
                <w:p>
                  <w:pPr>
                    <w:snapToGrid w:val="0"/>
                    <w:jc w:val="center"/>
                    <w:rPr>
                      <w:szCs w:val="21"/>
                    </w:rPr>
                  </w:pPr>
                  <w:r>
                    <w:rPr>
                      <w:rFonts w:hint="eastAsia"/>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Merge w:val="continue"/>
                  <w:vAlign w:val="center"/>
                </w:tcPr>
                <w:p>
                  <w:pPr>
                    <w:snapToGrid w:val="0"/>
                    <w:jc w:val="center"/>
                    <w:textAlignment w:val="baseline"/>
                    <w:rPr>
                      <w:kern w:val="0"/>
                      <w:szCs w:val="21"/>
                    </w:rPr>
                  </w:pPr>
                </w:p>
              </w:tc>
              <w:tc>
                <w:tcPr>
                  <w:tcW w:w="435" w:type="pct"/>
                  <w:vMerge w:val="continue"/>
                  <w:vAlign w:val="center"/>
                </w:tcPr>
                <w:p>
                  <w:pPr>
                    <w:snapToGrid w:val="0"/>
                    <w:jc w:val="center"/>
                    <w:textAlignment w:val="baseline"/>
                    <w:rPr>
                      <w:kern w:val="0"/>
                      <w:szCs w:val="21"/>
                    </w:rPr>
                  </w:pPr>
                </w:p>
              </w:tc>
              <w:tc>
                <w:tcPr>
                  <w:tcW w:w="924" w:type="pct"/>
                  <w:gridSpan w:val="2"/>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袋式除尘器收尘（t/a)</w:t>
                  </w:r>
                </w:p>
              </w:tc>
              <w:tc>
                <w:tcPr>
                  <w:tcW w:w="60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w:t>
                  </w:r>
                </w:p>
              </w:tc>
              <w:tc>
                <w:tcPr>
                  <w:tcW w:w="529" w:type="pct"/>
                  <w:vAlign w:val="center"/>
                </w:tcPr>
                <w:p>
                  <w:pPr>
                    <w:snapToGrid w:val="0"/>
                    <w:jc w:val="center"/>
                    <w:textAlignment w:val="baseline"/>
                    <w:rPr>
                      <w:szCs w:val="21"/>
                    </w:rPr>
                  </w:pPr>
                  <w:r>
                    <w:rPr>
                      <w:rFonts w:hint="eastAsia"/>
                      <w:szCs w:val="21"/>
                    </w:rPr>
                    <w:t>0.0404</w:t>
                  </w:r>
                </w:p>
              </w:tc>
              <w:tc>
                <w:tcPr>
                  <w:tcW w:w="454" w:type="pct"/>
                  <w:vAlign w:val="center"/>
                </w:tcPr>
                <w:p>
                  <w:pPr>
                    <w:snapToGrid w:val="0"/>
                    <w:jc w:val="center"/>
                    <w:textAlignment w:val="baseline"/>
                    <w:rPr>
                      <w:szCs w:val="21"/>
                    </w:rPr>
                  </w:pPr>
                  <w:r>
                    <w:rPr>
                      <w:rFonts w:hint="eastAsia"/>
                      <w:szCs w:val="21"/>
                    </w:rPr>
                    <w:t>0.0404</w:t>
                  </w:r>
                </w:p>
              </w:tc>
              <w:tc>
                <w:tcPr>
                  <w:tcW w:w="45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ascii="Times New Roman" w:hAnsi="Times New Roman" w:cs="Times New Roman"/>
                      <w:sz w:val="21"/>
                      <w:szCs w:val="21"/>
                    </w:rPr>
                    <w:t>0</w:t>
                  </w:r>
                </w:p>
              </w:tc>
              <w:tc>
                <w:tcPr>
                  <w:tcW w:w="425"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w:t>
                  </w:r>
                </w:p>
              </w:tc>
              <w:tc>
                <w:tcPr>
                  <w:tcW w:w="458"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0</w:t>
                  </w:r>
                </w:p>
              </w:tc>
              <w:tc>
                <w:tcPr>
                  <w:tcW w:w="489" w:type="pct"/>
                  <w:vAlign w:val="center"/>
                </w:tcPr>
                <w:p>
                  <w:pPr>
                    <w:snapToGrid w:val="0"/>
                    <w:jc w:val="center"/>
                    <w:rPr>
                      <w:szCs w:val="21"/>
                    </w:rPr>
                  </w:pPr>
                  <w:r>
                    <w:rPr>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Merge w:val="continue"/>
                  <w:vAlign w:val="center"/>
                </w:tcPr>
                <w:p>
                  <w:pPr>
                    <w:snapToGrid w:val="0"/>
                    <w:jc w:val="center"/>
                    <w:textAlignment w:val="baseline"/>
                    <w:rPr>
                      <w:kern w:val="0"/>
                      <w:szCs w:val="21"/>
                    </w:rPr>
                  </w:pPr>
                </w:p>
              </w:tc>
              <w:tc>
                <w:tcPr>
                  <w:tcW w:w="435" w:type="pct"/>
                  <w:vMerge w:val="continue"/>
                  <w:vAlign w:val="center"/>
                </w:tcPr>
                <w:p>
                  <w:pPr>
                    <w:snapToGrid w:val="0"/>
                    <w:jc w:val="center"/>
                    <w:textAlignment w:val="baseline"/>
                    <w:rPr>
                      <w:kern w:val="0"/>
                      <w:szCs w:val="21"/>
                    </w:rPr>
                  </w:pPr>
                </w:p>
              </w:tc>
              <w:tc>
                <w:tcPr>
                  <w:tcW w:w="924" w:type="pct"/>
                  <w:gridSpan w:val="2"/>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焊渣（t/a)</w:t>
                  </w:r>
                </w:p>
              </w:tc>
              <w:tc>
                <w:tcPr>
                  <w:tcW w:w="60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w:t>
                  </w:r>
                </w:p>
              </w:tc>
              <w:tc>
                <w:tcPr>
                  <w:tcW w:w="529"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0.26</w:t>
                  </w:r>
                </w:p>
              </w:tc>
              <w:tc>
                <w:tcPr>
                  <w:tcW w:w="45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0.26</w:t>
                  </w:r>
                </w:p>
              </w:tc>
              <w:tc>
                <w:tcPr>
                  <w:tcW w:w="45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ascii="Times New Roman" w:hAnsi="Times New Roman" w:cs="Times New Roman"/>
                      <w:sz w:val="21"/>
                      <w:szCs w:val="21"/>
                    </w:rPr>
                    <w:t>0</w:t>
                  </w:r>
                </w:p>
              </w:tc>
              <w:tc>
                <w:tcPr>
                  <w:tcW w:w="425"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w:t>
                  </w:r>
                </w:p>
              </w:tc>
              <w:tc>
                <w:tcPr>
                  <w:tcW w:w="458"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0</w:t>
                  </w:r>
                </w:p>
              </w:tc>
              <w:tc>
                <w:tcPr>
                  <w:tcW w:w="489" w:type="pct"/>
                  <w:vAlign w:val="center"/>
                </w:tcPr>
                <w:p>
                  <w:pPr>
                    <w:snapToGrid w:val="0"/>
                    <w:jc w:val="center"/>
                    <w:textAlignment w:val="baseline"/>
                    <w:rPr>
                      <w:szCs w:val="21"/>
                    </w:rPr>
                  </w:pPr>
                  <w:r>
                    <w:rPr>
                      <w:kern w:val="0"/>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Merge w:val="continue"/>
                  <w:vAlign w:val="center"/>
                </w:tcPr>
                <w:p>
                  <w:pPr>
                    <w:snapToGrid w:val="0"/>
                    <w:jc w:val="center"/>
                    <w:textAlignment w:val="baseline"/>
                    <w:rPr>
                      <w:kern w:val="0"/>
                      <w:szCs w:val="21"/>
                    </w:rPr>
                  </w:pPr>
                </w:p>
              </w:tc>
              <w:tc>
                <w:tcPr>
                  <w:tcW w:w="435" w:type="pct"/>
                  <w:vMerge w:val="restart"/>
                  <w:vAlign w:val="center"/>
                </w:tcPr>
                <w:p>
                  <w:pPr>
                    <w:snapToGrid w:val="0"/>
                    <w:textAlignment w:val="baseline"/>
                    <w:rPr>
                      <w:kern w:val="0"/>
                      <w:szCs w:val="21"/>
                    </w:rPr>
                  </w:pPr>
                  <w:r>
                    <w:rPr>
                      <w:rFonts w:hint="eastAsia"/>
                      <w:kern w:val="0"/>
                      <w:szCs w:val="21"/>
                    </w:rPr>
                    <w:t>危险废物</w:t>
                  </w:r>
                </w:p>
              </w:tc>
              <w:tc>
                <w:tcPr>
                  <w:tcW w:w="924" w:type="pct"/>
                  <w:gridSpan w:val="2"/>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废切削液（t/a)</w:t>
                  </w:r>
                </w:p>
              </w:tc>
              <w:tc>
                <w:tcPr>
                  <w:tcW w:w="60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w:t>
                  </w:r>
                </w:p>
              </w:tc>
              <w:tc>
                <w:tcPr>
                  <w:tcW w:w="529"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1</w:t>
                  </w:r>
                </w:p>
              </w:tc>
              <w:tc>
                <w:tcPr>
                  <w:tcW w:w="45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1</w:t>
                  </w:r>
                </w:p>
              </w:tc>
              <w:tc>
                <w:tcPr>
                  <w:tcW w:w="45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0</w:t>
                  </w:r>
                </w:p>
              </w:tc>
              <w:tc>
                <w:tcPr>
                  <w:tcW w:w="425"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w:t>
                  </w:r>
                </w:p>
              </w:tc>
              <w:tc>
                <w:tcPr>
                  <w:tcW w:w="458"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0</w:t>
                  </w:r>
                </w:p>
              </w:tc>
              <w:tc>
                <w:tcPr>
                  <w:tcW w:w="489" w:type="pct"/>
                  <w:vAlign w:val="center"/>
                </w:tcPr>
                <w:p>
                  <w:pPr>
                    <w:snapToGrid w:val="0"/>
                    <w:jc w:val="center"/>
                    <w:textAlignment w:val="baseline"/>
                    <w:rPr>
                      <w:kern w:val="0"/>
                      <w:szCs w:val="21"/>
                    </w:rPr>
                  </w:pPr>
                  <w:r>
                    <w:rPr>
                      <w:rFonts w:hint="eastAsia"/>
                      <w:kern w:val="0"/>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Merge w:val="continue"/>
                  <w:vAlign w:val="center"/>
                </w:tcPr>
                <w:p>
                  <w:pPr>
                    <w:snapToGrid w:val="0"/>
                    <w:jc w:val="center"/>
                    <w:textAlignment w:val="baseline"/>
                    <w:rPr>
                      <w:kern w:val="0"/>
                      <w:szCs w:val="21"/>
                    </w:rPr>
                  </w:pPr>
                </w:p>
              </w:tc>
              <w:tc>
                <w:tcPr>
                  <w:tcW w:w="435" w:type="pct"/>
                  <w:vMerge w:val="continue"/>
                  <w:vAlign w:val="center"/>
                </w:tcPr>
                <w:p>
                  <w:pPr>
                    <w:snapToGrid w:val="0"/>
                    <w:jc w:val="center"/>
                    <w:textAlignment w:val="baseline"/>
                    <w:rPr>
                      <w:kern w:val="0"/>
                      <w:szCs w:val="21"/>
                    </w:rPr>
                  </w:pPr>
                </w:p>
              </w:tc>
              <w:tc>
                <w:tcPr>
                  <w:tcW w:w="924" w:type="pct"/>
                  <w:gridSpan w:val="2"/>
                  <w:vAlign w:val="center"/>
                </w:tcPr>
                <w:p>
                  <w:pPr>
                    <w:pStyle w:val="24"/>
                    <w:snapToGrid w:val="0"/>
                    <w:spacing w:before="0" w:beforeAutospacing="0" w:after="0" w:afterAutospacing="0"/>
                    <w:textAlignment w:val="baseline"/>
                    <w:rPr>
                      <w:rFonts w:ascii="Times New Roman" w:hAnsi="Times New Roman" w:cs="Times New Roman"/>
                      <w:sz w:val="21"/>
                      <w:szCs w:val="21"/>
                    </w:rPr>
                  </w:pPr>
                  <w:r>
                    <w:rPr>
                      <w:rFonts w:hint="eastAsia" w:ascii="Times New Roman" w:hAnsi="Times New Roman" w:cs="Times New Roman"/>
                      <w:sz w:val="21"/>
                      <w:szCs w:val="21"/>
                    </w:rPr>
                    <w:t>废润滑油（t/a)</w:t>
                  </w:r>
                </w:p>
              </w:tc>
              <w:tc>
                <w:tcPr>
                  <w:tcW w:w="60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w:t>
                  </w:r>
                </w:p>
              </w:tc>
              <w:tc>
                <w:tcPr>
                  <w:tcW w:w="529"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0.1</w:t>
                  </w:r>
                </w:p>
              </w:tc>
              <w:tc>
                <w:tcPr>
                  <w:tcW w:w="45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0.1</w:t>
                  </w:r>
                </w:p>
              </w:tc>
              <w:tc>
                <w:tcPr>
                  <w:tcW w:w="45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0</w:t>
                  </w:r>
                </w:p>
              </w:tc>
              <w:tc>
                <w:tcPr>
                  <w:tcW w:w="425"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w:t>
                  </w:r>
                </w:p>
              </w:tc>
              <w:tc>
                <w:tcPr>
                  <w:tcW w:w="458"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0</w:t>
                  </w:r>
                </w:p>
              </w:tc>
              <w:tc>
                <w:tcPr>
                  <w:tcW w:w="489" w:type="pct"/>
                  <w:vAlign w:val="center"/>
                </w:tcPr>
                <w:p>
                  <w:pPr>
                    <w:snapToGrid w:val="0"/>
                    <w:jc w:val="center"/>
                    <w:textAlignment w:val="baseline"/>
                    <w:rPr>
                      <w:kern w:val="0"/>
                      <w:szCs w:val="21"/>
                    </w:rPr>
                  </w:pPr>
                  <w:r>
                    <w:rPr>
                      <w:rFonts w:hint="eastAsia"/>
                      <w:kern w:val="0"/>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Merge w:val="continue"/>
                  <w:vAlign w:val="center"/>
                </w:tcPr>
                <w:p>
                  <w:pPr>
                    <w:snapToGrid w:val="0"/>
                    <w:jc w:val="center"/>
                    <w:textAlignment w:val="baseline"/>
                    <w:rPr>
                      <w:kern w:val="0"/>
                      <w:szCs w:val="21"/>
                    </w:rPr>
                  </w:pPr>
                </w:p>
              </w:tc>
              <w:tc>
                <w:tcPr>
                  <w:tcW w:w="435" w:type="pct"/>
                  <w:vMerge w:val="continue"/>
                  <w:vAlign w:val="center"/>
                </w:tcPr>
                <w:p>
                  <w:pPr>
                    <w:snapToGrid w:val="0"/>
                    <w:jc w:val="center"/>
                    <w:textAlignment w:val="baseline"/>
                    <w:rPr>
                      <w:kern w:val="0"/>
                      <w:szCs w:val="21"/>
                    </w:rPr>
                  </w:pPr>
                </w:p>
              </w:tc>
              <w:tc>
                <w:tcPr>
                  <w:tcW w:w="924" w:type="pct"/>
                  <w:gridSpan w:val="2"/>
                  <w:vAlign w:val="center"/>
                </w:tcPr>
                <w:p>
                  <w:pPr>
                    <w:pStyle w:val="24"/>
                    <w:snapToGrid w:val="0"/>
                    <w:spacing w:before="0" w:beforeAutospacing="0" w:after="0" w:afterAutospacing="0"/>
                    <w:textAlignment w:val="baseline"/>
                    <w:rPr>
                      <w:rFonts w:ascii="Times New Roman" w:hAnsi="Times New Roman" w:cs="Times New Roman"/>
                      <w:sz w:val="21"/>
                      <w:szCs w:val="21"/>
                    </w:rPr>
                  </w:pPr>
                  <w:r>
                    <w:rPr>
                      <w:rFonts w:hint="eastAsia" w:ascii="Times New Roman" w:hAnsi="Times New Roman" w:cs="Times New Roman"/>
                      <w:sz w:val="21"/>
                      <w:szCs w:val="21"/>
                    </w:rPr>
                    <w:t>废活性炭（t/a)</w:t>
                  </w:r>
                </w:p>
              </w:tc>
              <w:tc>
                <w:tcPr>
                  <w:tcW w:w="60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0.1</w:t>
                  </w:r>
                </w:p>
              </w:tc>
              <w:tc>
                <w:tcPr>
                  <w:tcW w:w="529"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w:t>
                  </w:r>
                </w:p>
              </w:tc>
              <w:tc>
                <w:tcPr>
                  <w:tcW w:w="45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w:t>
                  </w:r>
                </w:p>
              </w:tc>
              <w:tc>
                <w:tcPr>
                  <w:tcW w:w="45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w:t>
                  </w:r>
                </w:p>
              </w:tc>
              <w:tc>
                <w:tcPr>
                  <w:tcW w:w="425"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w:t>
                  </w:r>
                </w:p>
              </w:tc>
              <w:tc>
                <w:tcPr>
                  <w:tcW w:w="458"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0</w:t>
                  </w:r>
                </w:p>
              </w:tc>
              <w:tc>
                <w:tcPr>
                  <w:tcW w:w="489" w:type="pct"/>
                  <w:vAlign w:val="center"/>
                </w:tcPr>
                <w:p>
                  <w:pPr>
                    <w:snapToGrid w:val="0"/>
                    <w:jc w:val="center"/>
                    <w:textAlignment w:val="baseline"/>
                    <w:rPr>
                      <w:kern w:val="0"/>
                      <w:szCs w:val="21"/>
                    </w:rPr>
                  </w:pPr>
                  <w:r>
                    <w:rPr>
                      <w:rFonts w:hint="eastAsia"/>
                      <w:kern w:val="0"/>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vMerge w:val="continue"/>
                  <w:vAlign w:val="center"/>
                </w:tcPr>
                <w:p>
                  <w:pPr>
                    <w:snapToGrid w:val="0"/>
                    <w:jc w:val="center"/>
                    <w:textAlignment w:val="baseline"/>
                    <w:rPr>
                      <w:kern w:val="0"/>
                      <w:szCs w:val="21"/>
                    </w:rPr>
                  </w:pPr>
                </w:p>
              </w:tc>
              <w:tc>
                <w:tcPr>
                  <w:tcW w:w="435" w:type="pct"/>
                  <w:vMerge w:val="continue"/>
                  <w:vAlign w:val="center"/>
                </w:tcPr>
                <w:p>
                  <w:pPr>
                    <w:snapToGrid w:val="0"/>
                    <w:jc w:val="center"/>
                    <w:textAlignment w:val="baseline"/>
                    <w:rPr>
                      <w:kern w:val="0"/>
                      <w:szCs w:val="21"/>
                    </w:rPr>
                  </w:pPr>
                </w:p>
              </w:tc>
              <w:tc>
                <w:tcPr>
                  <w:tcW w:w="924" w:type="pct"/>
                  <w:gridSpan w:val="2"/>
                  <w:vAlign w:val="center"/>
                </w:tcPr>
                <w:p>
                  <w:pPr>
                    <w:pStyle w:val="24"/>
                    <w:snapToGrid w:val="0"/>
                    <w:spacing w:before="0" w:beforeAutospacing="0" w:after="0" w:afterAutospacing="0"/>
                    <w:textAlignment w:val="baseline"/>
                    <w:rPr>
                      <w:rFonts w:ascii="Times New Roman" w:hAnsi="Times New Roman" w:cs="Times New Roman"/>
                      <w:sz w:val="21"/>
                      <w:szCs w:val="21"/>
                    </w:rPr>
                  </w:pPr>
                  <w:r>
                    <w:rPr>
                      <w:rFonts w:hint="eastAsia" w:ascii="Times New Roman" w:hAnsi="Times New Roman" w:cs="Times New Roman"/>
                      <w:sz w:val="21"/>
                      <w:szCs w:val="21"/>
                    </w:rPr>
                    <w:t>废灯管</w:t>
                  </w:r>
                </w:p>
              </w:tc>
              <w:tc>
                <w:tcPr>
                  <w:tcW w:w="60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30根/3a</w:t>
                  </w:r>
                </w:p>
              </w:tc>
              <w:tc>
                <w:tcPr>
                  <w:tcW w:w="529"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w:t>
                  </w:r>
                </w:p>
              </w:tc>
              <w:tc>
                <w:tcPr>
                  <w:tcW w:w="45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w:t>
                  </w:r>
                </w:p>
              </w:tc>
              <w:tc>
                <w:tcPr>
                  <w:tcW w:w="454"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w:t>
                  </w:r>
                </w:p>
              </w:tc>
              <w:tc>
                <w:tcPr>
                  <w:tcW w:w="425"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w:t>
                  </w:r>
                </w:p>
              </w:tc>
              <w:tc>
                <w:tcPr>
                  <w:tcW w:w="458" w:type="pct"/>
                  <w:vAlign w:val="center"/>
                </w:tcPr>
                <w:p>
                  <w:pPr>
                    <w:pStyle w:val="24"/>
                    <w:snapToGrid w:val="0"/>
                    <w:spacing w:before="0" w:beforeAutospacing="0" w:after="0" w:afterAutospacing="0"/>
                    <w:jc w:val="center"/>
                    <w:textAlignment w:val="baseline"/>
                    <w:rPr>
                      <w:rFonts w:ascii="Times New Roman" w:hAnsi="Times New Roman" w:cs="Times New Roman"/>
                      <w:sz w:val="21"/>
                      <w:szCs w:val="21"/>
                    </w:rPr>
                  </w:pPr>
                  <w:r>
                    <w:rPr>
                      <w:rFonts w:hint="eastAsia" w:ascii="Times New Roman" w:hAnsi="Times New Roman" w:cs="Times New Roman"/>
                      <w:sz w:val="21"/>
                      <w:szCs w:val="21"/>
                    </w:rPr>
                    <w:t>0</w:t>
                  </w:r>
                </w:p>
              </w:tc>
              <w:tc>
                <w:tcPr>
                  <w:tcW w:w="489" w:type="pct"/>
                  <w:vAlign w:val="center"/>
                </w:tcPr>
                <w:p>
                  <w:pPr>
                    <w:snapToGrid w:val="0"/>
                    <w:jc w:val="center"/>
                    <w:textAlignment w:val="baseline"/>
                    <w:rPr>
                      <w:kern w:val="0"/>
                      <w:szCs w:val="21"/>
                    </w:rPr>
                  </w:pPr>
                  <w:r>
                    <w:rPr>
                      <w:rFonts w:hint="eastAsia"/>
                      <w:kern w:val="0"/>
                      <w:szCs w:val="21"/>
                    </w:rPr>
                    <w:t>0</w:t>
                  </w:r>
                </w:p>
              </w:tc>
            </w:tr>
          </w:tbl>
          <w:p>
            <w:pPr>
              <w:adjustRightInd w:val="0"/>
              <w:snapToGrid w:val="0"/>
              <w:spacing w:line="500" w:lineRule="exact"/>
              <w:ind w:firstLine="480" w:firstLineChars="200"/>
              <w:rPr>
                <w:bCs/>
                <w:sz w:val="24"/>
              </w:rPr>
            </w:pPr>
            <w:r>
              <w:rPr>
                <w:rFonts w:hint="eastAsia"/>
                <w:bCs/>
                <w:sz w:val="24"/>
              </w:rPr>
              <w:t>综上所述，本项目新增总量控制指标，特征污染物粉尘排放量为0.0056t/a，非甲烷总烃排放量为0.0459t/a。</w:t>
            </w:r>
          </w:p>
          <w:p>
            <w:pPr>
              <w:adjustRightInd w:val="0"/>
              <w:snapToGrid w:val="0"/>
              <w:spacing w:line="500" w:lineRule="exact"/>
              <w:rPr>
                <w:b/>
                <w:bCs/>
                <w:sz w:val="24"/>
              </w:rPr>
            </w:pPr>
            <w:r>
              <w:rPr>
                <w:rFonts w:hint="eastAsia"/>
                <w:b/>
                <w:bCs/>
                <w:sz w:val="24"/>
              </w:rPr>
              <w:t>10.</w:t>
            </w:r>
            <w:r>
              <w:rPr>
                <w:rFonts w:hAnsi="宋体"/>
                <w:b/>
                <w:bCs/>
                <w:sz w:val="24"/>
              </w:rPr>
              <w:t>环境管理和监测</w:t>
            </w:r>
          </w:p>
          <w:p>
            <w:pPr>
              <w:adjustRightInd w:val="0"/>
              <w:snapToGrid w:val="0"/>
              <w:spacing w:line="500" w:lineRule="exact"/>
              <w:textAlignment w:val="baseline"/>
              <w:rPr>
                <w:b/>
                <w:kern w:val="0"/>
                <w:sz w:val="24"/>
              </w:rPr>
            </w:pPr>
            <w:r>
              <w:rPr>
                <w:rFonts w:hint="eastAsia"/>
                <w:b/>
                <w:kern w:val="0"/>
                <w:sz w:val="24"/>
              </w:rPr>
              <w:t>10</w:t>
            </w:r>
            <w:r>
              <w:rPr>
                <w:b/>
                <w:kern w:val="0"/>
                <w:sz w:val="24"/>
              </w:rPr>
              <w:t>.1</w:t>
            </w:r>
            <w:r>
              <w:rPr>
                <w:rFonts w:hAnsi="宋体"/>
                <w:b/>
                <w:kern w:val="0"/>
                <w:sz w:val="24"/>
              </w:rPr>
              <w:t>环境管理</w:t>
            </w:r>
          </w:p>
          <w:p>
            <w:pPr>
              <w:adjustRightInd w:val="0"/>
              <w:snapToGrid w:val="0"/>
              <w:spacing w:line="500" w:lineRule="exact"/>
              <w:ind w:firstLine="480" w:firstLineChars="200"/>
              <w:textAlignment w:val="baseline"/>
              <w:rPr>
                <w:kern w:val="0"/>
                <w:sz w:val="24"/>
              </w:rPr>
            </w:pPr>
            <w:r>
              <w:rPr>
                <w:kern w:val="0"/>
                <w:sz w:val="24"/>
              </w:rPr>
              <w:t>(1)</w:t>
            </w:r>
            <w:r>
              <w:rPr>
                <w:rFonts w:hAnsi="宋体"/>
                <w:kern w:val="0"/>
                <w:sz w:val="24"/>
              </w:rPr>
              <w:t>环境管理的目的</w:t>
            </w:r>
          </w:p>
          <w:p>
            <w:pPr>
              <w:adjustRightInd w:val="0"/>
              <w:snapToGrid w:val="0"/>
              <w:spacing w:line="500" w:lineRule="exact"/>
              <w:ind w:firstLine="480" w:firstLineChars="200"/>
              <w:textAlignment w:val="baseline"/>
              <w:rPr>
                <w:kern w:val="0"/>
                <w:sz w:val="24"/>
              </w:rPr>
            </w:pPr>
            <w:r>
              <w:rPr>
                <w:rFonts w:hAnsi="宋体"/>
                <w:kern w:val="0"/>
                <w:sz w:val="24"/>
              </w:rPr>
              <w:t>项目环境管理是指企业在施工期和运营期执行和遵守国家、省和市有关环境保护法规、法律政策和标准，接受地方环境保护主管部门的管理监督、调查和制订环境规划和目标，协调同有关部门的关系以及一切与环境保护有关的管理活动。总体目标是促使生产向清洁生产的目标不断发展。</w:t>
            </w:r>
          </w:p>
          <w:p>
            <w:pPr>
              <w:adjustRightInd w:val="0"/>
              <w:snapToGrid w:val="0"/>
              <w:spacing w:line="500" w:lineRule="exact"/>
              <w:ind w:firstLine="480" w:firstLineChars="200"/>
              <w:textAlignment w:val="baseline"/>
              <w:rPr>
                <w:kern w:val="0"/>
                <w:sz w:val="24"/>
              </w:rPr>
            </w:pPr>
            <w:r>
              <w:rPr>
                <w:kern w:val="0"/>
                <w:sz w:val="24"/>
              </w:rPr>
              <w:t>(2)</w:t>
            </w:r>
            <w:r>
              <w:rPr>
                <w:rFonts w:hAnsi="宋体"/>
                <w:kern w:val="0"/>
                <w:sz w:val="24"/>
              </w:rPr>
              <w:t>环境管理机构</w:t>
            </w:r>
          </w:p>
          <w:p>
            <w:pPr>
              <w:adjustRightInd w:val="0"/>
              <w:snapToGrid w:val="0"/>
              <w:spacing w:line="500" w:lineRule="exact"/>
              <w:ind w:firstLine="480" w:firstLineChars="200"/>
              <w:textAlignment w:val="baseline"/>
              <w:rPr>
                <w:kern w:val="0"/>
                <w:sz w:val="24"/>
              </w:rPr>
            </w:pPr>
            <w:r>
              <w:rPr>
                <w:rFonts w:hAnsi="宋体"/>
                <w:kern w:val="0"/>
                <w:sz w:val="24"/>
              </w:rPr>
              <w:t>将安全、环保工作纳入严格的生产管理中，建议公司配备</w:t>
            </w:r>
            <w:r>
              <w:rPr>
                <w:kern w:val="0"/>
                <w:sz w:val="24"/>
              </w:rPr>
              <w:t>1</w:t>
            </w:r>
            <w:r>
              <w:rPr>
                <w:rFonts w:hAnsi="宋体"/>
                <w:kern w:val="0"/>
                <w:sz w:val="24"/>
              </w:rPr>
              <w:t>人负责全厂的环保、安全管理、污染治理、对外协调等工作。环境管理监督机构为</w:t>
            </w:r>
            <w:r>
              <w:rPr>
                <w:rFonts w:hint="eastAsia" w:hAnsi="宋体"/>
                <w:kern w:val="0"/>
                <w:sz w:val="24"/>
              </w:rPr>
              <w:t>新乡</w:t>
            </w:r>
            <w:r>
              <w:rPr>
                <w:rFonts w:hAnsi="宋体"/>
                <w:kern w:val="0"/>
                <w:sz w:val="24"/>
              </w:rPr>
              <w:t>市生态环境局、</w:t>
            </w:r>
            <w:r>
              <w:rPr>
                <w:rFonts w:hint="eastAsia" w:hAnsi="宋体"/>
                <w:kern w:val="0"/>
                <w:sz w:val="24"/>
              </w:rPr>
              <w:t>新乡</w:t>
            </w:r>
            <w:r>
              <w:rPr>
                <w:rFonts w:hAnsi="宋体"/>
                <w:kern w:val="0"/>
                <w:sz w:val="24"/>
              </w:rPr>
              <w:t>市</w:t>
            </w:r>
            <w:r>
              <w:rPr>
                <w:rFonts w:hint="eastAsia" w:hAnsi="宋体"/>
                <w:kern w:val="0"/>
                <w:sz w:val="24"/>
              </w:rPr>
              <w:t>生态环境</w:t>
            </w:r>
            <w:r>
              <w:rPr>
                <w:rFonts w:hAnsi="宋体"/>
                <w:kern w:val="0"/>
                <w:sz w:val="24"/>
              </w:rPr>
              <w:t>局</w:t>
            </w:r>
            <w:r>
              <w:rPr>
                <w:rFonts w:hint="eastAsia" w:hAnsi="宋体"/>
                <w:kern w:val="0"/>
                <w:sz w:val="24"/>
              </w:rPr>
              <w:t>新乡县分局</w:t>
            </w:r>
            <w:r>
              <w:rPr>
                <w:rFonts w:hAnsi="宋体"/>
                <w:kern w:val="0"/>
                <w:sz w:val="24"/>
              </w:rPr>
              <w:t>等各级环保主管部门，本项目环境保护管理的执行情况应该接受上述各级环保主管部门的监督和知道，同时还应接受公众的监督。</w:t>
            </w:r>
          </w:p>
          <w:p>
            <w:pPr>
              <w:adjustRightInd w:val="0"/>
              <w:snapToGrid w:val="0"/>
              <w:spacing w:line="500" w:lineRule="exact"/>
              <w:ind w:firstLine="480" w:firstLineChars="200"/>
              <w:textAlignment w:val="baseline"/>
              <w:rPr>
                <w:kern w:val="0"/>
                <w:sz w:val="24"/>
              </w:rPr>
            </w:pPr>
            <w:r>
              <w:rPr>
                <w:kern w:val="0"/>
                <w:sz w:val="24"/>
              </w:rPr>
              <w:t>(3)</w:t>
            </w:r>
            <w:r>
              <w:rPr>
                <w:rFonts w:hAnsi="宋体"/>
                <w:kern w:val="0"/>
                <w:sz w:val="24"/>
              </w:rPr>
              <w:t>环境管理机构的职责</w:t>
            </w:r>
          </w:p>
          <w:p>
            <w:pPr>
              <w:adjustRightInd w:val="0"/>
              <w:snapToGrid w:val="0"/>
              <w:spacing w:line="500" w:lineRule="exact"/>
              <w:ind w:firstLine="480" w:firstLineChars="200"/>
              <w:textAlignment w:val="baseline"/>
              <w:rPr>
                <w:kern w:val="0"/>
                <w:sz w:val="24"/>
              </w:rPr>
            </w:pPr>
            <w:r>
              <w:rPr>
                <w:rFonts w:hAnsi="宋体"/>
                <w:kern w:val="0"/>
                <w:sz w:val="24"/>
              </w:rPr>
              <w:t>环境保护管理机构的任务是负责组织、落实、监督本企业的环境保护工作，其工作职责主要有：</w:t>
            </w:r>
          </w:p>
          <w:p>
            <w:pPr>
              <w:adjustRightInd w:val="0"/>
              <w:snapToGrid w:val="0"/>
              <w:spacing w:line="500" w:lineRule="exact"/>
              <w:ind w:firstLine="480" w:firstLineChars="200"/>
              <w:textAlignment w:val="baseline"/>
              <w:rPr>
                <w:kern w:val="0"/>
                <w:sz w:val="24"/>
              </w:rPr>
            </w:pPr>
            <w:r>
              <w:rPr>
                <w:rFonts w:hAnsi="宋体"/>
                <w:kern w:val="0"/>
                <w:sz w:val="24"/>
              </w:rPr>
              <w:t>①贯彻执行国家有关环境保护法规、政策、标准和各项环保法规，组织制定、修改并监督执行本企业的环境保护规章制度，制定并组织实施环境保护规划和计划。</w:t>
            </w:r>
          </w:p>
          <w:p>
            <w:pPr>
              <w:adjustRightInd w:val="0"/>
              <w:snapToGrid w:val="0"/>
              <w:spacing w:line="500" w:lineRule="exact"/>
              <w:ind w:firstLine="480" w:firstLineChars="200"/>
              <w:textAlignment w:val="baseline"/>
              <w:rPr>
                <w:kern w:val="0"/>
                <w:sz w:val="24"/>
              </w:rPr>
            </w:pPr>
            <w:r>
              <w:rPr>
                <w:rFonts w:hAnsi="宋体"/>
                <w:kern w:val="0"/>
                <w:sz w:val="24"/>
              </w:rPr>
              <w:t>②认真核实环评报告表各项措施的落实情况，本项目建成竣工后，</w:t>
            </w:r>
            <w:r>
              <w:rPr>
                <w:rFonts w:hint="eastAsia" w:hAnsi="宋体"/>
                <w:kern w:val="0"/>
                <w:sz w:val="24"/>
              </w:rPr>
              <w:t>自主开展验收工作，</w:t>
            </w:r>
            <w:r>
              <w:rPr>
                <w:rFonts w:hAnsi="宋体"/>
                <w:kern w:val="0"/>
                <w:sz w:val="24"/>
              </w:rPr>
              <w:t>验收合格后方可进行正常的生产运营；在项目投入正常生产运营后，定期检查企业环境保护设施的运行情况。</w:t>
            </w:r>
          </w:p>
          <w:p>
            <w:pPr>
              <w:adjustRightInd w:val="0"/>
              <w:snapToGrid w:val="0"/>
              <w:spacing w:line="500" w:lineRule="exact"/>
              <w:ind w:firstLine="480" w:firstLineChars="200"/>
              <w:textAlignment w:val="baseline"/>
              <w:rPr>
                <w:kern w:val="0"/>
                <w:sz w:val="24"/>
              </w:rPr>
            </w:pPr>
            <w:r>
              <w:rPr>
                <w:rFonts w:hAnsi="宋体"/>
                <w:kern w:val="0"/>
                <w:sz w:val="24"/>
              </w:rPr>
              <w:t>③负责对项目各污染源环境监测的领导和组织工作，对环保设施的运行情况及治理效果进行监控，建立污染源档案，及时了解存在的问题并给予解决，确保污染防治设施的正常运行并达到设计指标要求，为全厂环境保护数据资料统计、各污染源治理提供基础数据。</w:t>
            </w:r>
          </w:p>
          <w:p>
            <w:pPr>
              <w:adjustRightInd w:val="0"/>
              <w:snapToGrid w:val="0"/>
              <w:spacing w:line="500" w:lineRule="exact"/>
              <w:ind w:firstLine="480" w:firstLineChars="200"/>
              <w:textAlignment w:val="baseline"/>
              <w:rPr>
                <w:kern w:val="0"/>
                <w:sz w:val="24"/>
              </w:rPr>
            </w:pPr>
            <w:r>
              <w:rPr>
                <w:rFonts w:hAnsi="宋体"/>
                <w:kern w:val="0"/>
                <w:sz w:val="24"/>
              </w:rPr>
              <w:t>④落实企业清洁生产方案，进一步完善废物循环利用技术，降低能源消耗，减少生产成本。</w:t>
            </w:r>
          </w:p>
          <w:p>
            <w:pPr>
              <w:adjustRightInd w:val="0"/>
              <w:snapToGrid w:val="0"/>
              <w:spacing w:line="500" w:lineRule="exact"/>
              <w:ind w:firstLine="480" w:firstLineChars="200"/>
              <w:textAlignment w:val="baseline"/>
              <w:rPr>
                <w:kern w:val="0"/>
                <w:sz w:val="24"/>
              </w:rPr>
            </w:pPr>
            <w:r>
              <w:rPr>
                <w:rFonts w:hAnsi="宋体"/>
                <w:kern w:val="0"/>
                <w:sz w:val="24"/>
              </w:rPr>
              <w:t>⑤加强企业领导到职工的安全及环保专业技术培训及考核，提高企业全体员工的环保素质和实施清洁生产的自觉意识。</w:t>
            </w:r>
          </w:p>
          <w:p>
            <w:pPr>
              <w:adjustRightInd w:val="0"/>
              <w:snapToGrid w:val="0"/>
              <w:spacing w:line="500" w:lineRule="exact"/>
              <w:ind w:firstLine="480" w:firstLineChars="200"/>
              <w:textAlignment w:val="baseline"/>
              <w:rPr>
                <w:kern w:val="0"/>
                <w:sz w:val="24"/>
              </w:rPr>
            </w:pPr>
            <w:r>
              <w:rPr>
                <w:kern w:val="0"/>
                <w:sz w:val="24"/>
              </w:rPr>
              <w:t xml:space="preserve"> (4)</w:t>
            </w:r>
            <w:r>
              <w:rPr>
                <w:rFonts w:hAnsi="宋体"/>
                <w:kern w:val="0"/>
                <w:sz w:val="24"/>
              </w:rPr>
              <w:t>环境管理内容</w:t>
            </w:r>
          </w:p>
          <w:p>
            <w:pPr>
              <w:adjustRightInd w:val="0"/>
              <w:snapToGrid w:val="0"/>
              <w:spacing w:line="500" w:lineRule="exact"/>
              <w:ind w:firstLine="480" w:firstLineChars="200"/>
              <w:textAlignment w:val="baseline"/>
              <w:rPr>
                <w:kern w:val="0"/>
                <w:sz w:val="24"/>
              </w:rPr>
            </w:pPr>
            <w:r>
              <w:rPr>
                <w:rFonts w:hAnsi="宋体"/>
                <w:kern w:val="0"/>
                <w:sz w:val="24"/>
              </w:rPr>
              <w:t>结合《建设项目环境影响评价技术导则</w:t>
            </w:r>
            <w:r>
              <w:rPr>
                <w:kern w:val="0"/>
                <w:sz w:val="24"/>
              </w:rPr>
              <w:t xml:space="preserve"> </w:t>
            </w:r>
            <w:r>
              <w:rPr>
                <w:rFonts w:hAnsi="宋体"/>
                <w:kern w:val="0"/>
                <w:sz w:val="24"/>
              </w:rPr>
              <w:t>总纲》</w:t>
            </w:r>
            <w:r>
              <w:rPr>
                <w:kern w:val="0"/>
                <w:sz w:val="24"/>
              </w:rPr>
              <w:t>(HJ2.1-2016)</w:t>
            </w:r>
            <w:r>
              <w:rPr>
                <w:rFonts w:hAnsi="宋体"/>
                <w:kern w:val="0"/>
                <w:sz w:val="24"/>
              </w:rPr>
              <w:t>以及《建设项目环境保护事中事后监督管理办法</w:t>
            </w:r>
            <w:r>
              <w:rPr>
                <w:kern w:val="0"/>
                <w:sz w:val="24"/>
              </w:rPr>
              <w:t>(</w:t>
            </w:r>
            <w:r>
              <w:rPr>
                <w:rFonts w:hAnsi="宋体"/>
                <w:kern w:val="0"/>
                <w:sz w:val="24"/>
              </w:rPr>
              <w:t>试行</w:t>
            </w:r>
            <w:r>
              <w:rPr>
                <w:kern w:val="0"/>
                <w:sz w:val="24"/>
              </w:rPr>
              <w:t>)</w:t>
            </w:r>
            <w:r>
              <w:rPr>
                <w:rFonts w:hAnsi="宋体"/>
                <w:kern w:val="0"/>
                <w:sz w:val="24"/>
              </w:rPr>
              <w:t>》</w:t>
            </w:r>
            <w:r>
              <w:rPr>
                <w:kern w:val="0"/>
                <w:sz w:val="24"/>
              </w:rPr>
              <w:t>(</w:t>
            </w:r>
            <w:r>
              <w:rPr>
                <w:rFonts w:hAnsi="宋体"/>
                <w:kern w:val="0"/>
                <w:sz w:val="24"/>
              </w:rPr>
              <w:t>环发</w:t>
            </w:r>
            <w:r>
              <w:rPr>
                <w:kern w:val="0"/>
                <w:sz w:val="24"/>
              </w:rPr>
              <w:t>[2015]163</w:t>
            </w:r>
            <w:r>
              <w:rPr>
                <w:rFonts w:hAnsi="宋体"/>
                <w:kern w:val="0"/>
                <w:sz w:val="24"/>
              </w:rPr>
              <w:t>号</w:t>
            </w:r>
            <w:r>
              <w:rPr>
                <w:kern w:val="0"/>
                <w:sz w:val="24"/>
              </w:rPr>
              <w:t>)</w:t>
            </w:r>
            <w:r>
              <w:rPr>
                <w:rFonts w:hAnsi="宋体"/>
                <w:kern w:val="0"/>
                <w:sz w:val="24"/>
              </w:rPr>
              <w:t>，本项目在建设阶段及生产运行阶段的环境管理具体内容见表</w:t>
            </w:r>
            <w:r>
              <w:rPr>
                <w:rFonts w:hint="eastAsia"/>
                <w:kern w:val="0"/>
                <w:sz w:val="24"/>
              </w:rPr>
              <w:t>56</w:t>
            </w:r>
            <w:r>
              <w:rPr>
                <w:rFonts w:hAnsi="宋体"/>
                <w:kern w:val="0"/>
                <w:sz w:val="24"/>
              </w:rPr>
              <w:t>。</w:t>
            </w:r>
          </w:p>
          <w:p>
            <w:pPr>
              <w:autoSpaceDE w:val="0"/>
              <w:autoSpaceDN w:val="0"/>
              <w:adjustRightInd w:val="0"/>
              <w:snapToGrid w:val="0"/>
              <w:spacing w:line="400" w:lineRule="exact"/>
              <w:ind w:left="420" w:leftChars="200" w:firstLine="118" w:firstLineChars="49"/>
              <w:rPr>
                <w:rFonts w:hAnsi="宋体"/>
                <w:b/>
                <w:sz w:val="24"/>
              </w:rPr>
            </w:pPr>
            <w:r>
              <w:rPr>
                <w:rFonts w:hAnsi="宋体"/>
                <w:b/>
                <w:sz w:val="24"/>
              </w:rPr>
              <w:t>表</w:t>
            </w:r>
            <w:r>
              <w:rPr>
                <w:rFonts w:hint="eastAsia" w:hAnsi="宋体"/>
                <w:b/>
                <w:sz w:val="24"/>
              </w:rPr>
              <w:t>56</w:t>
            </w:r>
            <w:r>
              <w:rPr>
                <w:rFonts w:hAnsi="宋体"/>
                <w:b/>
                <w:sz w:val="24"/>
              </w:rPr>
              <w:t xml:space="preserve">         </w:t>
            </w:r>
            <w:r>
              <w:rPr>
                <w:rFonts w:hint="eastAsia" w:hAnsi="宋体"/>
                <w:b/>
                <w:sz w:val="24"/>
              </w:rPr>
              <w:t xml:space="preserve">   </w:t>
            </w:r>
            <w:r>
              <w:rPr>
                <w:rFonts w:hAnsi="宋体"/>
                <w:b/>
                <w:sz w:val="24"/>
              </w:rPr>
              <w:t>项目环境管理具体内容</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2666"/>
              <w:gridCol w:w="51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7" w:type="pct"/>
                  <w:vAlign w:val="center"/>
                </w:tcPr>
                <w:p>
                  <w:pPr>
                    <w:adjustRightInd w:val="0"/>
                    <w:jc w:val="center"/>
                    <w:textAlignment w:val="baseline"/>
                    <w:rPr>
                      <w:b/>
                      <w:kern w:val="0"/>
                      <w:szCs w:val="21"/>
                    </w:rPr>
                  </w:pPr>
                  <w:r>
                    <w:rPr>
                      <w:b/>
                      <w:kern w:val="0"/>
                      <w:szCs w:val="21"/>
                    </w:rPr>
                    <w:t>阶段</w:t>
                  </w:r>
                </w:p>
              </w:tc>
              <w:tc>
                <w:tcPr>
                  <w:tcW w:w="1428" w:type="pct"/>
                  <w:vAlign w:val="center"/>
                </w:tcPr>
                <w:p>
                  <w:pPr>
                    <w:adjustRightInd w:val="0"/>
                    <w:jc w:val="center"/>
                    <w:textAlignment w:val="baseline"/>
                    <w:rPr>
                      <w:b/>
                      <w:kern w:val="0"/>
                      <w:szCs w:val="21"/>
                    </w:rPr>
                  </w:pPr>
                  <w:r>
                    <w:rPr>
                      <w:b/>
                      <w:kern w:val="0"/>
                      <w:szCs w:val="21"/>
                    </w:rPr>
                    <w:t>依据</w:t>
                  </w:r>
                </w:p>
              </w:tc>
              <w:tc>
                <w:tcPr>
                  <w:tcW w:w="2735" w:type="pct"/>
                  <w:vAlign w:val="center"/>
                </w:tcPr>
                <w:p>
                  <w:pPr>
                    <w:adjustRightInd w:val="0"/>
                    <w:jc w:val="center"/>
                    <w:textAlignment w:val="baseline"/>
                    <w:rPr>
                      <w:b/>
                      <w:kern w:val="0"/>
                      <w:szCs w:val="21"/>
                    </w:rPr>
                  </w:pPr>
                  <w:r>
                    <w:rPr>
                      <w:b/>
                      <w:kern w:val="0"/>
                      <w:szCs w:val="21"/>
                    </w:rPr>
                    <w:t>环境管理具体内容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7" w:type="pct"/>
                  <w:vAlign w:val="center"/>
                </w:tcPr>
                <w:p>
                  <w:pPr>
                    <w:adjustRightInd w:val="0"/>
                    <w:jc w:val="center"/>
                    <w:textAlignment w:val="baseline"/>
                    <w:rPr>
                      <w:kern w:val="0"/>
                      <w:szCs w:val="21"/>
                    </w:rPr>
                  </w:pPr>
                  <w:r>
                    <w:rPr>
                      <w:kern w:val="0"/>
                      <w:szCs w:val="21"/>
                    </w:rPr>
                    <w:t>生产运行阶段</w:t>
                  </w:r>
                </w:p>
              </w:tc>
              <w:tc>
                <w:tcPr>
                  <w:tcW w:w="1428" w:type="pct"/>
                  <w:vAlign w:val="center"/>
                </w:tcPr>
                <w:p>
                  <w:pPr>
                    <w:adjustRightInd w:val="0"/>
                    <w:jc w:val="center"/>
                    <w:textAlignment w:val="baseline"/>
                    <w:rPr>
                      <w:kern w:val="0"/>
                      <w:szCs w:val="21"/>
                    </w:rPr>
                  </w:pPr>
                  <w:r>
                    <w:rPr>
                      <w:kern w:val="0"/>
                      <w:szCs w:val="21"/>
                    </w:rPr>
                    <w:t>《建设项目环境保护事中事后监督管理办法(试行)》(环发[2015]163号)</w:t>
                  </w:r>
                </w:p>
              </w:tc>
              <w:tc>
                <w:tcPr>
                  <w:tcW w:w="2735" w:type="pct"/>
                  <w:vAlign w:val="center"/>
                </w:tcPr>
                <w:p>
                  <w:pPr>
                    <w:adjustRightInd w:val="0"/>
                    <w:jc w:val="center"/>
                    <w:textAlignment w:val="baseline"/>
                    <w:rPr>
                      <w:kern w:val="0"/>
                      <w:szCs w:val="21"/>
                    </w:rPr>
                  </w:pPr>
                  <w:r>
                    <w:rPr>
                      <w:kern w:val="0"/>
                      <w:szCs w:val="21"/>
                    </w:rPr>
                    <w:t>落实各项环境保护措施和对项目信息进行公开；及时履行竣工环境保护验收和排污许可证手续；</w:t>
                  </w:r>
                </w:p>
                <w:p>
                  <w:pPr>
                    <w:adjustRightInd w:val="0"/>
                    <w:jc w:val="center"/>
                    <w:textAlignment w:val="baseline"/>
                    <w:rPr>
                      <w:kern w:val="0"/>
                      <w:szCs w:val="21"/>
                    </w:rPr>
                  </w:pPr>
                  <w:r>
                    <w:rPr>
                      <w:kern w:val="0"/>
                      <w:szCs w:val="21"/>
                    </w:rPr>
                    <w:t>遵守环境保护法律法规</w:t>
                  </w:r>
                </w:p>
              </w:tc>
            </w:tr>
          </w:tbl>
          <w:p>
            <w:pPr>
              <w:adjustRightInd w:val="0"/>
              <w:snapToGrid w:val="0"/>
              <w:spacing w:line="500" w:lineRule="exact"/>
              <w:textAlignment w:val="baseline"/>
              <w:rPr>
                <w:b/>
                <w:kern w:val="0"/>
                <w:sz w:val="24"/>
              </w:rPr>
            </w:pPr>
            <w:r>
              <w:rPr>
                <w:rFonts w:hint="eastAsia"/>
                <w:b/>
                <w:kern w:val="0"/>
                <w:sz w:val="24"/>
              </w:rPr>
              <w:t>10</w:t>
            </w:r>
            <w:r>
              <w:rPr>
                <w:b/>
                <w:kern w:val="0"/>
                <w:sz w:val="24"/>
              </w:rPr>
              <w:t>.</w:t>
            </w:r>
            <w:r>
              <w:rPr>
                <w:rFonts w:hint="eastAsia"/>
                <w:b/>
                <w:kern w:val="0"/>
                <w:sz w:val="24"/>
              </w:rPr>
              <w:t>2</w:t>
            </w:r>
            <w:r>
              <w:rPr>
                <w:b/>
                <w:kern w:val="0"/>
                <w:sz w:val="24"/>
              </w:rPr>
              <w:t>项目信息公开内容</w:t>
            </w:r>
          </w:p>
          <w:p>
            <w:pPr>
              <w:adjustRightInd w:val="0"/>
              <w:snapToGrid w:val="0"/>
              <w:spacing w:line="500" w:lineRule="exact"/>
              <w:ind w:firstLine="480" w:firstLineChars="200"/>
              <w:textAlignment w:val="baseline"/>
              <w:rPr>
                <w:kern w:val="0"/>
                <w:sz w:val="24"/>
              </w:rPr>
            </w:pPr>
            <w:r>
              <w:rPr>
                <w:kern w:val="0"/>
                <w:sz w:val="24"/>
              </w:rPr>
              <w:t>结合《建设项目环境影响评价技术导则 总纲》(HJ2.1-2016)以及《建设项目环境保护事中事后监督管理办法(试行)》(环发[2015]163号)，建设单位应当向社会公开的内容见表</w:t>
            </w:r>
            <w:r>
              <w:rPr>
                <w:rFonts w:hint="eastAsia"/>
                <w:kern w:val="0"/>
                <w:sz w:val="24"/>
              </w:rPr>
              <w:t>57</w:t>
            </w:r>
            <w:r>
              <w:rPr>
                <w:kern w:val="0"/>
                <w:sz w:val="24"/>
              </w:rPr>
              <w:t>。</w:t>
            </w:r>
          </w:p>
          <w:p>
            <w:pPr>
              <w:autoSpaceDE w:val="0"/>
              <w:autoSpaceDN w:val="0"/>
              <w:adjustRightInd w:val="0"/>
              <w:snapToGrid w:val="0"/>
              <w:spacing w:line="400" w:lineRule="exact"/>
              <w:ind w:left="420" w:leftChars="200" w:firstLine="118" w:firstLineChars="49"/>
              <w:rPr>
                <w:rFonts w:hAnsi="宋体"/>
                <w:b/>
                <w:sz w:val="24"/>
              </w:rPr>
            </w:pPr>
            <w:r>
              <w:rPr>
                <w:rFonts w:hAnsi="宋体"/>
                <w:b/>
                <w:sz w:val="24"/>
              </w:rPr>
              <w:t>表</w:t>
            </w:r>
            <w:r>
              <w:rPr>
                <w:rFonts w:hint="eastAsia" w:hAnsi="宋体"/>
                <w:b/>
                <w:sz w:val="24"/>
              </w:rPr>
              <w:t>57</w:t>
            </w:r>
            <w:r>
              <w:rPr>
                <w:rFonts w:hAnsi="宋体"/>
                <w:b/>
                <w:sz w:val="24"/>
              </w:rPr>
              <w:t xml:space="preserve">        </w:t>
            </w:r>
            <w:r>
              <w:rPr>
                <w:rFonts w:hint="eastAsia" w:hAnsi="宋体"/>
                <w:b/>
                <w:sz w:val="24"/>
              </w:rPr>
              <w:t xml:space="preserve">     </w:t>
            </w:r>
            <w:r>
              <w:rPr>
                <w:rFonts w:hAnsi="宋体"/>
                <w:b/>
                <w:sz w:val="24"/>
              </w:rPr>
              <w:t xml:space="preserve">  建设单位信息公开一览表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5884"/>
              <w:gridCol w:w="22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pct"/>
                  <w:vAlign w:val="center"/>
                </w:tcPr>
                <w:p>
                  <w:pPr>
                    <w:adjustRightInd w:val="0"/>
                    <w:ind w:left="113" w:right="113"/>
                    <w:jc w:val="center"/>
                    <w:textAlignment w:val="baseline"/>
                    <w:rPr>
                      <w:b/>
                      <w:kern w:val="0"/>
                      <w:szCs w:val="21"/>
                    </w:rPr>
                  </w:pPr>
                  <w:r>
                    <w:rPr>
                      <w:b/>
                      <w:kern w:val="0"/>
                      <w:szCs w:val="21"/>
                    </w:rPr>
                    <w:t>序号</w:t>
                  </w:r>
                </w:p>
              </w:tc>
              <w:tc>
                <w:tcPr>
                  <w:tcW w:w="3152" w:type="pct"/>
                  <w:vAlign w:val="center"/>
                </w:tcPr>
                <w:p>
                  <w:pPr>
                    <w:adjustRightInd w:val="0"/>
                    <w:ind w:left="113" w:right="113"/>
                    <w:jc w:val="center"/>
                    <w:textAlignment w:val="baseline"/>
                    <w:rPr>
                      <w:b/>
                      <w:kern w:val="0"/>
                      <w:szCs w:val="21"/>
                    </w:rPr>
                  </w:pPr>
                  <w:r>
                    <w:rPr>
                      <w:b/>
                      <w:kern w:val="0"/>
                      <w:szCs w:val="21"/>
                    </w:rPr>
                    <w:t>项目</w:t>
                  </w:r>
                </w:p>
              </w:tc>
              <w:tc>
                <w:tcPr>
                  <w:tcW w:w="1218" w:type="pct"/>
                  <w:vAlign w:val="center"/>
                </w:tcPr>
                <w:p>
                  <w:pPr>
                    <w:adjustRightInd w:val="0"/>
                    <w:ind w:left="113" w:right="113"/>
                    <w:jc w:val="center"/>
                    <w:textAlignment w:val="baseline"/>
                    <w:rPr>
                      <w:b/>
                      <w:kern w:val="0"/>
                      <w:szCs w:val="21"/>
                    </w:rPr>
                  </w:pPr>
                  <w:r>
                    <w:rPr>
                      <w:b/>
                      <w:kern w:val="0"/>
                      <w:szCs w:val="21"/>
                    </w:rPr>
                    <w:t>公开方式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pct"/>
                  <w:vAlign w:val="center"/>
                </w:tcPr>
                <w:p>
                  <w:pPr>
                    <w:adjustRightInd w:val="0"/>
                    <w:ind w:left="113" w:right="113"/>
                    <w:jc w:val="center"/>
                    <w:textAlignment w:val="baseline"/>
                    <w:rPr>
                      <w:kern w:val="0"/>
                      <w:szCs w:val="21"/>
                    </w:rPr>
                  </w:pPr>
                  <w:r>
                    <w:rPr>
                      <w:kern w:val="0"/>
                      <w:szCs w:val="21"/>
                    </w:rPr>
                    <w:t>1</w:t>
                  </w:r>
                </w:p>
              </w:tc>
              <w:tc>
                <w:tcPr>
                  <w:tcW w:w="3152" w:type="pct"/>
                  <w:vAlign w:val="center"/>
                </w:tcPr>
                <w:p>
                  <w:pPr>
                    <w:adjustRightInd w:val="0"/>
                    <w:ind w:left="113" w:right="113"/>
                    <w:jc w:val="center"/>
                    <w:textAlignment w:val="baseline"/>
                    <w:rPr>
                      <w:kern w:val="0"/>
                      <w:szCs w:val="21"/>
                    </w:rPr>
                  </w:pPr>
                  <w:r>
                    <w:rPr>
                      <w:kern w:val="0"/>
                      <w:szCs w:val="21"/>
                    </w:rPr>
                    <w:t>环境影响评价文件</w:t>
                  </w:r>
                </w:p>
              </w:tc>
              <w:tc>
                <w:tcPr>
                  <w:tcW w:w="1218" w:type="pct"/>
                  <w:vMerge w:val="restart"/>
                  <w:vAlign w:val="center"/>
                </w:tcPr>
                <w:p>
                  <w:pPr>
                    <w:adjustRightInd w:val="0"/>
                    <w:ind w:left="113" w:right="113"/>
                    <w:jc w:val="center"/>
                    <w:textAlignment w:val="baseline"/>
                    <w:rPr>
                      <w:kern w:val="0"/>
                      <w:szCs w:val="21"/>
                    </w:rPr>
                  </w:pPr>
                  <w:r>
                    <w:rPr>
                      <w:kern w:val="0"/>
                      <w:szCs w:val="21"/>
                    </w:rPr>
                    <w:t>报刊、广播、网站等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pct"/>
                  <w:vAlign w:val="center"/>
                </w:tcPr>
                <w:p>
                  <w:pPr>
                    <w:adjustRightInd w:val="0"/>
                    <w:ind w:left="113" w:right="113"/>
                    <w:jc w:val="center"/>
                    <w:textAlignment w:val="baseline"/>
                    <w:rPr>
                      <w:kern w:val="0"/>
                      <w:szCs w:val="21"/>
                    </w:rPr>
                  </w:pPr>
                  <w:r>
                    <w:rPr>
                      <w:kern w:val="0"/>
                      <w:szCs w:val="21"/>
                    </w:rPr>
                    <w:t>2</w:t>
                  </w:r>
                </w:p>
              </w:tc>
              <w:tc>
                <w:tcPr>
                  <w:tcW w:w="3152" w:type="pct"/>
                  <w:vAlign w:val="center"/>
                </w:tcPr>
                <w:p>
                  <w:pPr>
                    <w:autoSpaceDE w:val="0"/>
                    <w:autoSpaceDN w:val="0"/>
                    <w:adjustRightInd w:val="0"/>
                    <w:ind w:left="113" w:right="113"/>
                    <w:jc w:val="center"/>
                    <w:textAlignment w:val="baseline"/>
                    <w:rPr>
                      <w:kern w:val="0"/>
                      <w:szCs w:val="21"/>
                    </w:rPr>
                  </w:pPr>
                  <w:r>
                    <w:rPr>
                      <w:kern w:val="0"/>
                      <w:szCs w:val="21"/>
                    </w:rPr>
                    <w:t>污染防治设施(如封闭厂房</w:t>
                  </w:r>
                  <w:r>
                    <w:rPr>
                      <w:rFonts w:hint="eastAsia"/>
                      <w:kern w:val="0"/>
                      <w:szCs w:val="21"/>
                    </w:rPr>
                    <w:t>、切割、焊接固定区域等</w:t>
                  </w:r>
                  <w:r>
                    <w:rPr>
                      <w:kern w:val="0"/>
                      <w:szCs w:val="21"/>
                    </w:rPr>
                    <w:t>)建设运行情况</w:t>
                  </w:r>
                </w:p>
              </w:tc>
              <w:tc>
                <w:tcPr>
                  <w:tcW w:w="1218" w:type="pct"/>
                  <w:vMerge w:val="continue"/>
                </w:tcPr>
                <w:p>
                  <w:pPr>
                    <w:adjustRightInd w:val="0"/>
                    <w:ind w:left="113" w:right="113"/>
                    <w:jc w:val="center"/>
                    <w:textAlignment w:val="baseline"/>
                    <w:rPr>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pct"/>
                  <w:vAlign w:val="center"/>
                </w:tcPr>
                <w:p>
                  <w:pPr>
                    <w:adjustRightInd w:val="0"/>
                    <w:ind w:left="113" w:right="113"/>
                    <w:jc w:val="center"/>
                    <w:textAlignment w:val="baseline"/>
                    <w:rPr>
                      <w:kern w:val="0"/>
                      <w:szCs w:val="21"/>
                    </w:rPr>
                  </w:pPr>
                  <w:r>
                    <w:rPr>
                      <w:kern w:val="0"/>
                      <w:szCs w:val="21"/>
                    </w:rPr>
                    <w:t>3</w:t>
                  </w:r>
                </w:p>
              </w:tc>
              <w:tc>
                <w:tcPr>
                  <w:tcW w:w="3152" w:type="pct"/>
                  <w:vAlign w:val="center"/>
                </w:tcPr>
                <w:p>
                  <w:pPr>
                    <w:adjustRightInd w:val="0"/>
                    <w:ind w:left="113" w:right="113"/>
                    <w:jc w:val="center"/>
                    <w:textAlignment w:val="baseline"/>
                    <w:rPr>
                      <w:kern w:val="0"/>
                      <w:szCs w:val="21"/>
                    </w:rPr>
                  </w:pPr>
                  <w:r>
                    <w:rPr>
                      <w:kern w:val="0"/>
                      <w:szCs w:val="21"/>
                    </w:rPr>
                    <w:t>污染物排放情况</w:t>
                  </w:r>
                </w:p>
              </w:tc>
              <w:tc>
                <w:tcPr>
                  <w:tcW w:w="1218" w:type="pct"/>
                  <w:vMerge w:val="continue"/>
                </w:tcPr>
                <w:p>
                  <w:pPr>
                    <w:adjustRightInd w:val="0"/>
                    <w:ind w:left="113" w:right="113"/>
                    <w:jc w:val="center"/>
                    <w:textAlignment w:val="baseline"/>
                    <w:rPr>
                      <w:kern w:val="0"/>
                      <w:szCs w:val="21"/>
                    </w:rPr>
                  </w:pPr>
                </w:p>
              </w:tc>
            </w:tr>
          </w:tbl>
          <w:p>
            <w:pPr>
              <w:adjustRightInd w:val="0"/>
              <w:snapToGrid w:val="0"/>
              <w:spacing w:line="500" w:lineRule="exact"/>
              <w:textAlignment w:val="baseline"/>
              <w:rPr>
                <w:b/>
                <w:kern w:val="0"/>
                <w:sz w:val="24"/>
              </w:rPr>
            </w:pPr>
            <w:r>
              <w:rPr>
                <w:rFonts w:hint="eastAsia"/>
                <w:b/>
                <w:kern w:val="0"/>
                <w:sz w:val="24"/>
              </w:rPr>
              <w:t>10</w:t>
            </w:r>
            <w:r>
              <w:rPr>
                <w:b/>
                <w:kern w:val="0"/>
                <w:sz w:val="24"/>
              </w:rPr>
              <w:t>.</w:t>
            </w:r>
            <w:r>
              <w:rPr>
                <w:rFonts w:hint="eastAsia"/>
                <w:b/>
                <w:kern w:val="0"/>
                <w:sz w:val="24"/>
              </w:rPr>
              <w:t>3</w:t>
            </w:r>
            <w:r>
              <w:rPr>
                <w:rFonts w:hAnsi="宋体"/>
                <w:b/>
                <w:kern w:val="0"/>
                <w:sz w:val="24"/>
              </w:rPr>
              <w:t>环境监测计划</w:t>
            </w:r>
          </w:p>
          <w:p>
            <w:pPr>
              <w:pStyle w:val="4"/>
              <w:adjustRightInd w:val="0"/>
              <w:snapToGrid w:val="0"/>
              <w:spacing w:before="0" w:after="0" w:line="500" w:lineRule="exact"/>
              <w:ind w:firstLine="480" w:firstLineChars="200"/>
              <w:rPr>
                <w:b w:val="0"/>
                <w:bCs w:val="0"/>
                <w:sz w:val="24"/>
                <w:szCs w:val="24"/>
              </w:rPr>
            </w:pPr>
            <w:r>
              <w:rPr>
                <w:rFonts w:hint="eastAsia"/>
                <w:b w:val="0"/>
                <w:bCs w:val="0"/>
                <w:sz w:val="24"/>
                <w:szCs w:val="24"/>
              </w:rPr>
              <w:t>10</w:t>
            </w:r>
            <w:r>
              <w:rPr>
                <w:b w:val="0"/>
                <w:bCs w:val="0"/>
                <w:sz w:val="24"/>
                <w:szCs w:val="24"/>
              </w:rPr>
              <w:t>.</w:t>
            </w:r>
            <w:r>
              <w:rPr>
                <w:rFonts w:hint="eastAsia"/>
                <w:b w:val="0"/>
                <w:bCs w:val="0"/>
                <w:sz w:val="24"/>
                <w:szCs w:val="24"/>
              </w:rPr>
              <w:t>3</w:t>
            </w:r>
            <w:r>
              <w:rPr>
                <w:b w:val="0"/>
                <w:bCs w:val="0"/>
                <w:sz w:val="24"/>
                <w:szCs w:val="24"/>
              </w:rPr>
              <w:t>.1</w:t>
            </w:r>
            <w:r>
              <w:rPr>
                <w:rFonts w:hAnsi="宋体"/>
                <w:b w:val="0"/>
                <w:bCs w:val="0"/>
                <w:sz w:val="24"/>
                <w:szCs w:val="24"/>
              </w:rPr>
              <w:t>监测机构的设置及职责</w:t>
            </w:r>
          </w:p>
          <w:p>
            <w:pPr>
              <w:adjustRightInd w:val="0"/>
              <w:snapToGrid w:val="0"/>
              <w:spacing w:line="500" w:lineRule="exact"/>
              <w:ind w:firstLine="480" w:firstLineChars="200"/>
              <w:rPr>
                <w:sz w:val="24"/>
              </w:rPr>
            </w:pPr>
            <w:r>
              <w:rPr>
                <w:rFonts w:hAnsi="宋体"/>
                <w:sz w:val="24"/>
              </w:rPr>
              <w:t>项目设专人负责监测事宜，且要求负责人必须具备环保技能，掌握国家规定的统一监测方法及环保文件等，对评价中提出的监控计划保证合格完成。监测机构的主要职责为：</w:t>
            </w:r>
          </w:p>
          <w:p>
            <w:pPr>
              <w:adjustRightInd w:val="0"/>
              <w:snapToGrid w:val="0"/>
              <w:spacing w:line="500" w:lineRule="exact"/>
              <w:ind w:firstLine="480" w:firstLineChars="200"/>
              <w:rPr>
                <w:sz w:val="24"/>
              </w:rPr>
            </w:pPr>
            <w:r>
              <w:rPr>
                <w:rFonts w:hAnsi="宋体"/>
                <w:sz w:val="24"/>
              </w:rPr>
              <w:t>（</w:t>
            </w:r>
            <w:r>
              <w:rPr>
                <w:sz w:val="24"/>
              </w:rPr>
              <w:t>1</w:t>
            </w:r>
            <w:r>
              <w:rPr>
                <w:rFonts w:hAnsi="宋体"/>
                <w:sz w:val="24"/>
              </w:rPr>
              <w:t>）定期委托资质单位对各类污染防治设施（设备）运行进行监测评价，随时掌握其正常及非正常运行状况。监测结果异常时查明原因，及时上报。</w:t>
            </w:r>
          </w:p>
          <w:p>
            <w:pPr>
              <w:adjustRightInd w:val="0"/>
              <w:snapToGrid w:val="0"/>
              <w:spacing w:line="500" w:lineRule="exact"/>
              <w:ind w:firstLine="480" w:firstLineChars="200"/>
              <w:rPr>
                <w:sz w:val="24"/>
              </w:rPr>
            </w:pPr>
            <w:r>
              <w:rPr>
                <w:rFonts w:hAnsi="宋体"/>
                <w:sz w:val="24"/>
              </w:rPr>
              <w:t>（</w:t>
            </w:r>
            <w:r>
              <w:rPr>
                <w:sz w:val="24"/>
              </w:rPr>
              <w:t>2</w:t>
            </w:r>
            <w:r>
              <w:rPr>
                <w:rFonts w:hAnsi="宋体"/>
                <w:sz w:val="24"/>
              </w:rPr>
              <w:t>）分析污染物排放规律，整理监测数据，并建立企业环保档案。</w:t>
            </w:r>
          </w:p>
          <w:p>
            <w:pPr>
              <w:adjustRightInd w:val="0"/>
              <w:snapToGrid w:val="0"/>
              <w:spacing w:line="500" w:lineRule="exact"/>
              <w:ind w:firstLine="480" w:firstLineChars="200"/>
              <w:rPr>
                <w:sz w:val="24"/>
              </w:rPr>
            </w:pPr>
            <w:r>
              <w:rPr>
                <w:rFonts w:hAnsi="宋体"/>
                <w:sz w:val="24"/>
              </w:rPr>
              <w:t>（</w:t>
            </w:r>
            <w:r>
              <w:rPr>
                <w:sz w:val="24"/>
              </w:rPr>
              <w:t>3</w:t>
            </w:r>
            <w:r>
              <w:rPr>
                <w:rFonts w:hAnsi="宋体"/>
                <w:sz w:val="24"/>
              </w:rPr>
              <w:t>）加强监测设备的维护保养和校验工作，确保监测工作正常运行。</w:t>
            </w:r>
          </w:p>
          <w:p>
            <w:pPr>
              <w:adjustRightInd w:val="0"/>
              <w:snapToGrid w:val="0"/>
              <w:spacing w:line="500" w:lineRule="exact"/>
              <w:ind w:firstLine="480" w:firstLineChars="200"/>
              <w:rPr>
                <w:sz w:val="24"/>
              </w:rPr>
            </w:pPr>
            <w:r>
              <w:rPr>
                <w:rFonts w:hAnsi="宋体"/>
                <w:sz w:val="24"/>
              </w:rPr>
              <w:t>（</w:t>
            </w:r>
            <w:r>
              <w:rPr>
                <w:sz w:val="24"/>
              </w:rPr>
              <w:t>4</w:t>
            </w:r>
            <w:r>
              <w:rPr>
                <w:rFonts w:hAnsi="宋体"/>
                <w:sz w:val="24"/>
              </w:rPr>
              <w:t>）接受地方环保部门的指导和监督。</w:t>
            </w:r>
          </w:p>
          <w:p>
            <w:pPr>
              <w:pStyle w:val="4"/>
              <w:adjustRightInd w:val="0"/>
              <w:snapToGrid w:val="0"/>
              <w:spacing w:before="0" w:after="0" w:line="500" w:lineRule="exact"/>
              <w:ind w:firstLine="480" w:firstLineChars="200"/>
              <w:rPr>
                <w:b w:val="0"/>
                <w:bCs w:val="0"/>
                <w:sz w:val="24"/>
                <w:szCs w:val="24"/>
              </w:rPr>
            </w:pPr>
            <w:r>
              <w:rPr>
                <w:rFonts w:hint="eastAsia"/>
                <w:b w:val="0"/>
                <w:bCs w:val="0"/>
                <w:sz w:val="24"/>
                <w:szCs w:val="24"/>
              </w:rPr>
              <w:t>10.3</w:t>
            </w:r>
            <w:r>
              <w:rPr>
                <w:b w:val="0"/>
                <w:bCs w:val="0"/>
                <w:sz w:val="24"/>
                <w:szCs w:val="24"/>
              </w:rPr>
              <w:t>.2环境监测内容</w:t>
            </w:r>
          </w:p>
          <w:p>
            <w:pPr>
              <w:adjustRightInd w:val="0"/>
              <w:snapToGrid w:val="0"/>
              <w:spacing w:line="500" w:lineRule="exact"/>
              <w:ind w:firstLine="480" w:firstLineChars="200"/>
              <w:rPr>
                <w:sz w:val="24"/>
              </w:rPr>
            </w:pPr>
            <w:r>
              <w:rPr>
                <w:rFonts w:hAnsi="宋体"/>
                <w:sz w:val="24"/>
              </w:rPr>
              <w:t>本工程具体环境监测内容详见下表</w:t>
            </w:r>
            <w:r>
              <w:rPr>
                <w:rFonts w:hint="eastAsia" w:hAnsi="宋体"/>
                <w:sz w:val="24"/>
              </w:rPr>
              <w:t>58</w:t>
            </w:r>
            <w:r>
              <w:rPr>
                <w:rFonts w:hAnsi="宋体"/>
                <w:sz w:val="24"/>
              </w:rPr>
              <w:t>。</w:t>
            </w:r>
          </w:p>
          <w:p>
            <w:pPr>
              <w:autoSpaceDE w:val="0"/>
              <w:autoSpaceDN w:val="0"/>
              <w:adjustRightInd w:val="0"/>
              <w:snapToGrid w:val="0"/>
              <w:spacing w:line="400" w:lineRule="exact"/>
              <w:ind w:left="420" w:leftChars="200" w:firstLine="118" w:firstLineChars="49"/>
              <w:rPr>
                <w:rFonts w:hAnsi="宋体"/>
                <w:b/>
                <w:sz w:val="24"/>
              </w:rPr>
            </w:pPr>
            <w:r>
              <w:rPr>
                <w:rFonts w:hAnsi="宋体"/>
                <w:b/>
                <w:sz w:val="24"/>
              </w:rPr>
              <w:t>表</w:t>
            </w:r>
            <w:r>
              <w:rPr>
                <w:rFonts w:hint="eastAsia" w:hAnsi="宋体"/>
                <w:b/>
                <w:sz w:val="24"/>
              </w:rPr>
              <w:t xml:space="preserve">58     </w:t>
            </w:r>
            <w:r>
              <w:rPr>
                <w:rFonts w:hAnsi="宋体"/>
                <w:b/>
                <w:sz w:val="24"/>
              </w:rPr>
              <w:t xml:space="preserve"> </w:t>
            </w:r>
            <w:r>
              <w:rPr>
                <w:rFonts w:hint="eastAsia" w:hAnsi="宋体"/>
                <w:b/>
                <w:sz w:val="24"/>
              </w:rPr>
              <w:t xml:space="preserve">        </w:t>
            </w:r>
            <w:r>
              <w:rPr>
                <w:rFonts w:hAnsi="宋体"/>
                <w:b/>
                <w:sz w:val="24"/>
              </w:rPr>
              <w:t xml:space="preserve"> </w:t>
            </w:r>
            <w:r>
              <w:rPr>
                <w:rFonts w:hint="eastAsia" w:hAnsi="宋体"/>
                <w:b/>
                <w:sz w:val="24"/>
              </w:rPr>
              <w:t>环境监测计划一览表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85" w:type="dxa"/>
                <w:bottom w:w="0" w:type="dxa"/>
                <w:right w:w="85" w:type="dxa"/>
              </w:tblCellMar>
            </w:tblPr>
            <w:tblGrid>
              <w:gridCol w:w="1176"/>
              <w:gridCol w:w="1542"/>
              <w:gridCol w:w="1682"/>
              <w:gridCol w:w="1820"/>
              <w:gridCol w:w="311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85" w:type="dxa"/>
                  <w:bottom w:w="0" w:type="dxa"/>
                  <w:right w:w="85" w:type="dxa"/>
                </w:tblCellMar>
              </w:tblPrEx>
              <w:trPr>
                <w:trHeight w:val="244" w:hRule="atLeast"/>
                <w:jc w:val="center"/>
              </w:trPr>
              <w:tc>
                <w:tcPr>
                  <w:tcW w:w="630" w:type="pct"/>
                  <w:vAlign w:val="center"/>
                </w:tcPr>
                <w:p>
                  <w:pPr>
                    <w:tabs>
                      <w:tab w:val="left" w:pos="6299"/>
                    </w:tabs>
                    <w:jc w:val="center"/>
                    <w:rPr>
                      <w:bCs/>
                      <w:spacing w:val="-4"/>
                      <w:szCs w:val="21"/>
                    </w:rPr>
                  </w:pPr>
                  <w:r>
                    <w:rPr>
                      <w:bCs/>
                      <w:spacing w:val="-4"/>
                      <w:szCs w:val="21"/>
                    </w:rPr>
                    <w:t>阶段</w:t>
                  </w:r>
                </w:p>
              </w:tc>
              <w:tc>
                <w:tcPr>
                  <w:tcW w:w="826" w:type="pct"/>
                  <w:vAlign w:val="center"/>
                </w:tcPr>
                <w:p>
                  <w:pPr>
                    <w:tabs>
                      <w:tab w:val="left" w:pos="6299"/>
                    </w:tabs>
                    <w:jc w:val="center"/>
                    <w:rPr>
                      <w:bCs/>
                      <w:spacing w:val="-4"/>
                      <w:szCs w:val="21"/>
                    </w:rPr>
                  </w:pPr>
                  <w:r>
                    <w:rPr>
                      <w:bCs/>
                      <w:spacing w:val="-4"/>
                      <w:szCs w:val="21"/>
                    </w:rPr>
                    <w:t>类别</w:t>
                  </w:r>
                </w:p>
              </w:tc>
              <w:tc>
                <w:tcPr>
                  <w:tcW w:w="901" w:type="pct"/>
                  <w:vAlign w:val="center"/>
                </w:tcPr>
                <w:p>
                  <w:pPr>
                    <w:tabs>
                      <w:tab w:val="left" w:pos="6299"/>
                    </w:tabs>
                    <w:jc w:val="center"/>
                    <w:rPr>
                      <w:bCs/>
                      <w:spacing w:val="-4"/>
                      <w:szCs w:val="21"/>
                    </w:rPr>
                  </w:pPr>
                  <w:r>
                    <w:rPr>
                      <w:bCs/>
                      <w:spacing w:val="-4"/>
                      <w:szCs w:val="21"/>
                    </w:rPr>
                    <w:t>监测点位</w:t>
                  </w:r>
                </w:p>
              </w:tc>
              <w:tc>
                <w:tcPr>
                  <w:tcW w:w="975" w:type="pct"/>
                  <w:vAlign w:val="center"/>
                </w:tcPr>
                <w:p>
                  <w:pPr>
                    <w:jc w:val="center"/>
                    <w:rPr>
                      <w:szCs w:val="21"/>
                    </w:rPr>
                  </w:pPr>
                  <w:r>
                    <w:rPr>
                      <w:szCs w:val="21"/>
                    </w:rPr>
                    <w:t>监测指标</w:t>
                  </w:r>
                </w:p>
              </w:tc>
              <w:tc>
                <w:tcPr>
                  <w:tcW w:w="1668" w:type="pct"/>
                  <w:vAlign w:val="center"/>
                </w:tcPr>
                <w:p>
                  <w:pPr>
                    <w:jc w:val="center"/>
                    <w:rPr>
                      <w:szCs w:val="21"/>
                    </w:rPr>
                  </w:pPr>
                  <w:r>
                    <w:rPr>
                      <w:szCs w:val="21"/>
                    </w:rPr>
                    <w:t>监测频次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85" w:type="dxa"/>
                  <w:bottom w:w="0" w:type="dxa"/>
                  <w:right w:w="85" w:type="dxa"/>
                </w:tblCellMar>
              </w:tblPrEx>
              <w:trPr>
                <w:trHeight w:val="244" w:hRule="atLeast"/>
                <w:jc w:val="center"/>
              </w:trPr>
              <w:tc>
                <w:tcPr>
                  <w:tcW w:w="630" w:type="pct"/>
                  <w:vMerge w:val="restart"/>
                  <w:vAlign w:val="center"/>
                </w:tcPr>
                <w:p>
                  <w:pPr>
                    <w:tabs>
                      <w:tab w:val="left" w:pos="6299"/>
                    </w:tabs>
                    <w:jc w:val="center"/>
                    <w:rPr>
                      <w:bCs/>
                      <w:spacing w:val="-4"/>
                      <w:szCs w:val="21"/>
                    </w:rPr>
                  </w:pPr>
                  <w:r>
                    <w:rPr>
                      <w:rFonts w:hint="eastAsia"/>
                      <w:bCs/>
                      <w:spacing w:val="-4"/>
                      <w:szCs w:val="21"/>
                    </w:rPr>
                    <w:t>营运期</w:t>
                  </w:r>
                </w:p>
              </w:tc>
              <w:tc>
                <w:tcPr>
                  <w:tcW w:w="826" w:type="pct"/>
                  <w:vMerge w:val="restart"/>
                  <w:vAlign w:val="center"/>
                </w:tcPr>
                <w:p>
                  <w:pPr>
                    <w:tabs>
                      <w:tab w:val="left" w:pos="6299"/>
                    </w:tabs>
                    <w:jc w:val="center"/>
                    <w:rPr>
                      <w:bCs/>
                      <w:spacing w:val="-4"/>
                      <w:szCs w:val="21"/>
                    </w:rPr>
                  </w:pPr>
                  <w:r>
                    <w:rPr>
                      <w:rFonts w:hint="eastAsia"/>
                      <w:bCs/>
                      <w:spacing w:val="-4"/>
                      <w:szCs w:val="21"/>
                    </w:rPr>
                    <w:t>废气</w:t>
                  </w:r>
                </w:p>
              </w:tc>
              <w:tc>
                <w:tcPr>
                  <w:tcW w:w="901" w:type="pct"/>
                  <w:vAlign w:val="center"/>
                </w:tcPr>
                <w:p>
                  <w:pPr>
                    <w:tabs>
                      <w:tab w:val="left" w:pos="6299"/>
                    </w:tabs>
                    <w:jc w:val="center"/>
                    <w:rPr>
                      <w:bCs/>
                      <w:spacing w:val="-4"/>
                      <w:szCs w:val="21"/>
                    </w:rPr>
                  </w:pPr>
                  <w:r>
                    <w:rPr>
                      <w:rFonts w:hint="eastAsia"/>
                      <w:bCs/>
                      <w:spacing w:val="-4"/>
                      <w:szCs w:val="21"/>
                    </w:rPr>
                    <w:t>排气筒</w:t>
                  </w:r>
                </w:p>
              </w:tc>
              <w:tc>
                <w:tcPr>
                  <w:tcW w:w="975" w:type="pct"/>
                  <w:vAlign w:val="center"/>
                </w:tcPr>
                <w:p>
                  <w:pPr>
                    <w:jc w:val="center"/>
                    <w:rPr>
                      <w:szCs w:val="21"/>
                    </w:rPr>
                  </w:pPr>
                  <w:r>
                    <w:rPr>
                      <w:rFonts w:hint="eastAsia"/>
                      <w:szCs w:val="21"/>
                    </w:rPr>
                    <w:t>颗粒物</w:t>
                  </w:r>
                </w:p>
              </w:tc>
              <w:tc>
                <w:tcPr>
                  <w:tcW w:w="1668" w:type="pct"/>
                  <w:vAlign w:val="center"/>
                </w:tcPr>
                <w:p>
                  <w:pPr>
                    <w:jc w:val="center"/>
                    <w:rPr>
                      <w:szCs w:val="21"/>
                    </w:rPr>
                  </w:pPr>
                  <w:r>
                    <w:rPr>
                      <w:rFonts w:hint="eastAsia"/>
                      <w:szCs w:val="21"/>
                    </w:rPr>
                    <w:t>每半年监测一次连续监测2天，每天监测3次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85" w:type="dxa"/>
                  <w:bottom w:w="0" w:type="dxa"/>
                  <w:right w:w="85" w:type="dxa"/>
                </w:tblCellMar>
              </w:tblPrEx>
              <w:trPr>
                <w:trHeight w:val="244" w:hRule="atLeast"/>
                <w:jc w:val="center"/>
              </w:trPr>
              <w:tc>
                <w:tcPr>
                  <w:tcW w:w="630" w:type="pct"/>
                  <w:vMerge w:val="continue"/>
                  <w:vAlign w:val="center"/>
                </w:tcPr>
                <w:p>
                  <w:pPr>
                    <w:tabs>
                      <w:tab w:val="left" w:pos="6299"/>
                    </w:tabs>
                    <w:jc w:val="center"/>
                    <w:rPr>
                      <w:bCs/>
                      <w:spacing w:val="-4"/>
                      <w:szCs w:val="21"/>
                    </w:rPr>
                  </w:pPr>
                </w:p>
              </w:tc>
              <w:tc>
                <w:tcPr>
                  <w:tcW w:w="826" w:type="pct"/>
                  <w:vMerge w:val="continue"/>
                  <w:vAlign w:val="center"/>
                </w:tcPr>
                <w:p>
                  <w:pPr>
                    <w:tabs>
                      <w:tab w:val="left" w:pos="6299"/>
                    </w:tabs>
                    <w:jc w:val="center"/>
                    <w:rPr>
                      <w:bCs/>
                      <w:spacing w:val="-4"/>
                      <w:szCs w:val="21"/>
                    </w:rPr>
                  </w:pPr>
                </w:p>
              </w:tc>
              <w:tc>
                <w:tcPr>
                  <w:tcW w:w="901" w:type="pct"/>
                  <w:vAlign w:val="center"/>
                </w:tcPr>
                <w:p>
                  <w:pPr>
                    <w:tabs>
                      <w:tab w:val="left" w:pos="6299"/>
                    </w:tabs>
                    <w:jc w:val="center"/>
                    <w:rPr>
                      <w:bCs/>
                      <w:spacing w:val="-4"/>
                      <w:szCs w:val="21"/>
                    </w:rPr>
                  </w:pPr>
                  <w:r>
                    <w:rPr>
                      <w:rFonts w:hint="eastAsia"/>
                      <w:bCs/>
                      <w:spacing w:val="-4"/>
                      <w:szCs w:val="21"/>
                    </w:rPr>
                    <w:t>上、下风向</w:t>
                  </w:r>
                </w:p>
              </w:tc>
              <w:tc>
                <w:tcPr>
                  <w:tcW w:w="975" w:type="pct"/>
                  <w:vAlign w:val="center"/>
                </w:tcPr>
                <w:p>
                  <w:pPr>
                    <w:jc w:val="center"/>
                    <w:rPr>
                      <w:szCs w:val="21"/>
                    </w:rPr>
                  </w:pPr>
                  <w:r>
                    <w:rPr>
                      <w:rFonts w:hint="eastAsia"/>
                      <w:szCs w:val="21"/>
                    </w:rPr>
                    <w:t>颗粒物</w:t>
                  </w:r>
                </w:p>
              </w:tc>
              <w:tc>
                <w:tcPr>
                  <w:tcW w:w="1668" w:type="pct"/>
                  <w:vAlign w:val="center"/>
                </w:tcPr>
                <w:p>
                  <w:pPr>
                    <w:jc w:val="center"/>
                    <w:rPr>
                      <w:szCs w:val="21"/>
                    </w:rPr>
                  </w:pPr>
                  <w:r>
                    <w:rPr>
                      <w:rFonts w:hint="eastAsia"/>
                      <w:szCs w:val="21"/>
                    </w:rPr>
                    <w:t>每半年监测一次连续监测2天，每天监测3次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85" w:type="dxa"/>
                  <w:bottom w:w="0" w:type="dxa"/>
                  <w:right w:w="85" w:type="dxa"/>
                </w:tblCellMar>
              </w:tblPrEx>
              <w:trPr>
                <w:trHeight w:val="244" w:hRule="atLeast"/>
                <w:jc w:val="center"/>
              </w:trPr>
              <w:tc>
                <w:tcPr>
                  <w:tcW w:w="630" w:type="pct"/>
                  <w:vMerge w:val="continue"/>
                  <w:vAlign w:val="center"/>
                </w:tcPr>
                <w:p>
                  <w:pPr>
                    <w:tabs>
                      <w:tab w:val="left" w:pos="6299"/>
                    </w:tabs>
                    <w:jc w:val="center"/>
                    <w:rPr>
                      <w:bCs/>
                      <w:spacing w:val="-4"/>
                      <w:szCs w:val="21"/>
                    </w:rPr>
                  </w:pPr>
                </w:p>
              </w:tc>
              <w:tc>
                <w:tcPr>
                  <w:tcW w:w="826" w:type="pct"/>
                  <w:vAlign w:val="center"/>
                </w:tcPr>
                <w:p>
                  <w:pPr>
                    <w:tabs>
                      <w:tab w:val="left" w:pos="6299"/>
                    </w:tabs>
                    <w:jc w:val="center"/>
                    <w:rPr>
                      <w:bCs/>
                      <w:spacing w:val="-4"/>
                      <w:szCs w:val="21"/>
                    </w:rPr>
                  </w:pPr>
                  <w:r>
                    <w:rPr>
                      <w:bCs/>
                      <w:spacing w:val="-4"/>
                      <w:szCs w:val="21"/>
                    </w:rPr>
                    <w:t>噪声</w:t>
                  </w:r>
                </w:p>
              </w:tc>
              <w:tc>
                <w:tcPr>
                  <w:tcW w:w="901" w:type="pct"/>
                  <w:vAlign w:val="center"/>
                </w:tcPr>
                <w:p>
                  <w:pPr>
                    <w:tabs>
                      <w:tab w:val="left" w:pos="6299"/>
                    </w:tabs>
                    <w:jc w:val="center"/>
                    <w:rPr>
                      <w:bCs/>
                      <w:spacing w:val="-4"/>
                      <w:szCs w:val="21"/>
                    </w:rPr>
                  </w:pPr>
                  <w:r>
                    <w:rPr>
                      <w:bCs/>
                      <w:spacing w:val="-4"/>
                      <w:szCs w:val="21"/>
                    </w:rPr>
                    <w:t>四周厂界</w:t>
                  </w:r>
                </w:p>
              </w:tc>
              <w:tc>
                <w:tcPr>
                  <w:tcW w:w="975" w:type="pct"/>
                  <w:vAlign w:val="center"/>
                </w:tcPr>
                <w:p>
                  <w:pPr>
                    <w:tabs>
                      <w:tab w:val="left" w:pos="6299"/>
                    </w:tabs>
                    <w:jc w:val="center"/>
                    <w:rPr>
                      <w:bCs/>
                      <w:spacing w:val="-4"/>
                      <w:szCs w:val="21"/>
                    </w:rPr>
                  </w:pPr>
                  <w:r>
                    <w:rPr>
                      <w:bCs/>
                      <w:spacing w:val="-4"/>
                      <w:szCs w:val="21"/>
                    </w:rPr>
                    <w:t>连续等效声级</w:t>
                  </w:r>
                </w:p>
              </w:tc>
              <w:tc>
                <w:tcPr>
                  <w:tcW w:w="1668" w:type="pct"/>
                  <w:vAlign w:val="center"/>
                </w:tcPr>
                <w:p>
                  <w:pPr>
                    <w:tabs>
                      <w:tab w:val="left" w:pos="6299"/>
                    </w:tabs>
                    <w:jc w:val="center"/>
                    <w:rPr>
                      <w:bCs/>
                      <w:spacing w:val="-4"/>
                      <w:szCs w:val="21"/>
                    </w:rPr>
                  </w:pPr>
                  <w:r>
                    <w:rPr>
                      <w:bCs/>
                      <w:spacing w:val="-4"/>
                      <w:szCs w:val="21"/>
                    </w:rPr>
                    <w:t>每</w:t>
                  </w:r>
                  <w:r>
                    <w:rPr>
                      <w:rFonts w:hint="eastAsia"/>
                      <w:bCs/>
                      <w:spacing w:val="-4"/>
                      <w:szCs w:val="21"/>
                    </w:rPr>
                    <w:t>年</w:t>
                  </w:r>
                  <w:r>
                    <w:rPr>
                      <w:bCs/>
                      <w:spacing w:val="-4"/>
                      <w:szCs w:val="21"/>
                    </w:rPr>
                    <w:t>一次，每次两天，昼</w:t>
                  </w:r>
                  <w:r>
                    <w:rPr>
                      <w:rFonts w:hint="eastAsia"/>
                      <w:bCs/>
                      <w:spacing w:val="-4"/>
                      <w:szCs w:val="21"/>
                    </w:rPr>
                    <w:t>间一次</w:t>
                  </w:r>
                </w:p>
              </w:tc>
            </w:tr>
          </w:tbl>
          <w:p>
            <w:pPr>
              <w:pStyle w:val="4"/>
              <w:adjustRightInd w:val="0"/>
              <w:snapToGrid w:val="0"/>
              <w:spacing w:before="0" w:after="0" w:line="500" w:lineRule="exact"/>
              <w:ind w:firstLine="480" w:firstLineChars="200"/>
              <w:rPr>
                <w:b w:val="0"/>
                <w:bCs w:val="0"/>
                <w:sz w:val="24"/>
                <w:szCs w:val="24"/>
              </w:rPr>
            </w:pPr>
            <w:r>
              <w:rPr>
                <w:rFonts w:hint="eastAsia"/>
                <w:b w:val="0"/>
                <w:bCs w:val="0"/>
                <w:sz w:val="24"/>
                <w:szCs w:val="24"/>
              </w:rPr>
              <w:t>10</w:t>
            </w:r>
            <w:r>
              <w:rPr>
                <w:b w:val="0"/>
                <w:bCs w:val="0"/>
                <w:sz w:val="24"/>
                <w:szCs w:val="24"/>
              </w:rPr>
              <w:t>.3.3</w:t>
            </w:r>
            <w:r>
              <w:rPr>
                <w:rFonts w:hAnsi="宋体"/>
                <w:b w:val="0"/>
                <w:bCs w:val="0"/>
                <w:sz w:val="24"/>
                <w:szCs w:val="24"/>
              </w:rPr>
              <w:t>监测报告制度</w:t>
            </w:r>
          </w:p>
          <w:p>
            <w:pPr>
              <w:adjustRightInd w:val="0"/>
              <w:snapToGrid w:val="0"/>
              <w:spacing w:line="500" w:lineRule="exact"/>
              <w:ind w:firstLine="480" w:firstLineChars="200"/>
              <w:textAlignment w:val="baseline"/>
              <w:rPr>
                <w:kern w:val="0"/>
                <w:sz w:val="24"/>
              </w:rPr>
            </w:pPr>
            <w:r>
              <w:rPr>
                <w:rFonts w:hAnsi="宋体"/>
                <w:kern w:val="0"/>
                <w:sz w:val="24"/>
              </w:rPr>
              <w:t>工程建设单位、营运单位应及时按环境监测计划委托监测单位实施监测，每次监测后，由监测单位提供监测报告，委托单位建立环境监测报告制度，做好监测资料存档工作，并将监测结果逐级上报行业主管部门以及当地环境保护主管部门，作为项目环境管理和环境建设的重要依据。</w:t>
            </w:r>
          </w:p>
        </w:tc>
      </w:tr>
    </w:tbl>
    <w:p>
      <w:pPr>
        <w:adjustRightInd w:val="0"/>
        <w:snapToGrid w:val="0"/>
        <w:rPr>
          <w:rFonts w:eastAsia="黑体"/>
          <w:sz w:val="32"/>
        </w:rPr>
        <w:sectPr>
          <w:pgSz w:w="11907" w:h="16840"/>
          <w:pgMar w:top="1440" w:right="1134" w:bottom="1134" w:left="1440" w:header="851" w:footer="567" w:gutter="0"/>
          <w:cols w:space="720" w:num="1"/>
          <w:docGrid w:type="lines" w:linePitch="312" w:charSpace="0"/>
        </w:sectPr>
      </w:pPr>
    </w:p>
    <w:p>
      <w:pPr>
        <w:adjustRightInd w:val="0"/>
        <w:snapToGrid w:val="0"/>
        <w:rPr>
          <w:b/>
          <w:sz w:val="32"/>
        </w:rPr>
      </w:pPr>
      <w:r>
        <w:rPr>
          <w:rFonts w:hAnsi="宋体"/>
          <w:b/>
          <w:sz w:val="32"/>
        </w:rPr>
        <w:t>建设项目拟采取的防治措施及预期治理效果</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1843"/>
        <w:gridCol w:w="2834"/>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8" w:type="pct"/>
            <w:tcBorders>
              <w:tl2br w:val="single" w:color="auto" w:sz="4" w:space="0"/>
            </w:tcBorders>
            <w:vAlign w:val="center"/>
          </w:tcPr>
          <w:p>
            <w:pPr>
              <w:snapToGrid w:val="0"/>
              <w:jc w:val="center"/>
              <w:rPr>
                <w:b/>
                <w:szCs w:val="21"/>
              </w:rPr>
            </w:pPr>
            <w:r>
              <w:rPr>
                <w:rFonts w:hAnsi="宋体"/>
                <w:b/>
                <w:szCs w:val="21"/>
              </w:rPr>
              <w:t>内容</w:t>
            </w:r>
          </w:p>
          <w:p>
            <w:pPr>
              <w:snapToGrid w:val="0"/>
              <w:jc w:val="center"/>
              <w:rPr>
                <w:b/>
                <w:szCs w:val="21"/>
              </w:rPr>
            </w:pPr>
            <w:r>
              <w:rPr>
                <w:rFonts w:hAnsi="宋体"/>
                <w:b/>
                <w:szCs w:val="21"/>
              </w:rPr>
              <w:t>类型</w:t>
            </w:r>
          </w:p>
        </w:tc>
        <w:tc>
          <w:tcPr>
            <w:tcW w:w="594" w:type="pct"/>
            <w:vAlign w:val="center"/>
          </w:tcPr>
          <w:p>
            <w:pPr>
              <w:snapToGrid w:val="0"/>
              <w:jc w:val="center"/>
              <w:rPr>
                <w:b/>
                <w:szCs w:val="21"/>
              </w:rPr>
            </w:pPr>
            <w:r>
              <w:rPr>
                <w:rFonts w:hAnsi="宋体"/>
                <w:b/>
                <w:szCs w:val="21"/>
              </w:rPr>
              <w:t>排放源</w:t>
            </w:r>
          </w:p>
          <w:p>
            <w:pPr>
              <w:snapToGrid w:val="0"/>
              <w:jc w:val="center"/>
              <w:rPr>
                <w:b/>
                <w:szCs w:val="21"/>
              </w:rPr>
            </w:pPr>
            <w:r>
              <w:rPr>
                <w:rFonts w:hAnsi="宋体"/>
                <w:b/>
                <w:szCs w:val="21"/>
              </w:rPr>
              <w:t>（编号）</w:t>
            </w:r>
          </w:p>
        </w:tc>
        <w:tc>
          <w:tcPr>
            <w:tcW w:w="965" w:type="pct"/>
            <w:vAlign w:val="center"/>
          </w:tcPr>
          <w:p>
            <w:pPr>
              <w:snapToGrid w:val="0"/>
              <w:jc w:val="center"/>
              <w:rPr>
                <w:b/>
                <w:szCs w:val="21"/>
              </w:rPr>
            </w:pPr>
            <w:r>
              <w:rPr>
                <w:rFonts w:hAnsi="宋体"/>
                <w:b/>
                <w:szCs w:val="21"/>
              </w:rPr>
              <w:t>污染物名称</w:t>
            </w:r>
          </w:p>
        </w:tc>
        <w:tc>
          <w:tcPr>
            <w:tcW w:w="1484" w:type="pct"/>
            <w:vAlign w:val="center"/>
          </w:tcPr>
          <w:p>
            <w:pPr>
              <w:snapToGrid w:val="0"/>
              <w:jc w:val="center"/>
              <w:rPr>
                <w:b/>
                <w:szCs w:val="21"/>
              </w:rPr>
            </w:pPr>
            <w:r>
              <w:rPr>
                <w:rFonts w:hAnsi="宋体"/>
                <w:b/>
                <w:szCs w:val="21"/>
              </w:rPr>
              <w:t>防治措施</w:t>
            </w:r>
          </w:p>
        </w:tc>
        <w:tc>
          <w:tcPr>
            <w:tcW w:w="1529" w:type="pct"/>
            <w:vAlign w:val="center"/>
          </w:tcPr>
          <w:p>
            <w:pPr>
              <w:snapToGrid w:val="0"/>
              <w:jc w:val="center"/>
              <w:rPr>
                <w:b/>
                <w:szCs w:val="21"/>
              </w:rPr>
            </w:pPr>
            <w:r>
              <w:rPr>
                <w:rFonts w:hAnsi="宋体"/>
                <w:b/>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428" w:type="pct"/>
            <w:vMerge w:val="restart"/>
            <w:vAlign w:val="center"/>
          </w:tcPr>
          <w:p>
            <w:pPr>
              <w:snapToGrid w:val="0"/>
              <w:jc w:val="center"/>
              <w:rPr>
                <w:rFonts w:hAnsi="宋体"/>
                <w:szCs w:val="21"/>
              </w:rPr>
            </w:pPr>
            <w:r>
              <w:rPr>
                <w:rFonts w:hint="eastAsia" w:hAnsi="宋体"/>
                <w:szCs w:val="21"/>
              </w:rPr>
              <w:t>废气</w:t>
            </w:r>
          </w:p>
        </w:tc>
        <w:tc>
          <w:tcPr>
            <w:tcW w:w="594" w:type="pct"/>
            <w:vMerge w:val="restart"/>
            <w:vAlign w:val="center"/>
          </w:tcPr>
          <w:p>
            <w:pPr>
              <w:snapToGrid w:val="0"/>
              <w:jc w:val="center"/>
              <w:rPr>
                <w:rFonts w:hAnsi="宋体"/>
                <w:szCs w:val="21"/>
              </w:rPr>
            </w:pPr>
            <w:r>
              <w:rPr>
                <w:rFonts w:hint="eastAsia" w:hAnsi="宋体"/>
                <w:szCs w:val="21"/>
              </w:rPr>
              <w:t>生产过程</w:t>
            </w:r>
          </w:p>
        </w:tc>
        <w:tc>
          <w:tcPr>
            <w:tcW w:w="965" w:type="pct"/>
            <w:vMerge w:val="restart"/>
            <w:vAlign w:val="center"/>
          </w:tcPr>
          <w:p>
            <w:pPr>
              <w:snapToGrid w:val="0"/>
              <w:jc w:val="center"/>
              <w:rPr>
                <w:rFonts w:hAnsi="宋体"/>
                <w:szCs w:val="21"/>
              </w:rPr>
            </w:pPr>
            <w:r>
              <w:rPr>
                <w:rFonts w:hint="eastAsia" w:hAnsi="宋体"/>
                <w:szCs w:val="21"/>
              </w:rPr>
              <w:t>颗粒物</w:t>
            </w:r>
          </w:p>
        </w:tc>
        <w:tc>
          <w:tcPr>
            <w:tcW w:w="1484" w:type="pct"/>
            <w:vAlign w:val="center"/>
          </w:tcPr>
          <w:p>
            <w:pPr>
              <w:adjustRightInd w:val="0"/>
              <w:snapToGrid w:val="0"/>
              <w:jc w:val="left"/>
              <w:rPr>
                <w:rFonts w:hAnsi="宋体"/>
                <w:szCs w:val="21"/>
              </w:rPr>
            </w:pPr>
            <w:r>
              <w:rPr>
                <w:rFonts w:hint="eastAsia" w:hAnsi="宋体"/>
                <w:szCs w:val="21"/>
              </w:rPr>
              <w:t>设置固定的切割、焊接区域，设置集气罩，切割粉尘、焊接烟尘及打磨粉收集后经1套袋式除尘器处理，风量1000m</w:t>
            </w:r>
            <w:r>
              <w:rPr>
                <w:rFonts w:hint="eastAsia" w:hAnsi="宋体"/>
                <w:szCs w:val="21"/>
                <w:vertAlign w:val="superscript"/>
              </w:rPr>
              <w:t>3</w:t>
            </w:r>
            <w:r>
              <w:rPr>
                <w:rFonts w:hint="eastAsia" w:hAnsi="宋体"/>
                <w:szCs w:val="21"/>
              </w:rPr>
              <w:t>/h，处理达标后经1根15m的排气筒排放</w:t>
            </w:r>
          </w:p>
        </w:tc>
        <w:tc>
          <w:tcPr>
            <w:tcW w:w="1529" w:type="pct"/>
            <w:vMerge w:val="restart"/>
            <w:vAlign w:val="center"/>
          </w:tcPr>
          <w:p>
            <w:pPr>
              <w:snapToGrid w:val="0"/>
              <w:jc w:val="center"/>
              <w:rPr>
                <w:rFonts w:hAnsi="宋体"/>
                <w:szCs w:val="21"/>
              </w:rPr>
            </w:pPr>
            <w:r>
              <w:rPr>
                <w:rFonts w:hint="eastAsia" w:hAnsi="宋体"/>
                <w:szCs w:val="21"/>
              </w:rPr>
              <w:t>满足《大气污染物综合排放标准》无组织排放监控浓度限值（GB16297-1996）和新乡市生态环境局关于进一步规范工业企</w:t>
            </w:r>
            <w:bookmarkStart w:id="1" w:name="_GoBack"/>
            <w:bookmarkEnd w:id="1"/>
            <w:r>
              <w:rPr>
                <w:rFonts w:hint="eastAsia" w:hAnsi="宋体"/>
                <w:szCs w:val="21"/>
              </w:rPr>
              <w:t>业颗粒物排放限值的通知：其他所有涉气工业企业排放口颗粒物排放浓度不高于10mg/m</w:t>
            </w:r>
            <w:r>
              <w:rPr>
                <w:rFonts w:hint="eastAsia" w:hAnsi="宋体"/>
                <w:szCs w:val="21"/>
                <w:vertAlign w:val="superscript"/>
              </w:rPr>
              <w:t>3</w:t>
            </w:r>
            <w:r>
              <w:rPr>
                <w:rFonts w:hint="eastAsia" w:hAnsi="宋体"/>
                <w:szCs w:val="21"/>
              </w:rPr>
              <w:t>，厂界颗粒物排放浓度不高于0.5 mg/m</w:t>
            </w:r>
            <w:r>
              <w:rPr>
                <w:rFonts w:hint="eastAsia" w:hAnsi="宋体"/>
                <w:szCs w:val="21"/>
                <w:vertAlign w:val="superscript"/>
              </w:rPr>
              <w:t>3</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28" w:type="pct"/>
            <w:vMerge w:val="continue"/>
            <w:vAlign w:val="center"/>
          </w:tcPr>
          <w:p>
            <w:pPr>
              <w:snapToGrid w:val="0"/>
              <w:jc w:val="center"/>
              <w:rPr>
                <w:rFonts w:hAnsi="宋体"/>
                <w:szCs w:val="21"/>
              </w:rPr>
            </w:pPr>
          </w:p>
        </w:tc>
        <w:tc>
          <w:tcPr>
            <w:tcW w:w="594" w:type="pct"/>
            <w:vMerge w:val="continue"/>
            <w:vAlign w:val="center"/>
          </w:tcPr>
          <w:p>
            <w:pPr>
              <w:snapToGrid w:val="0"/>
              <w:jc w:val="center"/>
              <w:rPr>
                <w:rFonts w:hAnsi="宋体"/>
                <w:szCs w:val="21"/>
              </w:rPr>
            </w:pPr>
          </w:p>
        </w:tc>
        <w:tc>
          <w:tcPr>
            <w:tcW w:w="965" w:type="pct"/>
            <w:vMerge w:val="continue"/>
            <w:vAlign w:val="center"/>
          </w:tcPr>
          <w:p>
            <w:pPr>
              <w:snapToGrid w:val="0"/>
              <w:jc w:val="center"/>
              <w:rPr>
                <w:rFonts w:hAnsi="宋体"/>
                <w:szCs w:val="21"/>
              </w:rPr>
            </w:pPr>
          </w:p>
        </w:tc>
        <w:tc>
          <w:tcPr>
            <w:tcW w:w="1484" w:type="pct"/>
            <w:vAlign w:val="center"/>
          </w:tcPr>
          <w:p>
            <w:pPr>
              <w:adjustRightInd w:val="0"/>
              <w:snapToGrid w:val="0"/>
              <w:jc w:val="left"/>
              <w:rPr>
                <w:rFonts w:hAnsi="宋体"/>
                <w:szCs w:val="21"/>
              </w:rPr>
            </w:pPr>
            <w:r>
              <w:rPr>
                <w:rFonts w:hint="eastAsia" w:hAnsi="宋体"/>
                <w:szCs w:val="21"/>
              </w:rPr>
              <w:t>无法固定焊接区域的焊接产生的焊接烟尘设置移动式焊接烟尘净化器处理，共设置3套</w:t>
            </w:r>
          </w:p>
        </w:tc>
        <w:tc>
          <w:tcPr>
            <w:tcW w:w="1529" w:type="pct"/>
            <w:vMerge w:val="continue"/>
            <w:vAlign w:val="center"/>
          </w:tcPr>
          <w:p>
            <w:pPr>
              <w:snapToGrid w:val="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428" w:type="pct"/>
            <w:vMerge w:val="continue"/>
            <w:vAlign w:val="center"/>
          </w:tcPr>
          <w:p>
            <w:pPr>
              <w:snapToGrid w:val="0"/>
              <w:jc w:val="center"/>
              <w:rPr>
                <w:rFonts w:hAnsi="宋体"/>
                <w:szCs w:val="21"/>
              </w:rPr>
            </w:pPr>
          </w:p>
        </w:tc>
        <w:tc>
          <w:tcPr>
            <w:tcW w:w="594" w:type="pct"/>
            <w:vAlign w:val="center"/>
          </w:tcPr>
          <w:p>
            <w:pPr>
              <w:snapToGrid w:val="0"/>
              <w:jc w:val="center"/>
              <w:rPr>
                <w:rFonts w:hAnsi="宋体"/>
                <w:szCs w:val="21"/>
              </w:rPr>
            </w:pPr>
            <w:r>
              <w:rPr>
                <w:rFonts w:hint="eastAsia" w:hAnsi="宋体"/>
                <w:szCs w:val="21"/>
              </w:rPr>
              <w:t>喷漆废气</w:t>
            </w:r>
          </w:p>
        </w:tc>
        <w:tc>
          <w:tcPr>
            <w:tcW w:w="965" w:type="pct"/>
            <w:vAlign w:val="center"/>
          </w:tcPr>
          <w:p>
            <w:pPr>
              <w:snapToGrid w:val="0"/>
              <w:jc w:val="center"/>
              <w:rPr>
                <w:rFonts w:hAnsi="宋体"/>
                <w:szCs w:val="21"/>
              </w:rPr>
            </w:pPr>
            <w:r>
              <w:rPr>
                <w:rFonts w:hint="eastAsia" w:hAnsi="宋体"/>
                <w:szCs w:val="21"/>
              </w:rPr>
              <w:t>非甲烷总烃</w:t>
            </w:r>
          </w:p>
        </w:tc>
        <w:tc>
          <w:tcPr>
            <w:tcW w:w="1484" w:type="pct"/>
            <w:vAlign w:val="center"/>
          </w:tcPr>
          <w:p>
            <w:pPr>
              <w:adjustRightInd w:val="0"/>
              <w:snapToGrid w:val="0"/>
              <w:jc w:val="left"/>
              <w:rPr>
                <w:rFonts w:hint="eastAsia" w:hAnsi="宋体"/>
                <w:szCs w:val="21"/>
              </w:rPr>
            </w:pPr>
            <w:r>
              <w:rPr>
                <w:rFonts w:hint="eastAsia" w:hAnsi="宋体"/>
                <w:szCs w:val="21"/>
              </w:rPr>
              <w:t>采用喷淋塔+UV光解+活性炭吸附工艺进行治理，治理后废气经15米排气筒排放</w:t>
            </w:r>
          </w:p>
        </w:tc>
        <w:tc>
          <w:tcPr>
            <w:tcW w:w="1529" w:type="pct"/>
            <w:vAlign w:val="center"/>
          </w:tcPr>
          <w:p>
            <w:pPr>
              <w:snapToGrid w:val="0"/>
              <w:jc w:val="center"/>
              <w:rPr>
                <w:rFonts w:hAnsi="宋体"/>
                <w:szCs w:val="21"/>
              </w:rPr>
            </w:pPr>
            <w:r>
              <w:rPr>
                <w:rFonts w:hint="eastAsia" w:hAnsi="宋体"/>
                <w:szCs w:val="21"/>
              </w:rPr>
              <w:t>《工业涂装工序挥发性有机物排放标准》（DB41/1951-2020）；《关于全省开展工业企业挥发性有机物专项治理工作中排放建议值的通知》（豫环攻坚办[2017]162号）限值要求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428" w:type="pct"/>
            <w:vAlign w:val="center"/>
          </w:tcPr>
          <w:p>
            <w:pPr>
              <w:snapToGrid w:val="0"/>
              <w:jc w:val="center"/>
              <w:rPr>
                <w:szCs w:val="21"/>
              </w:rPr>
            </w:pPr>
            <w:r>
              <w:rPr>
                <w:rFonts w:hAnsi="宋体"/>
                <w:szCs w:val="21"/>
              </w:rPr>
              <w:t>水污染物</w:t>
            </w:r>
          </w:p>
        </w:tc>
        <w:tc>
          <w:tcPr>
            <w:tcW w:w="594" w:type="pct"/>
            <w:vAlign w:val="center"/>
          </w:tcPr>
          <w:p>
            <w:pPr>
              <w:snapToGrid w:val="0"/>
              <w:jc w:val="center"/>
              <w:rPr>
                <w:szCs w:val="21"/>
              </w:rPr>
            </w:pPr>
            <w:r>
              <w:rPr>
                <w:rFonts w:hAnsi="宋体"/>
                <w:szCs w:val="21"/>
              </w:rPr>
              <w:t>职工生活</w:t>
            </w:r>
          </w:p>
        </w:tc>
        <w:tc>
          <w:tcPr>
            <w:tcW w:w="965" w:type="pct"/>
            <w:vAlign w:val="center"/>
          </w:tcPr>
          <w:p>
            <w:pPr>
              <w:snapToGrid w:val="0"/>
              <w:jc w:val="center"/>
              <w:rPr>
                <w:szCs w:val="21"/>
              </w:rPr>
            </w:pPr>
            <w:r>
              <w:rPr>
                <w:rFonts w:hint="eastAsia" w:hAnsi="宋体"/>
                <w:szCs w:val="21"/>
              </w:rPr>
              <w:t>COD、</w:t>
            </w:r>
            <w:r>
              <w:rPr>
                <w:kern w:val="0"/>
                <w:szCs w:val="21"/>
              </w:rPr>
              <w:t>NH</w:t>
            </w:r>
            <w:r>
              <w:rPr>
                <w:kern w:val="0"/>
                <w:szCs w:val="21"/>
                <w:vertAlign w:val="subscript"/>
              </w:rPr>
              <w:t>3</w:t>
            </w:r>
            <w:r>
              <w:rPr>
                <w:kern w:val="0"/>
                <w:szCs w:val="21"/>
              </w:rPr>
              <w:t>-N</w:t>
            </w:r>
            <w:r>
              <w:rPr>
                <w:rFonts w:hint="eastAsia"/>
                <w:kern w:val="0"/>
                <w:szCs w:val="21"/>
              </w:rPr>
              <w:t>、</w:t>
            </w:r>
            <w:r>
              <w:rPr>
                <w:kern w:val="0"/>
                <w:szCs w:val="21"/>
              </w:rPr>
              <w:t>SS</w:t>
            </w:r>
          </w:p>
        </w:tc>
        <w:tc>
          <w:tcPr>
            <w:tcW w:w="1484" w:type="pct"/>
            <w:vAlign w:val="center"/>
          </w:tcPr>
          <w:p>
            <w:pPr>
              <w:snapToGrid w:val="0"/>
              <w:jc w:val="left"/>
              <w:rPr>
                <w:szCs w:val="21"/>
              </w:rPr>
            </w:pPr>
            <w:r>
              <w:rPr>
                <w:rFonts w:hint="eastAsia" w:hAnsi="宋体"/>
                <w:bCs/>
                <w:szCs w:val="21"/>
              </w:rPr>
              <w:t>依托厂区现有化粪池1座（10m</w:t>
            </w:r>
            <w:r>
              <w:rPr>
                <w:rFonts w:hint="eastAsia" w:hAnsi="宋体"/>
                <w:bCs/>
                <w:szCs w:val="21"/>
                <w:vertAlign w:val="superscript"/>
              </w:rPr>
              <w:t>3</w:t>
            </w:r>
            <w:r>
              <w:rPr>
                <w:rFonts w:hint="eastAsia" w:hAnsi="宋体"/>
                <w:bCs/>
                <w:szCs w:val="21"/>
              </w:rPr>
              <w:t>）处理后，定期清运不外排</w:t>
            </w:r>
          </w:p>
        </w:tc>
        <w:tc>
          <w:tcPr>
            <w:tcW w:w="1529" w:type="pct"/>
            <w:vAlign w:val="center"/>
          </w:tcPr>
          <w:p>
            <w:pPr>
              <w:snapToGrid w:val="0"/>
              <w:jc w:val="center"/>
              <w:rPr>
                <w:szCs w:val="21"/>
              </w:rPr>
            </w:pPr>
            <w:r>
              <w:rPr>
                <w:rFonts w:hint="eastAsia" w:hAnsi="宋体"/>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428" w:type="pct"/>
            <w:vMerge w:val="restart"/>
            <w:textDirection w:val="tbRlV"/>
            <w:vAlign w:val="center"/>
          </w:tcPr>
          <w:p>
            <w:pPr>
              <w:snapToGrid w:val="0"/>
              <w:ind w:left="113" w:right="113"/>
              <w:jc w:val="center"/>
              <w:rPr>
                <w:szCs w:val="21"/>
              </w:rPr>
            </w:pPr>
            <w:r>
              <w:rPr>
                <w:rFonts w:hAnsi="宋体"/>
                <w:szCs w:val="21"/>
              </w:rPr>
              <w:t>固体废弃物</w:t>
            </w:r>
          </w:p>
        </w:tc>
        <w:tc>
          <w:tcPr>
            <w:tcW w:w="594" w:type="pct"/>
            <w:vMerge w:val="restart"/>
            <w:vAlign w:val="center"/>
          </w:tcPr>
          <w:p>
            <w:pPr>
              <w:snapToGrid w:val="0"/>
              <w:jc w:val="center"/>
              <w:rPr>
                <w:szCs w:val="21"/>
              </w:rPr>
            </w:pPr>
            <w:r>
              <w:rPr>
                <w:rFonts w:hAnsi="宋体"/>
                <w:szCs w:val="21"/>
              </w:rPr>
              <w:t>生产车间</w:t>
            </w:r>
          </w:p>
        </w:tc>
        <w:tc>
          <w:tcPr>
            <w:tcW w:w="965" w:type="pct"/>
            <w:vAlign w:val="center"/>
          </w:tcPr>
          <w:p>
            <w:pPr>
              <w:pStyle w:val="89"/>
            </w:pPr>
            <w:r>
              <w:rPr>
                <w:rFonts w:hint="eastAsia"/>
              </w:rPr>
              <w:t>边角料及金属屑</w:t>
            </w:r>
          </w:p>
        </w:tc>
        <w:tc>
          <w:tcPr>
            <w:tcW w:w="1484" w:type="pct"/>
            <w:vMerge w:val="restart"/>
            <w:vAlign w:val="center"/>
          </w:tcPr>
          <w:p>
            <w:pPr>
              <w:snapToGrid w:val="0"/>
              <w:jc w:val="left"/>
              <w:rPr>
                <w:szCs w:val="21"/>
              </w:rPr>
            </w:pPr>
            <w:r>
              <w:rPr>
                <w:rFonts w:hint="eastAsia" w:hAnsi="宋体"/>
                <w:szCs w:val="21"/>
              </w:rPr>
              <w:t>暂存于一般固废暂存间，定期外售</w:t>
            </w:r>
          </w:p>
        </w:tc>
        <w:tc>
          <w:tcPr>
            <w:tcW w:w="1529" w:type="pct"/>
            <w:vMerge w:val="restart"/>
            <w:vAlign w:val="center"/>
          </w:tcPr>
          <w:p>
            <w:pPr>
              <w:snapToGrid w:val="0"/>
              <w:jc w:val="center"/>
              <w:rPr>
                <w:szCs w:val="21"/>
              </w:rPr>
            </w:pPr>
            <w:r>
              <w:rPr>
                <w:rFonts w:hint="eastAsia" w:hAnsi="宋体"/>
                <w:szCs w:val="21"/>
              </w:rPr>
              <w:t>满足《一般工业固体废物贮存、处置场污染控制标准》（GB18599-2001）及修改单中的有关规定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428" w:type="pct"/>
            <w:vMerge w:val="continue"/>
            <w:textDirection w:val="tbRlV"/>
            <w:vAlign w:val="center"/>
          </w:tcPr>
          <w:p>
            <w:pPr>
              <w:snapToGrid w:val="0"/>
              <w:ind w:left="113" w:right="113"/>
              <w:jc w:val="center"/>
              <w:rPr>
                <w:rFonts w:hAnsi="宋体"/>
                <w:szCs w:val="21"/>
              </w:rPr>
            </w:pPr>
          </w:p>
        </w:tc>
        <w:tc>
          <w:tcPr>
            <w:tcW w:w="594" w:type="pct"/>
            <w:vMerge w:val="continue"/>
            <w:vAlign w:val="center"/>
          </w:tcPr>
          <w:p>
            <w:pPr>
              <w:snapToGrid w:val="0"/>
              <w:jc w:val="center"/>
              <w:rPr>
                <w:rFonts w:hAnsi="宋体"/>
                <w:szCs w:val="21"/>
              </w:rPr>
            </w:pPr>
          </w:p>
        </w:tc>
        <w:tc>
          <w:tcPr>
            <w:tcW w:w="965" w:type="pct"/>
            <w:vAlign w:val="center"/>
          </w:tcPr>
          <w:p>
            <w:pPr>
              <w:pStyle w:val="89"/>
            </w:pPr>
            <w:r>
              <w:rPr>
                <w:rFonts w:hint="eastAsia"/>
              </w:rPr>
              <w:t>焊渣</w:t>
            </w:r>
          </w:p>
        </w:tc>
        <w:tc>
          <w:tcPr>
            <w:tcW w:w="1484" w:type="pct"/>
            <w:vMerge w:val="continue"/>
            <w:vAlign w:val="center"/>
          </w:tcPr>
          <w:p>
            <w:pPr>
              <w:snapToGrid w:val="0"/>
              <w:jc w:val="left"/>
              <w:rPr>
                <w:rFonts w:hAnsi="宋体"/>
                <w:szCs w:val="21"/>
              </w:rPr>
            </w:pPr>
          </w:p>
        </w:tc>
        <w:tc>
          <w:tcPr>
            <w:tcW w:w="1529" w:type="pct"/>
            <w:vMerge w:val="continue"/>
            <w:vAlign w:val="center"/>
          </w:tcPr>
          <w:p>
            <w:pPr>
              <w:snapToGrid w:val="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428" w:type="pct"/>
            <w:vMerge w:val="continue"/>
            <w:textDirection w:val="tbRlV"/>
            <w:vAlign w:val="center"/>
          </w:tcPr>
          <w:p>
            <w:pPr>
              <w:snapToGrid w:val="0"/>
              <w:ind w:left="113" w:right="113"/>
              <w:jc w:val="center"/>
              <w:rPr>
                <w:rFonts w:hAnsi="宋体"/>
                <w:szCs w:val="21"/>
              </w:rPr>
            </w:pPr>
          </w:p>
        </w:tc>
        <w:tc>
          <w:tcPr>
            <w:tcW w:w="594" w:type="pct"/>
            <w:vMerge w:val="continue"/>
            <w:vAlign w:val="center"/>
          </w:tcPr>
          <w:p>
            <w:pPr>
              <w:snapToGrid w:val="0"/>
              <w:jc w:val="center"/>
              <w:rPr>
                <w:rFonts w:hAnsi="宋体"/>
                <w:szCs w:val="21"/>
              </w:rPr>
            </w:pPr>
          </w:p>
        </w:tc>
        <w:tc>
          <w:tcPr>
            <w:tcW w:w="965" w:type="pct"/>
            <w:vAlign w:val="center"/>
          </w:tcPr>
          <w:p>
            <w:pPr>
              <w:pStyle w:val="89"/>
            </w:pPr>
            <w:r>
              <w:rPr>
                <w:rFonts w:hint="eastAsia"/>
              </w:rPr>
              <w:t>除尘系统收集</w:t>
            </w:r>
            <w:r>
              <w:t>的</w:t>
            </w:r>
            <w:r>
              <w:rPr>
                <w:rFonts w:hint="eastAsia"/>
              </w:rPr>
              <w:t>粉尘</w:t>
            </w:r>
          </w:p>
        </w:tc>
        <w:tc>
          <w:tcPr>
            <w:tcW w:w="1484" w:type="pct"/>
            <w:vMerge w:val="continue"/>
            <w:vAlign w:val="center"/>
          </w:tcPr>
          <w:p>
            <w:pPr>
              <w:snapToGrid w:val="0"/>
              <w:jc w:val="left"/>
              <w:rPr>
                <w:rFonts w:hAnsi="宋体"/>
                <w:szCs w:val="21"/>
              </w:rPr>
            </w:pPr>
          </w:p>
        </w:tc>
        <w:tc>
          <w:tcPr>
            <w:tcW w:w="1529" w:type="pct"/>
            <w:vMerge w:val="continue"/>
            <w:vAlign w:val="center"/>
          </w:tcPr>
          <w:p>
            <w:pPr>
              <w:snapToGrid w:val="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428" w:type="pct"/>
            <w:vMerge w:val="continue"/>
            <w:textDirection w:val="tbRlV"/>
            <w:vAlign w:val="center"/>
          </w:tcPr>
          <w:p>
            <w:pPr>
              <w:snapToGrid w:val="0"/>
              <w:ind w:left="113" w:right="113"/>
              <w:jc w:val="center"/>
              <w:rPr>
                <w:rFonts w:hAnsi="宋体"/>
                <w:szCs w:val="21"/>
              </w:rPr>
            </w:pPr>
          </w:p>
        </w:tc>
        <w:tc>
          <w:tcPr>
            <w:tcW w:w="594" w:type="pct"/>
            <w:vMerge w:val="continue"/>
            <w:vAlign w:val="center"/>
          </w:tcPr>
          <w:p>
            <w:pPr>
              <w:snapToGrid w:val="0"/>
              <w:jc w:val="center"/>
              <w:rPr>
                <w:rFonts w:hAnsi="宋体"/>
                <w:szCs w:val="21"/>
              </w:rPr>
            </w:pPr>
          </w:p>
        </w:tc>
        <w:tc>
          <w:tcPr>
            <w:tcW w:w="965" w:type="pct"/>
            <w:vAlign w:val="center"/>
          </w:tcPr>
          <w:p>
            <w:pPr>
              <w:pStyle w:val="89"/>
            </w:pPr>
            <w:r>
              <w:rPr>
                <w:rFonts w:hint="eastAsia"/>
              </w:rPr>
              <w:t>废切削液</w:t>
            </w:r>
          </w:p>
        </w:tc>
        <w:tc>
          <w:tcPr>
            <w:tcW w:w="1484" w:type="pct"/>
            <w:vMerge w:val="restart"/>
            <w:vAlign w:val="center"/>
          </w:tcPr>
          <w:p>
            <w:pPr>
              <w:snapToGrid w:val="0"/>
              <w:jc w:val="left"/>
              <w:rPr>
                <w:rFonts w:hAnsi="宋体"/>
                <w:szCs w:val="21"/>
              </w:rPr>
            </w:pPr>
            <w:r>
              <w:rPr>
                <w:rFonts w:hint="eastAsia" w:hAnsi="宋体"/>
                <w:szCs w:val="21"/>
              </w:rPr>
              <w:t>暂存于危废暂存间，定期交由有资质的单位进行处理</w:t>
            </w:r>
          </w:p>
        </w:tc>
        <w:tc>
          <w:tcPr>
            <w:tcW w:w="1529" w:type="pct"/>
            <w:vMerge w:val="restart"/>
            <w:vAlign w:val="center"/>
          </w:tcPr>
          <w:p>
            <w:pPr>
              <w:snapToGrid w:val="0"/>
              <w:jc w:val="center"/>
              <w:rPr>
                <w:rFonts w:hAnsi="宋体"/>
                <w:szCs w:val="21"/>
              </w:rPr>
            </w:pPr>
            <w:r>
              <w:rPr>
                <w:rFonts w:hint="eastAsia" w:hAnsi="宋体"/>
                <w:szCs w:val="21"/>
              </w:rPr>
              <w:t>满足《危险废物贮存污染控制标准》（GB18597-2001）及修改单中的有关规定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428" w:type="pct"/>
            <w:vMerge w:val="continue"/>
            <w:textDirection w:val="tbRlV"/>
            <w:vAlign w:val="center"/>
          </w:tcPr>
          <w:p>
            <w:pPr>
              <w:snapToGrid w:val="0"/>
              <w:ind w:left="113" w:right="113"/>
              <w:jc w:val="center"/>
              <w:rPr>
                <w:rFonts w:hAnsi="宋体"/>
                <w:szCs w:val="21"/>
              </w:rPr>
            </w:pPr>
          </w:p>
        </w:tc>
        <w:tc>
          <w:tcPr>
            <w:tcW w:w="594" w:type="pct"/>
            <w:vMerge w:val="continue"/>
            <w:vAlign w:val="center"/>
          </w:tcPr>
          <w:p>
            <w:pPr>
              <w:snapToGrid w:val="0"/>
              <w:jc w:val="center"/>
              <w:rPr>
                <w:rFonts w:hAnsi="宋体"/>
                <w:szCs w:val="21"/>
              </w:rPr>
            </w:pPr>
          </w:p>
        </w:tc>
        <w:tc>
          <w:tcPr>
            <w:tcW w:w="965" w:type="pct"/>
            <w:vAlign w:val="center"/>
          </w:tcPr>
          <w:p>
            <w:pPr>
              <w:pStyle w:val="89"/>
            </w:pPr>
            <w:r>
              <w:rPr>
                <w:rFonts w:hint="eastAsia"/>
              </w:rPr>
              <w:t>废润滑油</w:t>
            </w:r>
          </w:p>
        </w:tc>
        <w:tc>
          <w:tcPr>
            <w:tcW w:w="1484" w:type="pct"/>
            <w:vMerge w:val="continue"/>
            <w:vAlign w:val="center"/>
          </w:tcPr>
          <w:p>
            <w:pPr>
              <w:snapToGrid w:val="0"/>
              <w:jc w:val="left"/>
              <w:rPr>
                <w:rFonts w:hAnsi="宋体"/>
                <w:szCs w:val="21"/>
              </w:rPr>
            </w:pPr>
          </w:p>
        </w:tc>
        <w:tc>
          <w:tcPr>
            <w:tcW w:w="1529" w:type="pct"/>
            <w:vMerge w:val="continue"/>
            <w:vAlign w:val="center"/>
          </w:tcPr>
          <w:p>
            <w:pPr>
              <w:snapToGrid w:val="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428" w:type="pct"/>
            <w:vMerge w:val="continue"/>
            <w:textDirection w:val="tbRlV"/>
            <w:vAlign w:val="center"/>
          </w:tcPr>
          <w:p>
            <w:pPr>
              <w:snapToGrid w:val="0"/>
              <w:ind w:left="113" w:right="113"/>
              <w:jc w:val="center"/>
              <w:rPr>
                <w:rFonts w:hAnsi="宋体"/>
                <w:szCs w:val="21"/>
              </w:rPr>
            </w:pPr>
          </w:p>
        </w:tc>
        <w:tc>
          <w:tcPr>
            <w:tcW w:w="594" w:type="pct"/>
            <w:vMerge w:val="continue"/>
            <w:vAlign w:val="center"/>
          </w:tcPr>
          <w:p>
            <w:pPr>
              <w:snapToGrid w:val="0"/>
              <w:jc w:val="center"/>
              <w:rPr>
                <w:rFonts w:hAnsi="宋体"/>
                <w:szCs w:val="21"/>
              </w:rPr>
            </w:pPr>
          </w:p>
        </w:tc>
        <w:tc>
          <w:tcPr>
            <w:tcW w:w="965" w:type="pct"/>
            <w:vAlign w:val="center"/>
          </w:tcPr>
          <w:p>
            <w:pPr>
              <w:pStyle w:val="89"/>
              <w:rPr>
                <w:rFonts w:hint="eastAsia"/>
              </w:rPr>
            </w:pPr>
            <w:r>
              <w:rPr>
                <w:rFonts w:hint="eastAsia"/>
              </w:rPr>
              <w:t>废活性炭</w:t>
            </w:r>
          </w:p>
        </w:tc>
        <w:tc>
          <w:tcPr>
            <w:tcW w:w="1484" w:type="pct"/>
            <w:vMerge w:val="continue"/>
            <w:vAlign w:val="center"/>
          </w:tcPr>
          <w:p>
            <w:pPr>
              <w:snapToGrid w:val="0"/>
              <w:jc w:val="left"/>
              <w:rPr>
                <w:rFonts w:hAnsi="宋体"/>
                <w:szCs w:val="21"/>
              </w:rPr>
            </w:pPr>
          </w:p>
        </w:tc>
        <w:tc>
          <w:tcPr>
            <w:tcW w:w="1529" w:type="pct"/>
            <w:vMerge w:val="continue"/>
            <w:vAlign w:val="center"/>
          </w:tcPr>
          <w:p>
            <w:pPr>
              <w:snapToGrid w:val="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428" w:type="pct"/>
            <w:vMerge w:val="continue"/>
            <w:textDirection w:val="tbRlV"/>
            <w:vAlign w:val="center"/>
          </w:tcPr>
          <w:p>
            <w:pPr>
              <w:snapToGrid w:val="0"/>
              <w:ind w:left="113" w:right="113"/>
              <w:jc w:val="center"/>
              <w:rPr>
                <w:rFonts w:hAnsi="宋体"/>
                <w:szCs w:val="21"/>
              </w:rPr>
            </w:pPr>
          </w:p>
        </w:tc>
        <w:tc>
          <w:tcPr>
            <w:tcW w:w="594" w:type="pct"/>
            <w:vMerge w:val="continue"/>
            <w:vAlign w:val="center"/>
          </w:tcPr>
          <w:p>
            <w:pPr>
              <w:snapToGrid w:val="0"/>
              <w:jc w:val="center"/>
              <w:rPr>
                <w:rFonts w:hAnsi="宋体"/>
                <w:szCs w:val="21"/>
              </w:rPr>
            </w:pPr>
          </w:p>
        </w:tc>
        <w:tc>
          <w:tcPr>
            <w:tcW w:w="965" w:type="pct"/>
            <w:vAlign w:val="center"/>
          </w:tcPr>
          <w:p>
            <w:pPr>
              <w:pStyle w:val="89"/>
              <w:rPr>
                <w:rFonts w:hint="eastAsia"/>
              </w:rPr>
            </w:pPr>
            <w:r>
              <w:rPr>
                <w:rFonts w:hint="eastAsia"/>
              </w:rPr>
              <w:t>废灯管</w:t>
            </w:r>
          </w:p>
        </w:tc>
        <w:tc>
          <w:tcPr>
            <w:tcW w:w="1484" w:type="pct"/>
            <w:vMerge w:val="continue"/>
            <w:vAlign w:val="center"/>
          </w:tcPr>
          <w:p>
            <w:pPr>
              <w:snapToGrid w:val="0"/>
              <w:jc w:val="left"/>
              <w:rPr>
                <w:rFonts w:hAnsi="宋体"/>
                <w:szCs w:val="21"/>
              </w:rPr>
            </w:pPr>
          </w:p>
        </w:tc>
        <w:tc>
          <w:tcPr>
            <w:tcW w:w="1529" w:type="pct"/>
            <w:vMerge w:val="continue"/>
            <w:vAlign w:val="center"/>
          </w:tcPr>
          <w:p>
            <w:pPr>
              <w:snapToGrid w:val="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exact"/>
          <w:jc w:val="center"/>
        </w:trPr>
        <w:tc>
          <w:tcPr>
            <w:tcW w:w="428" w:type="pct"/>
            <w:vMerge w:val="continue"/>
            <w:textDirection w:val="tbRlV"/>
            <w:vAlign w:val="center"/>
          </w:tcPr>
          <w:p>
            <w:pPr>
              <w:snapToGrid w:val="0"/>
              <w:ind w:left="113" w:right="113"/>
              <w:jc w:val="center"/>
              <w:rPr>
                <w:szCs w:val="21"/>
              </w:rPr>
            </w:pPr>
          </w:p>
        </w:tc>
        <w:tc>
          <w:tcPr>
            <w:tcW w:w="594" w:type="pct"/>
            <w:vAlign w:val="center"/>
          </w:tcPr>
          <w:p>
            <w:pPr>
              <w:snapToGrid w:val="0"/>
              <w:jc w:val="center"/>
              <w:rPr>
                <w:szCs w:val="21"/>
              </w:rPr>
            </w:pPr>
            <w:r>
              <w:rPr>
                <w:rFonts w:hAnsi="宋体"/>
                <w:szCs w:val="21"/>
              </w:rPr>
              <w:t>职工生活</w:t>
            </w:r>
          </w:p>
        </w:tc>
        <w:tc>
          <w:tcPr>
            <w:tcW w:w="965" w:type="pct"/>
            <w:vAlign w:val="center"/>
          </w:tcPr>
          <w:p>
            <w:pPr>
              <w:snapToGrid w:val="0"/>
              <w:jc w:val="center"/>
              <w:rPr>
                <w:szCs w:val="21"/>
              </w:rPr>
            </w:pPr>
            <w:r>
              <w:rPr>
                <w:rFonts w:hAnsi="宋体"/>
                <w:szCs w:val="21"/>
              </w:rPr>
              <w:t>生活垃圾</w:t>
            </w:r>
          </w:p>
        </w:tc>
        <w:tc>
          <w:tcPr>
            <w:tcW w:w="1484" w:type="pct"/>
            <w:vAlign w:val="center"/>
          </w:tcPr>
          <w:p>
            <w:pPr>
              <w:snapToGrid w:val="0"/>
              <w:jc w:val="left"/>
              <w:rPr>
                <w:szCs w:val="21"/>
              </w:rPr>
            </w:pPr>
            <w:r>
              <w:rPr>
                <w:rFonts w:hint="eastAsia" w:hAnsi="宋体"/>
                <w:szCs w:val="21"/>
              </w:rPr>
              <w:t>环卫部门定期清运</w:t>
            </w:r>
          </w:p>
        </w:tc>
        <w:tc>
          <w:tcPr>
            <w:tcW w:w="1529" w:type="pct"/>
            <w:vAlign w:val="center"/>
          </w:tcPr>
          <w:p>
            <w:pPr>
              <w:snapToGrid w:val="0"/>
              <w:jc w:val="center"/>
              <w:rPr>
                <w:szCs w:val="21"/>
              </w:rPr>
            </w:pP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428" w:type="pct"/>
            <w:textDirection w:val="tbRlV"/>
            <w:vAlign w:val="center"/>
          </w:tcPr>
          <w:p>
            <w:pPr>
              <w:snapToGrid w:val="0"/>
              <w:ind w:left="113" w:right="113"/>
              <w:jc w:val="center"/>
              <w:rPr>
                <w:szCs w:val="21"/>
              </w:rPr>
            </w:pPr>
            <w:r>
              <w:rPr>
                <w:rFonts w:hAnsi="宋体"/>
                <w:szCs w:val="21"/>
              </w:rPr>
              <w:t>噪声</w:t>
            </w:r>
          </w:p>
        </w:tc>
        <w:tc>
          <w:tcPr>
            <w:tcW w:w="4572" w:type="pct"/>
            <w:gridSpan w:val="4"/>
            <w:vAlign w:val="center"/>
          </w:tcPr>
          <w:p>
            <w:pPr>
              <w:adjustRightInd w:val="0"/>
              <w:snapToGrid w:val="0"/>
              <w:jc w:val="left"/>
              <w:rPr>
                <w:szCs w:val="21"/>
              </w:rPr>
            </w:pPr>
            <w:r>
              <w:rPr>
                <w:rFonts w:hint="eastAsia" w:hAnsi="宋体"/>
                <w:szCs w:val="21"/>
              </w:rPr>
              <w:t>本项目噪声主要来源于设备运行产生的噪声，噪声源强约在70~90dB(A)左右，采取基础减振、厂房隔声等措施后，各厂界噪声均能满足《工业企业厂界环境噪声排放标准》（GB12348－2008）2类标准。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428" w:type="pct"/>
            <w:vAlign w:val="center"/>
          </w:tcPr>
          <w:p>
            <w:pPr>
              <w:snapToGrid w:val="0"/>
              <w:jc w:val="center"/>
              <w:rPr>
                <w:szCs w:val="21"/>
              </w:rPr>
            </w:pPr>
            <w:r>
              <w:rPr>
                <w:rFonts w:hAnsi="宋体"/>
                <w:szCs w:val="21"/>
              </w:rPr>
              <w:t>其他</w:t>
            </w:r>
          </w:p>
        </w:tc>
        <w:tc>
          <w:tcPr>
            <w:tcW w:w="4572" w:type="pct"/>
            <w:gridSpan w:val="4"/>
            <w:vAlign w:val="center"/>
          </w:tcPr>
          <w:p>
            <w:pPr>
              <w:snapToGrid w:val="0"/>
              <w:ind w:right="188"/>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000" w:type="pct"/>
            <w:gridSpan w:val="5"/>
            <w:vAlign w:val="center"/>
          </w:tcPr>
          <w:p>
            <w:pPr>
              <w:snapToGrid w:val="0"/>
              <w:spacing w:line="360" w:lineRule="auto"/>
              <w:ind w:left="19" w:right="188" w:hanging="19"/>
              <w:jc w:val="left"/>
              <w:rPr>
                <w:rFonts w:hAnsi="宋体"/>
              </w:rPr>
            </w:pPr>
            <w:r>
              <w:rPr>
                <w:rFonts w:hAnsi="宋体"/>
              </w:rPr>
              <w:t>生态保护措施及预期效果：</w:t>
            </w:r>
          </w:p>
          <w:p>
            <w:pPr>
              <w:pStyle w:val="2"/>
              <w:adjustRightInd w:val="0"/>
              <w:snapToGrid w:val="0"/>
              <w:spacing w:line="500" w:lineRule="exact"/>
              <w:ind w:firstLine="420" w:firstLineChars="200"/>
              <w:jc w:val="left"/>
            </w:pPr>
            <w:r>
              <w:rPr>
                <w:rFonts w:hint="eastAsia" w:hAnsi="宋体"/>
                <w:b w:val="0"/>
                <w:bCs w:val="0"/>
                <w:sz w:val="21"/>
              </w:rPr>
              <w:t>本项目位于新乡市新乡县朗公庙镇曲水村北，在现有厂房内进行扩建，厂址周围为人工生态环境，无敏感生态物种，故本项目实施后对周围生态环境影响较小。</w:t>
            </w:r>
          </w:p>
        </w:tc>
      </w:tr>
    </w:tbl>
    <w:p>
      <w:pPr>
        <w:snapToGrid w:val="0"/>
        <w:rPr>
          <w:rFonts w:eastAsia="黑体"/>
          <w:sz w:val="32"/>
        </w:rPr>
        <w:sectPr>
          <w:pgSz w:w="11907" w:h="16840"/>
          <w:pgMar w:top="1440" w:right="1134" w:bottom="1134" w:left="1440" w:header="851" w:footer="567" w:gutter="0"/>
          <w:cols w:space="720" w:num="1"/>
          <w:docGrid w:type="lines" w:linePitch="312" w:charSpace="0"/>
        </w:sectPr>
      </w:pPr>
    </w:p>
    <w:p>
      <w:pPr>
        <w:snapToGrid w:val="0"/>
        <w:rPr>
          <w:rFonts w:eastAsia="黑体"/>
          <w:sz w:val="32"/>
        </w:rPr>
      </w:pPr>
      <w:r>
        <w:rPr>
          <w:rFonts w:eastAsia="黑体"/>
          <w:sz w:val="32"/>
        </w:rPr>
        <w:t>结论与建议</w:t>
      </w:r>
    </w:p>
    <w:tbl>
      <w:tblPr>
        <w:tblStyle w:val="27"/>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6" w:hRule="atLeast"/>
          <w:jc w:val="center"/>
        </w:trPr>
        <w:tc>
          <w:tcPr>
            <w:tcW w:w="5000" w:type="pct"/>
          </w:tcPr>
          <w:p>
            <w:pPr>
              <w:adjustRightInd w:val="0"/>
              <w:snapToGrid w:val="0"/>
              <w:spacing w:line="500" w:lineRule="exact"/>
              <w:rPr>
                <w:b/>
                <w:bCs/>
                <w:sz w:val="28"/>
                <w:szCs w:val="28"/>
              </w:rPr>
            </w:pPr>
            <w:r>
              <w:rPr>
                <w:b/>
                <w:bCs/>
                <w:sz w:val="28"/>
                <w:szCs w:val="28"/>
              </w:rPr>
              <w:t>1.</w:t>
            </w:r>
            <w:r>
              <w:rPr>
                <w:rFonts w:hAnsi="宋体"/>
                <w:b/>
                <w:bCs/>
                <w:sz w:val="28"/>
                <w:szCs w:val="28"/>
              </w:rPr>
              <w:t>环境影响评价结论</w:t>
            </w:r>
          </w:p>
          <w:p>
            <w:pPr>
              <w:adjustRightInd w:val="0"/>
              <w:snapToGrid w:val="0"/>
              <w:spacing w:line="500" w:lineRule="exact"/>
              <w:rPr>
                <w:b/>
                <w:sz w:val="24"/>
              </w:rPr>
            </w:pPr>
            <w:r>
              <w:rPr>
                <w:b/>
                <w:sz w:val="24"/>
              </w:rPr>
              <w:t>1.1</w:t>
            </w:r>
            <w:r>
              <w:rPr>
                <w:rFonts w:hAnsi="宋体"/>
                <w:b/>
                <w:sz w:val="24"/>
              </w:rPr>
              <w:t>项目概况</w:t>
            </w:r>
          </w:p>
          <w:p>
            <w:pPr>
              <w:adjustRightInd w:val="0"/>
              <w:snapToGrid w:val="0"/>
              <w:spacing w:line="500" w:lineRule="exact"/>
              <w:ind w:firstLine="480" w:firstLineChars="200"/>
              <w:rPr>
                <w:sz w:val="24"/>
              </w:rPr>
            </w:pPr>
            <w:r>
              <w:rPr>
                <w:rFonts w:hAnsi="宋体"/>
                <w:sz w:val="24"/>
              </w:rPr>
              <w:t>项目名称：</w:t>
            </w:r>
            <w:r>
              <w:rPr>
                <w:rFonts w:hAnsi="宋体"/>
                <w:snapToGrid w:val="0"/>
                <w:sz w:val="24"/>
              </w:rPr>
              <w:t>新乡市天华科技有限公司扩建年产300台振动输送设备项目</w:t>
            </w:r>
            <w:r>
              <w:rPr>
                <w:rFonts w:hAnsi="宋体"/>
                <w:sz w:val="24"/>
              </w:rPr>
              <w:t>；</w:t>
            </w:r>
          </w:p>
          <w:p>
            <w:pPr>
              <w:adjustRightInd w:val="0"/>
              <w:snapToGrid w:val="0"/>
              <w:spacing w:line="500" w:lineRule="exact"/>
              <w:ind w:firstLine="480" w:firstLineChars="200"/>
              <w:rPr>
                <w:sz w:val="24"/>
              </w:rPr>
            </w:pPr>
            <w:r>
              <w:rPr>
                <w:rFonts w:hAnsi="宋体"/>
                <w:sz w:val="24"/>
              </w:rPr>
              <w:t>建设单位：</w:t>
            </w:r>
            <w:r>
              <w:rPr>
                <w:rFonts w:hAnsi="宋体"/>
                <w:snapToGrid w:val="0"/>
                <w:sz w:val="24"/>
              </w:rPr>
              <w:t>新乡市天华科技有限公司</w:t>
            </w:r>
            <w:r>
              <w:rPr>
                <w:rFonts w:hAnsi="宋体"/>
                <w:bCs/>
                <w:sz w:val="24"/>
              </w:rPr>
              <w:t>；</w:t>
            </w:r>
          </w:p>
          <w:p>
            <w:pPr>
              <w:adjustRightInd w:val="0"/>
              <w:snapToGrid w:val="0"/>
              <w:spacing w:line="500" w:lineRule="exact"/>
              <w:ind w:firstLine="480" w:firstLineChars="200"/>
              <w:rPr>
                <w:sz w:val="24"/>
              </w:rPr>
            </w:pPr>
            <w:r>
              <w:rPr>
                <w:rFonts w:hAnsi="宋体"/>
                <w:sz w:val="24"/>
              </w:rPr>
              <w:t>建设性质：</w:t>
            </w:r>
            <w:r>
              <w:rPr>
                <w:rFonts w:hint="eastAsia" w:hAnsi="宋体"/>
                <w:sz w:val="24"/>
              </w:rPr>
              <w:t>扩</w:t>
            </w:r>
            <w:r>
              <w:rPr>
                <w:rFonts w:hAnsi="宋体"/>
                <w:sz w:val="24"/>
              </w:rPr>
              <w:t>建；</w:t>
            </w:r>
          </w:p>
          <w:p>
            <w:pPr>
              <w:adjustRightInd w:val="0"/>
              <w:snapToGrid w:val="0"/>
              <w:spacing w:line="500" w:lineRule="exact"/>
              <w:ind w:firstLine="480" w:firstLineChars="200"/>
              <w:rPr>
                <w:sz w:val="24"/>
              </w:rPr>
            </w:pPr>
            <w:r>
              <w:rPr>
                <w:rFonts w:hAnsi="宋体"/>
                <w:sz w:val="24"/>
              </w:rPr>
              <w:t>建设地点：</w:t>
            </w:r>
            <w:r>
              <w:rPr>
                <w:rFonts w:hint="eastAsia" w:hAnsi="宋体"/>
                <w:snapToGrid w:val="0"/>
                <w:sz w:val="24"/>
              </w:rPr>
              <w:t>新乡市新乡县朗公庙镇曲水村北</w:t>
            </w:r>
            <w:r>
              <w:rPr>
                <w:rFonts w:hAnsi="宋体"/>
                <w:sz w:val="24"/>
              </w:rPr>
              <w:t>；</w:t>
            </w:r>
          </w:p>
          <w:p>
            <w:pPr>
              <w:adjustRightInd w:val="0"/>
              <w:snapToGrid w:val="0"/>
              <w:spacing w:line="500" w:lineRule="exact"/>
              <w:ind w:firstLine="480" w:firstLineChars="200"/>
              <w:rPr>
                <w:sz w:val="24"/>
              </w:rPr>
            </w:pPr>
            <w:r>
              <w:rPr>
                <w:rFonts w:hAnsi="宋体"/>
                <w:sz w:val="24"/>
              </w:rPr>
              <w:t>投资总额</w:t>
            </w:r>
            <w:r>
              <w:rPr>
                <w:rFonts w:hAnsi="宋体"/>
                <w:color w:val="000000"/>
                <w:sz w:val="24"/>
              </w:rPr>
              <w:t>：</w:t>
            </w:r>
            <w:r>
              <w:rPr>
                <w:rFonts w:hint="eastAsia"/>
                <w:color w:val="000000"/>
                <w:sz w:val="24"/>
              </w:rPr>
              <w:t>80</w:t>
            </w:r>
            <w:r>
              <w:rPr>
                <w:rFonts w:hAnsi="宋体"/>
                <w:color w:val="000000"/>
                <w:sz w:val="24"/>
              </w:rPr>
              <w:t>万元</w:t>
            </w:r>
            <w:r>
              <w:rPr>
                <w:rFonts w:hAnsi="宋体"/>
                <w:sz w:val="24"/>
              </w:rPr>
              <w:t>；</w:t>
            </w:r>
          </w:p>
          <w:p>
            <w:pPr>
              <w:adjustRightInd w:val="0"/>
              <w:snapToGrid w:val="0"/>
              <w:spacing w:line="500" w:lineRule="exact"/>
              <w:ind w:firstLine="480" w:firstLineChars="200"/>
              <w:rPr>
                <w:color w:val="000000"/>
                <w:sz w:val="24"/>
              </w:rPr>
            </w:pPr>
            <w:r>
              <w:rPr>
                <w:rFonts w:hAnsi="宋体"/>
                <w:sz w:val="24"/>
              </w:rPr>
              <w:t>建设规模</w:t>
            </w:r>
            <w:r>
              <w:rPr>
                <w:rFonts w:hAnsi="宋体"/>
                <w:color w:val="000000"/>
                <w:sz w:val="24"/>
              </w:rPr>
              <w:t>：占地面积为</w:t>
            </w:r>
            <w:r>
              <w:rPr>
                <w:rFonts w:hint="eastAsia"/>
                <w:color w:val="000000"/>
                <w:sz w:val="24"/>
              </w:rPr>
              <w:t>5800</w:t>
            </w:r>
            <w:r>
              <w:rPr>
                <w:color w:val="000000"/>
                <w:sz w:val="24"/>
              </w:rPr>
              <w:t>m</w:t>
            </w:r>
            <w:r>
              <w:rPr>
                <w:color w:val="000000"/>
                <w:sz w:val="24"/>
                <w:vertAlign w:val="superscript"/>
              </w:rPr>
              <w:t>2</w:t>
            </w:r>
            <w:r>
              <w:rPr>
                <w:rFonts w:hAnsi="宋体"/>
                <w:color w:val="000000"/>
                <w:sz w:val="24"/>
              </w:rPr>
              <w:t>，产品规模为</w:t>
            </w:r>
            <w:r>
              <w:rPr>
                <w:rFonts w:hAnsi="宋体"/>
                <w:snapToGrid w:val="0"/>
                <w:sz w:val="24"/>
              </w:rPr>
              <w:t>年产</w:t>
            </w:r>
            <w:r>
              <w:rPr>
                <w:rFonts w:hint="eastAsia" w:hAnsi="宋体"/>
                <w:snapToGrid w:val="0"/>
                <w:sz w:val="24"/>
              </w:rPr>
              <w:t>300台</w:t>
            </w:r>
            <w:r>
              <w:rPr>
                <w:rFonts w:hAnsi="宋体"/>
                <w:snapToGrid w:val="0"/>
                <w:sz w:val="24"/>
              </w:rPr>
              <w:t>振动筛</w:t>
            </w:r>
            <w:r>
              <w:rPr>
                <w:rFonts w:hAnsi="宋体"/>
                <w:color w:val="000000"/>
                <w:sz w:val="24"/>
              </w:rPr>
              <w:t>；</w:t>
            </w:r>
          </w:p>
          <w:p>
            <w:pPr>
              <w:adjustRightInd w:val="0"/>
              <w:snapToGrid w:val="0"/>
              <w:spacing w:line="500" w:lineRule="exact"/>
              <w:ind w:firstLine="480" w:firstLineChars="200"/>
              <w:rPr>
                <w:sz w:val="24"/>
              </w:rPr>
            </w:pPr>
            <w:r>
              <w:rPr>
                <w:rFonts w:hAnsi="宋体"/>
                <w:color w:val="000000"/>
                <w:sz w:val="24"/>
              </w:rPr>
              <w:t>生产制度：年平均工作</w:t>
            </w:r>
            <w:r>
              <w:rPr>
                <w:rFonts w:hint="eastAsia"/>
                <w:color w:val="000000"/>
                <w:sz w:val="24"/>
              </w:rPr>
              <w:t>300</w:t>
            </w:r>
            <w:r>
              <w:rPr>
                <w:sz w:val="24"/>
              </w:rPr>
              <w:t>d</w:t>
            </w:r>
            <w:r>
              <w:rPr>
                <w:rFonts w:hAnsi="宋体"/>
                <w:sz w:val="24"/>
              </w:rPr>
              <w:t>，</w:t>
            </w:r>
            <w:r>
              <w:rPr>
                <w:rFonts w:hint="eastAsia"/>
                <w:sz w:val="24"/>
              </w:rPr>
              <w:t>1</w:t>
            </w:r>
            <w:r>
              <w:rPr>
                <w:rFonts w:hAnsi="宋体"/>
                <w:sz w:val="24"/>
              </w:rPr>
              <w:t>班制，每班</w:t>
            </w:r>
            <w:r>
              <w:rPr>
                <w:sz w:val="24"/>
              </w:rPr>
              <w:t>8h</w:t>
            </w:r>
            <w:r>
              <w:rPr>
                <w:rFonts w:hAnsi="宋体"/>
                <w:sz w:val="24"/>
              </w:rPr>
              <w:t>。</w:t>
            </w:r>
          </w:p>
          <w:p>
            <w:pPr>
              <w:adjustRightInd w:val="0"/>
              <w:snapToGrid w:val="0"/>
              <w:spacing w:line="500" w:lineRule="exact"/>
              <w:rPr>
                <w:b/>
                <w:sz w:val="24"/>
              </w:rPr>
            </w:pPr>
            <w:r>
              <w:rPr>
                <w:b/>
                <w:sz w:val="24"/>
              </w:rPr>
              <w:t>1.2</w:t>
            </w:r>
            <w:r>
              <w:rPr>
                <w:rFonts w:hAnsi="宋体"/>
                <w:b/>
                <w:sz w:val="24"/>
              </w:rPr>
              <w:t>产业政策相符性分析</w:t>
            </w:r>
          </w:p>
          <w:p>
            <w:pPr>
              <w:adjustRightInd w:val="0"/>
              <w:snapToGrid w:val="0"/>
              <w:spacing w:line="500" w:lineRule="exact"/>
              <w:ind w:firstLine="480" w:firstLineChars="200"/>
              <w:rPr>
                <w:rFonts w:hAnsi="宋体"/>
                <w:bCs/>
                <w:snapToGrid w:val="0"/>
                <w:kern w:val="0"/>
                <w:sz w:val="24"/>
              </w:rPr>
            </w:pPr>
            <w:r>
              <w:rPr>
                <w:rFonts w:hint="eastAsia" w:hAnsi="宋体"/>
                <w:bCs/>
                <w:snapToGrid w:val="0"/>
                <w:kern w:val="0"/>
                <w:sz w:val="24"/>
              </w:rPr>
              <w:t>本项目产品为振动筛，属于“专用设备制造业”，经查《产业结构调整指导目录（2019年本）（修正）》（国家发改委2019年第29号令），该项目设备、产品及规模均不在限制类和淘汰类的范畴，属允许类。且项目已在新乡县发展和改革委员会备案，项目代码为2020-410721-34-03-075905 (见附件2），因此该项目符合国家有关产业政策。</w:t>
            </w:r>
          </w:p>
          <w:p>
            <w:pPr>
              <w:adjustRightInd w:val="0"/>
              <w:snapToGrid w:val="0"/>
              <w:spacing w:line="500" w:lineRule="exact"/>
              <w:rPr>
                <w:b/>
                <w:sz w:val="24"/>
              </w:rPr>
            </w:pPr>
            <w:r>
              <w:rPr>
                <w:b/>
                <w:sz w:val="24"/>
              </w:rPr>
              <w:t>1.3</w:t>
            </w:r>
            <w:r>
              <w:rPr>
                <w:rFonts w:hAnsi="宋体"/>
                <w:b/>
                <w:sz w:val="24"/>
              </w:rPr>
              <w:t>选址可行性</w:t>
            </w:r>
          </w:p>
          <w:p>
            <w:pPr>
              <w:adjustRightInd w:val="0"/>
              <w:snapToGrid w:val="0"/>
              <w:spacing w:line="500" w:lineRule="exact"/>
              <w:ind w:firstLine="480" w:firstLineChars="200"/>
              <w:textAlignment w:val="baseline"/>
              <w:rPr>
                <w:bCs/>
                <w:kern w:val="0"/>
                <w:sz w:val="24"/>
              </w:rPr>
            </w:pPr>
            <w:r>
              <w:rPr>
                <w:bCs/>
                <w:kern w:val="0"/>
                <w:sz w:val="24"/>
              </w:rPr>
              <w:t>(1)</w:t>
            </w:r>
            <w:r>
              <w:rPr>
                <w:rFonts w:hAnsi="宋体"/>
                <w:bCs/>
                <w:kern w:val="0"/>
                <w:sz w:val="24"/>
              </w:rPr>
              <w:t>政策相符性</w:t>
            </w:r>
          </w:p>
          <w:p>
            <w:pPr>
              <w:adjustRightInd w:val="0"/>
              <w:snapToGrid w:val="0"/>
              <w:spacing w:line="500" w:lineRule="exact"/>
              <w:ind w:firstLine="480" w:firstLineChars="200"/>
              <w:textAlignment w:val="baseline"/>
              <w:rPr>
                <w:bCs/>
                <w:kern w:val="0"/>
                <w:sz w:val="24"/>
              </w:rPr>
            </w:pPr>
            <w:r>
              <w:rPr>
                <w:rFonts w:hAnsi="宋体"/>
                <w:bCs/>
                <w:kern w:val="0"/>
                <w:sz w:val="24"/>
              </w:rPr>
              <w:t>项目设备、产品及规模等均不在《产业结构调整指导目录（</w:t>
            </w:r>
            <w:r>
              <w:rPr>
                <w:bCs/>
                <w:kern w:val="0"/>
                <w:sz w:val="24"/>
              </w:rPr>
              <w:t>2019</w:t>
            </w:r>
            <w:r>
              <w:rPr>
                <w:rFonts w:hAnsi="宋体"/>
                <w:bCs/>
                <w:kern w:val="0"/>
                <w:sz w:val="24"/>
              </w:rPr>
              <w:t>年本）》限制类及淘汰类之列，属于允许建设的项目；项目已在新乡县发展和改革委员会备案，项目代码为</w:t>
            </w:r>
            <w:r>
              <w:rPr>
                <w:rFonts w:hAnsi="宋体"/>
                <w:bCs/>
                <w:snapToGrid w:val="0"/>
                <w:kern w:val="0"/>
                <w:sz w:val="24"/>
              </w:rPr>
              <w:t xml:space="preserve">2020-410721-34-03-075905 ( </w:t>
            </w:r>
            <w:r>
              <w:rPr>
                <w:bCs/>
                <w:kern w:val="0"/>
                <w:sz w:val="24"/>
              </w:rPr>
              <w:t>(</w:t>
            </w:r>
            <w:r>
              <w:rPr>
                <w:rFonts w:hAnsi="宋体"/>
                <w:bCs/>
                <w:kern w:val="0"/>
                <w:sz w:val="24"/>
              </w:rPr>
              <w:t>见附件</w:t>
            </w:r>
            <w:r>
              <w:rPr>
                <w:bCs/>
                <w:kern w:val="0"/>
                <w:sz w:val="24"/>
              </w:rPr>
              <w:t>2</w:t>
            </w:r>
            <w:r>
              <w:rPr>
                <w:rFonts w:hAnsi="宋体"/>
                <w:bCs/>
                <w:kern w:val="0"/>
                <w:sz w:val="24"/>
              </w:rPr>
              <w:t>），因此本项目符合国家现行产业政策。</w:t>
            </w:r>
          </w:p>
          <w:p>
            <w:pPr>
              <w:adjustRightInd w:val="0"/>
              <w:snapToGrid w:val="0"/>
              <w:spacing w:line="500" w:lineRule="exact"/>
              <w:ind w:firstLine="480" w:firstLineChars="200"/>
              <w:textAlignment w:val="baseline"/>
              <w:rPr>
                <w:bCs/>
                <w:kern w:val="0"/>
                <w:sz w:val="24"/>
              </w:rPr>
            </w:pPr>
            <w:r>
              <w:rPr>
                <w:bCs/>
                <w:kern w:val="0"/>
                <w:sz w:val="24"/>
              </w:rPr>
              <w:t>(2)</w:t>
            </w:r>
            <w:r>
              <w:rPr>
                <w:rFonts w:hAnsi="宋体"/>
                <w:bCs/>
                <w:kern w:val="0"/>
                <w:sz w:val="24"/>
              </w:rPr>
              <w:t>规划相符性</w:t>
            </w:r>
          </w:p>
          <w:p>
            <w:pPr>
              <w:adjustRightInd w:val="0"/>
              <w:snapToGrid w:val="0"/>
              <w:spacing w:line="500" w:lineRule="exact"/>
              <w:ind w:firstLine="480" w:firstLineChars="200"/>
              <w:rPr>
                <w:sz w:val="24"/>
              </w:rPr>
            </w:pPr>
            <w:r>
              <w:rPr>
                <w:sz w:val="24"/>
              </w:rPr>
              <w:t>根据</w:t>
            </w:r>
            <w:r>
              <w:rPr>
                <w:rFonts w:hint="eastAsia"/>
                <w:sz w:val="24"/>
              </w:rPr>
              <w:t>新乡县朗公庙镇人民政府</w:t>
            </w:r>
            <w:r>
              <w:rPr>
                <w:sz w:val="24"/>
              </w:rPr>
              <w:t>出具的证明（见附件3），“新乡市天华科技有限公司</w:t>
            </w:r>
            <w:r>
              <w:rPr>
                <w:rFonts w:hint="eastAsia"/>
                <w:sz w:val="24"/>
              </w:rPr>
              <w:t>扩建</w:t>
            </w:r>
            <w:r>
              <w:rPr>
                <w:sz w:val="24"/>
              </w:rPr>
              <w:t>年产</w:t>
            </w:r>
            <w:r>
              <w:rPr>
                <w:rFonts w:hint="eastAsia"/>
                <w:sz w:val="24"/>
              </w:rPr>
              <w:t>300台</w:t>
            </w:r>
            <w:r>
              <w:rPr>
                <w:sz w:val="24"/>
              </w:rPr>
              <w:t>振动</w:t>
            </w:r>
            <w:r>
              <w:rPr>
                <w:rFonts w:hint="eastAsia"/>
                <w:sz w:val="24"/>
              </w:rPr>
              <w:t>输送设备</w:t>
            </w:r>
            <w:r>
              <w:rPr>
                <w:sz w:val="24"/>
              </w:rPr>
              <w:t>项目”位于</w:t>
            </w:r>
            <w:r>
              <w:rPr>
                <w:rFonts w:hint="eastAsia"/>
                <w:sz w:val="24"/>
              </w:rPr>
              <w:t>新乡县朗公庙镇曲水村北</w:t>
            </w:r>
            <w:r>
              <w:rPr>
                <w:sz w:val="24"/>
              </w:rPr>
              <w:t>，</w:t>
            </w:r>
            <w:r>
              <w:rPr>
                <w:rFonts w:hint="eastAsia"/>
                <w:sz w:val="24"/>
              </w:rPr>
              <w:t>利用现有厂房，不新占用地，厂址符合朗公庙镇总体发展规划、土地利用规划和产业发展规划。</w:t>
            </w:r>
          </w:p>
          <w:p>
            <w:pPr>
              <w:pStyle w:val="2"/>
              <w:adjustRightInd w:val="0"/>
              <w:snapToGrid w:val="0"/>
              <w:spacing w:line="500" w:lineRule="exact"/>
              <w:ind w:firstLine="480" w:firstLineChars="200"/>
              <w:jc w:val="left"/>
              <w:rPr>
                <w:b w:val="0"/>
                <w:bCs w:val="0"/>
              </w:rPr>
            </w:pPr>
            <w:r>
              <w:rPr>
                <w:b w:val="0"/>
                <w:bCs w:val="0"/>
              </w:rPr>
              <w:t>综上，本项目选址符合</w:t>
            </w:r>
            <w:r>
              <w:rPr>
                <w:rFonts w:hint="eastAsia"/>
                <w:b w:val="0"/>
                <w:bCs w:val="0"/>
              </w:rPr>
              <w:t>新乡县朗公庙镇</w:t>
            </w:r>
            <w:r>
              <w:rPr>
                <w:b w:val="0"/>
                <w:bCs w:val="0"/>
              </w:rPr>
              <w:t>规划，项目选址可行。</w:t>
            </w:r>
          </w:p>
          <w:p>
            <w:pPr>
              <w:adjustRightInd w:val="0"/>
              <w:snapToGrid w:val="0"/>
              <w:spacing w:line="500" w:lineRule="exact"/>
              <w:ind w:firstLine="482" w:firstLineChars="200"/>
              <w:rPr>
                <w:b/>
                <w:sz w:val="24"/>
              </w:rPr>
            </w:pPr>
            <w:r>
              <w:rPr>
                <w:b/>
                <w:sz w:val="24"/>
              </w:rPr>
              <w:t>1.4</w:t>
            </w:r>
            <w:r>
              <w:rPr>
                <w:rFonts w:hAnsi="宋体"/>
                <w:b/>
                <w:sz w:val="24"/>
              </w:rPr>
              <w:t>平面布置合理性</w:t>
            </w:r>
          </w:p>
          <w:p>
            <w:pPr>
              <w:adjustRightInd w:val="0"/>
              <w:snapToGrid w:val="0"/>
              <w:spacing w:line="500" w:lineRule="exact"/>
              <w:ind w:firstLine="480" w:firstLineChars="200"/>
              <w:rPr>
                <w:sz w:val="24"/>
              </w:rPr>
            </w:pPr>
            <w:r>
              <w:rPr>
                <w:rFonts w:hint="eastAsia"/>
                <w:sz w:val="24"/>
              </w:rPr>
              <w:t>本项目位于新乡市新乡县朗公庙镇曲水村北，项目生产车间三间，1号车间位于厂区中间，2号车间位于厂区西侧，3号车间紧邻2号车间且位于厂区南侧，办公楼位于厂区东北角，一般固废暂存间和危废暂存间位于厂区1号车间北侧，大门位于东侧，旱厕位于厂区东南角，门岗1座，停车位若干。整个项目设施布局紧凑，功能分区明确，布局合理。因此，项目生产车间总平面布置图详见附图三。</w:t>
            </w:r>
          </w:p>
          <w:p>
            <w:pPr>
              <w:adjustRightInd w:val="0"/>
              <w:snapToGrid w:val="0"/>
              <w:spacing w:line="500" w:lineRule="exact"/>
              <w:rPr>
                <w:b/>
                <w:sz w:val="24"/>
              </w:rPr>
            </w:pPr>
            <w:r>
              <w:rPr>
                <w:b/>
                <w:sz w:val="24"/>
              </w:rPr>
              <w:t>1.5</w:t>
            </w:r>
            <w:r>
              <w:rPr>
                <w:rFonts w:hAnsi="宋体"/>
                <w:b/>
                <w:sz w:val="24"/>
              </w:rPr>
              <w:t>环境质量现状</w:t>
            </w:r>
          </w:p>
          <w:p>
            <w:pPr>
              <w:adjustRightInd w:val="0"/>
              <w:snapToGrid w:val="0"/>
              <w:spacing w:line="500" w:lineRule="exact"/>
              <w:ind w:firstLine="480" w:firstLineChars="200"/>
              <w:rPr>
                <w:color w:val="000000"/>
                <w:sz w:val="24"/>
              </w:rPr>
            </w:pPr>
            <w:r>
              <w:rPr>
                <w:color w:val="000000"/>
                <w:sz w:val="24"/>
              </w:rPr>
              <w:t>(1)</w:t>
            </w:r>
            <w:r>
              <w:rPr>
                <w:rFonts w:hAnsi="宋体"/>
                <w:color w:val="000000"/>
                <w:sz w:val="24"/>
              </w:rPr>
              <w:t>环境空气</w:t>
            </w:r>
          </w:p>
          <w:p>
            <w:pPr>
              <w:adjustRightInd w:val="0"/>
              <w:snapToGrid w:val="0"/>
              <w:spacing w:line="500" w:lineRule="exact"/>
              <w:ind w:firstLine="480" w:firstLineChars="200"/>
              <w:rPr>
                <w:sz w:val="24"/>
              </w:rPr>
            </w:pPr>
            <w:r>
              <w:rPr>
                <w:rFonts w:hAnsi="宋体"/>
                <w:sz w:val="24"/>
              </w:rPr>
              <w:t>项目所在区域</w:t>
            </w:r>
            <w:r>
              <w:rPr>
                <w:sz w:val="24"/>
              </w:rPr>
              <w:t>PM</w:t>
            </w:r>
            <w:r>
              <w:rPr>
                <w:sz w:val="24"/>
                <w:vertAlign w:val="subscript"/>
              </w:rPr>
              <w:t>10</w:t>
            </w:r>
            <w:r>
              <w:rPr>
                <w:rFonts w:hAnsi="宋体"/>
                <w:sz w:val="24"/>
              </w:rPr>
              <w:t>、</w:t>
            </w:r>
            <w:r>
              <w:rPr>
                <w:sz w:val="24"/>
              </w:rPr>
              <w:t>PM</w:t>
            </w:r>
            <w:r>
              <w:rPr>
                <w:sz w:val="24"/>
                <w:vertAlign w:val="subscript"/>
              </w:rPr>
              <w:t>2.5</w:t>
            </w:r>
            <w:r>
              <w:rPr>
                <w:rFonts w:hAnsi="宋体"/>
                <w:sz w:val="24"/>
              </w:rPr>
              <w:t>、</w:t>
            </w:r>
            <w:r>
              <w:rPr>
                <w:sz w:val="24"/>
              </w:rPr>
              <w:t>NO</w:t>
            </w:r>
            <w:r>
              <w:rPr>
                <w:sz w:val="24"/>
                <w:vertAlign w:val="subscript"/>
              </w:rPr>
              <w:t>2</w:t>
            </w:r>
            <w:r>
              <w:rPr>
                <w:rFonts w:hAnsi="宋体"/>
                <w:sz w:val="24"/>
              </w:rPr>
              <w:t>和</w:t>
            </w:r>
            <w:r>
              <w:rPr>
                <w:sz w:val="24"/>
              </w:rPr>
              <w:t>O</w:t>
            </w:r>
            <w:r>
              <w:rPr>
                <w:sz w:val="24"/>
                <w:vertAlign w:val="subscript"/>
              </w:rPr>
              <w:t>3</w:t>
            </w:r>
            <w:r>
              <w:rPr>
                <w:rFonts w:hAnsi="宋体"/>
                <w:sz w:val="24"/>
              </w:rPr>
              <w:t>均不能够满足《环境空气质量标准》（</w:t>
            </w:r>
            <w:r>
              <w:rPr>
                <w:sz w:val="24"/>
              </w:rPr>
              <w:t>GB3095-2012</w:t>
            </w:r>
            <w:r>
              <w:rPr>
                <w:rFonts w:hAnsi="宋体"/>
                <w:sz w:val="24"/>
              </w:rPr>
              <w:t>）二级标准要求。根据《环境影响评价技术导则</w:t>
            </w:r>
            <w:r>
              <w:rPr>
                <w:sz w:val="24"/>
              </w:rPr>
              <w:t xml:space="preserve">  </w:t>
            </w:r>
            <w:r>
              <w:rPr>
                <w:rFonts w:hAnsi="宋体"/>
                <w:sz w:val="24"/>
              </w:rPr>
              <w:t>大气环境》</w:t>
            </w:r>
            <w:r>
              <w:rPr>
                <w:sz w:val="24"/>
              </w:rPr>
              <w:t>(HJ2.2-2018)</w:t>
            </w:r>
            <w:r>
              <w:rPr>
                <w:rFonts w:hAnsi="宋体"/>
                <w:sz w:val="24"/>
              </w:rPr>
              <w:t>，本项目所在区域属于未达标区。</w:t>
            </w:r>
          </w:p>
          <w:p>
            <w:pPr>
              <w:adjustRightInd w:val="0"/>
              <w:snapToGrid w:val="0"/>
              <w:spacing w:line="500" w:lineRule="exact"/>
              <w:ind w:firstLine="480" w:firstLineChars="200"/>
              <w:rPr>
                <w:bCs/>
                <w:color w:val="000000"/>
                <w:sz w:val="24"/>
              </w:rPr>
            </w:pPr>
            <w:r>
              <w:rPr>
                <w:color w:val="000000"/>
                <w:sz w:val="24"/>
              </w:rPr>
              <w:t>(2)</w:t>
            </w:r>
            <w:r>
              <w:rPr>
                <w:rFonts w:hAnsi="宋体"/>
                <w:bCs/>
                <w:color w:val="000000"/>
                <w:sz w:val="24"/>
              </w:rPr>
              <w:t>地表水</w:t>
            </w:r>
          </w:p>
          <w:p>
            <w:pPr>
              <w:adjustRightInd w:val="0"/>
              <w:snapToGrid w:val="0"/>
              <w:spacing w:line="500" w:lineRule="exact"/>
              <w:ind w:firstLine="480" w:firstLineChars="200"/>
              <w:rPr>
                <w:color w:val="000000"/>
                <w:sz w:val="24"/>
              </w:rPr>
            </w:pPr>
            <w:r>
              <w:rPr>
                <w:rFonts w:hint="eastAsia" w:hAnsi="宋体"/>
                <w:color w:val="000000"/>
                <w:sz w:val="24"/>
              </w:rPr>
              <w:t>项目废水经厂区现有化粪池1座（10m</w:t>
            </w:r>
            <w:r>
              <w:rPr>
                <w:rFonts w:hint="eastAsia" w:hAnsi="宋体"/>
                <w:color w:val="000000"/>
                <w:sz w:val="24"/>
                <w:vertAlign w:val="superscript"/>
              </w:rPr>
              <w:t>3</w:t>
            </w:r>
            <w:r>
              <w:rPr>
                <w:rFonts w:hint="eastAsia" w:hAnsi="宋体"/>
                <w:color w:val="000000"/>
                <w:sz w:val="24"/>
              </w:rPr>
              <w:t>）处理后，定期清运不外排。距离本项目最近的地表水体为南侧700m处的三干渠，汇入人民胜利渠</w:t>
            </w:r>
            <w:r>
              <w:rPr>
                <w:rFonts w:hAnsi="宋体"/>
                <w:color w:val="000000"/>
                <w:sz w:val="24"/>
              </w:rPr>
              <w:t>，</w:t>
            </w:r>
            <w:r>
              <w:rPr>
                <w:rFonts w:hint="eastAsia"/>
                <w:color w:val="000000"/>
                <w:sz w:val="24"/>
              </w:rPr>
              <w:t>人民胜利渠新乡贾太湖断面</w:t>
            </w:r>
            <w:r>
              <w:rPr>
                <w:rFonts w:hAnsi="宋体"/>
                <w:color w:val="000000"/>
                <w:sz w:val="24"/>
              </w:rPr>
              <w:t>满足《地表水环境质量标准》</w:t>
            </w:r>
            <w:r>
              <w:rPr>
                <w:color w:val="000000"/>
                <w:sz w:val="24"/>
              </w:rPr>
              <w:t>(GB3838-2002)</w:t>
            </w:r>
            <w:r>
              <w:t xml:space="preserve"> </w:t>
            </w:r>
            <w:r>
              <w:rPr>
                <w:rFonts w:ascii="宋体" w:hAnsi="宋体"/>
                <w:color w:val="000000"/>
                <w:sz w:val="24"/>
              </w:rPr>
              <w:t>III</w:t>
            </w:r>
            <w:r>
              <w:rPr>
                <w:rFonts w:hAnsi="宋体"/>
                <w:color w:val="000000"/>
                <w:sz w:val="24"/>
              </w:rPr>
              <w:t>类标准。</w:t>
            </w:r>
          </w:p>
          <w:p>
            <w:pPr>
              <w:adjustRightInd w:val="0"/>
              <w:snapToGrid w:val="0"/>
              <w:spacing w:line="500" w:lineRule="exact"/>
              <w:ind w:firstLine="480" w:firstLineChars="200"/>
              <w:rPr>
                <w:color w:val="000000"/>
                <w:sz w:val="24"/>
              </w:rPr>
            </w:pPr>
            <w:r>
              <w:rPr>
                <w:color w:val="000000"/>
                <w:sz w:val="24"/>
              </w:rPr>
              <w:t>(3)</w:t>
            </w:r>
            <w:r>
              <w:rPr>
                <w:rFonts w:hAnsi="宋体"/>
                <w:color w:val="000000"/>
                <w:sz w:val="24"/>
              </w:rPr>
              <w:t>声环境</w:t>
            </w:r>
          </w:p>
          <w:p>
            <w:pPr>
              <w:adjustRightInd w:val="0"/>
              <w:snapToGrid w:val="0"/>
              <w:spacing w:line="500" w:lineRule="exact"/>
              <w:ind w:firstLine="480" w:firstLineChars="200"/>
              <w:rPr>
                <w:sz w:val="24"/>
              </w:rPr>
            </w:pPr>
            <w:r>
              <w:rPr>
                <w:rFonts w:hAnsi="宋体"/>
                <w:bCs/>
                <w:color w:val="000000"/>
                <w:sz w:val="24"/>
              </w:rPr>
              <w:t>通过监测可知，本项目</w:t>
            </w:r>
            <w:r>
              <w:rPr>
                <w:rFonts w:hAnsi="宋体"/>
                <w:sz w:val="24"/>
              </w:rPr>
              <w:t>厂界</w:t>
            </w:r>
            <w:r>
              <w:rPr>
                <w:rFonts w:hint="eastAsia" w:hAnsi="宋体"/>
                <w:sz w:val="24"/>
              </w:rPr>
              <w:t>四周满</w:t>
            </w:r>
            <w:r>
              <w:rPr>
                <w:rFonts w:hAnsi="宋体"/>
                <w:sz w:val="24"/>
              </w:rPr>
              <w:t>足《声环境质量标准》</w:t>
            </w:r>
            <w:r>
              <w:rPr>
                <w:sz w:val="24"/>
              </w:rPr>
              <w:t>(GB3096-2008)2</w:t>
            </w:r>
            <w:r>
              <w:rPr>
                <w:rFonts w:hAnsi="宋体"/>
                <w:sz w:val="24"/>
              </w:rPr>
              <w:t>类标准。</w:t>
            </w:r>
          </w:p>
          <w:p>
            <w:pPr>
              <w:adjustRightInd w:val="0"/>
              <w:snapToGrid w:val="0"/>
              <w:spacing w:line="500" w:lineRule="exact"/>
              <w:ind w:firstLine="480" w:firstLineChars="200"/>
              <w:rPr>
                <w:color w:val="000000"/>
                <w:sz w:val="24"/>
              </w:rPr>
            </w:pPr>
            <w:r>
              <w:rPr>
                <w:color w:val="000000"/>
                <w:sz w:val="24"/>
              </w:rPr>
              <w:t>(4)</w:t>
            </w:r>
            <w:r>
              <w:rPr>
                <w:rFonts w:hint="eastAsia"/>
                <w:color w:val="000000"/>
                <w:sz w:val="24"/>
              </w:rPr>
              <w:t>生态环境</w:t>
            </w:r>
          </w:p>
          <w:p>
            <w:pPr>
              <w:adjustRightInd w:val="0"/>
              <w:snapToGrid w:val="0"/>
              <w:spacing w:line="500" w:lineRule="exact"/>
              <w:ind w:firstLine="480" w:firstLineChars="200"/>
              <w:rPr>
                <w:rFonts w:hAnsi="宋体"/>
                <w:sz w:val="24"/>
              </w:rPr>
            </w:pPr>
            <w:r>
              <w:rPr>
                <w:rFonts w:hAnsi="宋体"/>
                <w:sz w:val="24"/>
              </w:rPr>
              <w:t>该项目所在区域为</w:t>
            </w:r>
            <w:r>
              <w:rPr>
                <w:rFonts w:hint="eastAsia" w:hAnsi="宋体"/>
                <w:sz w:val="24"/>
              </w:rPr>
              <w:t>新乡市新乡县朗公庙镇曲水村北</w:t>
            </w:r>
            <w:r>
              <w:rPr>
                <w:rFonts w:hAnsi="宋体"/>
                <w:sz w:val="24"/>
              </w:rPr>
              <w:t>，根据现场踏勘，项目周围均为</w:t>
            </w:r>
            <w:r>
              <w:rPr>
                <w:rFonts w:hint="eastAsia" w:hAnsi="宋体"/>
                <w:sz w:val="24"/>
              </w:rPr>
              <w:t>企业、道路和农田</w:t>
            </w:r>
            <w:r>
              <w:rPr>
                <w:rFonts w:hAnsi="宋体"/>
                <w:sz w:val="24"/>
              </w:rPr>
              <w:t>等，所在区域生态系统经演化为以人工生态系统为主，生态系统结构和功能比较单一，生态敏感性低。本项目场址所在地区及周边无自然生态保护区和风景名胜区，生态环境状况良好。</w:t>
            </w:r>
          </w:p>
          <w:p>
            <w:pPr>
              <w:adjustRightInd w:val="0"/>
              <w:snapToGrid w:val="0"/>
              <w:spacing w:line="500" w:lineRule="exact"/>
              <w:ind w:firstLine="480" w:firstLineChars="200"/>
              <w:rPr>
                <w:color w:val="000000"/>
                <w:sz w:val="24"/>
              </w:rPr>
            </w:pPr>
            <w:r>
              <w:rPr>
                <w:color w:val="000000"/>
                <w:sz w:val="24"/>
              </w:rPr>
              <w:t>(</w:t>
            </w:r>
            <w:r>
              <w:rPr>
                <w:rFonts w:hint="eastAsia"/>
                <w:color w:val="000000"/>
                <w:sz w:val="24"/>
              </w:rPr>
              <w:t>5</w:t>
            </w:r>
            <w:r>
              <w:rPr>
                <w:color w:val="000000"/>
                <w:sz w:val="24"/>
              </w:rPr>
              <w:t>)</w:t>
            </w:r>
            <w:r>
              <w:rPr>
                <w:rFonts w:hint="eastAsia" w:hAnsi="宋体"/>
                <w:color w:val="000000"/>
                <w:sz w:val="24"/>
              </w:rPr>
              <w:t>土壤</w:t>
            </w:r>
            <w:r>
              <w:rPr>
                <w:rFonts w:hAnsi="宋体"/>
                <w:color w:val="000000"/>
                <w:sz w:val="24"/>
              </w:rPr>
              <w:t>环境</w:t>
            </w:r>
          </w:p>
          <w:p>
            <w:pPr>
              <w:adjustRightInd w:val="0"/>
              <w:snapToGrid w:val="0"/>
              <w:spacing w:line="500" w:lineRule="exact"/>
              <w:ind w:firstLine="480" w:firstLineChars="200"/>
              <w:rPr>
                <w:rFonts w:hAnsi="宋体"/>
                <w:sz w:val="24"/>
              </w:rPr>
            </w:pPr>
            <w:r>
              <w:rPr>
                <w:rFonts w:hint="eastAsia" w:hAnsi="宋体"/>
                <w:sz w:val="24"/>
              </w:rPr>
              <w:t>现场踏勘，本项目占地范围内地面均已硬化。根据2020年8月10日中华人民共和国生态环境部发布的“关于土壤破坏性监测问题的回复”可知，项目场地已经做了防腐防渗（包括硬化）处理无法取样，可不取样监测。故本项目不再对占地范围内进行现状监测。</w:t>
            </w:r>
          </w:p>
          <w:p>
            <w:pPr>
              <w:adjustRightInd w:val="0"/>
              <w:snapToGrid w:val="0"/>
              <w:spacing w:line="500" w:lineRule="exact"/>
              <w:rPr>
                <w:b/>
                <w:sz w:val="24"/>
              </w:rPr>
            </w:pPr>
            <w:r>
              <w:rPr>
                <w:b/>
                <w:sz w:val="24"/>
              </w:rPr>
              <w:t>1.6</w:t>
            </w:r>
            <w:r>
              <w:rPr>
                <w:rFonts w:hAnsi="宋体"/>
                <w:b/>
                <w:sz w:val="24"/>
              </w:rPr>
              <w:t>环境影响分析</w:t>
            </w:r>
          </w:p>
          <w:p>
            <w:pPr>
              <w:adjustRightInd w:val="0"/>
              <w:snapToGrid w:val="0"/>
              <w:spacing w:line="500" w:lineRule="exact"/>
              <w:ind w:firstLine="480" w:firstLineChars="200"/>
              <w:rPr>
                <w:sz w:val="24"/>
              </w:rPr>
            </w:pPr>
            <w:r>
              <w:rPr>
                <w:rFonts w:hAnsi="宋体"/>
                <w:sz w:val="24"/>
              </w:rPr>
              <w:t>（</w:t>
            </w:r>
            <w:r>
              <w:rPr>
                <w:sz w:val="24"/>
              </w:rPr>
              <w:t>1</w:t>
            </w:r>
            <w:r>
              <w:rPr>
                <w:rFonts w:hAnsi="宋体"/>
                <w:sz w:val="24"/>
              </w:rPr>
              <w:t>）废气</w:t>
            </w:r>
          </w:p>
          <w:p>
            <w:pPr>
              <w:adjustRightInd w:val="0"/>
              <w:snapToGrid w:val="0"/>
              <w:spacing w:line="500" w:lineRule="exact"/>
              <w:ind w:firstLine="480" w:firstLineChars="200"/>
              <w:rPr>
                <w:rFonts w:hAnsi="宋体"/>
                <w:bCs/>
                <w:kern w:val="0"/>
                <w:sz w:val="24"/>
              </w:rPr>
            </w:pPr>
            <w:r>
              <w:rPr>
                <w:rFonts w:hint="eastAsia" w:hAnsi="宋体"/>
                <w:bCs/>
                <w:kern w:val="0"/>
                <w:sz w:val="24"/>
              </w:rPr>
              <w:t>根据工程分析，各工序同时运行时废气有组织产生量为0.0356t/a，产生速率为0.052kg/h，产生浓度为52mg/m</w:t>
            </w:r>
            <w:r>
              <w:rPr>
                <w:rFonts w:hint="eastAsia" w:hAnsi="宋体"/>
                <w:bCs/>
                <w:kern w:val="0"/>
                <w:sz w:val="24"/>
                <w:vertAlign w:val="superscript"/>
              </w:rPr>
              <w:t>3</w:t>
            </w:r>
            <w:r>
              <w:rPr>
                <w:rFonts w:hint="eastAsia" w:hAnsi="宋体"/>
                <w:bCs/>
                <w:kern w:val="0"/>
                <w:sz w:val="24"/>
              </w:rPr>
              <w:t>，排放量为0.0004t/a，排放速率为0.0005kg/h，排放浓度为5.2mg/m</w:t>
            </w:r>
            <w:r>
              <w:rPr>
                <w:rFonts w:hint="eastAsia" w:hAnsi="宋体"/>
                <w:bCs/>
                <w:kern w:val="0"/>
                <w:sz w:val="24"/>
                <w:vertAlign w:val="superscript"/>
              </w:rPr>
              <w:t>3</w:t>
            </w:r>
            <w:r>
              <w:rPr>
                <w:rFonts w:hint="eastAsia" w:hAnsi="宋体"/>
                <w:bCs/>
                <w:kern w:val="0"/>
                <w:sz w:val="24"/>
              </w:rPr>
              <w:t>；无组织产生量为0.0104t/a，排放量为0.0052t/a。</w:t>
            </w:r>
          </w:p>
          <w:p>
            <w:pPr>
              <w:adjustRightInd w:val="0"/>
              <w:snapToGrid w:val="0"/>
              <w:spacing w:line="500" w:lineRule="exact"/>
              <w:ind w:firstLine="480" w:firstLineChars="200"/>
              <w:rPr>
                <w:rFonts w:hAnsi="宋体"/>
                <w:bCs/>
                <w:kern w:val="0"/>
                <w:sz w:val="24"/>
              </w:rPr>
            </w:pPr>
            <w:r>
              <w:rPr>
                <w:rFonts w:hint="eastAsia" w:hAnsi="宋体"/>
                <w:bCs/>
                <w:kern w:val="0"/>
                <w:sz w:val="24"/>
              </w:rPr>
              <w:t>项目废气能够满足《大气污染物综合排放标准》（GB16297-1996）中二级标准（最高允许排放浓度：120mg/m</w:t>
            </w:r>
            <w:r>
              <w:rPr>
                <w:rFonts w:hint="eastAsia" w:hAnsi="宋体"/>
                <w:bCs/>
                <w:kern w:val="0"/>
                <w:sz w:val="24"/>
                <w:vertAlign w:val="superscript"/>
              </w:rPr>
              <w:t>3</w:t>
            </w:r>
            <w:r>
              <w:rPr>
                <w:rFonts w:hint="eastAsia" w:hAnsi="宋体"/>
                <w:bCs/>
                <w:kern w:val="0"/>
                <w:sz w:val="24"/>
              </w:rPr>
              <w:t>，15m高排气筒最高允许排放速率3.5kg/h；周界外浓度最高点：1.0mg/m</w:t>
            </w:r>
            <w:r>
              <w:rPr>
                <w:rFonts w:hint="eastAsia" w:hAnsi="宋体"/>
                <w:bCs/>
                <w:kern w:val="0"/>
                <w:sz w:val="24"/>
                <w:vertAlign w:val="superscript"/>
              </w:rPr>
              <w:t>3</w:t>
            </w:r>
            <w:r>
              <w:rPr>
                <w:rFonts w:hint="eastAsia" w:hAnsi="宋体"/>
                <w:bCs/>
                <w:kern w:val="0"/>
                <w:sz w:val="24"/>
              </w:rPr>
              <w:t>），同时也能满足《新乡市生态环境局关于进一步规范工业企业颗粒物排放限值的通知》（2020年7月31日）中其他所有涉气工业企业排放口颗粒物排放浓度不高于10mg/m3，厂界颗粒物排放浓度不高于0.5 mg/m</w:t>
            </w:r>
            <w:r>
              <w:rPr>
                <w:rFonts w:hint="eastAsia" w:hAnsi="宋体"/>
                <w:bCs/>
                <w:kern w:val="0"/>
                <w:sz w:val="24"/>
                <w:vertAlign w:val="superscript"/>
              </w:rPr>
              <w:t>3</w:t>
            </w:r>
            <w:r>
              <w:rPr>
                <w:rFonts w:hint="eastAsia" w:hAnsi="宋体"/>
                <w:bCs/>
                <w:kern w:val="0"/>
                <w:sz w:val="24"/>
              </w:rPr>
              <w:t>。故对周围环境影响较小。</w:t>
            </w:r>
            <w:r>
              <w:rPr>
                <w:rFonts w:hint="eastAsia" w:hAnsi="宋体"/>
                <w:bCs/>
                <w:color w:val="000000"/>
                <w:sz w:val="24"/>
              </w:rPr>
              <w:t>项目的卫生防护距离为50m，东厂界外40m，南厂界外50m，西厂界外20m，北厂界外0m。且项目卫生防护距离范围内无环境敏感目标。</w:t>
            </w:r>
          </w:p>
          <w:p>
            <w:pPr>
              <w:adjustRightInd w:val="0"/>
              <w:snapToGrid w:val="0"/>
              <w:spacing w:line="500" w:lineRule="exact"/>
              <w:ind w:firstLine="480" w:firstLineChars="200"/>
              <w:rPr>
                <w:sz w:val="24"/>
              </w:rPr>
            </w:pPr>
            <w:r>
              <w:rPr>
                <w:rFonts w:hAnsi="宋体"/>
                <w:sz w:val="24"/>
              </w:rPr>
              <w:t>（</w:t>
            </w:r>
            <w:r>
              <w:rPr>
                <w:sz w:val="24"/>
              </w:rPr>
              <w:t>2</w:t>
            </w:r>
            <w:r>
              <w:rPr>
                <w:rFonts w:hAnsi="宋体"/>
                <w:sz w:val="24"/>
              </w:rPr>
              <w:t>）废水</w:t>
            </w:r>
          </w:p>
          <w:p>
            <w:pPr>
              <w:adjustRightInd w:val="0"/>
              <w:snapToGrid w:val="0"/>
              <w:spacing w:line="500" w:lineRule="exact"/>
              <w:ind w:firstLine="480" w:firstLineChars="200"/>
              <w:rPr>
                <w:sz w:val="24"/>
              </w:rPr>
            </w:pPr>
            <w:r>
              <w:rPr>
                <w:rFonts w:hAnsi="宋体"/>
                <w:sz w:val="24"/>
              </w:rPr>
              <w:t>根据工程分析，</w:t>
            </w:r>
            <w:r>
              <w:rPr>
                <w:rFonts w:hint="eastAsia" w:hAnsi="宋体"/>
                <w:sz w:val="24"/>
              </w:rPr>
              <w:t>生活污水产生量为0.24t/d（72t/a），生活污水依托厂区现有化粪池（10m</w:t>
            </w:r>
            <w:r>
              <w:rPr>
                <w:rFonts w:hint="eastAsia" w:hAnsi="宋体"/>
                <w:sz w:val="24"/>
                <w:vertAlign w:val="superscript"/>
              </w:rPr>
              <w:t>3</w:t>
            </w:r>
            <w:r>
              <w:rPr>
                <w:rFonts w:hint="eastAsia" w:hAnsi="宋体"/>
                <w:sz w:val="24"/>
              </w:rPr>
              <w:t>）处理后，定期清运，不外排，对周围环境影响较小。</w:t>
            </w:r>
          </w:p>
          <w:p>
            <w:pPr>
              <w:adjustRightInd w:val="0"/>
              <w:snapToGrid w:val="0"/>
              <w:spacing w:line="500" w:lineRule="exact"/>
              <w:ind w:firstLine="480" w:firstLineChars="200"/>
              <w:rPr>
                <w:sz w:val="24"/>
              </w:rPr>
            </w:pPr>
            <w:r>
              <w:rPr>
                <w:rFonts w:hAnsi="宋体"/>
                <w:sz w:val="24"/>
              </w:rPr>
              <w:t>（</w:t>
            </w:r>
            <w:r>
              <w:rPr>
                <w:sz w:val="24"/>
              </w:rPr>
              <w:t>3</w:t>
            </w:r>
            <w:r>
              <w:rPr>
                <w:rFonts w:hAnsi="宋体"/>
                <w:sz w:val="24"/>
              </w:rPr>
              <w:t>）噪声</w:t>
            </w:r>
          </w:p>
          <w:p>
            <w:pPr>
              <w:adjustRightInd w:val="0"/>
              <w:snapToGrid w:val="0"/>
              <w:spacing w:line="500" w:lineRule="exact"/>
              <w:ind w:firstLine="480" w:firstLineChars="200"/>
              <w:rPr>
                <w:sz w:val="24"/>
              </w:rPr>
            </w:pPr>
            <w:r>
              <w:rPr>
                <w:rFonts w:hAnsi="宋体"/>
                <w:sz w:val="24"/>
              </w:rPr>
              <w:t>项目噪声主要来源于设备运行产生的噪声，噪声源强约在</w:t>
            </w:r>
            <w:r>
              <w:rPr>
                <w:rFonts w:hint="eastAsia"/>
                <w:sz w:val="24"/>
              </w:rPr>
              <w:t>7</w:t>
            </w:r>
            <w:r>
              <w:rPr>
                <w:sz w:val="24"/>
              </w:rPr>
              <w:t>0~90dB(A)</w:t>
            </w:r>
            <w:r>
              <w:rPr>
                <w:rFonts w:hAnsi="宋体"/>
                <w:sz w:val="24"/>
              </w:rPr>
              <w:t>左右。</w:t>
            </w:r>
            <w:r>
              <w:rPr>
                <w:rFonts w:hAnsi="宋体"/>
                <w:kern w:val="0"/>
                <w:sz w:val="24"/>
              </w:rPr>
              <w:t>经采取选用低噪声设备、安装减振装置、厂房隔声等措施，</w:t>
            </w:r>
            <w:r>
              <w:rPr>
                <w:rFonts w:hAnsi="宋体"/>
                <w:sz w:val="24"/>
              </w:rPr>
              <w:t>根据预测，</w:t>
            </w:r>
            <w:r>
              <w:rPr>
                <w:rFonts w:hAnsi="宋体"/>
                <w:kern w:val="0"/>
                <w:sz w:val="24"/>
              </w:rPr>
              <w:t>四厂界预测结果均满足《工业企业厂界环境噪声排放标准》</w:t>
            </w:r>
            <w:r>
              <w:rPr>
                <w:kern w:val="0"/>
                <w:sz w:val="24"/>
              </w:rPr>
              <w:t>(GB12348-2008)</w:t>
            </w:r>
            <w:r>
              <w:rPr>
                <w:rFonts w:hAnsi="宋体"/>
                <w:kern w:val="0"/>
                <w:sz w:val="24"/>
              </w:rPr>
              <w:t>中</w:t>
            </w:r>
            <w:r>
              <w:rPr>
                <w:kern w:val="0"/>
                <w:sz w:val="24"/>
              </w:rPr>
              <w:t>2</w:t>
            </w:r>
            <w:r>
              <w:rPr>
                <w:rFonts w:hAnsi="宋体"/>
                <w:kern w:val="0"/>
                <w:sz w:val="24"/>
              </w:rPr>
              <w:t>类标准。</w:t>
            </w:r>
          </w:p>
          <w:p>
            <w:pPr>
              <w:adjustRightInd w:val="0"/>
              <w:snapToGrid w:val="0"/>
              <w:spacing w:line="500" w:lineRule="exact"/>
              <w:ind w:firstLine="480" w:firstLineChars="200"/>
              <w:rPr>
                <w:sz w:val="24"/>
              </w:rPr>
            </w:pPr>
            <w:r>
              <w:rPr>
                <w:rFonts w:hAnsi="宋体"/>
                <w:sz w:val="24"/>
              </w:rPr>
              <w:t>（</w:t>
            </w:r>
            <w:r>
              <w:rPr>
                <w:sz w:val="24"/>
              </w:rPr>
              <w:t>4</w:t>
            </w:r>
            <w:r>
              <w:rPr>
                <w:rFonts w:hAnsi="宋体"/>
                <w:sz w:val="24"/>
              </w:rPr>
              <w:t>）固体废物</w:t>
            </w:r>
          </w:p>
          <w:p>
            <w:pPr>
              <w:adjustRightInd w:val="0"/>
              <w:snapToGrid w:val="0"/>
              <w:spacing w:line="500" w:lineRule="exact"/>
              <w:ind w:firstLine="480" w:firstLineChars="200"/>
              <w:rPr>
                <w:rFonts w:hAnsi="宋体"/>
                <w:bCs/>
                <w:sz w:val="24"/>
              </w:rPr>
            </w:pPr>
            <w:r>
              <w:rPr>
                <w:rFonts w:hAnsi="宋体"/>
                <w:sz w:val="24"/>
              </w:rPr>
              <w:t>项目生产过程中产生的</w:t>
            </w:r>
            <w:r>
              <w:rPr>
                <w:rFonts w:hint="eastAsia" w:hAnsi="宋体"/>
                <w:sz w:val="24"/>
              </w:rPr>
              <w:t>废边角料及金属屑为</w:t>
            </w:r>
            <w:r>
              <w:rPr>
                <w:rFonts w:hint="eastAsia"/>
                <w:bCs/>
                <w:sz w:val="24"/>
              </w:rPr>
              <w:t>1t/a，焊渣为</w:t>
            </w:r>
            <w:r>
              <w:rPr>
                <w:bCs/>
                <w:sz w:val="24"/>
              </w:rPr>
              <w:t>0.26t/a</w:t>
            </w:r>
            <w:r>
              <w:rPr>
                <w:rFonts w:hint="eastAsia"/>
                <w:bCs/>
                <w:sz w:val="24"/>
              </w:rPr>
              <w:t>，除尘器收尘为0.0404</w:t>
            </w:r>
            <w:r>
              <w:rPr>
                <w:bCs/>
                <w:sz w:val="24"/>
              </w:rPr>
              <w:t xml:space="preserve"> t/a</w:t>
            </w:r>
            <w:r>
              <w:rPr>
                <w:rFonts w:hint="eastAsia" w:hAnsi="宋体"/>
                <w:bCs/>
                <w:sz w:val="24"/>
              </w:rPr>
              <w:t>均统一收集暂存于一般固废暂存间，定期外售；废切削液产生量为1t/a，废润滑油产生量为0.1t/a暂存于危废暂存间，定期交由有资质单位进行处理；</w:t>
            </w:r>
            <w:r>
              <w:rPr>
                <w:rFonts w:hAnsi="宋体"/>
                <w:sz w:val="24"/>
              </w:rPr>
              <w:t>生活垃圾</w:t>
            </w:r>
            <w:r>
              <w:rPr>
                <w:rFonts w:hint="eastAsia" w:hAnsi="宋体"/>
                <w:sz w:val="24"/>
              </w:rPr>
              <w:t>产生量为5kg/d、1.5t/a</w:t>
            </w:r>
            <w:r>
              <w:rPr>
                <w:rFonts w:hAnsi="宋体"/>
                <w:sz w:val="24"/>
              </w:rPr>
              <w:t>由环卫部门处理。</w:t>
            </w:r>
          </w:p>
          <w:p>
            <w:pPr>
              <w:adjustRightInd w:val="0"/>
              <w:snapToGrid w:val="0"/>
              <w:spacing w:line="500" w:lineRule="exact"/>
              <w:ind w:firstLine="480" w:firstLineChars="200"/>
              <w:rPr>
                <w:sz w:val="24"/>
              </w:rPr>
            </w:pPr>
            <w:r>
              <w:rPr>
                <w:rFonts w:hAnsi="宋体"/>
                <w:sz w:val="24"/>
              </w:rPr>
              <w:t>综上所述，项目固废均能得到合理处置。</w:t>
            </w:r>
          </w:p>
          <w:p>
            <w:pPr>
              <w:adjustRightInd w:val="0"/>
              <w:snapToGrid w:val="0"/>
              <w:spacing w:line="500" w:lineRule="exact"/>
              <w:rPr>
                <w:b/>
                <w:sz w:val="24"/>
              </w:rPr>
            </w:pPr>
            <w:r>
              <w:rPr>
                <w:b/>
                <w:sz w:val="24"/>
              </w:rPr>
              <w:t>1.7</w:t>
            </w:r>
            <w:r>
              <w:rPr>
                <w:rFonts w:hAnsi="宋体"/>
                <w:b/>
                <w:sz w:val="24"/>
              </w:rPr>
              <w:t>环保投资</w:t>
            </w:r>
          </w:p>
          <w:p>
            <w:pPr>
              <w:pStyle w:val="2"/>
              <w:adjustRightInd w:val="0"/>
              <w:snapToGrid w:val="0"/>
              <w:spacing w:line="500" w:lineRule="exact"/>
              <w:ind w:firstLine="480" w:firstLineChars="200"/>
              <w:jc w:val="left"/>
              <w:rPr>
                <w:b w:val="0"/>
              </w:rPr>
            </w:pPr>
            <w:r>
              <w:rPr>
                <w:rFonts w:hAnsi="宋体"/>
                <w:b w:val="0"/>
              </w:rPr>
              <w:t>本项目总投资</w:t>
            </w:r>
            <w:r>
              <w:rPr>
                <w:rFonts w:hint="eastAsia"/>
                <w:b w:val="0"/>
              </w:rPr>
              <w:t>80</w:t>
            </w:r>
            <w:r>
              <w:rPr>
                <w:rFonts w:hAnsi="宋体"/>
                <w:b w:val="0"/>
              </w:rPr>
              <w:t>万元，其中环保投资共</w:t>
            </w:r>
            <w:r>
              <w:rPr>
                <w:rFonts w:hint="eastAsia"/>
                <w:b w:val="0"/>
              </w:rPr>
              <w:t>12</w:t>
            </w:r>
            <w:r>
              <w:rPr>
                <w:rFonts w:hAnsi="宋体"/>
                <w:b w:val="0"/>
              </w:rPr>
              <w:t>万元，占项目总投资的</w:t>
            </w:r>
            <w:r>
              <w:rPr>
                <w:rFonts w:hint="eastAsia"/>
                <w:b w:val="0"/>
              </w:rPr>
              <w:t>15</w:t>
            </w:r>
            <w:r>
              <w:rPr>
                <w:b w:val="0"/>
              </w:rPr>
              <w:t>%</w:t>
            </w:r>
            <w:r>
              <w:rPr>
                <w:rFonts w:hAnsi="宋体"/>
                <w:b w:val="0"/>
              </w:rPr>
              <w:t>。各项污染防治措施成熟、有效、可行。</w:t>
            </w:r>
          </w:p>
          <w:p>
            <w:pPr>
              <w:adjustRightInd w:val="0"/>
              <w:snapToGrid w:val="0"/>
              <w:spacing w:line="500" w:lineRule="exact"/>
              <w:rPr>
                <w:b/>
                <w:sz w:val="24"/>
              </w:rPr>
            </w:pPr>
            <w:r>
              <w:rPr>
                <w:b/>
                <w:sz w:val="24"/>
              </w:rPr>
              <w:t>1.8</w:t>
            </w:r>
            <w:r>
              <w:rPr>
                <w:rFonts w:hAnsi="宋体"/>
                <w:b/>
                <w:sz w:val="24"/>
              </w:rPr>
              <w:t>总量控制</w:t>
            </w:r>
          </w:p>
          <w:p>
            <w:pPr>
              <w:pStyle w:val="14"/>
              <w:adjustRightInd w:val="0"/>
              <w:snapToGrid w:val="0"/>
              <w:spacing w:line="500" w:lineRule="exact"/>
              <w:ind w:firstLine="480" w:firstLineChars="200"/>
              <w:rPr>
                <w:rFonts w:ascii="Times New Roman" w:hAnsi="Times New Roman"/>
                <w:sz w:val="24"/>
                <w:szCs w:val="24"/>
              </w:rPr>
            </w:pPr>
            <w:r>
              <w:rPr>
                <w:rFonts w:ascii="Times New Roman" w:hAnsi="宋体"/>
                <w:sz w:val="24"/>
                <w:szCs w:val="24"/>
              </w:rPr>
              <w:t>（</w:t>
            </w:r>
            <w:r>
              <w:rPr>
                <w:rFonts w:ascii="Times New Roman" w:hAnsi="Times New Roman"/>
                <w:sz w:val="24"/>
                <w:szCs w:val="24"/>
              </w:rPr>
              <w:t>1</w:t>
            </w:r>
            <w:r>
              <w:rPr>
                <w:rFonts w:ascii="Times New Roman" w:hAnsi="宋体"/>
                <w:sz w:val="24"/>
                <w:szCs w:val="24"/>
              </w:rPr>
              <w:t>）废气</w:t>
            </w:r>
          </w:p>
          <w:p>
            <w:pPr>
              <w:pStyle w:val="14"/>
              <w:adjustRightInd w:val="0"/>
              <w:snapToGrid w:val="0"/>
              <w:spacing w:line="500" w:lineRule="exact"/>
              <w:ind w:firstLine="480" w:firstLineChars="200"/>
              <w:rPr>
                <w:rFonts w:ascii="Times New Roman" w:hAnsi="Times New Roman"/>
                <w:sz w:val="24"/>
                <w:szCs w:val="24"/>
              </w:rPr>
            </w:pPr>
            <w:r>
              <w:rPr>
                <w:rFonts w:ascii="Times New Roman" w:hAnsi="宋体"/>
                <w:sz w:val="24"/>
                <w:szCs w:val="24"/>
              </w:rPr>
              <w:t>根据国家总量控制指标，大气污染物总量控制指标为</w:t>
            </w:r>
            <w:r>
              <w:rPr>
                <w:rFonts w:ascii="Times New Roman" w:hAnsi="Times New Roman"/>
                <w:sz w:val="24"/>
                <w:szCs w:val="24"/>
              </w:rPr>
              <w:t>SO</w:t>
            </w:r>
            <w:r>
              <w:rPr>
                <w:rFonts w:ascii="Times New Roman" w:hAnsi="Times New Roman"/>
                <w:sz w:val="24"/>
                <w:szCs w:val="24"/>
                <w:vertAlign w:val="subscript"/>
              </w:rPr>
              <w:t>2</w:t>
            </w:r>
            <w:r>
              <w:rPr>
                <w:rFonts w:ascii="Times New Roman" w:hAnsi="宋体"/>
                <w:sz w:val="24"/>
                <w:szCs w:val="24"/>
              </w:rPr>
              <w:t>、</w:t>
            </w:r>
            <w:r>
              <w:rPr>
                <w:rFonts w:ascii="Times New Roman" w:hAnsi="Times New Roman"/>
                <w:sz w:val="24"/>
                <w:szCs w:val="24"/>
              </w:rPr>
              <w:t>NOx</w:t>
            </w:r>
            <w:r>
              <w:rPr>
                <w:rFonts w:ascii="Times New Roman" w:hAnsi="宋体"/>
                <w:sz w:val="24"/>
                <w:szCs w:val="24"/>
              </w:rPr>
              <w:t>。本项目不涉及废气，无</w:t>
            </w:r>
            <w:r>
              <w:rPr>
                <w:rFonts w:ascii="Times New Roman" w:hAnsi="Times New Roman"/>
                <w:sz w:val="24"/>
                <w:szCs w:val="24"/>
              </w:rPr>
              <w:t>SO</w:t>
            </w:r>
            <w:r>
              <w:rPr>
                <w:rFonts w:ascii="Times New Roman" w:hAnsi="Times New Roman"/>
                <w:sz w:val="24"/>
                <w:szCs w:val="24"/>
                <w:vertAlign w:val="subscript"/>
              </w:rPr>
              <w:t>2</w:t>
            </w:r>
            <w:r>
              <w:rPr>
                <w:rFonts w:ascii="Times New Roman" w:hAnsi="宋体"/>
                <w:sz w:val="24"/>
                <w:szCs w:val="24"/>
              </w:rPr>
              <w:t>、</w:t>
            </w:r>
            <w:r>
              <w:rPr>
                <w:rFonts w:ascii="Times New Roman" w:hAnsi="Times New Roman"/>
                <w:sz w:val="24"/>
                <w:szCs w:val="24"/>
              </w:rPr>
              <w:t>NOx</w:t>
            </w:r>
            <w:r>
              <w:rPr>
                <w:rFonts w:ascii="Times New Roman" w:hAnsi="宋体"/>
                <w:sz w:val="24"/>
                <w:szCs w:val="24"/>
              </w:rPr>
              <w:t>产生</w:t>
            </w:r>
            <w:r>
              <w:rPr>
                <w:rFonts w:hint="eastAsia" w:ascii="Times New Roman" w:hAnsi="宋体"/>
                <w:sz w:val="24"/>
                <w:szCs w:val="24"/>
              </w:rPr>
              <w:t>，但项目特征污染物粉尘排放量为</w:t>
            </w:r>
            <w:r>
              <w:rPr>
                <w:rFonts w:hint="eastAsia" w:ascii="Times New Roman" w:hAnsi="Times New Roman"/>
                <w:color w:val="000000"/>
                <w:sz w:val="24"/>
              </w:rPr>
              <w:t>0.0056t/a（有组织0.0004t/a，无组织0.0052）。</w:t>
            </w:r>
          </w:p>
          <w:p>
            <w:pPr>
              <w:pStyle w:val="14"/>
              <w:adjustRightInd w:val="0"/>
              <w:snapToGrid w:val="0"/>
              <w:spacing w:line="500" w:lineRule="exact"/>
              <w:ind w:firstLine="480" w:firstLineChars="200"/>
              <w:rPr>
                <w:rFonts w:ascii="Times New Roman" w:hAnsi="Times New Roman"/>
                <w:sz w:val="24"/>
                <w:szCs w:val="24"/>
              </w:rPr>
            </w:pPr>
            <w:r>
              <w:rPr>
                <w:rFonts w:ascii="Times New Roman" w:hAnsi="宋体"/>
                <w:sz w:val="24"/>
                <w:szCs w:val="24"/>
              </w:rPr>
              <w:t>（</w:t>
            </w:r>
            <w:r>
              <w:rPr>
                <w:rFonts w:ascii="Times New Roman" w:hAnsi="Times New Roman"/>
                <w:sz w:val="24"/>
                <w:szCs w:val="24"/>
              </w:rPr>
              <w:t>2</w:t>
            </w:r>
            <w:r>
              <w:rPr>
                <w:rFonts w:ascii="Times New Roman" w:hAnsi="宋体"/>
                <w:sz w:val="24"/>
                <w:szCs w:val="24"/>
              </w:rPr>
              <w:t>）废水</w:t>
            </w:r>
          </w:p>
          <w:p>
            <w:pPr>
              <w:pStyle w:val="14"/>
              <w:adjustRightInd w:val="0"/>
              <w:snapToGrid w:val="0"/>
              <w:spacing w:line="500" w:lineRule="exact"/>
              <w:ind w:firstLine="480" w:firstLineChars="200"/>
              <w:rPr>
                <w:rFonts w:ascii="Times New Roman" w:hAnsi="宋体"/>
                <w:sz w:val="24"/>
              </w:rPr>
            </w:pPr>
            <w:r>
              <w:rPr>
                <w:rFonts w:ascii="Times New Roman" w:hAnsi="宋体"/>
                <w:sz w:val="24"/>
                <w:szCs w:val="24"/>
              </w:rPr>
              <w:t>本项目不产生生产废水，</w:t>
            </w:r>
            <w:r>
              <w:rPr>
                <w:rFonts w:hint="eastAsia" w:ascii="Times New Roman" w:hAnsi="宋体"/>
                <w:sz w:val="24"/>
                <w:szCs w:val="24"/>
              </w:rPr>
              <w:t>生活污水</w:t>
            </w:r>
            <w:r>
              <w:rPr>
                <w:rFonts w:hint="eastAsia" w:hAnsi="宋体"/>
                <w:sz w:val="24"/>
              </w:rPr>
              <w:t>依托厂区</w:t>
            </w:r>
            <w:r>
              <w:rPr>
                <w:rFonts w:ascii="Times New Roman" w:hAnsi="宋体"/>
                <w:sz w:val="24"/>
              </w:rPr>
              <w:t>现有化粪池（</w:t>
            </w:r>
            <w:r>
              <w:rPr>
                <w:rFonts w:ascii="Times New Roman" w:hAnsi="Times New Roman"/>
                <w:sz w:val="24"/>
              </w:rPr>
              <w:t>10m</w:t>
            </w:r>
            <w:r>
              <w:rPr>
                <w:rFonts w:ascii="Times New Roman" w:hAnsi="Times New Roman"/>
                <w:sz w:val="24"/>
                <w:vertAlign w:val="superscript"/>
              </w:rPr>
              <w:t>3</w:t>
            </w:r>
            <w:r>
              <w:rPr>
                <w:rFonts w:ascii="Times New Roman" w:hAnsi="宋体"/>
                <w:sz w:val="24"/>
              </w:rPr>
              <w:t>）处理后，</w:t>
            </w:r>
            <w:r>
              <w:rPr>
                <w:rFonts w:hint="eastAsia" w:ascii="Times New Roman" w:hAnsi="宋体"/>
                <w:sz w:val="24"/>
              </w:rPr>
              <w:t>定期清运，不外排。</w:t>
            </w:r>
          </w:p>
          <w:p>
            <w:pPr>
              <w:pStyle w:val="14"/>
              <w:adjustRightInd w:val="0"/>
              <w:snapToGrid w:val="0"/>
              <w:spacing w:line="500" w:lineRule="exact"/>
              <w:ind w:firstLine="480" w:firstLineChars="200"/>
              <w:rPr>
                <w:rFonts w:ascii="Times New Roman" w:hAnsi="宋体"/>
                <w:sz w:val="24"/>
                <w:szCs w:val="24"/>
              </w:rPr>
            </w:pPr>
            <w:r>
              <w:rPr>
                <w:rFonts w:hint="eastAsia" w:ascii="Times New Roman" w:hAnsi="Times New Roman"/>
                <w:color w:val="000000"/>
                <w:sz w:val="24"/>
              </w:rPr>
              <w:t>综上所述，本项目不涉及总量控制指标，本项目特征污染物粉尘排放量为0.0056t/a（有组织0.0004t/a，无组织0.0052），全厂粉尘排放量为0.0075t/a(现有项目粉尘排放量为0.0019t/a，本项目粉尘排放量为0.0052t/a)。</w:t>
            </w:r>
          </w:p>
          <w:p>
            <w:pPr>
              <w:adjustRightInd w:val="0"/>
              <w:snapToGrid w:val="0"/>
              <w:spacing w:line="500" w:lineRule="exact"/>
              <w:rPr>
                <w:b/>
                <w:bCs/>
                <w:sz w:val="28"/>
                <w:szCs w:val="28"/>
              </w:rPr>
            </w:pPr>
            <w:r>
              <w:rPr>
                <w:b/>
                <w:bCs/>
                <w:sz w:val="28"/>
                <w:szCs w:val="28"/>
              </w:rPr>
              <w:t>2.</w:t>
            </w:r>
            <w:r>
              <w:rPr>
                <w:rFonts w:hAnsi="宋体"/>
                <w:b/>
                <w:bCs/>
                <w:sz w:val="28"/>
                <w:szCs w:val="28"/>
              </w:rPr>
              <w:t>建议</w:t>
            </w:r>
          </w:p>
          <w:p>
            <w:pPr>
              <w:adjustRightInd w:val="0"/>
              <w:snapToGrid w:val="0"/>
              <w:spacing w:line="500" w:lineRule="exact"/>
              <w:ind w:firstLine="480" w:firstLineChars="200"/>
              <w:rPr>
                <w:sz w:val="24"/>
              </w:rPr>
            </w:pPr>
            <w:r>
              <w:rPr>
                <w:rFonts w:hAnsi="宋体"/>
                <w:sz w:val="24"/>
              </w:rPr>
              <w:t>（</w:t>
            </w:r>
            <w:r>
              <w:rPr>
                <w:sz w:val="24"/>
              </w:rPr>
              <w:t>1</w:t>
            </w:r>
            <w:r>
              <w:rPr>
                <w:rFonts w:hAnsi="宋体"/>
                <w:sz w:val="24"/>
              </w:rPr>
              <w:t>）重视环境保护工作，确保环评报告及其批复意见中提出的各项污染防治措施落实到位，确保环保资金的投入，确保</w:t>
            </w:r>
            <w:r>
              <w:rPr>
                <w:sz w:val="24"/>
              </w:rPr>
              <w:t>“</w:t>
            </w:r>
            <w:r>
              <w:rPr>
                <w:rFonts w:hAnsi="宋体"/>
                <w:sz w:val="24"/>
              </w:rPr>
              <w:t>三废</w:t>
            </w:r>
            <w:r>
              <w:rPr>
                <w:sz w:val="24"/>
              </w:rPr>
              <w:t>”</w:t>
            </w:r>
            <w:r>
              <w:rPr>
                <w:rFonts w:hAnsi="宋体"/>
                <w:sz w:val="24"/>
              </w:rPr>
              <w:t>均能长期稳定达标排放。</w:t>
            </w:r>
          </w:p>
          <w:p>
            <w:pPr>
              <w:adjustRightInd w:val="0"/>
              <w:snapToGrid w:val="0"/>
              <w:spacing w:line="500" w:lineRule="exact"/>
              <w:ind w:firstLine="480" w:firstLineChars="200"/>
              <w:rPr>
                <w:sz w:val="24"/>
              </w:rPr>
            </w:pPr>
            <w:r>
              <w:rPr>
                <w:rFonts w:hAnsi="宋体"/>
                <w:sz w:val="24"/>
              </w:rPr>
              <w:t>（</w:t>
            </w:r>
            <w:r>
              <w:rPr>
                <w:sz w:val="24"/>
              </w:rPr>
              <w:t>2</w:t>
            </w:r>
            <w:r>
              <w:rPr>
                <w:rFonts w:hAnsi="宋体"/>
                <w:sz w:val="24"/>
              </w:rPr>
              <w:t>）营运期加强生产管理，减少各种材料、能源、资源的浪费，同时保证环保设备的正常运行，以减轻对环境的污染影响。</w:t>
            </w:r>
          </w:p>
          <w:p>
            <w:pPr>
              <w:adjustRightInd w:val="0"/>
              <w:snapToGrid w:val="0"/>
              <w:spacing w:line="500" w:lineRule="exact"/>
              <w:ind w:firstLine="480" w:firstLineChars="200"/>
              <w:rPr>
                <w:sz w:val="24"/>
              </w:rPr>
            </w:pPr>
            <w:r>
              <w:rPr>
                <w:rFonts w:hAnsi="宋体"/>
                <w:sz w:val="24"/>
              </w:rPr>
              <w:t>（</w:t>
            </w:r>
            <w:r>
              <w:rPr>
                <w:sz w:val="24"/>
              </w:rPr>
              <w:t>3</w:t>
            </w:r>
            <w:r>
              <w:rPr>
                <w:rFonts w:hAnsi="宋体"/>
                <w:sz w:val="24"/>
              </w:rPr>
              <w:t>）加强设备维修、维护、防止设备运行不正常引起的噪声升高。</w:t>
            </w:r>
          </w:p>
          <w:p>
            <w:pPr>
              <w:adjustRightInd w:val="0"/>
              <w:snapToGrid w:val="0"/>
              <w:spacing w:line="500" w:lineRule="exact"/>
              <w:ind w:firstLine="480" w:firstLineChars="200"/>
              <w:rPr>
                <w:sz w:val="24"/>
              </w:rPr>
            </w:pPr>
            <w:r>
              <w:rPr>
                <w:rFonts w:hAnsi="宋体"/>
                <w:sz w:val="24"/>
              </w:rPr>
              <w:t>（</w:t>
            </w:r>
            <w:r>
              <w:rPr>
                <w:sz w:val="24"/>
              </w:rPr>
              <w:t>4</w:t>
            </w:r>
            <w:r>
              <w:rPr>
                <w:rFonts w:hAnsi="宋体"/>
                <w:sz w:val="24"/>
              </w:rPr>
              <w:t>）项目建成后企业应及时自主验收，待验收合格并通过网站向社会公开后方可正式投入运营。</w:t>
            </w:r>
          </w:p>
          <w:p>
            <w:pPr>
              <w:adjustRightInd w:val="0"/>
              <w:snapToGrid w:val="0"/>
              <w:spacing w:line="500" w:lineRule="exact"/>
              <w:ind w:firstLine="480" w:firstLineChars="200"/>
              <w:rPr>
                <w:sz w:val="24"/>
              </w:rPr>
            </w:pPr>
          </w:p>
          <w:p/>
          <w:p>
            <w:pPr>
              <w:adjustRightInd w:val="0"/>
              <w:snapToGrid w:val="0"/>
              <w:spacing w:line="500" w:lineRule="exact"/>
              <w:ind w:firstLine="482" w:firstLineChars="200"/>
              <w:rPr>
                <w:sz w:val="24"/>
              </w:rPr>
            </w:pPr>
            <w:r>
              <w:rPr>
                <w:rFonts w:hAnsi="宋体"/>
                <w:b/>
                <w:sz w:val="24"/>
              </w:rPr>
              <w:t>综上所述</w:t>
            </w:r>
            <w:r>
              <w:rPr>
                <w:rFonts w:hAnsi="宋体"/>
                <w:b/>
                <w:bCs/>
                <w:sz w:val="24"/>
              </w:rPr>
              <w:t>，新乡市天华科技有限公司扩建年产300台振动输送设备项目符合国家产业政策，项目所处位置地理、自然、条件良好，选址合理；项目污染防治措施有效、可行，各污染物均能实现达标排放或合理处置，对周围环境的污染影响较小。因此，在保证污染防治措施有效实施的基础上，并采纳上述建议后，从环境保护的角度分析，本次评价认为该项目的建设可行。</w:t>
            </w:r>
          </w:p>
          <w:p>
            <w:pPr>
              <w:snapToGrid w:val="0"/>
              <w:spacing w:line="360" w:lineRule="auto"/>
              <w:rPr>
                <w:sz w:val="28"/>
                <w:szCs w:val="28"/>
              </w:rPr>
            </w:pPr>
          </w:p>
          <w:p>
            <w:pPr>
              <w:snapToGrid w:val="0"/>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2" w:hRule="atLeast"/>
          <w:jc w:val="center"/>
        </w:trPr>
        <w:tc>
          <w:tcPr>
            <w:tcW w:w="500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黑体"/>
                <w:sz w:val="28"/>
                <w:szCs w:val="28"/>
              </w:rPr>
            </w:pPr>
            <w:r>
              <w:rPr>
                <w:rFonts w:eastAsia="黑体"/>
                <w:sz w:val="28"/>
                <w:szCs w:val="28"/>
              </w:rPr>
              <w:t>预审意见：</w:t>
            </w:r>
          </w:p>
          <w:p>
            <w:pPr>
              <w:adjustRightInd w:val="0"/>
              <w:snapToGrid w:val="0"/>
              <w:spacing w:line="360" w:lineRule="auto"/>
              <w:rPr>
                <w:rFonts w:eastAsia="黑体"/>
                <w:sz w:val="28"/>
                <w:szCs w:val="28"/>
              </w:rPr>
            </w:pPr>
          </w:p>
          <w:p>
            <w:pPr>
              <w:adjustRightInd w:val="0"/>
              <w:snapToGrid w:val="0"/>
              <w:spacing w:line="360" w:lineRule="auto"/>
              <w:rPr>
                <w:rFonts w:eastAsia="黑体"/>
                <w:sz w:val="28"/>
                <w:szCs w:val="28"/>
              </w:rPr>
            </w:pPr>
          </w:p>
          <w:p>
            <w:pPr>
              <w:adjustRightInd w:val="0"/>
              <w:snapToGrid w:val="0"/>
              <w:spacing w:line="360" w:lineRule="auto"/>
              <w:rPr>
                <w:rFonts w:eastAsia="黑体"/>
                <w:sz w:val="28"/>
                <w:szCs w:val="28"/>
              </w:rPr>
            </w:pPr>
          </w:p>
          <w:p>
            <w:pPr>
              <w:adjustRightInd w:val="0"/>
              <w:snapToGrid w:val="0"/>
              <w:spacing w:line="360" w:lineRule="auto"/>
              <w:rPr>
                <w:rFonts w:eastAsia="黑体"/>
                <w:sz w:val="28"/>
                <w:szCs w:val="28"/>
              </w:rPr>
            </w:pPr>
          </w:p>
          <w:p>
            <w:pPr>
              <w:adjustRightInd w:val="0"/>
              <w:snapToGrid w:val="0"/>
              <w:spacing w:line="360" w:lineRule="auto"/>
              <w:rPr>
                <w:rFonts w:eastAsia="黑体"/>
                <w:sz w:val="28"/>
                <w:szCs w:val="28"/>
              </w:rPr>
            </w:pPr>
          </w:p>
          <w:p>
            <w:pPr>
              <w:adjustRightInd w:val="0"/>
              <w:snapToGrid w:val="0"/>
              <w:spacing w:line="360" w:lineRule="auto"/>
              <w:rPr>
                <w:rFonts w:eastAsia="黑体"/>
                <w:sz w:val="28"/>
                <w:szCs w:val="28"/>
              </w:rPr>
            </w:pPr>
          </w:p>
          <w:p>
            <w:pPr>
              <w:adjustRightInd w:val="0"/>
              <w:snapToGrid w:val="0"/>
              <w:spacing w:line="360" w:lineRule="auto"/>
              <w:rPr>
                <w:rFonts w:eastAsia="黑体"/>
                <w:sz w:val="28"/>
                <w:szCs w:val="28"/>
              </w:rPr>
            </w:pPr>
          </w:p>
          <w:p>
            <w:pPr>
              <w:adjustRightInd w:val="0"/>
              <w:snapToGrid w:val="0"/>
              <w:spacing w:line="360" w:lineRule="auto"/>
              <w:rPr>
                <w:rFonts w:eastAsia="黑体"/>
                <w:sz w:val="28"/>
                <w:szCs w:val="28"/>
              </w:rPr>
            </w:pPr>
          </w:p>
          <w:p>
            <w:pPr>
              <w:adjustRightInd w:val="0"/>
              <w:snapToGrid w:val="0"/>
              <w:spacing w:line="360" w:lineRule="auto"/>
              <w:rPr>
                <w:rFonts w:eastAsia="黑体"/>
                <w:sz w:val="28"/>
                <w:szCs w:val="28"/>
              </w:rPr>
            </w:pPr>
          </w:p>
          <w:p>
            <w:pPr>
              <w:adjustRightInd w:val="0"/>
              <w:snapToGrid w:val="0"/>
              <w:spacing w:line="360" w:lineRule="auto"/>
              <w:rPr>
                <w:rFonts w:eastAsia="黑体"/>
                <w:sz w:val="28"/>
                <w:szCs w:val="28"/>
              </w:rPr>
            </w:pPr>
          </w:p>
          <w:p>
            <w:pPr>
              <w:adjustRightInd w:val="0"/>
              <w:snapToGrid w:val="0"/>
              <w:spacing w:line="360" w:lineRule="auto"/>
              <w:rPr>
                <w:rFonts w:eastAsia="黑体"/>
                <w:sz w:val="28"/>
                <w:szCs w:val="28"/>
              </w:rPr>
            </w:pPr>
            <w:r>
              <w:rPr>
                <w:rFonts w:eastAsia="黑体"/>
                <w:sz w:val="28"/>
                <w:szCs w:val="28"/>
              </w:rPr>
              <w:t xml:space="preserve">                                               公  章</w:t>
            </w:r>
          </w:p>
          <w:p>
            <w:pPr>
              <w:adjustRightInd w:val="0"/>
              <w:snapToGrid w:val="0"/>
              <w:spacing w:line="360" w:lineRule="auto"/>
              <w:rPr>
                <w:rFonts w:eastAsia="黑体"/>
                <w:sz w:val="28"/>
                <w:szCs w:val="28"/>
              </w:rPr>
            </w:pPr>
          </w:p>
          <w:p>
            <w:pPr>
              <w:adjustRightInd w:val="0"/>
              <w:snapToGrid w:val="0"/>
              <w:spacing w:line="360" w:lineRule="auto"/>
              <w:rPr>
                <w:rFonts w:eastAsia="黑体"/>
                <w:sz w:val="28"/>
                <w:szCs w:val="28"/>
              </w:rPr>
            </w:pPr>
            <w:r>
              <w:rPr>
                <w:rFonts w:eastAsia="黑体"/>
                <w:sz w:val="28"/>
                <w:szCs w:val="28"/>
              </w:rPr>
              <w:t xml:space="preserve">    经办人：                                  年  月  日</w:t>
            </w:r>
          </w:p>
          <w:p>
            <w:pPr>
              <w:adjustRightInd w:val="0"/>
              <w:snapToGrid w:val="0"/>
              <w:spacing w:line="360" w:lineRule="auto"/>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jc w:val="center"/>
        </w:trPr>
        <w:tc>
          <w:tcPr>
            <w:tcW w:w="500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黑体"/>
                <w:sz w:val="28"/>
                <w:szCs w:val="28"/>
              </w:rPr>
            </w:pPr>
            <w:r>
              <w:rPr>
                <w:rFonts w:eastAsia="黑体"/>
                <w:sz w:val="28"/>
                <w:szCs w:val="28"/>
              </w:rPr>
              <w:t>下一级环境保护行政主管部门审查意见：</w:t>
            </w:r>
          </w:p>
          <w:p>
            <w:pPr>
              <w:adjustRightInd w:val="0"/>
              <w:snapToGrid w:val="0"/>
              <w:spacing w:line="360" w:lineRule="auto"/>
              <w:rPr>
                <w:rFonts w:eastAsia="黑体"/>
                <w:sz w:val="28"/>
                <w:szCs w:val="28"/>
              </w:rPr>
            </w:pPr>
          </w:p>
          <w:p>
            <w:pPr>
              <w:adjustRightInd w:val="0"/>
              <w:snapToGrid w:val="0"/>
              <w:spacing w:line="360" w:lineRule="auto"/>
              <w:rPr>
                <w:rFonts w:eastAsia="黑体"/>
                <w:sz w:val="28"/>
                <w:szCs w:val="28"/>
              </w:rPr>
            </w:pPr>
          </w:p>
          <w:p>
            <w:pPr>
              <w:adjustRightInd w:val="0"/>
              <w:snapToGrid w:val="0"/>
              <w:spacing w:line="360" w:lineRule="auto"/>
              <w:rPr>
                <w:rFonts w:eastAsia="黑体"/>
                <w:sz w:val="28"/>
                <w:szCs w:val="28"/>
              </w:rPr>
            </w:pPr>
          </w:p>
          <w:p>
            <w:pPr>
              <w:adjustRightInd w:val="0"/>
              <w:snapToGrid w:val="0"/>
              <w:spacing w:line="360" w:lineRule="auto"/>
              <w:rPr>
                <w:rFonts w:eastAsia="黑体"/>
                <w:sz w:val="28"/>
                <w:szCs w:val="28"/>
              </w:rPr>
            </w:pPr>
          </w:p>
          <w:p>
            <w:pPr>
              <w:adjustRightInd w:val="0"/>
              <w:snapToGrid w:val="0"/>
              <w:spacing w:line="360" w:lineRule="auto"/>
              <w:rPr>
                <w:rFonts w:eastAsia="黑体"/>
                <w:sz w:val="28"/>
                <w:szCs w:val="28"/>
              </w:rPr>
            </w:pPr>
          </w:p>
          <w:p>
            <w:pPr>
              <w:adjustRightInd w:val="0"/>
              <w:snapToGrid w:val="0"/>
              <w:spacing w:line="360" w:lineRule="auto"/>
              <w:rPr>
                <w:rFonts w:eastAsia="黑体"/>
                <w:sz w:val="28"/>
                <w:szCs w:val="28"/>
              </w:rPr>
            </w:pPr>
          </w:p>
          <w:p>
            <w:pPr>
              <w:adjustRightInd w:val="0"/>
              <w:snapToGrid w:val="0"/>
              <w:spacing w:line="360" w:lineRule="auto"/>
              <w:rPr>
                <w:rFonts w:eastAsia="黑体"/>
                <w:sz w:val="28"/>
                <w:szCs w:val="28"/>
              </w:rPr>
            </w:pPr>
            <w:r>
              <w:rPr>
                <w:rFonts w:eastAsia="黑体"/>
                <w:sz w:val="28"/>
                <w:szCs w:val="28"/>
              </w:rPr>
              <w:t xml:space="preserve">                                               公  章</w:t>
            </w:r>
          </w:p>
          <w:p>
            <w:pPr>
              <w:adjustRightInd w:val="0"/>
              <w:snapToGrid w:val="0"/>
              <w:spacing w:line="360" w:lineRule="auto"/>
              <w:rPr>
                <w:rFonts w:eastAsia="黑体"/>
                <w:sz w:val="28"/>
                <w:szCs w:val="28"/>
              </w:rPr>
            </w:pPr>
          </w:p>
          <w:p>
            <w:pPr>
              <w:adjustRightInd w:val="0"/>
              <w:snapToGrid w:val="0"/>
              <w:spacing w:line="360" w:lineRule="auto"/>
              <w:rPr>
                <w:rFonts w:eastAsia="黑体"/>
                <w:sz w:val="28"/>
                <w:szCs w:val="28"/>
              </w:rPr>
            </w:pPr>
            <w:r>
              <w:rPr>
                <w:rFonts w:eastAsia="黑体"/>
                <w:sz w:val="28"/>
                <w:szCs w:val="28"/>
              </w:rPr>
              <w:t xml:space="preserve">    经办人：                                  年  月  日</w:t>
            </w:r>
          </w:p>
        </w:tc>
      </w:tr>
    </w:tbl>
    <w:p>
      <w:pPr>
        <w:snapToGrid w:val="0"/>
      </w:pPr>
    </w:p>
    <w:sectPr>
      <w:pgSz w:w="11907" w:h="16840"/>
      <w:pgMar w:top="1440" w:right="1134" w:bottom="1134" w:left="1440"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crosoft Sans Serif">
    <w:panose1 w:val="020B0604020202020204"/>
    <w:charset w:val="00"/>
    <w:family w:val="swiss"/>
    <w:pitch w:val="default"/>
    <w:sig w:usb0="E5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  </w:instrText>
    </w:r>
    <w:r>
      <w:fldChar w:fldCharType="separate"/>
    </w:r>
    <w:r>
      <w:t>14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288px;height:544px" o:bullet="t">
        <v:imagedata r:id="rId1" o:title=""/>
      </v:shape>
    </w:pict>
  </w:numPicBullet>
  <w:abstractNum w:abstractNumId="0">
    <w:nsid w:val="1EBC4B2D"/>
    <w:multiLevelType w:val="multilevel"/>
    <w:tmpl w:val="1EBC4B2D"/>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1"/>
  <w:bordersDoNotSurroundFooter w:val="1"/>
  <w:hideSpellingErrors/>
  <w:documentProtection w:enforcement="0"/>
  <w:defaultTabStop w:val="420"/>
  <w:drawingGridHorizontalSpacing w:val="42"/>
  <w:drawingGridVerticalSpacing w:val="6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D3"/>
    <w:rsid w:val="00000521"/>
    <w:rsid w:val="000005A0"/>
    <w:rsid w:val="000007B6"/>
    <w:rsid w:val="000007D7"/>
    <w:rsid w:val="000008A6"/>
    <w:rsid w:val="00000C50"/>
    <w:rsid w:val="00000FB4"/>
    <w:rsid w:val="0000125B"/>
    <w:rsid w:val="00001361"/>
    <w:rsid w:val="00001B50"/>
    <w:rsid w:val="00001F71"/>
    <w:rsid w:val="00001F81"/>
    <w:rsid w:val="00002100"/>
    <w:rsid w:val="00002340"/>
    <w:rsid w:val="000023EC"/>
    <w:rsid w:val="000024F4"/>
    <w:rsid w:val="000027D9"/>
    <w:rsid w:val="00002C1F"/>
    <w:rsid w:val="00002DB5"/>
    <w:rsid w:val="00002DE3"/>
    <w:rsid w:val="0000314E"/>
    <w:rsid w:val="00003248"/>
    <w:rsid w:val="00003A30"/>
    <w:rsid w:val="00003D67"/>
    <w:rsid w:val="000043C2"/>
    <w:rsid w:val="000045A9"/>
    <w:rsid w:val="00004EE1"/>
    <w:rsid w:val="0000559D"/>
    <w:rsid w:val="00005774"/>
    <w:rsid w:val="00005B7D"/>
    <w:rsid w:val="00006217"/>
    <w:rsid w:val="000065C8"/>
    <w:rsid w:val="00006AF5"/>
    <w:rsid w:val="00006CA3"/>
    <w:rsid w:val="00006D48"/>
    <w:rsid w:val="0000721D"/>
    <w:rsid w:val="0000728F"/>
    <w:rsid w:val="000072F9"/>
    <w:rsid w:val="0000737E"/>
    <w:rsid w:val="000077BD"/>
    <w:rsid w:val="0000793C"/>
    <w:rsid w:val="000079AA"/>
    <w:rsid w:val="00007AE5"/>
    <w:rsid w:val="00007CCD"/>
    <w:rsid w:val="00010158"/>
    <w:rsid w:val="00010183"/>
    <w:rsid w:val="0001078C"/>
    <w:rsid w:val="00010ABD"/>
    <w:rsid w:val="00010CA8"/>
    <w:rsid w:val="0001102F"/>
    <w:rsid w:val="00011641"/>
    <w:rsid w:val="00012114"/>
    <w:rsid w:val="00012647"/>
    <w:rsid w:val="00012802"/>
    <w:rsid w:val="00012B1C"/>
    <w:rsid w:val="000133E8"/>
    <w:rsid w:val="00013720"/>
    <w:rsid w:val="000138DD"/>
    <w:rsid w:val="00013CB1"/>
    <w:rsid w:val="00013EEA"/>
    <w:rsid w:val="0001412E"/>
    <w:rsid w:val="00014350"/>
    <w:rsid w:val="00014546"/>
    <w:rsid w:val="0001469D"/>
    <w:rsid w:val="00014770"/>
    <w:rsid w:val="00014F18"/>
    <w:rsid w:val="00014F80"/>
    <w:rsid w:val="0001504F"/>
    <w:rsid w:val="000158B7"/>
    <w:rsid w:val="00015B74"/>
    <w:rsid w:val="00016830"/>
    <w:rsid w:val="0001693E"/>
    <w:rsid w:val="00016D2A"/>
    <w:rsid w:val="00016DD4"/>
    <w:rsid w:val="00016FC9"/>
    <w:rsid w:val="00017222"/>
    <w:rsid w:val="0001763E"/>
    <w:rsid w:val="0001789F"/>
    <w:rsid w:val="00017A03"/>
    <w:rsid w:val="00017F89"/>
    <w:rsid w:val="0002081C"/>
    <w:rsid w:val="00020E97"/>
    <w:rsid w:val="00020EE0"/>
    <w:rsid w:val="00021045"/>
    <w:rsid w:val="0002107A"/>
    <w:rsid w:val="000214F9"/>
    <w:rsid w:val="0002166D"/>
    <w:rsid w:val="00021D6B"/>
    <w:rsid w:val="0002210A"/>
    <w:rsid w:val="00022597"/>
    <w:rsid w:val="00022AB4"/>
    <w:rsid w:val="00022CD4"/>
    <w:rsid w:val="00022D98"/>
    <w:rsid w:val="00022E3F"/>
    <w:rsid w:val="0002300B"/>
    <w:rsid w:val="0002309A"/>
    <w:rsid w:val="000231D6"/>
    <w:rsid w:val="000238F2"/>
    <w:rsid w:val="00024114"/>
    <w:rsid w:val="0002493C"/>
    <w:rsid w:val="00024C39"/>
    <w:rsid w:val="00024FD0"/>
    <w:rsid w:val="0002502F"/>
    <w:rsid w:val="00025233"/>
    <w:rsid w:val="00025ADF"/>
    <w:rsid w:val="00025C9A"/>
    <w:rsid w:val="00026100"/>
    <w:rsid w:val="000262B6"/>
    <w:rsid w:val="00026C34"/>
    <w:rsid w:val="000275C8"/>
    <w:rsid w:val="00027854"/>
    <w:rsid w:val="00030422"/>
    <w:rsid w:val="000308FA"/>
    <w:rsid w:val="00030D4B"/>
    <w:rsid w:val="00030EA2"/>
    <w:rsid w:val="0003120B"/>
    <w:rsid w:val="00031303"/>
    <w:rsid w:val="000313CD"/>
    <w:rsid w:val="00031480"/>
    <w:rsid w:val="0003168F"/>
    <w:rsid w:val="00031FFA"/>
    <w:rsid w:val="00032150"/>
    <w:rsid w:val="0003267E"/>
    <w:rsid w:val="00032F08"/>
    <w:rsid w:val="00032F88"/>
    <w:rsid w:val="000333D5"/>
    <w:rsid w:val="000334E3"/>
    <w:rsid w:val="00033567"/>
    <w:rsid w:val="00033785"/>
    <w:rsid w:val="000340B7"/>
    <w:rsid w:val="00034822"/>
    <w:rsid w:val="00034872"/>
    <w:rsid w:val="00034997"/>
    <w:rsid w:val="00034C22"/>
    <w:rsid w:val="000351B6"/>
    <w:rsid w:val="000353C8"/>
    <w:rsid w:val="0003576D"/>
    <w:rsid w:val="00035E05"/>
    <w:rsid w:val="00035FF4"/>
    <w:rsid w:val="00036334"/>
    <w:rsid w:val="0003692C"/>
    <w:rsid w:val="00036E48"/>
    <w:rsid w:val="000377BB"/>
    <w:rsid w:val="0003794A"/>
    <w:rsid w:val="00037D70"/>
    <w:rsid w:val="00037E04"/>
    <w:rsid w:val="00040638"/>
    <w:rsid w:val="000409AA"/>
    <w:rsid w:val="00040B7C"/>
    <w:rsid w:val="00040CD7"/>
    <w:rsid w:val="00040EE0"/>
    <w:rsid w:val="00041B0D"/>
    <w:rsid w:val="000427AA"/>
    <w:rsid w:val="000429DF"/>
    <w:rsid w:val="000429E9"/>
    <w:rsid w:val="00042A68"/>
    <w:rsid w:val="00042C4B"/>
    <w:rsid w:val="00042F17"/>
    <w:rsid w:val="00043136"/>
    <w:rsid w:val="00044CB2"/>
    <w:rsid w:val="0004529D"/>
    <w:rsid w:val="0004544A"/>
    <w:rsid w:val="000454CC"/>
    <w:rsid w:val="000459FF"/>
    <w:rsid w:val="00045AE4"/>
    <w:rsid w:val="00045DEF"/>
    <w:rsid w:val="00045E1A"/>
    <w:rsid w:val="00045E7C"/>
    <w:rsid w:val="00046B22"/>
    <w:rsid w:val="0004702E"/>
    <w:rsid w:val="0004717D"/>
    <w:rsid w:val="00047229"/>
    <w:rsid w:val="0004749E"/>
    <w:rsid w:val="000477F5"/>
    <w:rsid w:val="00047B61"/>
    <w:rsid w:val="00047DEE"/>
    <w:rsid w:val="000501C0"/>
    <w:rsid w:val="0005031A"/>
    <w:rsid w:val="0005062E"/>
    <w:rsid w:val="00050A36"/>
    <w:rsid w:val="00050D15"/>
    <w:rsid w:val="00051174"/>
    <w:rsid w:val="0005149A"/>
    <w:rsid w:val="00051743"/>
    <w:rsid w:val="000518AB"/>
    <w:rsid w:val="00051D8D"/>
    <w:rsid w:val="00051EF4"/>
    <w:rsid w:val="00051FD3"/>
    <w:rsid w:val="0005210B"/>
    <w:rsid w:val="000524DB"/>
    <w:rsid w:val="0005269C"/>
    <w:rsid w:val="00052AAF"/>
    <w:rsid w:val="00052B7D"/>
    <w:rsid w:val="00052BB9"/>
    <w:rsid w:val="00052CC6"/>
    <w:rsid w:val="00052FF9"/>
    <w:rsid w:val="0005312A"/>
    <w:rsid w:val="0005334B"/>
    <w:rsid w:val="00053408"/>
    <w:rsid w:val="0005361A"/>
    <w:rsid w:val="0005383A"/>
    <w:rsid w:val="00053A43"/>
    <w:rsid w:val="00053CCA"/>
    <w:rsid w:val="00054155"/>
    <w:rsid w:val="000542E5"/>
    <w:rsid w:val="0005450E"/>
    <w:rsid w:val="000545FD"/>
    <w:rsid w:val="00054767"/>
    <w:rsid w:val="00054C2D"/>
    <w:rsid w:val="00054C61"/>
    <w:rsid w:val="00055554"/>
    <w:rsid w:val="00055765"/>
    <w:rsid w:val="000558B1"/>
    <w:rsid w:val="00055F8C"/>
    <w:rsid w:val="000560A6"/>
    <w:rsid w:val="00056BD8"/>
    <w:rsid w:val="00056C0E"/>
    <w:rsid w:val="00056F6E"/>
    <w:rsid w:val="00056F77"/>
    <w:rsid w:val="0006002F"/>
    <w:rsid w:val="00060038"/>
    <w:rsid w:val="00060067"/>
    <w:rsid w:val="000603F4"/>
    <w:rsid w:val="00060571"/>
    <w:rsid w:val="00060F8A"/>
    <w:rsid w:val="00061575"/>
    <w:rsid w:val="00061BC6"/>
    <w:rsid w:val="00061D3C"/>
    <w:rsid w:val="000623C8"/>
    <w:rsid w:val="0006271B"/>
    <w:rsid w:val="00062CC0"/>
    <w:rsid w:val="00062CF7"/>
    <w:rsid w:val="00062D64"/>
    <w:rsid w:val="00063B24"/>
    <w:rsid w:val="00063BD9"/>
    <w:rsid w:val="00063E78"/>
    <w:rsid w:val="00064E80"/>
    <w:rsid w:val="00064FE9"/>
    <w:rsid w:val="0006510C"/>
    <w:rsid w:val="00065345"/>
    <w:rsid w:val="000658AA"/>
    <w:rsid w:val="00066104"/>
    <w:rsid w:val="00066137"/>
    <w:rsid w:val="00066215"/>
    <w:rsid w:val="000669B2"/>
    <w:rsid w:val="00066C61"/>
    <w:rsid w:val="00066DA9"/>
    <w:rsid w:val="00066F1E"/>
    <w:rsid w:val="00066FCA"/>
    <w:rsid w:val="00067DE3"/>
    <w:rsid w:val="00067F4C"/>
    <w:rsid w:val="00070219"/>
    <w:rsid w:val="00070487"/>
    <w:rsid w:val="000704C9"/>
    <w:rsid w:val="00070664"/>
    <w:rsid w:val="000707A1"/>
    <w:rsid w:val="00070FAD"/>
    <w:rsid w:val="0007146A"/>
    <w:rsid w:val="00071491"/>
    <w:rsid w:val="00071D4A"/>
    <w:rsid w:val="000720F1"/>
    <w:rsid w:val="000724E3"/>
    <w:rsid w:val="000725CA"/>
    <w:rsid w:val="00072891"/>
    <w:rsid w:val="00072975"/>
    <w:rsid w:val="000729DC"/>
    <w:rsid w:val="00072E40"/>
    <w:rsid w:val="00073277"/>
    <w:rsid w:val="00073297"/>
    <w:rsid w:val="00073387"/>
    <w:rsid w:val="00073E28"/>
    <w:rsid w:val="00074956"/>
    <w:rsid w:val="00074B2A"/>
    <w:rsid w:val="00074D49"/>
    <w:rsid w:val="00074ED5"/>
    <w:rsid w:val="000751CA"/>
    <w:rsid w:val="0007524F"/>
    <w:rsid w:val="000754EB"/>
    <w:rsid w:val="000754FF"/>
    <w:rsid w:val="0007575B"/>
    <w:rsid w:val="00075A97"/>
    <w:rsid w:val="00075C0F"/>
    <w:rsid w:val="00076499"/>
    <w:rsid w:val="00076BA0"/>
    <w:rsid w:val="00077073"/>
    <w:rsid w:val="000772CC"/>
    <w:rsid w:val="00077640"/>
    <w:rsid w:val="000776FB"/>
    <w:rsid w:val="00080034"/>
    <w:rsid w:val="00080FD0"/>
    <w:rsid w:val="00081143"/>
    <w:rsid w:val="000814A7"/>
    <w:rsid w:val="00081502"/>
    <w:rsid w:val="00081863"/>
    <w:rsid w:val="00081B41"/>
    <w:rsid w:val="00081B74"/>
    <w:rsid w:val="00081F23"/>
    <w:rsid w:val="000825F9"/>
    <w:rsid w:val="00082706"/>
    <w:rsid w:val="00082866"/>
    <w:rsid w:val="00082938"/>
    <w:rsid w:val="00082D52"/>
    <w:rsid w:val="00082E7B"/>
    <w:rsid w:val="000833BB"/>
    <w:rsid w:val="00083890"/>
    <w:rsid w:val="00083B7F"/>
    <w:rsid w:val="00083DB8"/>
    <w:rsid w:val="0008408E"/>
    <w:rsid w:val="000842B8"/>
    <w:rsid w:val="00084450"/>
    <w:rsid w:val="00084470"/>
    <w:rsid w:val="0008490C"/>
    <w:rsid w:val="00084E9D"/>
    <w:rsid w:val="0008512B"/>
    <w:rsid w:val="0008518F"/>
    <w:rsid w:val="000852AA"/>
    <w:rsid w:val="00085549"/>
    <w:rsid w:val="000856D4"/>
    <w:rsid w:val="00085768"/>
    <w:rsid w:val="00085879"/>
    <w:rsid w:val="00085A32"/>
    <w:rsid w:val="00085B9D"/>
    <w:rsid w:val="00085F54"/>
    <w:rsid w:val="000864E3"/>
    <w:rsid w:val="0008686F"/>
    <w:rsid w:val="000869E9"/>
    <w:rsid w:val="00086C6C"/>
    <w:rsid w:val="0008708E"/>
    <w:rsid w:val="00087E80"/>
    <w:rsid w:val="000901AD"/>
    <w:rsid w:val="00090371"/>
    <w:rsid w:val="0009053B"/>
    <w:rsid w:val="000908E4"/>
    <w:rsid w:val="000911A1"/>
    <w:rsid w:val="000912D1"/>
    <w:rsid w:val="00091514"/>
    <w:rsid w:val="0009168E"/>
    <w:rsid w:val="00092228"/>
    <w:rsid w:val="00092529"/>
    <w:rsid w:val="00092619"/>
    <w:rsid w:val="000927E8"/>
    <w:rsid w:val="000928E4"/>
    <w:rsid w:val="00092D3B"/>
    <w:rsid w:val="000936AF"/>
    <w:rsid w:val="00093A43"/>
    <w:rsid w:val="00093E3F"/>
    <w:rsid w:val="0009422A"/>
    <w:rsid w:val="00094878"/>
    <w:rsid w:val="00094900"/>
    <w:rsid w:val="00094B37"/>
    <w:rsid w:val="000950F0"/>
    <w:rsid w:val="00095379"/>
    <w:rsid w:val="000953CE"/>
    <w:rsid w:val="000954FD"/>
    <w:rsid w:val="0009585D"/>
    <w:rsid w:val="000965ED"/>
    <w:rsid w:val="00096690"/>
    <w:rsid w:val="00096FB2"/>
    <w:rsid w:val="0009740B"/>
    <w:rsid w:val="000978A8"/>
    <w:rsid w:val="00097B08"/>
    <w:rsid w:val="00097D35"/>
    <w:rsid w:val="00097FC2"/>
    <w:rsid w:val="000A0173"/>
    <w:rsid w:val="000A05E8"/>
    <w:rsid w:val="000A07D2"/>
    <w:rsid w:val="000A0876"/>
    <w:rsid w:val="000A0965"/>
    <w:rsid w:val="000A0D0F"/>
    <w:rsid w:val="000A1803"/>
    <w:rsid w:val="000A1862"/>
    <w:rsid w:val="000A1A23"/>
    <w:rsid w:val="000A1B25"/>
    <w:rsid w:val="000A1D49"/>
    <w:rsid w:val="000A1F7E"/>
    <w:rsid w:val="000A20D9"/>
    <w:rsid w:val="000A298F"/>
    <w:rsid w:val="000A2E17"/>
    <w:rsid w:val="000A340F"/>
    <w:rsid w:val="000A399E"/>
    <w:rsid w:val="000A3DF1"/>
    <w:rsid w:val="000A3E5E"/>
    <w:rsid w:val="000A4513"/>
    <w:rsid w:val="000A5158"/>
    <w:rsid w:val="000A558F"/>
    <w:rsid w:val="000A5BD4"/>
    <w:rsid w:val="000A5C9C"/>
    <w:rsid w:val="000A63F9"/>
    <w:rsid w:val="000A66BA"/>
    <w:rsid w:val="000A683C"/>
    <w:rsid w:val="000A6901"/>
    <w:rsid w:val="000A6A58"/>
    <w:rsid w:val="000A704E"/>
    <w:rsid w:val="000A7B99"/>
    <w:rsid w:val="000A7CB8"/>
    <w:rsid w:val="000A7EAA"/>
    <w:rsid w:val="000B01B7"/>
    <w:rsid w:val="000B02C4"/>
    <w:rsid w:val="000B04A5"/>
    <w:rsid w:val="000B0B3E"/>
    <w:rsid w:val="000B0D71"/>
    <w:rsid w:val="000B12C8"/>
    <w:rsid w:val="000B1525"/>
    <w:rsid w:val="000B15A5"/>
    <w:rsid w:val="000B17B4"/>
    <w:rsid w:val="000B1AE6"/>
    <w:rsid w:val="000B1CED"/>
    <w:rsid w:val="000B1D4A"/>
    <w:rsid w:val="000B208E"/>
    <w:rsid w:val="000B2A97"/>
    <w:rsid w:val="000B2AD5"/>
    <w:rsid w:val="000B2D7F"/>
    <w:rsid w:val="000B2E4E"/>
    <w:rsid w:val="000B32F1"/>
    <w:rsid w:val="000B3519"/>
    <w:rsid w:val="000B3695"/>
    <w:rsid w:val="000B37DC"/>
    <w:rsid w:val="000B3C8E"/>
    <w:rsid w:val="000B3CDF"/>
    <w:rsid w:val="000B4374"/>
    <w:rsid w:val="000B47CA"/>
    <w:rsid w:val="000B54E0"/>
    <w:rsid w:val="000B58CB"/>
    <w:rsid w:val="000B5CE8"/>
    <w:rsid w:val="000B6048"/>
    <w:rsid w:val="000B65BF"/>
    <w:rsid w:val="000B66D2"/>
    <w:rsid w:val="000B6868"/>
    <w:rsid w:val="000B68B5"/>
    <w:rsid w:val="000B69E4"/>
    <w:rsid w:val="000B6A6E"/>
    <w:rsid w:val="000B713D"/>
    <w:rsid w:val="000B7251"/>
    <w:rsid w:val="000B72C8"/>
    <w:rsid w:val="000B7478"/>
    <w:rsid w:val="000B7937"/>
    <w:rsid w:val="000B79F5"/>
    <w:rsid w:val="000B7C39"/>
    <w:rsid w:val="000C03ED"/>
    <w:rsid w:val="000C054A"/>
    <w:rsid w:val="000C07C3"/>
    <w:rsid w:val="000C08CC"/>
    <w:rsid w:val="000C09F3"/>
    <w:rsid w:val="000C0B47"/>
    <w:rsid w:val="000C0BC9"/>
    <w:rsid w:val="000C112E"/>
    <w:rsid w:val="000C12EC"/>
    <w:rsid w:val="000C1515"/>
    <w:rsid w:val="000C15E2"/>
    <w:rsid w:val="000C1A36"/>
    <w:rsid w:val="000C20E1"/>
    <w:rsid w:val="000C20EA"/>
    <w:rsid w:val="000C244C"/>
    <w:rsid w:val="000C25F5"/>
    <w:rsid w:val="000C275E"/>
    <w:rsid w:val="000C2C03"/>
    <w:rsid w:val="000C2C5C"/>
    <w:rsid w:val="000C3381"/>
    <w:rsid w:val="000C33B2"/>
    <w:rsid w:val="000C342E"/>
    <w:rsid w:val="000C3B85"/>
    <w:rsid w:val="000C4194"/>
    <w:rsid w:val="000C43E9"/>
    <w:rsid w:val="000C471F"/>
    <w:rsid w:val="000C4CBF"/>
    <w:rsid w:val="000C4CE8"/>
    <w:rsid w:val="000C4EAC"/>
    <w:rsid w:val="000C506D"/>
    <w:rsid w:val="000C514B"/>
    <w:rsid w:val="000C55BB"/>
    <w:rsid w:val="000C681D"/>
    <w:rsid w:val="000C6B46"/>
    <w:rsid w:val="000C6FC8"/>
    <w:rsid w:val="000C76A5"/>
    <w:rsid w:val="000C779E"/>
    <w:rsid w:val="000C7967"/>
    <w:rsid w:val="000D0675"/>
    <w:rsid w:val="000D08FE"/>
    <w:rsid w:val="000D13B2"/>
    <w:rsid w:val="000D15B5"/>
    <w:rsid w:val="000D1E7B"/>
    <w:rsid w:val="000D22E6"/>
    <w:rsid w:val="000D23B2"/>
    <w:rsid w:val="000D2601"/>
    <w:rsid w:val="000D26E2"/>
    <w:rsid w:val="000D2A99"/>
    <w:rsid w:val="000D2BAC"/>
    <w:rsid w:val="000D2C92"/>
    <w:rsid w:val="000D2F2B"/>
    <w:rsid w:val="000D359E"/>
    <w:rsid w:val="000D38CC"/>
    <w:rsid w:val="000D3C3C"/>
    <w:rsid w:val="000D3C78"/>
    <w:rsid w:val="000D3D80"/>
    <w:rsid w:val="000D403C"/>
    <w:rsid w:val="000D4888"/>
    <w:rsid w:val="000D4AA2"/>
    <w:rsid w:val="000D4C2A"/>
    <w:rsid w:val="000D4E23"/>
    <w:rsid w:val="000D504A"/>
    <w:rsid w:val="000D562A"/>
    <w:rsid w:val="000D5DD1"/>
    <w:rsid w:val="000D5E60"/>
    <w:rsid w:val="000D61AE"/>
    <w:rsid w:val="000D62DD"/>
    <w:rsid w:val="000D6322"/>
    <w:rsid w:val="000D6330"/>
    <w:rsid w:val="000D6555"/>
    <w:rsid w:val="000D712E"/>
    <w:rsid w:val="000D741C"/>
    <w:rsid w:val="000D7673"/>
    <w:rsid w:val="000D77C8"/>
    <w:rsid w:val="000D7A0E"/>
    <w:rsid w:val="000D7EAE"/>
    <w:rsid w:val="000E00D1"/>
    <w:rsid w:val="000E0291"/>
    <w:rsid w:val="000E0F31"/>
    <w:rsid w:val="000E1026"/>
    <w:rsid w:val="000E18E6"/>
    <w:rsid w:val="000E1EF3"/>
    <w:rsid w:val="000E1F1D"/>
    <w:rsid w:val="000E1FF0"/>
    <w:rsid w:val="000E29B6"/>
    <w:rsid w:val="000E2F84"/>
    <w:rsid w:val="000E33CE"/>
    <w:rsid w:val="000E3536"/>
    <w:rsid w:val="000E36A8"/>
    <w:rsid w:val="000E38EA"/>
    <w:rsid w:val="000E3D6D"/>
    <w:rsid w:val="000E43A1"/>
    <w:rsid w:val="000E45C4"/>
    <w:rsid w:val="000E47EC"/>
    <w:rsid w:val="000E48E5"/>
    <w:rsid w:val="000E4E25"/>
    <w:rsid w:val="000E517A"/>
    <w:rsid w:val="000E51A8"/>
    <w:rsid w:val="000E5822"/>
    <w:rsid w:val="000E59E0"/>
    <w:rsid w:val="000E5DD5"/>
    <w:rsid w:val="000E5E41"/>
    <w:rsid w:val="000E5E47"/>
    <w:rsid w:val="000E6481"/>
    <w:rsid w:val="000E67AA"/>
    <w:rsid w:val="000E6869"/>
    <w:rsid w:val="000E6D8B"/>
    <w:rsid w:val="000E701F"/>
    <w:rsid w:val="000E784A"/>
    <w:rsid w:val="000E79EA"/>
    <w:rsid w:val="000E7A09"/>
    <w:rsid w:val="000E7E5A"/>
    <w:rsid w:val="000E7E91"/>
    <w:rsid w:val="000F014F"/>
    <w:rsid w:val="000F0314"/>
    <w:rsid w:val="000F09B5"/>
    <w:rsid w:val="000F0EC6"/>
    <w:rsid w:val="000F170C"/>
    <w:rsid w:val="000F19ED"/>
    <w:rsid w:val="000F1A33"/>
    <w:rsid w:val="000F1B44"/>
    <w:rsid w:val="000F1BF9"/>
    <w:rsid w:val="000F1D70"/>
    <w:rsid w:val="000F22D7"/>
    <w:rsid w:val="000F25F7"/>
    <w:rsid w:val="000F2AC9"/>
    <w:rsid w:val="000F2D86"/>
    <w:rsid w:val="000F2E73"/>
    <w:rsid w:val="000F304A"/>
    <w:rsid w:val="000F3211"/>
    <w:rsid w:val="000F35C9"/>
    <w:rsid w:val="000F36AF"/>
    <w:rsid w:val="000F36DA"/>
    <w:rsid w:val="000F37A9"/>
    <w:rsid w:val="000F385B"/>
    <w:rsid w:val="000F3EA8"/>
    <w:rsid w:val="000F40AD"/>
    <w:rsid w:val="000F40B9"/>
    <w:rsid w:val="000F43A7"/>
    <w:rsid w:val="000F457E"/>
    <w:rsid w:val="000F481D"/>
    <w:rsid w:val="000F4FF2"/>
    <w:rsid w:val="000F520F"/>
    <w:rsid w:val="000F5633"/>
    <w:rsid w:val="000F57BD"/>
    <w:rsid w:val="000F5A55"/>
    <w:rsid w:val="000F5B28"/>
    <w:rsid w:val="000F660F"/>
    <w:rsid w:val="000F6DD6"/>
    <w:rsid w:val="000F6E43"/>
    <w:rsid w:val="000F71B5"/>
    <w:rsid w:val="000F74E9"/>
    <w:rsid w:val="000F7697"/>
    <w:rsid w:val="00100767"/>
    <w:rsid w:val="0010083F"/>
    <w:rsid w:val="00100B2B"/>
    <w:rsid w:val="00100C21"/>
    <w:rsid w:val="00100D8C"/>
    <w:rsid w:val="00100F70"/>
    <w:rsid w:val="00101801"/>
    <w:rsid w:val="0010257C"/>
    <w:rsid w:val="001025A2"/>
    <w:rsid w:val="001025D2"/>
    <w:rsid w:val="0010267B"/>
    <w:rsid w:val="00102724"/>
    <w:rsid w:val="00102752"/>
    <w:rsid w:val="00102781"/>
    <w:rsid w:val="00102A50"/>
    <w:rsid w:val="001038EE"/>
    <w:rsid w:val="00103A27"/>
    <w:rsid w:val="00104705"/>
    <w:rsid w:val="00104792"/>
    <w:rsid w:val="00104AA8"/>
    <w:rsid w:val="00104B3E"/>
    <w:rsid w:val="00104F41"/>
    <w:rsid w:val="00105920"/>
    <w:rsid w:val="00105C98"/>
    <w:rsid w:val="00106141"/>
    <w:rsid w:val="001065F9"/>
    <w:rsid w:val="00106BE0"/>
    <w:rsid w:val="00106C5D"/>
    <w:rsid w:val="00107250"/>
    <w:rsid w:val="00107796"/>
    <w:rsid w:val="0011036A"/>
    <w:rsid w:val="001107B5"/>
    <w:rsid w:val="0011080B"/>
    <w:rsid w:val="0011083C"/>
    <w:rsid w:val="00110945"/>
    <w:rsid w:val="00110B34"/>
    <w:rsid w:val="00110BD4"/>
    <w:rsid w:val="00111A21"/>
    <w:rsid w:val="00111AFA"/>
    <w:rsid w:val="00111B4C"/>
    <w:rsid w:val="00111BE5"/>
    <w:rsid w:val="00112961"/>
    <w:rsid w:val="00112A2F"/>
    <w:rsid w:val="00112D3E"/>
    <w:rsid w:val="00112F14"/>
    <w:rsid w:val="00112FD5"/>
    <w:rsid w:val="001130CA"/>
    <w:rsid w:val="00113177"/>
    <w:rsid w:val="001134E5"/>
    <w:rsid w:val="0011367A"/>
    <w:rsid w:val="001137DF"/>
    <w:rsid w:val="00113B9B"/>
    <w:rsid w:val="00113BB3"/>
    <w:rsid w:val="00113D72"/>
    <w:rsid w:val="001144E3"/>
    <w:rsid w:val="0011467E"/>
    <w:rsid w:val="0011480D"/>
    <w:rsid w:val="001148AF"/>
    <w:rsid w:val="001149BB"/>
    <w:rsid w:val="00114DDA"/>
    <w:rsid w:val="0011517B"/>
    <w:rsid w:val="00115226"/>
    <w:rsid w:val="00115848"/>
    <w:rsid w:val="00115C3C"/>
    <w:rsid w:val="00115FAD"/>
    <w:rsid w:val="0011605C"/>
    <w:rsid w:val="001165CD"/>
    <w:rsid w:val="00116E3A"/>
    <w:rsid w:val="0011720D"/>
    <w:rsid w:val="00117404"/>
    <w:rsid w:val="00117A6D"/>
    <w:rsid w:val="00117DFA"/>
    <w:rsid w:val="0012062B"/>
    <w:rsid w:val="00120B16"/>
    <w:rsid w:val="00120C07"/>
    <w:rsid w:val="00120CDF"/>
    <w:rsid w:val="00121478"/>
    <w:rsid w:val="001218F0"/>
    <w:rsid w:val="00121BFC"/>
    <w:rsid w:val="00122560"/>
    <w:rsid w:val="00122748"/>
    <w:rsid w:val="001227DE"/>
    <w:rsid w:val="001229D1"/>
    <w:rsid w:val="00122A1D"/>
    <w:rsid w:val="00122D67"/>
    <w:rsid w:val="00122DC3"/>
    <w:rsid w:val="00122F67"/>
    <w:rsid w:val="00122F93"/>
    <w:rsid w:val="001241A5"/>
    <w:rsid w:val="00124A30"/>
    <w:rsid w:val="00124BED"/>
    <w:rsid w:val="00124C2F"/>
    <w:rsid w:val="00124F84"/>
    <w:rsid w:val="001250A5"/>
    <w:rsid w:val="0012592E"/>
    <w:rsid w:val="00125E8D"/>
    <w:rsid w:val="00126447"/>
    <w:rsid w:val="001267A1"/>
    <w:rsid w:val="0012682C"/>
    <w:rsid w:val="00126B1B"/>
    <w:rsid w:val="00126DBC"/>
    <w:rsid w:val="00126DD2"/>
    <w:rsid w:val="00126F8D"/>
    <w:rsid w:val="00127089"/>
    <w:rsid w:val="001274EE"/>
    <w:rsid w:val="001277DA"/>
    <w:rsid w:val="00127C81"/>
    <w:rsid w:val="00127D42"/>
    <w:rsid w:val="0013008D"/>
    <w:rsid w:val="00130D1A"/>
    <w:rsid w:val="00130DFE"/>
    <w:rsid w:val="00130F0B"/>
    <w:rsid w:val="00131B61"/>
    <w:rsid w:val="00131CC5"/>
    <w:rsid w:val="0013200E"/>
    <w:rsid w:val="00132081"/>
    <w:rsid w:val="0013213D"/>
    <w:rsid w:val="00132490"/>
    <w:rsid w:val="00132512"/>
    <w:rsid w:val="00132C7B"/>
    <w:rsid w:val="00132D8D"/>
    <w:rsid w:val="00132FCC"/>
    <w:rsid w:val="0013344C"/>
    <w:rsid w:val="001334B1"/>
    <w:rsid w:val="001334DB"/>
    <w:rsid w:val="0013390C"/>
    <w:rsid w:val="00134131"/>
    <w:rsid w:val="001343AF"/>
    <w:rsid w:val="001349CA"/>
    <w:rsid w:val="00135089"/>
    <w:rsid w:val="00135550"/>
    <w:rsid w:val="001357A2"/>
    <w:rsid w:val="00135886"/>
    <w:rsid w:val="001358B0"/>
    <w:rsid w:val="00135B06"/>
    <w:rsid w:val="00135B26"/>
    <w:rsid w:val="001364B8"/>
    <w:rsid w:val="00136552"/>
    <w:rsid w:val="001365DB"/>
    <w:rsid w:val="00136659"/>
    <w:rsid w:val="00136908"/>
    <w:rsid w:val="00136978"/>
    <w:rsid w:val="00136A79"/>
    <w:rsid w:val="00136B1F"/>
    <w:rsid w:val="00136BD5"/>
    <w:rsid w:val="00136C79"/>
    <w:rsid w:val="00136D0F"/>
    <w:rsid w:val="00137005"/>
    <w:rsid w:val="0013703E"/>
    <w:rsid w:val="001376AE"/>
    <w:rsid w:val="00137F7F"/>
    <w:rsid w:val="00140051"/>
    <w:rsid w:val="001400DD"/>
    <w:rsid w:val="00140DD2"/>
    <w:rsid w:val="00140FFE"/>
    <w:rsid w:val="001412B0"/>
    <w:rsid w:val="0014161B"/>
    <w:rsid w:val="00141942"/>
    <w:rsid w:val="00141EA2"/>
    <w:rsid w:val="00141EA6"/>
    <w:rsid w:val="001420FE"/>
    <w:rsid w:val="001421AA"/>
    <w:rsid w:val="001424AF"/>
    <w:rsid w:val="00142816"/>
    <w:rsid w:val="001429FE"/>
    <w:rsid w:val="00142A2A"/>
    <w:rsid w:val="00143334"/>
    <w:rsid w:val="001447CE"/>
    <w:rsid w:val="00144DF5"/>
    <w:rsid w:val="00144EE6"/>
    <w:rsid w:val="001451CE"/>
    <w:rsid w:val="0014522D"/>
    <w:rsid w:val="0014541D"/>
    <w:rsid w:val="00145735"/>
    <w:rsid w:val="00145F74"/>
    <w:rsid w:val="00146CEF"/>
    <w:rsid w:val="00146E48"/>
    <w:rsid w:val="00147434"/>
    <w:rsid w:val="001475F6"/>
    <w:rsid w:val="00150199"/>
    <w:rsid w:val="0015027B"/>
    <w:rsid w:val="001502AE"/>
    <w:rsid w:val="0015087C"/>
    <w:rsid w:val="00150FEC"/>
    <w:rsid w:val="0015116A"/>
    <w:rsid w:val="001511CE"/>
    <w:rsid w:val="001513EA"/>
    <w:rsid w:val="00151B0D"/>
    <w:rsid w:val="001523D7"/>
    <w:rsid w:val="00152563"/>
    <w:rsid w:val="0015292D"/>
    <w:rsid w:val="00152985"/>
    <w:rsid w:val="00152F60"/>
    <w:rsid w:val="001539AD"/>
    <w:rsid w:val="00153AA8"/>
    <w:rsid w:val="00153F09"/>
    <w:rsid w:val="001544DD"/>
    <w:rsid w:val="00154C54"/>
    <w:rsid w:val="00154DDF"/>
    <w:rsid w:val="00154F3F"/>
    <w:rsid w:val="00155C89"/>
    <w:rsid w:val="00155CE3"/>
    <w:rsid w:val="00155E52"/>
    <w:rsid w:val="00155FBA"/>
    <w:rsid w:val="001562A8"/>
    <w:rsid w:val="001566C7"/>
    <w:rsid w:val="00156B4C"/>
    <w:rsid w:val="00156BBB"/>
    <w:rsid w:val="00156DF9"/>
    <w:rsid w:val="00156F74"/>
    <w:rsid w:val="00157393"/>
    <w:rsid w:val="00157B1E"/>
    <w:rsid w:val="0016021F"/>
    <w:rsid w:val="00160728"/>
    <w:rsid w:val="00160986"/>
    <w:rsid w:val="00160DC5"/>
    <w:rsid w:val="001610F9"/>
    <w:rsid w:val="00161254"/>
    <w:rsid w:val="00162010"/>
    <w:rsid w:val="001620EA"/>
    <w:rsid w:val="00162141"/>
    <w:rsid w:val="001622C1"/>
    <w:rsid w:val="00162BE4"/>
    <w:rsid w:val="00162C8D"/>
    <w:rsid w:val="001633F3"/>
    <w:rsid w:val="001635CF"/>
    <w:rsid w:val="0016397E"/>
    <w:rsid w:val="001639A3"/>
    <w:rsid w:val="001639BB"/>
    <w:rsid w:val="00163BBA"/>
    <w:rsid w:val="00163D8B"/>
    <w:rsid w:val="00163D99"/>
    <w:rsid w:val="0016417B"/>
    <w:rsid w:val="001642E3"/>
    <w:rsid w:val="001644FC"/>
    <w:rsid w:val="001646D8"/>
    <w:rsid w:val="001647B7"/>
    <w:rsid w:val="00164C9D"/>
    <w:rsid w:val="00164E22"/>
    <w:rsid w:val="001650F3"/>
    <w:rsid w:val="00165279"/>
    <w:rsid w:val="001654AD"/>
    <w:rsid w:val="00165621"/>
    <w:rsid w:val="00165732"/>
    <w:rsid w:val="00165884"/>
    <w:rsid w:val="00165C4C"/>
    <w:rsid w:val="001660BA"/>
    <w:rsid w:val="001661B0"/>
    <w:rsid w:val="00166366"/>
    <w:rsid w:val="001668EE"/>
    <w:rsid w:val="001668F0"/>
    <w:rsid w:val="00166A18"/>
    <w:rsid w:val="00166A51"/>
    <w:rsid w:val="00166E23"/>
    <w:rsid w:val="00167280"/>
    <w:rsid w:val="00167491"/>
    <w:rsid w:val="0016775A"/>
    <w:rsid w:val="00167BA6"/>
    <w:rsid w:val="00167D24"/>
    <w:rsid w:val="00170610"/>
    <w:rsid w:val="00170771"/>
    <w:rsid w:val="00170B95"/>
    <w:rsid w:val="00170C7C"/>
    <w:rsid w:val="00170C99"/>
    <w:rsid w:val="00170DD6"/>
    <w:rsid w:val="001717E3"/>
    <w:rsid w:val="00171BC6"/>
    <w:rsid w:val="00171D40"/>
    <w:rsid w:val="00171FEB"/>
    <w:rsid w:val="00172082"/>
    <w:rsid w:val="00172383"/>
    <w:rsid w:val="00172435"/>
    <w:rsid w:val="0017252B"/>
    <w:rsid w:val="001729A0"/>
    <w:rsid w:val="001729F1"/>
    <w:rsid w:val="00173373"/>
    <w:rsid w:val="00173391"/>
    <w:rsid w:val="0017344F"/>
    <w:rsid w:val="00173450"/>
    <w:rsid w:val="00173591"/>
    <w:rsid w:val="001740BC"/>
    <w:rsid w:val="0017429B"/>
    <w:rsid w:val="0017450E"/>
    <w:rsid w:val="00174708"/>
    <w:rsid w:val="00174CDB"/>
    <w:rsid w:val="001752E2"/>
    <w:rsid w:val="00175498"/>
    <w:rsid w:val="001754DE"/>
    <w:rsid w:val="001759A2"/>
    <w:rsid w:val="001761D2"/>
    <w:rsid w:val="0017668F"/>
    <w:rsid w:val="00176F4D"/>
    <w:rsid w:val="001771B8"/>
    <w:rsid w:val="00177285"/>
    <w:rsid w:val="00177704"/>
    <w:rsid w:val="001778BA"/>
    <w:rsid w:val="0017791A"/>
    <w:rsid w:val="00180050"/>
    <w:rsid w:val="00180244"/>
    <w:rsid w:val="00180498"/>
    <w:rsid w:val="0018076A"/>
    <w:rsid w:val="00180A20"/>
    <w:rsid w:val="00180AE0"/>
    <w:rsid w:val="00180B32"/>
    <w:rsid w:val="00180D33"/>
    <w:rsid w:val="00181A8F"/>
    <w:rsid w:val="00181AC9"/>
    <w:rsid w:val="00182873"/>
    <w:rsid w:val="00182A4E"/>
    <w:rsid w:val="001837B4"/>
    <w:rsid w:val="00183902"/>
    <w:rsid w:val="00183F62"/>
    <w:rsid w:val="0018438F"/>
    <w:rsid w:val="00184475"/>
    <w:rsid w:val="00184935"/>
    <w:rsid w:val="00184D49"/>
    <w:rsid w:val="00184EF6"/>
    <w:rsid w:val="00185089"/>
    <w:rsid w:val="00185BF2"/>
    <w:rsid w:val="001861B4"/>
    <w:rsid w:val="001865B4"/>
    <w:rsid w:val="00186784"/>
    <w:rsid w:val="00186962"/>
    <w:rsid w:val="001869B8"/>
    <w:rsid w:val="00186C93"/>
    <w:rsid w:val="00186FCF"/>
    <w:rsid w:val="00187669"/>
    <w:rsid w:val="001876A4"/>
    <w:rsid w:val="00187B54"/>
    <w:rsid w:val="00190841"/>
    <w:rsid w:val="00190EA1"/>
    <w:rsid w:val="0019106D"/>
    <w:rsid w:val="00191675"/>
    <w:rsid w:val="00191A85"/>
    <w:rsid w:val="00191EEC"/>
    <w:rsid w:val="00192024"/>
    <w:rsid w:val="0019216C"/>
    <w:rsid w:val="001923F3"/>
    <w:rsid w:val="0019272C"/>
    <w:rsid w:val="001927C7"/>
    <w:rsid w:val="00192BA9"/>
    <w:rsid w:val="0019310B"/>
    <w:rsid w:val="00193351"/>
    <w:rsid w:val="001933E9"/>
    <w:rsid w:val="0019367C"/>
    <w:rsid w:val="00193ABB"/>
    <w:rsid w:val="00193F06"/>
    <w:rsid w:val="00193FA8"/>
    <w:rsid w:val="001940F5"/>
    <w:rsid w:val="001941B1"/>
    <w:rsid w:val="00194360"/>
    <w:rsid w:val="001946B6"/>
    <w:rsid w:val="00194CA8"/>
    <w:rsid w:val="00194D9F"/>
    <w:rsid w:val="00195118"/>
    <w:rsid w:val="00195262"/>
    <w:rsid w:val="001955C2"/>
    <w:rsid w:val="001955D5"/>
    <w:rsid w:val="00195FDB"/>
    <w:rsid w:val="00196612"/>
    <w:rsid w:val="00196683"/>
    <w:rsid w:val="00196767"/>
    <w:rsid w:val="00196A3F"/>
    <w:rsid w:val="00196B29"/>
    <w:rsid w:val="00196F1E"/>
    <w:rsid w:val="00197142"/>
    <w:rsid w:val="001974EF"/>
    <w:rsid w:val="00197700"/>
    <w:rsid w:val="001977B7"/>
    <w:rsid w:val="00197FB0"/>
    <w:rsid w:val="001A0344"/>
    <w:rsid w:val="001A06B3"/>
    <w:rsid w:val="001A089D"/>
    <w:rsid w:val="001A0E23"/>
    <w:rsid w:val="001A0FC4"/>
    <w:rsid w:val="001A1299"/>
    <w:rsid w:val="001A1394"/>
    <w:rsid w:val="001A13C7"/>
    <w:rsid w:val="001A1630"/>
    <w:rsid w:val="001A17B7"/>
    <w:rsid w:val="001A1B68"/>
    <w:rsid w:val="001A2309"/>
    <w:rsid w:val="001A240A"/>
    <w:rsid w:val="001A2EE5"/>
    <w:rsid w:val="001A2EF9"/>
    <w:rsid w:val="001A3BFA"/>
    <w:rsid w:val="001A3C7B"/>
    <w:rsid w:val="001A4ECE"/>
    <w:rsid w:val="001A4FE1"/>
    <w:rsid w:val="001A5218"/>
    <w:rsid w:val="001A61B4"/>
    <w:rsid w:val="001A62E7"/>
    <w:rsid w:val="001A6765"/>
    <w:rsid w:val="001A6AC0"/>
    <w:rsid w:val="001A6C37"/>
    <w:rsid w:val="001A6E05"/>
    <w:rsid w:val="001A6FA8"/>
    <w:rsid w:val="001A742D"/>
    <w:rsid w:val="001A7C44"/>
    <w:rsid w:val="001A7C9E"/>
    <w:rsid w:val="001B018B"/>
    <w:rsid w:val="001B054C"/>
    <w:rsid w:val="001B058D"/>
    <w:rsid w:val="001B08CA"/>
    <w:rsid w:val="001B0B5B"/>
    <w:rsid w:val="001B1175"/>
    <w:rsid w:val="001B12BC"/>
    <w:rsid w:val="001B13BC"/>
    <w:rsid w:val="001B14A9"/>
    <w:rsid w:val="001B15D1"/>
    <w:rsid w:val="001B1796"/>
    <w:rsid w:val="001B18F1"/>
    <w:rsid w:val="001B19B8"/>
    <w:rsid w:val="001B1A92"/>
    <w:rsid w:val="001B1E13"/>
    <w:rsid w:val="001B24DB"/>
    <w:rsid w:val="001B256D"/>
    <w:rsid w:val="001B2B73"/>
    <w:rsid w:val="001B2FBB"/>
    <w:rsid w:val="001B32A2"/>
    <w:rsid w:val="001B3AD1"/>
    <w:rsid w:val="001B3BC3"/>
    <w:rsid w:val="001B415F"/>
    <w:rsid w:val="001B4B25"/>
    <w:rsid w:val="001B5073"/>
    <w:rsid w:val="001B50B7"/>
    <w:rsid w:val="001B55C0"/>
    <w:rsid w:val="001B58E7"/>
    <w:rsid w:val="001B5A48"/>
    <w:rsid w:val="001B5A58"/>
    <w:rsid w:val="001B5B7D"/>
    <w:rsid w:val="001B5DFC"/>
    <w:rsid w:val="001B610D"/>
    <w:rsid w:val="001B623A"/>
    <w:rsid w:val="001B6319"/>
    <w:rsid w:val="001B6779"/>
    <w:rsid w:val="001B6AF5"/>
    <w:rsid w:val="001B6CE5"/>
    <w:rsid w:val="001B6DF2"/>
    <w:rsid w:val="001B6E6A"/>
    <w:rsid w:val="001B6F72"/>
    <w:rsid w:val="001B79B5"/>
    <w:rsid w:val="001B7B23"/>
    <w:rsid w:val="001B7DCA"/>
    <w:rsid w:val="001C001B"/>
    <w:rsid w:val="001C08E1"/>
    <w:rsid w:val="001C0928"/>
    <w:rsid w:val="001C0BCE"/>
    <w:rsid w:val="001C1062"/>
    <w:rsid w:val="001C1211"/>
    <w:rsid w:val="001C1323"/>
    <w:rsid w:val="001C1397"/>
    <w:rsid w:val="001C13AA"/>
    <w:rsid w:val="001C1529"/>
    <w:rsid w:val="001C165F"/>
    <w:rsid w:val="001C195C"/>
    <w:rsid w:val="001C1CBA"/>
    <w:rsid w:val="001C1FE9"/>
    <w:rsid w:val="001C22B8"/>
    <w:rsid w:val="001C28CD"/>
    <w:rsid w:val="001C3075"/>
    <w:rsid w:val="001C3484"/>
    <w:rsid w:val="001C35A5"/>
    <w:rsid w:val="001C39EE"/>
    <w:rsid w:val="001C3D3C"/>
    <w:rsid w:val="001C3F15"/>
    <w:rsid w:val="001C401C"/>
    <w:rsid w:val="001C4203"/>
    <w:rsid w:val="001C439E"/>
    <w:rsid w:val="001C4936"/>
    <w:rsid w:val="001C4CAE"/>
    <w:rsid w:val="001C4F54"/>
    <w:rsid w:val="001C4FF6"/>
    <w:rsid w:val="001C553B"/>
    <w:rsid w:val="001C5627"/>
    <w:rsid w:val="001C5A34"/>
    <w:rsid w:val="001C61F4"/>
    <w:rsid w:val="001C621B"/>
    <w:rsid w:val="001C635E"/>
    <w:rsid w:val="001C6645"/>
    <w:rsid w:val="001C6691"/>
    <w:rsid w:val="001C66E8"/>
    <w:rsid w:val="001C6C0C"/>
    <w:rsid w:val="001C6E9C"/>
    <w:rsid w:val="001C765D"/>
    <w:rsid w:val="001D1143"/>
    <w:rsid w:val="001D1281"/>
    <w:rsid w:val="001D1351"/>
    <w:rsid w:val="001D167D"/>
    <w:rsid w:val="001D1868"/>
    <w:rsid w:val="001D1964"/>
    <w:rsid w:val="001D1A08"/>
    <w:rsid w:val="001D2562"/>
    <w:rsid w:val="001D25CD"/>
    <w:rsid w:val="001D2661"/>
    <w:rsid w:val="001D2843"/>
    <w:rsid w:val="001D29FC"/>
    <w:rsid w:val="001D3D5D"/>
    <w:rsid w:val="001D3D6E"/>
    <w:rsid w:val="001D4553"/>
    <w:rsid w:val="001D4BA6"/>
    <w:rsid w:val="001D5064"/>
    <w:rsid w:val="001D5070"/>
    <w:rsid w:val="001D5B25"/>
    <w:rsid w:val="001D5CCF"/>
    <w:rsid w:val="001D5F62"/>
    <w:rsid w:val="001D6215"/>
    <w:rsid w:val="001D6530"/>
    <w:rsid w:val="001D67E1"/>
    <w:rsid w:val="001D69D7"/>
    <w:rsid w:val="001D6B26"/>
    <w:rsid w:val="001D6F42"/>
    <w:rsid w:val="001D6FFB"/>
    <w:rsid w:val="001D745C"/>
    <w:rsid w:val="001D77EE"/>
    <w:rsid w:val="001D7D3C"/>
    <w:rsid w:val="001E0212"/>
    <w:rsid w:val="001E0485"/>
    <w:rsid w:val="001E06BF"/>
    <w:rsid w:val="001E0BB0"/>
    <w:rsid w:val="001E0C02"/>
    <w:rsid w:val="001E0D90"/>
    <w:rsid w:val="001E0DFB"/>
    <w:rsid w:val="001E0E34"/>
    <w:rsid w:val="001E0E5E"/>
    <w:rsid w:val="001E0F66"/>
    <w:rsid w:val="001E0FE6"/>
    <w:rsid w:val="001E11DF"/>
    <w:rsid w:val="001E1357"/>
    <w:rsid w:val="001E1AE7"/>
    <w:rsid w:val="001E1DC1"/>
    <w:rsid w:val="001E22D2"/>
    <w:rsid w:val="001E2507"/>
    <w:rsid w:val="001E27E8"/>
    <w:rsid w:val="001E31AA"/>
    <w:rsid w:val="001E347C"/>
    <w:rsid w:val="001E3712"/>
    <w:rsid w:val="001E383D"/>
    <w:rsid w:val="001E3947"/>
    <w:rsid w:val="001E3B62"/>
    <w:rsid w:val="001E3BE2"/>
    <w:rsid w:val="001E3E37"/>
    <w:rsid w:val="001E3F7D"/>
    <w:rsid w:val="001E4180"/>
    <w:rsid w:val="001E4371"/>
    <w:rsid w:val="001E46B0"/>
    <w:rsid w:val="001E46E8"/>
    <w:rsid w:val="001E4A0D"/>
    <w:rsid w:val="001E4BBC"/>
    <w:rsid w:val="001E504F"/>
    <w:rsid w:val="001E506A"/>
    <w:rsid w:val="001E5251"/>
    <w:rsid w:val="001E54A1"/>
    <w:rsid w:val="001E5AD2"/>
    <w:rsid w:val="001E5C15"/>
    <w:rsid w:val="001E5D84"/>
    <w:rsid w:val="001E5F89"/>
    <w:rsid w:val="001E65E3"/>
    <w:rsid w:val="001E6B66"/>
    <w:rsid w:val="001E6F9F"/>
    <w:rsid w:val="001E7039"/>
    <w:rsid w:val="001E741C"/>
    <w:rsid w:val="001E77C7"/>
    <w:rsid w:val="001E7850"/>
    <w:rsid w:val="001E7BED"/>
    <w:rsid w:val="001F0B1E"/>
    <w:rsid w:val="001F15D5"/>
    <w:rsid w:val="001F2A3C"/>
    <w:rsid w:val="001F2BBB"/>
    <w:rsid w:val="001F2CF4"/>
    <w:rsid w:val="001F304C"/>
    <w:rsid w:val="001F3115"/>
    <w:rsid w:val="001F336D"/>
    <w:rsid w:val="001F3666"/>
    <w:rsid w:val="001F3AD9"/>
    <w:rsid w:val="001F3E33"/>
    <w:rsid w:val="001F4991"/>
    <w:rsid w:val="001F4A3E"/>
    <w:rsid w:val="001F4B6F"/>
    <w:rsid w:val="001F4F8B"/>
    <w:rsid w:val="001F549B"/>
    <w:rsid w:val="001F558C"/>
    <w:rsid w:val="001F58B4"/>
    <w:rsid w:val="001F5C03"/>
    <w:rsid w:val="001F67DE"/>
    <w:rsid w:val="001F697F"/>
    <w:rsid w:val="001F6A7E"/>
    <w:rsid w:val="001F6D1B"/>
    <w:rsid w:val="001F723C"/>
    <w:rsid w:val="001F75C9"/>
    <w:rsid w:val="001F7879"/>
    <w:rsid w:val="0020005B"/>
    <w:rsid w:val="002001C2"/>
    <w:rsid w:val="0020031A"/>
    <w:rsid w:val="0020039E"/>
    <w:rsid w:val="00200495"/>
    <w:rsid w:val="0020085F"/>
    <w:rsid w:val="00200997"/>
    <w:rsid w:val="002009C2"/>
    <w:rsid w:val="00200B90"/>
    <w:rsid w:val="0020136D"/>
    <w:rsid w:val="002015B4"/>
    <w:rsid w:val="002015C4"/>
    <w:rsid w:val="00201631"/>
    <w:rsid w:val="002016A5"/>
    <w:rsid w:val="0020171A"/>
    <w:rsid w:val="002019F3"/>
    <w:rsid w:val="00201A0D"/>
    <w:rsid w:val="00201D9A"/>
    <w:rsid w:val="00202230"/>
    <w:rsid w:val="002028B5"/>
    <w:rsid w:val="00202A5F"/>
    <w:rsid w:val="00202F9C"/>
    <w:rsid w:val="0020348C"/>
    <w:rsid w:val="002034B9"/>
    <w:rsid w:val="00203660"/>
    <w:rsid w:val="00203A8F"/>
    <w:rsid w:val="00203A92"/>
    <w:rsid w:val="00203B09"/>
    <w:rsid w:val="00203F17"/>
    <w:rsid w:val="0020418C"/>
    <w:rsid w:val="002044F3"/>
    <w:rsid w:val="00204AA2"/>
    <w:rsid w:val="00204BB6"/>
    <w:rsid w:val="00204FAC"/>
    <w:rsid w:val="0020507D"/>
    <w:rsid w:val="0020598A"/>
    <w:rsid w:val="00205FD1"/>
    <w:rsid w:val="0020617F"/>
    <w:rsid w:val="002061E3"/>
    <w:rsid w:val="002062BB"/>
    <w:rsid w:val="00206329"/>
    <w:rsid w:val="00206514"/>
    <w:rsid w:val="0020655A"/>
    <w:rsid w:val="00206923"/>
    <w:rsid w:val="00206B6C"/>
    <w:rsid w:val="00206D71"/>
    <w:rsid w:val="00206FCC"/>
    <w:rsid w:val="00207071"/>
    <w:rsid w:val="00207160"/>
    <w:rsid w:val="00207267"/>
    <w:rsid w:val="002072A8"/>
    <w:rsid w:val="00207300"/>
    <w:rsid w:val="00207450"/>
    <w:rsid w:val="0020769D"/>
    <w:rsid w:val="002076BF"/>
    <w:rsid w:val="002076F6"/>
    <w:rsid w:val="002078B8"/>
    <w:rsid w:val="00210631"/>
    <w:rsid w:val="002108A9"/>
    <w:rsid w:val="00210C34"/>
    <w:rsid w:val="00211003"/>
    <w:rsid w:val="002112DC"/>
    <w:rsid w:val="002114D8"/>
    <w:rsid w:val="0021168E"/>
    <w:rsid w:val="002118FC"/>
    <w:rsid w:val="002127CC"/>
    <w:rsid w:val="00212AC7"/>
    <w:rsid w:val="00212B12"/>
    <w:rsid w:val="002133EB"/>
    <w:rsid w:val="00213E31"/>
    <w:rsid w:val="00213FB5"/>
    <w:rsid w:val="00214860"/>
    <w:rsid w:val="00215034"/>
    <w:rsid w:val="002150F0"/>
    <w:rsid w:val="00215639"/>
    <w:rsid w:val="002166D9"/>
    <w:rsid w:val="00216BA1"/>
    <w:rsid w:val="00216D91"/>
    <w:rsid w:val="00216DCE"/>
    <w:rsid w:val="002175AB"/>
    <w:rsid w:val="0021783E"/>
    <w:rsid w:val="00217FE8"/>
    <w:rsid w:val="00220251"/>
    <w:rsid w:val="0022051A"/>
    <w:rsid w:val="00220F04"/>
    <w:rsid w:val="00220F9B"/>
    <w:rsid w:val="00221591"/>
    <w:rsid w:val="0022159D"/>
    <w:rsid w:val="002219B5"/>
    <w:rsid w:val="00221AFD"/>
    <w:rsid w:val="00222790"/>
    <w:rsid w:val="002227F0"/>
    <w:rsid w:val="00222A27"/>
    <w:rsid w:val="00223064"/>
    <w:rsid w:val="002232CA"/>
    <w:rsid w:val="0022332D"/>
    <w:rsid w:val="0022351F"/>
    <w:rsid w:val="0022371B"/>
    <w:rsid w:val="00223E39"/>
    <w:rsid w:val="0022427E"/>
    <w:rsid w:val="002246DB"/>
    <w:rsid w:val="002248CB"/>
    <w:rsid w:val="002250DD"/>
    <w:rsid w:val="00225114"/>
    <w:rsid w:val="0022529D"/>
    <w:rsid w:val="002253EF"/>
    <w:rsid w:val="00225629"/>
    <w:rsid w:val="0022578C"/>
    <w:rsid w:val="002258EC"/>
    <w:rsid w:val="002259BD"/>
    <w:rsid w:val="00225B05"/>
    <w:rsid w:val="00226158"/>
    <w:rsid w:val="0022632A"/>
    <w:rsid w:val="002265D1"/>
    <w:rsid w:val="002265E3"/>
    <w:rsid w:val="00226738"/>
    <w:rsid w:val="0022686E"/>
    <w:rsid w:val="00226ADA"/>
    <w:rsid w:val="00226B61"/>
    <w:rsid w:val="00226F49"/>
    <w:rsid w:val="002270F4"/>
    <w:rsid w:val="0022710D"/>
    <w:rsid w:val="0022770D"/>
    <w:rsid w:val="00227E07"/>
    <w:rsid w:val="00230AA5"/>
    <w:rsid w:val="00230D34"/>
    <w:rsid w:val="00230DA6"/>
    <w:rsid w:val="00230F4E"/>
    <w:rsid w:val="0023175A"/>
    <w:rsid w:val="00232151"/>
    <w:rsid w:val="00232A1F"/>
    <w:rsid w:val="0023317E"/>
    <w:rsid w:val="0023319D"/>
    <w:rsid w:val="00233296"/>
    <w:rsid w:val="002332F6"/>
    <w:rsid w:val="002334DE"/>
    <w:rsid w:val="00233638"/>
    <w:rsid w:val="002338C5"/>
    <w:rsid w:val="00233ED1"/>
    <w:rsid w:val="002340AE"/>
    <w:rsid w:val="002340C5"/>
    <w:rsid w:val="0023414F"/>
    <w:rsid w:val="002347FE"/>
    <w:rsid w:val="0023484A"/>
    <w:rsid w:val="00234C0D"/>
    <w:rsid w:val="00234E1B"/>
    <w:rsid w:val="00234E6F"/>
    <w:rsid w:val="00234EB0"/>
    <w:rsid w:val="00234F4A"/>
    <w:rsid w:val="002351D7"/>
    <w:rsid w:val="002354F7"/>
    <w:rsid w:val="00235677"/>
    <w:rsid w:val="0023598B"/>
    <w:rsid w:val="002359F0"/>
    <w:rsid w:val="00235D81"/>
    <w:rsid w:val="00235FE9"/>
    <w:rsid w:val="002361EF"/>
    <w:rsid w:val="00236681"/>
    <w:rsid w:val="00236A52"/>
    <w:rsid w:val="00236B5C"/>
    <w:rsid w:val="00236B8D"/>
    <w:rsid w:val="00236C21"/>
    <w:rsid w:val="00236DFA"/>
    <w:rsid w:val="0023711C"/>
    <w:rsid w:val="00237597"/>
    <w:rsid w:val="0023761E"/>
    <w:rsid w:val="002378BD"/>
    <w:rsid w:val="00237B5D"/>
    <w:rsid w:val="00237D82"/>
    <w:rsid w:val="00237EB0"/>
    <w:rsid w:val="002400F1"/>
    <w:rsid w:val="00240770"/>
    <w:rsid w:val="002408DC"/>
    <w:rsid w:val="00240949"/>
    <w:rsid w:val="00240D19"/>
    <w:rsid w:val="00240D28"/>
    <w:rsid w:val="002410DA"/>
    <w:rsid w:val="00241578"/>
    <w:rsid w:val="002418E7"/>
    <w:rsid w:val="002421A4"/>
    <w:rsid w:val="002427B6"/>
    <w:rsid w:val="002428C5"/>
    <w:rsid w:val="00242D60"/>
    <w:rsid w:val="002430AA"/>
    <w:rsid w:val="00243ABC"/>
    <w:rsid w:val="00243D3E"/>
    <w:rsid w:val="00243FD7"/>
    <w:rsid w:val="00244100"/>
    <w:rsid w:val="0024418C"/>
    <w:rsid w:val="002443A3"/>
    <w:rsid w:val="002445BB"/>
    <w:rsid w:val="002446F0"/>
    <w:rsid w:val="00244FAE"/>
    <w:rsid w:val="002453F2"/>
    <w:rsid w:val="00245882"/>
    <w:rsid w:val="00245BA2"/>
    <w:rsid w:val="00245E29"/>
    <w:rsid w:val="00246009"/>
    <w:rsid w:val="002460A9"/>
    <w:rsid w:val="00246DB4"/>
    <w:rsid w:val="00246E0E"/>
    <w:rsid w:val="002473BE"/>
    <w:rsid w:val="002473EB"/>
    <w:rsid w:val="002478DF"/>
    <w:rsid w:val="00247B4D"/>
    <w:rsid w:val="00247C27"/>
    <w:rsid w:val="002503F3"/>
    <w:rsid w:val="00250913"/>
    <w:rsid w:val="00250B21"/>
    <w:rsid w:val="00250E29"/>
    <w:rsid w:val="0025107A"/>
    <w:rsid w:val="002512E2"/>
    <w:rsid w:val="00251510"/>
    <w:rsid w:val="0025152B"/>
    <w:rsid w:val="00251A46"/>
    <w:rsid w:val="002520A3"/>
    <w:rsid w:val="002520AE"/>
    <w:rsid w:val="002520F3"/>
    <w:rsid w:val="00252B59"/>
    <w:rsid w:val="00252BB2"/>
    <w:rsid w:val="002532A7"/>
    <w:rsid w:val="00253409"/>
    <w:rsid w:val="00253643"/>
    <w:rsid w:val="00253C11"/>
    <w:rsid w:val="002540AE"/>
    <w:rsid w:val="002545D1"/>
    <w:rsid w:val="002546CD"/>
    <w:rsid w:val="00254797"/>
    <w:rsid w:val="00254D45"/>
    <w:rsid w:val="00254FF8"/>
    <w:rsid w:val="00255805"/>
    <w:rsid w:val="00255861"/>
    <w:rsid w:val="002559A9"/>
    <w:rsid w:val="00255B07"/>
    <w:rsid w:val="00255B5D"/>
    <w:rsid w:val="00255BCA"/>
    <w:rsid w:val="00255E6E"/>
    <w:rsid w:val="00256889"/>
    <w:rsid w:val="00256AD9"/>
    <w:rsid w:val="00256CF8"/>
    <w:rsid w:val="00256F0C"/>
    <w:rsid w:val="002577EC"/>
    <w:rsid w:val="0025789B"/>
    <w:rsid w:val="002578A1"/>
    <w:rsid w:val="00257AA4"/>
    <w:rsid w:val="00257D6E"/>
    <w:rsid w:val="00257D98"/>
    <w:rsid w:val="00260020"/>
    <w:rsid w:val="00260030"/>
    <w:rsid w:val="00260681"/>
    <w:rsid w:val="00261085"/>
    <w:rsid w:val="002611EC"/>
    <w:rsid w:val="00261C43"/>
    <w:rsid w:val="00261D77"/>
    <w:rsid w:val="00261E3E"/>
    <w:rsid w:val="0026291A"/>
    <w:rsid w:val="00262D59"/>
    <w:rsid w:val="0026331F"/>
    <w:rsid w:val="002637FD"/>
    <w:rsid w:val="00263A24"/>
    <w:rsid w:val="00264007"/>
    <w:rsid w:val="00264AE9"/>
    <w:rsid w:val="00264DFC"/>
    <w:rsid w:val="00264E4B"/>
    <w:rsid w:val="00264EE6"/>
    <w:rsid w:val="00264F5F"/>
    <w:rsid w:val="00265038"/>
    <w:rsid w:val="00265145"/>
    <w:rsid w:val="00265161"/>
    <w:rsid w:val="002654EF"/>
    <w:rsid w:val="00265620"/>
    <w:rsid w:val="00265832"/>
    <w:rsid w:val="00265D92"/>
    <w:rsid w:val="002662C7"/>
    <w:rsid w:val="002665CF"/>
    <w:rsid w:val="002667AB"/>
    <w:rsid w:val="00266A7F"/>
    <w:rsid w:val="00266D72"/>
    <w:rsid w:val="00266DAE"/>
    <w:rsid w:val="0026757F"/>
    <w:rsid w:val="002676E7"/>
    <w:rsid w:val="00267F21"/>
    <w:rsid w:val="00270A40"/>
    <w:rsid w:val="00270CA1"/>
    <w:rsid w:val="0027103C"/>
    <w:rsid w:val="00271240"/>
    <w:rsid w:val="00271481"/>
    <w:rsid w:val="0027164E"/>
    <w:rsid w:val="002716C5"/>
    <w:rsid w:val="002719F7"/>
    <w:rsid w:val="00271A06"/>
    <w:rsid w:val="00271D51"/>
    <w:rsid w:val="00272288"/>
    <w:rsid w:val="00272475"/>
    <w:rsid w:val="002739A7"/>
    <w:rsid w:val="00273B8C"/>
    <w:rsid w:val="00273BC1"/>
    <w:rsid w:val="00274425"/>
    <w:rsid w:val="002744A2"/>
    <w:rsid w:val="00274512"/>
    <w:rsid w:val="00274561"/>
    <w:rsid w:val="00274C82"/>
    <w:rsid w:val="00274D18"/>
    <w:rsid w:val="002751D3"/>
    <w:rsid w:val="00275857"/>
    <w:rsid w:val="00275D13"/>
    <w:rsid w:val="00275EC7"/>
    <w:rsid w:val="00276742"/>
    <w:rsid w:val="00276974"/>
    <w:rsid w:val="002770FA"/>
    <w:rsid w:val="0027714F"/>
    <w:rsid w:val="0027716F"/>
    <w:rsid w:val="002771FC"/>
    <w:rsid w:val="002775AC"/>
    <w:rsid w:val="00277C79"/>
    <w:rsid w:val="00277FF4"/>
    <w:rsid w:val="002800BA"/>
    <w:rsid w:val="002802D7"/>
    <w:rsid w:val="00280325"/>
    <w:rsid w:val="0028047C"/>
    <w:rsid w:val="002804BA"/>
    <w:rsid w:val="00280A15"/>
    <w:rsid w:val="00280A8D"/>
    <w:rsid w:val="00280EB2"/>
    <w:rsid w:val="00281477"/>
    <w:rsid w:val="002814BE"/>
    <w:rsid w:val="002815FD"/>
    <w:rsid w:val="0028198C"/>
    <w:rsid w:val="002819E8"/>
    <w:rsid w:val="00281BD5"/>
    <w:rsid w:val="00281C66"/>
    <w:rsid w:val="00281E8D"/>
    <w:rsid w:val="002821A3"/>
    <w:rsid w:val="0028262F"/>
    <w:rsid w:val="002826CE"/>
    <w:rsid w:val="00282751"/>
    <w:rsid w:val="002827C2"/>
    <w:rsid w:val="00283305"/>
    <w:rsid w:val="0028332E"/>
    <w:rsid w:val="0028368C"/>
    <w:rsid w:val="00283F80"/>
    <w:rsid w:val="00283FCF"/>
    <w:rsid w:val="00284324"/>
    <w:rsid w:val="00284558"/>
    <w:rsid w:val="0028459B"/>
    <w:rsid w:val="00284B17"/>
    <w:rsid w:val="0028547D"/>
    <w:rsid w:val="00285B7A"/>
    <w:rsid w:val="00285CE0"/>
    <w:rsid w:val="00285F11"/>
    <w:rsid w:val="00285FF2"/>
    <w:rsid w:val="0028604D"/>
    <w:rsid w:val="00286A88"/>
    <w:rsid w:val="00286B9D"/>
    <w:rsid w:val="00287010"/>
    <w:rsid w:val="00287204"/>
    <w:rsid w:val="00287339"/>
    <w:rsid w:val="002875B1"/>
    <w:rsid w:val="00287645"/>
    <w:rsid w:val="00287797"/>
    <w:rsid w:val="00287D43"/>
    <w:rsid w:val="00290090"/>
    <w:rsid w:val="002902CD"/>
    <w:rsid w:val="00290D94"/>
    <w:rsid w:val="00290F62"/>
    <w:rsid w:val="00291325"/>
    <w:rsid w:val="002913D1"/>
    <w:rsid w:val="002913F8"/>
    <w:rsid w:val="0029155F"/>
    <w:rsid w:val="002918CD"/>
    <w:rsid w:val="00291954"/>
    <w:rsid w:val="00291960"/>
    <w:rsid w:val="002919D6"/>
    <w:rsid w:val="00291B95"/>
    <w:rsid w:val="00291FAB"/>
    <w:rsid w:val="00292054"/>
    <w:rsid w:val="00292163"/>
    <w:rsid w:val="0029294B"/>
    <w:rsid w:val="002937BE"/>
    <w:rsid w:val="002938E6"/>
    <w:rsid w:val="002939C4"/>
    <w:rsid w:val="00293A4F"/>
    <w:rsid w:val="00294CBD"/>
    <w:rsid w:val="00294D66"/>
    <w:rsid w:val="00294F47"/>
    <w:rsid w:val="0029517A"/>
    <w:rsid w:val="00295181"/>
    <w:rsid w:val="002954E7"/>
    <w:rsid w:val="00295695"/>
    <w:rsid w:val="002957FD"/>
    <w:rsid w:val="00295CE6"/>
    <w:rsid w:val="00295D08"/>
    <w:rsid w:val="00295E6D"/>
    <w:rsid w:val="0029605D"/>
    <w:rsid w:val="00296330"/>
    <w:rsid w:val="002963F9"/>
    <w:rsid w:val="00296623"/>
    <w:rsid w:val="002966B8"/>
    <w:rsid w:val="00296799"/>
    <w:rsid w:val="0029683A"/>
    <w:rsid w:val="00296879"/>
    <w:rsid w:val="00296BF4"/>
    <w:rsid w:val="00296E59"/>
    <w:rsid w:val="00296FA2"/>
    <w:rsid w:val="00297269"/>
    <w:rsid w:val="0029734C"/>
    <w:rsid w:val="002973A5"/>
    <w:rsid w:val="00297527"/>
    <w:rsid w:val="0029768D"/>
    <w:rsid w:val="0029780C"/>
    <w:rsid w:val="00297868"/>
    <w:rsid w:val="00297891"/>
    <w:rsid w:val="00297E5B"/>
    <w:rsid w:val="00297F53"/>
    <w:rsid w:val="002A04B1"/>
    <w:rsid w:val="002A0AB4"/>
    <w:rsid w:val="002A0BEB"/>
    <w:rsid w:val="002A0DC1"/>
    <w:rsid w:val="002A1580"/>
    <w:rsid w:val="002A15A6"/>
    <w:rsid w:val="002A1948"/>
    <w:rsid w:val="002A1E3F"/>
    <w:rsid w:val="002A1EF4"/>
    <w:rsid w:val="002A1FFE"/>
    <w:rsid w:val="002A2423"/>
    <w:rsid w:val="002A2510"/>
    <w:rsid w:val="002A2599"/>
    <w:rsid w:val="002A263F"/>
    <w:rsid w:val="002A2815"/>
    <w:rsid w:val="002A291F"/>
    <w:rsid w:val="002A2BBD"/>
    <w:rsid w:val="002A30A3"/>
    <w:rsid w:val="002A3167"/>
    <w:rsid w:val="002A321B"/>
    <w:rsid w:val="002A39C3"/>
    <w:rsid w:val="002A3C6E"/>
    <w:rsid w:val="002A3E7F"/>
    <w:rsid w:val="002A4789"/>
    <w:rsid w:val="002A4CD5"/>
    <w:rsid w:val="002A4ECB"/>
    <w:rsid w:val="002A4FD5"/>
    <w:rsid w:val="002A533C"/>
    <w:rsid w:val="002A53EA"/>
    <w:rsid w:val="002A5D0F"/>
    <w:rsid w:val="002A61A0"/>
    <w:rsid w:val="002A6220"/>
    <w:rsid w:val="002A62AD"/>
    <w:rsid w:val="002A645E"/>
    <w:rsid w:val="002A6655"/>
    <w:rsid w:val="002A6789"/>
    <w:rsid w:val="002A696E"/>
    <w:rsid w:val="002A6996"/>
    <w:rsid w:val="002A6FA7"/>
    <w:rsid w:val="002A7012"/>
    <w:rsid w:val="002A714B"/>
    <w:rsid w:val="002A7293"/>
    <w:rsid w:val="002A78A7"/>
    <w:rsid w:val="002A7D9B"/>
    <w:rsid w:val="002A7EFB"/>
    <w:rsid w:val="002B00C7"/>
    <w:rsid w:val="002B02DB"/>
    <w:rsid w:val="002B02F0"/>
    <w:rsid w:val="002B097A"/>
    <w:rsid w:val="002B0AB8"/>
    <w:rsid w:val="002B0D3B"/>
    <w:rsid w:val="002B19D5"/>
    <w:rsid w:val="002B1B39"/>
    <w:rsid w:val="002B1BF5"/>
    <w:rsid w:val="002B1F34"/>
    <w:rsid w:val="002B2057"/>
    <w:rsid w:val="002B2172"/>
    <w:rsid w:val="002B27BC"/>
    <w:rsid w:val="002B2868"/>
    <w:rsid w:val="002B2AF5"/>
    <w:rsid w:val="002B320B"/>
    <w:rsid w:val="002B3935"/>
    <w:rsid w:val="002B3BC6"/>
    <w:rsid w:val="002B3CE5"/>
    <w:rsid w:val="002B3F49"/>
    <w:rsid w:val="002B420E"/>
    <w:rsid w:val="002B49AC"/>
    <w:rsid w:val="002B4EC1"/>
    <w:rsid w:val="002B51FC"/>
    <w:rsid w:val="002B5392"/>
    <w:rsid w:val="002B5C99"/>
    <w:rsid w:val="002B5D19"/>
    <w:rsid w:val="002B607B"/>
    <w:rsid w:val="002B63B2"/>
    <w:rsid w:val="002B6B75"/>
    <w:rsid w:val="002B6D99"/>
    <w:rsid w:val="002B700B"/>
    <w:rsid w:val="002B78A3"/>
    <w:rsid w:val="002B7B60"/>
    <w:rsid w:val="002B7C64"/>
    <w:rsid w:val="002C0013"/>
    <w:rsid w:val="002C0895"/>
    <w:rsid w:val="002C08D2"/>
    <w:rsid w:val="002C0B4F"/>
    <w:rsid w:val="002C10A1"/>
    <w:rsid w:val="002C11BB"/>
    <w:rsid w:val="002C13D4"/>
    <w:rsid w:val="002C1525"/>
    <w:rsid w:val="002C160E"/>
    <w:rsid w:val="002C1922"/>
    <w:rsid w:val="002C1AC1"/>
    <w:rsid w:val="002C200F"/>
    <w:rsid w:val="002C248D"/>
    <w:rsid w:val="002C2628"/>
    <w:rsid w:val="002C2A86"/>
    <w:rsid w:val="002C31FB"/>
    <w:rsid w:val="002C336B"/>
    <w:rsid w:val="002C37CF"/>
    <w:rsid w:val="002C452A"/>
    <w:rsid w:val="002C481C"/>
    <w:rsid w:val="002C5070"/>
    <w:rsid w:val="002C5350"/>
    <w:rsid w:val="002C5788"/>
    <w:rsid w:val="002C584C"/>
    <w:rsid w:val="002C5B06"/>
    <w:rsid w:val="002C5BA8"/>
    <w:rsid w:val="002C5FEF"/>
    <w:rsid w:val="002C6026"/>
    <w:rsid w:val="002C634C"/>
    <w:rsid w:val="002C6B13"/>
    <w:rsid w:val="002C6D27"/>
    <w:rsid w:val="002C6EAE"/>
    <w:rsid w:val="002C728B"/>
    <w:rsid w:val="002C7A2C"/>
    <w:rsid w:val="002C7A6F"/>
    <w:rsid w:val="002C7C06"/>
    <w:rsid w:val="002C7C9E"/>
    <w:rsid w:val="002C7DED"/>
    <w:rsid w:val="002C7FDB"/>
    <w:rsid w:val="002D031A"/>
    <w:rsid w:val="002D0915"/>
    <w:rsid w:val="002D092C"/>
    <w:rsid w:val="002D0AE3"/>
    <w:rsid w:val="002D0AF2"/>
    <w:rsid w:val="002D0C94"/>
    <w:rsid w:val="002D1733"/>
    <w:rsid w:val="002D1AA1"/>
    <w:rsid w:val="002D1C8F"/>
    <w:rsid w:val="002D1EEC"/>
    <w:rsid w:val="002D2662"/>
    <w:rsid w:val="002D2867"/>
    <w:rsid w:val="002D2910"/>
    <w:rsid w:val="002D2B6A"/>
    <w:rsid w:val="002D2BB5"/>
    <w:rsid w:val="002D2BCE"/>
    <w:rsid w:val="002D2C56"/>
    <w:rsid w:val="002D2C69"/>
    <w:rsid w:val="002D3C85"/>
    <w:rsid w:val="002D42CF"/>
    <w:rsid w:val="002D474E"/>
    <w:rsid w:val="002D4858"/>
    <w:rsid w:val="002D58CD"/>
    <w:rsid w:val="002D58DC"/>
    <w:rsid w:val="002D59F6"/>
    <w:rsid w:val="002D5D74"/>
    <w:rsid w:val="002D5DE6"/>
    <w:rsid w:val="002D6B6C"/>
    <w:rsid w:val="002D7131"/>
    <w:rsid w:val="002D7507"/>
    <w:rsid w:val="002D7525"/>
    <w:rsid w:val="002E00FF"/>
    <w:rsid w:val="002E0950"/>
    <w:rsid w:val="002E0B3B"/>
    <w:rsid w:val="002E0DA4"/>
    <w:rsid w:val="002E0EA6"/>
    <w:rsid w:val="002E102D"/>
    <w:rsid w:val="002E11E3"/>
    <w:rsid w:val="002E11E6"/>
    <w:rsid w:val="002E13EE"/>
    <w:rsid w:val="002E15C0"/>
    <w:rsid w:val="002E17FB"/>
    <w:rsid w:val="002E1A2E"/>
    <w:rsid w:val="002E1A3B"/>
    <w:rsid w:val="002E1A9B"/>
    <w:rsid w:val="002E1C9A"/>
    <w:rsid w:val="002E1D5C"/>
    <w:rsid w:val="002E1E08"/>
    <w:rsid w:val="002E1E0C"/>
    <w:rsid w:val="002E2187"/>
    <w:rsid w:val="002E26A2"/>
    <w:rsid w:val="002E3339"/>
    <w:rsid w:val="002E3909"/>
    <w:rsid w:val="002E3C82"/>
    <w:rsid w:val="002E3CB3"/>
    <w:rsid w:val="002E44B2"/>
    <w:rsid w:val="002E4894"/>
    <w:rsid w:val="002E4EAE"/>
    <w:rsid w:val="002E59E7"/>
    <w:rsid w:val="002E5DF7"/>
    <w:rsid w:val="002E5F77"/>
    <w:rsid w:val="002E6104"/>
    <w:rsid w:val="002E61DC"/>
    <w:rsid w:val="002E63E2"/>
    <w:rsid w:val="002E6655"/>
    <w:rsid w:val="002E6CBE"/>
    <w:rsid w:val="002E6D2C"/>
    <w:rsid w:val="002E70CF"/>
    <w:rsid w:val="002E7214"/>
    <w:rsid w:val="002E7282"/>
    <w:rsid w:val="002E730C"/>
    <w:rsid w:val="002E7387"/>
    <w:rsid w:val="002E73C2"/>
    <w:rsid w:val="002E7466"/>
    <w:rsid w:val="002E7523"/>
    <w:rsid w:val="002E75E2"/>
    <w:rsid w:val="002E7CE3"/>
    <w:rsid w:val="002F0361"/>
    <w:rsid w:val="002F0DED"/>
    <w:rsid w:val="002F0EE6"/>
    <w:rsid w:val="002F11BA"/>
    <w:rsid w:val="002F13E3"/>
    <w:rsid w:val="002F18A0"/>
    <w:rsid w:val="002F1A63"/>
    <w:rsid w:val="002F1C99"/>
    <w:rsid w:val="002F2155"/>
    <w:rsid w:val="002F21DF"/>
    <w:rsid w:val="002F2578"/>
    <w:rsid w:val="002F2650"/>
    <w:rsid w:val="002F28A6"/>
    <w:rsid w:val="002F2C56"/>
    <w:rsid w:val="002F2E45"/>
    <w:rsid w:val="002F32F6"/>
    <w:rsid w:val="002F39D4"/>
    <w:rsid w:val="002F441E"/>
    <w:rsid w:val="002F453F"/>
    <w:rsid w:val="002F4840"/>
    <w:rsid w:val="002F511B"/>
    <w:rsid w:val="002F543F"/>
    <w:rsid w:val="002F55C4"/>
    <w:rsid w:val="002F56A8"/>
    <w:rsid w:val="002F5AD5"/>
    <w:rsid w:val="002F5F28"/>
    <w:rsid w:val="002F6612"/>
    <w:rsid w:val="002F66C4"/>
    <w:rsid w:val="002F67A5"/>
    <w:rsid w:val="002F67CD"/>
    <w:rsid w:val="002F6BDD"/>
    <w:rsid w:val="002F6D54"/>
    <w:rsid w:val="002F70DE"/>
    <w:rsid w:val="002F7307"/>
    <w:rsid w:val="002F7A7A"/>
    <w:rsid w:val="003000B2"/>
    <w:rsid w:val="00300568"/>
    <w:rsid w:val="003007FB"/>
    <w:rsid w:val="00300C59"/>
    <w:rsid w:val="00300EDE"/>
    <w:rsid w:val="00301040"/>
    <w:rsid w:val="00301250"/>
    <w:rsid w:val="0030152C"/>
    <w:rsid w:val="00301532"/>
    <w:rsid w:val="00301584"/>
    <w:rsid w:val="00301978"/>
    <w:rsid w:val="003025A9"/>
    <w:rsid w:val="003028FB"/>
    <w:rsid w:val="00302D43"/>
    <w:rsid w:val="00302DE9"/>
    <w:rsid w:val="003030D2"/>
    <w:rsid w:val="0030328A"/>
    <w:rsid w:val="00303D23"/>
    <w:rsid w:val="00303D4D"/>
    <w:rsid w:val="00304B08"/>
    <w:rsid w:val="00304B4F"/>
    <w:rsid w:val="00304E16"/>
    <w:rsid w:val="0030563E"/>
    <w:rsid w:val="0030583E"/>
    <w:rsid w:val="00305954"/>
    <w:rsid w:val="003059AB"/>
    <w:rsid w:val="00305D3C"/>
    <w:rsid w:val="00305DA8"/>
    <w:rsid w:val="003065BF"/>
    <w:rsid w:val="00306B6E"/>
    <w:rsid w:val="003073CF"/>
    <w:rsid w:val="003074B7"/>
    <w:rsid w:val="00307C04"/>
    <w:rsid w:val="0031021E"/>
    <w:rsid w:val="0031028E"/>
    <w:rsid w:val="00310545"/>
    <w:rsid w:val="00310874"/>
    <w:rsid w:val="00310AB7"/>
    <w:rsid w:val="00310CE3"/>
    <w:rsid w:val="00310FB3"/>
    <w:rsid w:val="003111A0"/>
    <w:rsid w:val="00311202"/>
    <w:rsid w:val="00311354"/>
    <w:rsid w:val="00311BBC"/>
    <w:rsid w:val="00312157"/>
    <w:rsid w:val="0031287C"/>
    <w:rsid w:val="00312A7F"/>
    <w:rsid w:val="003134EE"/>
    <w:rsid w:val="003139BB"/>
    <w:rsid w:val="00313CE4"/>
    <w:rsid w:val="00313D2F"/>
    <w:rsid w:val="00313F09"/>
    <w:rsid w:val="0031405E"/>
    <w:rsid w:val="003143AA"/>
    <w:rsid w:val="00314528"/>
    <w:rsid w:val="003146A8"/>
    <w:rsid w:val="00314898"/>
    <w:rsid w:val="003148E0"/>
    <w:rsid w:val="00314AC1"/>
    <w:rsid w:val="00314AFE"/>
    <w:rsid w:val="00314B91"/>
    <w:rsid w:val="00315481"/>
    <w:rsid w:val="003154CB"/>
    <w:rsid w:val="0031561E"/>
    <w:rsid w:val="00315845"/>
    <w:rsid w:val="00315A54"/>
    <w:rsid w:val="00315ACD"/>
    <w:rsid w:val="003160D0"/>
    <w:rsid w:val="00316631"/>
    <w:rsid w:val="00316B2D"/>
    <w:rsid w:val="00316CA9"/>
    <w:rsid w:val="00316CFE"/>
    <w:rsid w:val="003170C9"/>
    <w:rsid w:val="003179A2"/>
    <w:rsid w:val="00317AC7"/>
    <w:rsid w:val="00317BD1"/>
    <w:rsid w:val="00317D24"/>
    <w:rsid w:val="00317F17"/>
    <w:rsid w:val="0032008F"/>
    <w:rsid w:val="00320126"/>
    <w:rsid w:val="00320970"/>
    <w:rsid w:val="00320EA8"/>
    <w:rsid w:val="0032171F"/>
    <w:rsid w:val="00321A7E"/>
    <w:rsid w:val="00321C9F"/>
    <w:rsid w:val="00321CDB"/>
    <w:rsid w:val="00321F12"/>
    <w:rsid w:val="003222F5"/>
    <w:rsid w:val="00322D94"/>
    <w:rsid w:val="00323190"/>
    <w:rsid w:val="003237F8"/>
    <w:rsid w:val="0032399F"/>
    <w:rsid w:val="003239CD"/>
    <w:rsid w:val="00323A7B"/>
    <w:rsid w:val="00323C65"/>
    <w:rsid w:val="00324667"/>
    <w:rsid w:val="00324923"/>
    <w:rsid w:val="00324939"/>
    <w:rsid w:val="00324B44"/>
    <w:rsid w:val="00324BEE"/>
    <w:rsid w:val="00324F80"/>
    <w:rsid w:val="003252C9"/>
    <w:rsid w:val="00325337"/>
    <w:rsid w:val="003255BC"/>
    <w:rsid w:val="003255D7"/>
    <w:rsid w:val="003258C1"/>
    <w:rsid w:val="003259F4"/>
    <w:rsid w:val="00325B30"/>
    <w:rsid w:val="00325B42"/>
    <w:rsid w:val="00326152"/>
    <w:rsid w:val="00326630"/>
    <w:rsid w:val="00326BD1"/>
    <w:rsid w:val="00327123"/>
    <w:rsid w:val="00327F35"/>
    <w:rsid w:val="0033051A"/>
    <w:rsid w:val="00330B2A"/>
    <w:rsid w:val="00330EF8"/>
    <w:rsid w:val="00330F44"/>
    <w:rsid w:val="0033109D"/>
    <w:rsid w:val="003311D4"/>
    <w:rsid w:val="003312B2"/>
    <w:rsid w:val="00331326"/>
    <w:rsid w:val="003319E0"/>
    <w:rsid w:val="00332302"/>
    <w:rsid w:val="003325E4"/>
    <w:rsid w:val="00332845"/>
    <w:rsid w:val="00332865"/>
    <w:rsid w:val="0033289E"/>
    <w:rsid w:val="00332B71"/>
    <w:rsid w:val="003332FE"/>
    <w:rsid w:val="0033357E"/>
    <w:rsid w:val="0033385F"/>
    <w:rsid w:val="00333CD9"/>
    <w:rsid w:val="00333E7F"/>
    <w:rsid w:val="003342D0"/>
    <w:rsid w:val="00334416"/>
    <w:rsid w:val="0033451F"/>
    <w:rsid w:val="00334629"/>
    <w:rsid w:val="0033473E"/>
    <w:rsid w:val="0033595C"/>
    <w:rsid w:val="00335F3B"/>
    <w:rsid w:val="00336175"/>
    <w:rsid w:val="003362FE"/>
    <w:rsid w:val="00336594"/>
    <w:rsid w:val="003365D3"/>
    <w:rsid w:val="00336B51"/>
    <w:rsid w:val="00336C40"/>
    <w:rsid w:val="00336D53"/>
    <w:rsid w:val="00336ECC"/>
    <w:rsid w:val="00337013"/>
    <w:rsid w:val="00337623"/>
    <w:rsid w:val="003401EE"/>
    <w:rsid w:val="00340425"/>
    <w:rsid w:val="0034048D"/>
    <w:rsid w:val="003406A8"/>
    <w:rsid w:val="0034070C"/>
    <w:rsid w:val="00340A02"/>
    <w:rsid w:val="00340A5B"/>
    <w:rsid w:val="00341B05"/>
    <w:rsid w:val="00341C97"/>
    <w:rsid w:val="00341E22"/>
    <w:rsid w:val="00341F72"/>
    <w:rsid w:val="00342015"/>
    <w:rsid w:val="00342222"/>
    <w:rsid w:val="00342CA1"/>
    <w:rsid w:val="00342F21"/>
    <w:rsid w:val="00343009"/>
    <w:rsid w:val="00343274"/>
    <w:rsid w:val="0034335D"/>
    <w:rsid w:val="00343569"/>
    <w:rsid w:val="00343828"/>
    <w:rsid w:val="00343C9F"/>
    <w:rsid w:val="00343E47"/>
    <w:rsid w:val="00344194"/>
    <w:rsid w:val="003441C4"/>
    <w:rsid w:val="003445DA"/>
    <w:rsid w:val="003447A8"/>
    <w:rsid w:val="00344A18"/>
    <w:rsid w:val="00344A69"/>
    <w:rsid w:val="00344D22"/>
    <w:rsid w:val="00344E4C"/>
    <w:rsid w:val="00344E78"/>
    <w:rsid w:val="00344ED0"/>
    <w:rsid w:val="00345159"/>
    <w:rsid w:val="0034537E"/>
    <w:rsid w:val="003454C6"/>
    <w:rsid w:val="00345C56"/>
    <w:rsid w:val="00346573"/>
    <w:rsid w:val="00346673"/>
    <w:rsid w:val="003468AD"/>
    <w:rsid w:val="00346993"/>
    <w:rsid w:val="00346DD3"/>
    <w:rsid w:val="003473ED"/>
    <w:rsid w:val="0034750B"/>
    <w:rsid w:val="0034767D"/>
    <w:rsid w:val="003502F3"/>
    <w:rsid w:val="00350D9C"/>
    <w:rsid w:val="00351012"/>
    <w:rsid w:val="00351CDF"/>
    <w:rsid w:val="00351DAB"/>
    <w:rsid w:val="00352C8C"/>
    <w:rsid w:val="00352D74"/>
    <w:rsid w:val="00353E4D"/>
    <w:rsid w:val="00354027"/>
    <w:rsid w:val="00354075"/>
    <w:rsid w:val="00354252"/>
    <w:rsid w:val="00354A8E"/>
    <w:rsid w:val="00354B5A"/>
    <w:rsid w:val="00354C24"/>
    <w:rsid w:val="00354F3D"/>
    <w:rsid w:val="0035512D"/>
    <w:rsid w:val="003555BE"/>
    <w:rsid w:val="00355697"/>
    <w:rsid w:val="00355C51"/>
    <w:rsid w:val="00355E2D"/>
    <w:rsid w:val="003562F7"/>
    <w:rsid w:val="00356362"/>
    <w:rsid w:val="00356691"/>
    <w:rsid w:val="00356B2B"/>
    <w:rsid w:val="00356B9C"/>
    <w:rsid w:val="00356CE1"/>
    <w:rsid w:val="00357BD1"/>
    <w:rsid w:val="00357D94"/>
    <w:rsid w:val="003605D9"/>
    <w:rsid w:val="003607C1"/>
    <w:rsid w:val="00360A1E"/>
    <w:rsid w:val="003619F0"/>
    <w:rsid w:val="00361B6E"/>
    <w:rsid w:val="00361CC3"/>
    <w:rsid w:val="00361F18"/>
    <w:rsid w:val="003620DD"/>
    <w:rsid w:val="0036224F"/>
    <w:rsid w:val="0036264C"/>
    <w:rsid w:val="0036292E"/>
    <w:rsid w:val="00362934"/>
    <w:rsid w:val="00362991"/>
    <w:rsid w:val="00362B43"/>
    <w:rsid w:val="00362C11"/>
    <w:rsid w:val="00362EE1"/>
    <w:rsid w:val="00362F81"/>
    <w:rsid w:val="003632D6"/>
    <w:rsid w:val="00363682"/>
    <w:rsid w:val="0036435C"/>
    <w:rsid w:val="00364482"/>
    <w:rsid w:val="00364F70"/>
    <w:rsid w:val="0036536C"/>
    <w:rsid w:val="00365440"/>
    <w:rsid w:val="00365546"/>
    <w:rsid w:val="003659F5"/>
    <w:rsid w:val="00365C83"/>
    <w:rsid w:val="00365CD8"/>
    <w:rsid w:val="0036600B"/>
    <w:rsid w:val="003666B4"/>
    <w:rsid w:val="003669A4"/>
    <w:rsid w:val="00366ABB"/>
    <w:rsid w:val="00366F46"/>
    <w:rsid w:val="00367025"/>
    <w:rsid w:val="00367323"/>
    <w:rsid w:val="003675F3"/>
    <w:rsid w:val="003700C1"/>
    <w:rsid w:val="0037019F"/>
    <w:rsid w:val="0037142C"/>
    <w:rsid w:val="00371782"/>
    <w:rsid w:val="00371BCA"/>
    <w:rsid w:val="00371D27"/>
    <w:rsid w:val="00371E9A"/>
    <w:rsid w:val="00372021"/>
    <w:rsid w:val="00372085"/>
    <w:rsid w:val="0037238C"/>
    <w:rsid w:val="0037324F"/>
    <w:rsid w:val="003732C1"/>
    <w:rsid w:val="003734A4"/>
    <w:rsid w:val="00373704"/>
    <w:rsid w:val="003740C7"/>
    <w:rsid w:val="003741AA"/>
    <w:rsid w:val="0037421C"/>
    <w:rsid w:val="003748F5"/>
    <w:rsid w:val="00374B43"/>
    <w:rsid w:val="00374D16"/>
    <w:rsid w:val="00374F78"/>
    <w:rsid w:val="0037527E"/>
    <w:rsid w:val="0037531E"/>
    <w:rsid w:val="00375360"/>
    <w:rsid w:val="00375418"/>
    <w:rsid w:val="0037561C"/>
    <w:rsid w:val="003758C8"/>
    <w:rsid w:val="00375A13"/>
    <w:rsid w:val="0037616A"/>
    <w:rsid w:val="0037621B"/>
    <w:rsid w:val="003762B9"/>
    <w:rsid w:val="003765ED"/>
    <w:rsid w:val="00376770"/>
    <w:rsid w:val="00377272"/>
    <w:rsid w:val="0037773C"/>
    <w:rsid w:val="00377761"/>
    <w:rsid w:val="00377881"/>
    <w:rsid w:val="003778DB"/>
    <w:rsid w:val="00380008"/>
    <w:rsid w:val="00380131"/>
    <w:rsid w:val="00380861"/>
    <w:rsid w:val="00380A21"/>
    <w:rsid w:val="00380CCA"/>
    <w:rsid w:val="00380ECF"/>
    <w:rsid w:val="00381E70"/>
    <w:rsid w:val="00381FFF"/>
    <w:rsid w:val="00382276"/>
    <w:rsid w:val="00382D1E"/>
    <w:rsid w:val="00382EB6"/>
    <w:rsid w:val="003834EE"/>
    <w:rsid w:val="00383E05"/>
    <w:rsid w:val="00383F92"/>
    <w:rsid w:val="003845F2"/>
    <w:rsid w:val="00384B4F"/>
    <w:rsid w:val="00384C44"/>
    <w:rsid w:val="00384D09"/>
    <w:rsid w:val="00384F91"/>
    <w:rsid w:val="00385275"/>
    <w:rsid w:val="003853BC"/>
    <w:rsid w:val="00385927"/>
    <w:rsid w:val="00385B76"/>
    <w:rsid w:val="00385C03"/>
    <w:rsid w:val="00386423"/>
    <w:rsid w:val="0038670B"/>
    <w:rsid w:val="003867C2"/>
    <w:rsid w:val="00387394"/>
    <w:rsid w:val="003873D9"/>
    <w:rsid w:val="0038778C"/>
    <w:rsid w:val="00387873"/>
    <w:rsid w:val="00387D5F"/>
    <w:rsid w:val="00387EDD"/>
    <w:rsid w:val="0039016E"/>
    <w:rsid w:val="0039017A"/>
    <w:rsid w:val="003904F2"/>
    <w:rsid w:val="0039073E"/>
    <w:rsid w:val="00390B21"/>
    <w:rsid w:val="00390D96"/>
    <w:rsid w:val="003911A1"/>
    <w:rsid w:val="003913E9"/>
    <w:rsid w:val="0039172F"/>
    <w:rsid w:val="0039187C"/>
    <w:rsid w:val="00391B1F"/>
    <w:rsid w:val="00391FF6"/>
    <w:rsid w:val="0039264D"/>
    <w:rsid w:val="00392998"/>
    <w:rsid w:val="003929AD"/>
    <w:rsid w:val="00392A5B"/>
    <w:rsid w:val="00392D27"/>
    <w:rsid w:val="003934C1"/>
    <w:rsid w:val="00393EC1"/>
    <w:rsid w:val="00393FE1"/>
    <w:rsid w:val="00394504"/>
    <w:rsid w:val="003949D3"/>
    <w:rsid w:val="003951C8"/>
    <w:rsid w:val="003953B9"/>
    <w:rsid w:val="003956D4"/>
    <w:rsid w:val="003958D8"/>
    <w:rsid w:val="00395990"/>
    <w:rsid w:val="003963B1"/>
    <w:rsid w:val="00396763"/>
    <w:rsid w:val="003971DD"/>
    <w:rsid w:val="003972AF"/>
    <w:rsid w:val="003972DC"/>
    <w:rsid w:val="003976A2"/>
    <w:rsid w:val="00397745"/>
    <w:rsid w:val="003977A5"/>
    <w:rsid w:val="00397F37"/>
    <w:rsid w:val="003A05B8"/>
    <w:rsid w:val="003A0A33"/>
    <w:rsid w:val="003A0B57"/>
    <w:rsid w:val="003A0F80"/>
    <w:rsid w:val="003A14E9"/>
    <w:rsid w:val="003A17B8"/>
    <w:rsid w:val="003A17FA"/>
    <w:rsid w:val="003A1892"/>
    <w:rsid w:val="003A2024"/>
    <w:rsid w:val="003A2816"/>
    <w:rsid w:val="003A2C35"/>
    <w:rsid w:val="003A2D68"/>
    <w:rsid w:val="003A360A"/>
    <w:rsid w:val="003A384B"/>
    <w:rsid w:val="003A3983"/>
    <w:rsid w:val="003A39CE"/>
    <w:rsid w:val="003A3E9B"/>
    <w:rsid w:val="003A3FD1"/>
    <w:rsid w:val="003A41D3"/>
    <w:rsid w:val="003A41FD"/>
    <w:rsid w:val="003A441D"/>
    <w:rsid w:val="003A47B5"/>
    <w:rsid w:val="003A4D6B"/>
    <w:rsid w:val="003A4E11"/>
    <w:rsid w:val="003A54AA"/>
    <w:rsid w:val="003A57C0"/>
    <w:rsid w:val="003A5E98"/>
    <w:rsid w:val="003A5FC8"/>
    <w:rsid w:val="003A5FFE"/>
    <w:rsid w:val="003A60F9"/>
    <w:rsid w:val="003A6543"/>
    <w:rsid w:val="003A6613"/>
    <w:rsid w:val="003A6891"/>
    <w:rsid w:val="003A6A54"/>
    <w:rsid w:val="003A6B9F"/>
    <w:rsid w:val="003A70D0"/>
    <w:rsid w:val="003A714C"/>
    <w:rsid w:val="003A76B9"/>
    <w:rsid w:val="003A7CBD"/>
    <w:rsid w:val="003B047E"/>
    <w:rsid w:val="003B076C"/>
    <w:rsid w:val="003B098D"/>
    <w:rsid w:val="003B0FAF"/>
    <w:rsid w:val="003B0FD9"/>
    <w:rsid w:val="003B1258"/>
    <w:rsid w:val="003B194E"/>
    <w:rsid w:val="003B1F40"/>
    <w:rsid w:val="003B23A8"/>
    <w:rsid w:val="003B2552"/>
    <w:rsid w:val="003B25AA"/>
    <w:rsid w:val="003B2638"/>
    <w:rsid w:val="003B27DD"/>
    <w:rsid w:val="003B2A7E"/>
    <w:rsid w:val="003B2B4C"/>
    <w:rsid w:val="003B2F4D"/>
    <w:rsid w:val="003B3295"/>
    <w:rsid w:val="003B32C4"/>
    <w:rsid w:val="003B3BDA"/>
    <w:rsid w:val="003B3CC9"/>
    <w:rsid w:val="003B4118"/>
    <w:rsid w:val="003B4235"/>
    <w:rsid w:val="003B4370"/>
    <w:rsid w:val="003B43C4"/>
    <w:rsid w:val="003B4715"/>
    <w:rsid w:val="003B4A20"/>
    <w:rsid w:val="003B4AB4"/>
    <w:rsid w:val="003B4B87"/>
    <w:rsid w:val="003B4C6D"/>
    <w:rsid w:val="003B5019"/>
    <w:rsid w:val="003B5A28"/>
    <w:rsid w:val="003B5AF2"/>
    <w:rsid w:val="003B5D67"/>
    <w:rsid w:val="003B6056"/>
    <w:rsid w:val="003B6466"/>
    <w:rsid w:val="003B64D3"/>
    <w:rsid w:val="003B656C"/>
    <w:rsid w:val="003B6DAB"/>
    <w:rsid w:val="003B6FE4"/>
    <w:rsid w:val="003B71FC"/>
    <w:rsid w:val="003B7944"/>
    <w:rsid w:val="003B7972"/>
    <w:rsid w:val="003B7C61"/>
    <w:rsid w:val="003C01E8"/>
    <w:rsid w:val="003C0A61"/>
    <w:rsid w:val="003C0B01"/>
    <w:rsid w:val="003C13D4"/>
    <w:rsid w:val="003C14F6"/>
    <w:rsid w:val="003C1783"/>
    <w:rsid w:val="003C17DE"/>
    <w:rsid w:val="003C19E0"/>
    <w:rsid w:val="003C1CF2"/>
    <w:rsid w:val="003C1EBD"/>
    <w:rsid w:val="003C21CC"/>
    <w:rsid w:val="003C2533"/>
    <w:rsid w:val="003C27F3"/>
    <w:rsid w:val="003C2D24"/>
    <w:rsid w:val="003C2E45"/>
    <w:rsid w:val="003C3090"/>
    <w:rsid w:val="003C33A4"/>
    <w:rsid w:val="003C33F4"/>
    <w:rsid w:val="003C373F"/>
    <w:rsid w:val="003C3924"/>
    <w:rsid w:val="003C3982"/>
    <w:rsid w:val="003C3B4B"/>
    <w:rsid w:val="003C3D85"/>
    <w:rsid w:val="003C3EC3"/>
    <w:rsid w:val="003C40BF"/>
    <w:rsid w:val="003C432B"/>
    <w:rsid w:val="003C46F3"/>
    <w:rsid w:val="003C49AE"/>
    <w:rsid w:val="003C4D9B"/>
    <w:rsid w:val="003C51F3"/>
    <w:rsid w:val="003C59CD"/>
    <w:rsid w:val="003C59DC"/>
    <w:rsid w:val="003C5B61"/>
    <w:rsid w:val="003C64A7"/>
    <w:rsid w:val="003C66F6"/>
    <w:rsid w:val="003C6889"/>
    <w:rsid w:val="003C6D21"/>
    <w:rsid w:val="003C794F"/>
    <w:rsid w:val="003C79DD"/>
    <w:rsid w:val="003C79FA"/>
    <w:rsid w:val="003C7A2D"/>
    <w:rsid w:val="003C7B07"/>
    <w:rsid w:val="003D00E6"/>
    <w:rsid w:val="003D0114"/>
    <w:rsid w:val="003D0170"/>
    <w:rsid w:val="003D02DC"/>
    <w:rsid w:val="003D057F"/>
    <w:rsid w:val="003D05A0"/>
    <w:rsid w:val="003D0DA7"/>
    <w:rsid w:val="003D10B6"/>
    <w:rsid w:val="003D1743"/>
    <w:rsid w:val="003D1B3A"/>
    <w:rsid w:val="003D21F5"/>
    <w:rsid w:val="003D242B"/>
    <w:rsid w:val="003D24D2"/>
    <w:rsid w:val="003D2974"/>
    <w:rsid w:val="003D2A13"/>
    <w:rsid w:val="003D2C6B"/>
    <w:rsid w:val="003D2D06"/>
    <w:rsid w:val="003D2EBA"/>
    <w:rsid w:val="003D3236"/>
    <w:rsid w:val="003D333C"/>
    <w:rsid w:val="003D34AC"/>
    <w:rsid w:val="003D34F8"/>
    <w:rsid w:val="003D3641"/>
    <w:rsid w:val="003D3B6E"/>
    <w:rsid w:val="003D4127"/>
    <w:rsid w:val="003D41FD"/>
    <w:rsid w:val="003D427B"/>
    <w:rsid w:val="003D46DB"/>
    <w:rsid w:val="003D4B96"/>
    <w:rsid w:val="003D55D5"/>
    <w:rsid w:val="003D5984"/>
    <w:rsid w:val="003D5FA1"/>
    <w:rsid w:val="003D640B"/>
    <w:rsid w:val="003D64DF"/>
    <w:rsid w:val="003D65DE"/>
    <w:rsid w:val="003D662A"/>
    <w:rsid w:val="003D6B15"/>
    <w:rsid w:val="003E0865"/>
    <w:rsid w:val="003E092F"/>
    <w:rsid w:val="003E09F3"/>
    <w:rsid w:val="003E09F7"/>
    <w:rsid w:val="003E0FC7"/>
    <w:rsid w:val="003E1131"/>
    <w:rsid w:val="003E185A"/>
    <w:rsid w:val="003E18A2"/>
    <w:rsid w:val="003E1AFA"/>
    <w:rsid w:val="003E25F9"/>
    <w:rsid w:val="003E2981"/>
    <w:rsid w:val="003E2C93"/>
    <w:rsid w:val="003E2D64"/>
    <w:rsid w:val="003E2DAD"/>
    <w:rsid w:val="003E3362"/>
    <w:rsid w:val="003E34A4"/>
    <w:rsid w:val="003E3627"/>
    <w:rsid w:val="003E363A"/>
    <w:rsid w:val="003E3738"/>
    <w:rsid w:val="003E3B81"/>
    <w:rsid w:val="003E42E4"/>
    <w:rsid w:val="003E446F"/>
    <w:rsid w:val="003E44EA"/>
    <w:rsid w:val="003E47A5"/>
    <w:rsid w:val="003E487C"/>
    <w:rsid w:val="003E4A78"/>
    <w:rsid w:val="003E543A"/>
    <w:rsid w:val="003E554C"/>
    <w:rsid w:val="003E5A06"/>
    <w:rsid w:val="003E5BCA"/>
    <w:rsid w:val="003E5CD1"/>
    <w:rsid w:val="003E6311"/>
    <w:rsid w:val="003E6A32"/>
    <w:rsid w:val="003E6D94"/>
    <w:rsid w:val="003E6EDD"/>
    <w:rsid w:val="003E7031"/>
    <w:rsid w:val="003F0177"/>
    <w:rsid w:val="003F01AF"/>
    <w:rsid w:val="003F02EA"/>
    <w:rsid w:val="003F0530"/>
    <w:rsid w:val="003F06EC"/>
    <w:rsid w:val="003F0AEF"/>
    <w:rsid w:val="003F0AF0"/>
    <w:rsid w:val="003F0B59"/>
    <w:rsid w:val="003F0F49"/>
    <w:rsid w:val="003F19BA"/>
    <w:rsid w:val="003F1D87"/>
    <w:rsid w:val="003F1E53"/>
    <w:rsid w:val="003F1F04"/>
    <w:rsid w:val="003F25BC"/>
    <w:rsid w:val="003F26C7"/>
    <w:rsid w:val="003F2C19"/>
    <w:rsid w:val="003F34B2"/>
    <w:rsid w:val="003F3592"/>
    <w:rsid w:val="003F364F"/>
    <w:rsid w:val="003F3899"/>
    <w:rsid w:val="003F3B20"/>
    <w:rsid w:val="003F3C27"/>
    <w:rsid w:val="003F431F"/>
    <w:rsid w:val="003F4A40"/>
    <w:rsid w:val="003F4B75"/>
    <w:rsid w:val="003F5015"/>
    <w:rsid w:val="003F54F7"/>
    <w:rsid w:val="003F55BF"/>
    <w:rsid w:val="003F572C"/>
    <w:rsid w:val="003F5FA5"/>
    <w:rsid w:val="003F617A"/>
    <w:rsid w:val="003F6300"/>
    <w:rsid w:val="003F630F"/>
    <w:rsid w:val="003F6746"/>
    <w:rsid w:val="003F7389"/>
    <w:rsid w:val="003F74D4"/>
    <w:rsid w:val="003F74EA"/>
    <w:rsid w:val="003F7509"/>
    <w:rsid w:val="003F7C0D"/>
    <w:rsid w:val="004000C0"/>
    <w:rsid w:val="00400276"/>
    <w:rsid w:val="00400303"/>
    <w:rsid w:val="00400AFA"/>
    <w:rsid w:val="00401E72"/>
    <w:rsid w:val="00402438"/>
    <w:rsid w:val="0040254D"/>
    <w:rsid w:val="00402818"/>
    <w:rsid w:val="00402A34"/>
    <w:rsid w:val="00403023"/>
    <w:rsid w:val="00403143"/>
    <w:rsid w:val="004036D8"/>
    <w:rsid w:val="004039E2"/>
    <w:rsid w:val="00403BF0"/>
    <w:rsid w:val="00403C9E"/>
    <w:rsid w:val="0040470D"/>
    <w:rsid w:val="00404778"/>
    <w:rsid w:val="00404A92"/>
    <w:rsid w:val="00404EE4"/>
    <w:rsid w:val="004050B6"/>
    <w:rsid w:val="00405560"/>
    <w:rsid w:val="00405831"/>
    <w:rsid w:val="00405B0A"/>
    <w:rsid w:val="00405BFF"/>
    <w:rsid w:val="00405D64"/>
    <w:rsid w:val="00405F7D"/>
    <w:rsid w:val="00406073"/>
    <w:rsid w:val="0040727A"/>
    <w:rsid w:val="004073FA"/>
    <w:rsid w:val="00407CB5"/>
    <w:rsid w:val="00407D93"/>
    <w:rsid w:val="00407F2E"/>
    <w:rsid w:val="0041065D"/>
    <w:rsid w:val="00410681"/>
    <w:rsid w:val="00410D49"/>
    <w:rsid w:val="00410DA8"/>
    <w:rsid w:val="0041140D"/>
    <w:rsid w:val="0041191B"/>
    <w:rsid w:val="00411A51"/>
    <w:rsid w:val="00412022"/>
    <w:rsid w:val="004121CE"/>
    <w:rsid w:val="00412566"/>
    <w:rsid w:val="00412AE3"/>
    <w:rsid w:val="00412B5E"/>
    <w:rsid w:val="00412BDA"/>
    <w:rsid w:val="00412DF6"/>
    <w:rsid w:val="004134C0"/>
    <w:rsid w:val="0041380E"/>
    <w:rsid w:val="00413D56"/>
    <w:rsid w:val="00414685"/>
    <w:rsid w:val="0041524D"/>
    <w:rsid w:val="004157B8"/>
    <w:rsid w:val="00416249"/>
    <w:rsid w:val="00416435"/>
    <w:rsid w:val="00416455"/>
    <w:rsid w:val="00416CBA"/>
    <w:rsid w:val="00417025"/>
    <w:rsid w:val="0041707C"/>
    <w:rsid w:val="004171E5"/>
    <w:rsid w:val="00417240"/>
    <w:rsid w:val="00417829"/>
    <w:rsid w:val="00417C13"/>
    <w:rsid w:val="00417D0B"/>
    <w:rsid w:val="00417EF6"/>
    <w:rsid w:val="0042005C"/>
    <w:rsid w:val="00420417"/>
    <w:rsid w:val="004204D2"/>
    <w:rsid w:val="00420A16"/>
    <w:rsid w:val="00420B95"/>
    <w:rsid w:val="00420F6D"/>
    <w:rsid w:val="00421275"/>
    <w:rsid w:val="004213B2"/>
    <w:rsid w:val="00421645"/>
    <w:rsid w:val="00421687"/>
    <w:rsid w:val="004217ED"/>
    <w:rsid w:val="00422270"/>
    <w:rsid w:val="00422E5B"/>
    <w:rsid w:val="004233A1"/>
    <w:rsid w:val="00423A71"/>
    <w:rsid w:val="00423CFD"/>
    <w:rsid w:val="00423D3A"/>
    <w:rsid w:val="00424238"/>
    <w:rsid w:val="00424243"/>
    <w:rsid w:val="00424487"/>
    <w:rsid w:val="004244B7"/>
    <w:rsid w:val="00424CF8"/>
    <w:rsid w:val="00424EF9"/>
    <w:rsid w:val="0042502F"/>
    <w:rsid w:val="004250A5"/>
    <w:rsid w:val="004250EB"/>
    <w:rsid w:val="0042546C"/>
    <w:rsid w:val="00425839"/>
    <w:rsid w:val="00425CFF"/>
    <w:rsid w:val="00425D4A"/>
    <w:rsid w:val="00426657"/>
    <w:rsid w:val="0042678F"/>
    <w:rsid w:val="00427345"/>
    <w:rsid w:val="00427411"/>
    <w:rsid w:val="00427800"/>
    <w:rsid w:val="00427887"/>
    <w:rsid w:val="00427DEE"/>
    <w:rsid w:val="00430DD2"/>
    <w:rsid w:val="00431513"/>
    <w:rsid w:val="0043177E"/>
    <w:rsid w:val="00431972"/>
    <w:rsid w:val="00431F6E"/>
    <w:rsid w:val="0043206D"/>
    <w:rsid w:val="004330E1"/>
    <w:rsid w:val="00433151"/>
    <w:rsid w:val="00433929"/>
    <w:rsid w:val="00433DD8"/>
    <w:rsid w:val="004341C9"/>
    <w:rsid w:val="004348B4"/>
    <w:rsid w:val="004349E0"/>
    <w:rsid w:val="00434C78"/>
    <w:rsid w:val="00434D61"/>
    <w:rsid w:val="004354DB"/>
    <w:rsid w:val="00435B6A"/>
    <w:rsid w:val="00435B6E"/>
    <w:rsid w:val="004365E7"/>
    <w:rsid w:val="00436776"/>
    <w:rsid w:val="00436B38"/>
    <w:rsid w:val="00436EB0"/>
    <w:rsid w:val="004371A3"/>
    <w:rsid w:val="0043732E"/>
    <w:rsid w:val="004373A1"/>
    <w:rsid w:val="0043753B"/>
    <w:rsid w:val="004375D1"/>
    <w:rsid w:val="004376E6"/>
    <w:rsid w:val="00437C41"/>
    <w:rsid w:val="004400EF"/>
    <w:rsid w:val="004402E9"/>
    <w:rsid w:val="0044042B"/>
    <w:rsid w:val="00440B10"/>
    <w:rsid w:val="004413F1"/>
    <w:rsid w:val="00441774"/>
    <w:rsid w:val="00442113"/>
    <w:rsid w:val="004421BB"/>
    <w:rsid w:val="004428E1"/>
    <w:rsid w:val="00442E81"/>
    <w:rsid w:val="0044313A"/>
    <w:rsid w:val="0044333E"/>
    <w:rsid w:val="00443394"/>
    <w:rsid w:val="004435A7"/>
    <w:rsid w:val="004436B0"/>
    <w:rsid w:val="00443A7E"/>
    <w:rsid w:val="00443B3E"/>
    <w:rsid w:val="00443E26"/>
    <w:rsid w:val="0044433C"/>
    <w:rsid w:val="00444576"/>
    <w:rsid w:val="00444679"/>
    <w:rsid w:val="00444724"/>
    <w:rsid w:val="00444789"/>
    <w:rsid w:val="00444CD0"/>
    <w:rsid w:val="00444F54"/>
    <w:rsid w:val="004455D7"/>
    <w:rsid w:val="00445C49"/>
    <w:rsid w:val="0044620C"/>
    <w:rsid w:val="0044654D"/>
    <w:rsid w:val="004465BE"/>
    <w:rsid w:val="004467ED"/>
    <w:rsid w:val="00446B22"/>
    <w:rsid w:val="004475C1"/>
    <w:rsid w:val="0045047D"/>
    <w:rsid w:val="004509B4"/>
    <w:rsid w:val="00450BE2"/>
    <w:rsid w:val="00450C1B"/>
    <w:rsid w:val="00450D65"/>
    <w:rsid w:val="00450FA5"/>
    <w:rsid w:val="00451705"/>
    <w:rsid w:val="00451DB9"/>
    <w:rsid w:val="00452128"/>
    <w:rsid w:val="0045216D"/>
    <w:rsid w:val="0045238B"/>
    <w:rsid w:val="004524BF"/>
    <w:rsid w:val="004529C7"/>
    <w:rsid w:val="004539B5"/>
    <w:rsid w:val="00453B68"/>
    <w:rsid w:val="00453EA6"/>
    <w:rsid w:val="004544A0"/>
    <w:rsid w:val="00454B4A"/>
    <w:rsid w:val="00454BDB"/>
    <w:rsid w:val="00454DD8"/>
    <w:rsid w:val="00455501"/>
    <w:rsid w:val="004555D8"/>
    <w:rsid w:val="00455A51"/>
    <w:rsid w:val="00455AE5"/>
    <w:rsid w:val="00455EEE"/>
    <w:rsid w:val="00456034"/>
    <w:rsid w:val="0045622A"/>
    <w:rsid w:val="00456807"/>
    <w:rsid w:val="00456B1F"/>
    <w:rsid w:val="00456DB0"/>
    <w:rsid w:val="00457084"/>
    <w:rsid w:val="004571DD"/>
    <w:rsid w:val="004576FD"/>
    <w:rsid w:val="0045783B"/>
    <w:rsid w:val="004579AC"/>
    <w:rsid w:val="00457F1D"/>
    <w:rsid w:val="004608AD"/>
    <w:rsid w:val="00460AFB"/>
    <w:rsid w:val="00461228"/>
    <w:rsid w:val="0046131B"/>
    <w:rsid w:val="004613C0"/>
    <w:rsid w:val="00461495"/>
    <w:rsid w:val="00461865"/>
    <w:rsid w:val="004619B3"/>
    <w:rsid w:val="00461B74"/>
    <w:rsid w:val="00461C59"/>
    <w:rsid w:val="00461FAA"/>
    <w:rsid w:val="00461FB4"/>
    <w:rsid w:val="00461FB5"/>
    <w:rsid w:val="004626B9"/>
    <w:rsid w:val="004627C7"/>
    <w:rsid w:val="00462987"/>
    <w:rsid w:val="00463040"/>
    <w:rsid w:val="00463775"/>
    <w:rsid w:val="00463913"/>
    <w:rsid w:val="00463B73"/>
    <w:rsid w:val="00463C81"/>
    <w:rsid w:val="00463ECB"/>
    <w:rsid w:val="004640F3"/>
    <w:rsid w:val="004642AD"/>
    <w:rsid w:val="0046437F"/>
    <w:rsid w:val="004643AA"/>
    <w:rsid w:val="00464F29"/>
    <w:rsid w:val="00465290"/>
    <w:rsid w:val="004659B2"/>
    <w:rsid w:val="00465A44"/>
    <w:rsid w:val="0046602E"/>
    <w:rsid w:val="0046667B"/>
    <w:rsid w:val="004666E9"/>
    <w:rsid w:val="00466AC9"/>
    <w:rsid w:val="00466D88"/>
    <w:rsid w:val="004675FA"/>
    <w:rsid w:val="00467E90"/>
    <w:rsid w:val="00470023"/>
    <w:rsid w:val="0047017F"/>
    <w:rsid w:val="004707BD"/>
    <w:rsid w:val="004707C6"/>
    <w:rsid w:val="00470A84"/>
    <w:rsid w:val="00470B4A"/>
    <w:rsid w:val="00470B6A"/>
    <w:rsid w:val="00470BFD"/>
    <w:rsid w:val="00470E80"/>
    <w:rsid w:val="0047102E"/>
    <w:rsid w:val="00471280"/>
    <w:rsid w:val="004712D8"/>
    <w:rsid w:val="00471969"/>
    <w:rsid w:val="00471E76"/>
    <w:rsid w:val="00471EBF"/>
    <w:rsid w:val="004729BB"/>
    <w:rsid w:val="00472DC1"/>
    <w:rsid w:val="00472FFF"/>
    <w:rsid w:val="00473753"/>
    <w:rsid w:val="004737C5"/>
    <w:rsid w:val="0047399B"/>
    <w:rsid w:val="00473E2D"/>
    <w:rsid w:val="00473F2D"/>
    <w:rsid w:val="00474027"/>
    <w:rsid w:val="004741BF"/>
    <w:rsid w:val="00474211"/>
    <w:rsid w:val="004746A7"/>
    <w:rsid w:val="004746C0"/>
    <w:rsid w:val="0047470B"/>
    <w:rsid w:val="004747C6"/>
    <w:rsid w:val="00474E64"/>
    <w:rsid w:val="0047507E"/>
    <w:rsid w:val="00475290"/>
    <w:rsid w:val="004757A6"/>
    <w:rsid w:val="00475BDE"/>
    <w:rsid w:val="00475EFA"/>
    <w:rsid w:val="00475F34"/>
    <w:rsid w:val="00475F78"/>
    <w:rsid w:val="00476813"/>
    <w:rsid w:val="00476E69"/>
    <w:rsid w:val="0047718C"/>
    <w:rsid w:val="004776D6"/>
    <w:rsid w:val="004777A9"/>
    <w:rsid w:val="00477BC4"/>
    <w:rsid w:val="00477BD2"/>
    <w:rsid w:val="00477BE2"/>
    <w:rsid w:val="00477DC2"/>
    <w:rsid w:val="00477DC9"/>
    <w:rsid w:val="0048019B"/>
    <w:rsid w:val="00480225"/>
    <w:rsid w:val="004803C7"/>
    <w:rsid w:val="004810D0"/>
    <w:rsid w:val="004811DC"/>
    <w:rsid w:val="00481236"/>
    <w:rsid w:val="004813C0"/>
    <w:rsid w:val="00481639"/>
    <w:rsid w:val="0048209F"/>
    <w:rsid w:val="0048266E"/>
    <w:rsid w:val="00482C0B"/>
    <w:rsid w:val="00482C79"/>
    <w:rsid w:val="004832EF"/>
    <w:rsid w:val="00483321"/>
    <w:rsid w:val="004835A0"/>
    <w:rsid w:val="004836E3"/>
    <w:rsid w:val="00483771"/>
    <w:rsid w:val="00483C20"/>
    <w:rsid w:val="0048484B"/>
    <w:rsid w:val="00484B4D"/>
    <w:rsid w:val="00484D2F"/>
    <w:rsid w:val="00484F3C"/>
    <w:rsid w:val="00485B5B"/>
    <w:rsid w:val="00485E6B"/>
    <w:rsid w:val="0048610E"/>
    <w:rsid w:val="00486146"/>
    <w:rsid w:val="004862C3"/>
    <w:rsid w:val="00486505"/>
    <w:rsid w:val="004865FE"/>
    <w:rsid w:val="004866AA"/>
    <w:rsid w:val="00486753"/>
    <w:rsid w:val="00486C90"/>
    <w:rsid w:val="004871EA"/>
    <w:rsid w:val="004871F9"/>
    <w:rsid w:val="004873AE"/>
    <w:rsid w:val="00487457"/>
    <w:rsid w:val="00487D50"/>
    <w:rsid w:val="00487F66"/>
    <w:rsid w:val="00490018"/>
    <w:rsid w:val="00490275"/>
    <w:rsid w:val="004902CF"/>
    <w:rsid w:val="004904B3"/>
    <w:rsid w:val="004904C2"/>
    <w:rsid w:val="00490DA7"/>
    <w:rsid w:val="0049121A"/>
    <w:rsid w:val="0049125C"/>
    <w:rsid w:val="00491A4B"/>
    <w:rsid w:val="00491D64"/>
    <w:rsid w:val="004921BA"/>
    <w:rsid w:val="00492202"/>
    <w:rsid w:val="00492ACF"/>
    <w:rsid w:val="00492D8A"/>
    <w:rsid w:val="00492DA9"/>
    <w:rsid w:val="00493781"/>
    <w:rsid w:val="004937AE"/>
    <w:rsid w:val="0049383C"/>
    <w:rsid w:val="00493E4F"/>
    <w:rsid w:val="0049423D"/>
    <w:rsid w:val="0049445E"/>
    <w:rsid w:val="00494C64"/>
    <w:rsid w:val="00495232"/>
    <w:rsid w:val="00495389"/>
    <w:rsid w:val="00495501"/>
    <w:rsid w:val="004958E5"/>
    <w:rsid w:val="00495DB6"/>
    <w:rsid w:val="00495E38"/>
    <w:rsid w:val="00495F7A"/>
    <w:rsid w:val="0049639A"/>
    <w:rsid w:val="004966E2"/>
    <w:rsid w:val="00496736"/>
    <w:rsid w:val="00496FA5"/>
    <w:rsid w:val="0049731A"/>
    <w:rsid w:val="00497401"/>
    <w:rsid w:val="004975A6"/>
    <w:rsid w:val="004976F2"/>
    <w:rsid w:val="00497E07"/>
    <w:rsid w:val="00497F77"/>
    <w:rsid w:val="004A0803"/>
    <w:rsid w:val="004A0936"/>
    <w:rsid w:val="004A1130"/>
    <w:rsid w:val="004A1320"/>
    <w:rsid w:val="004A1712"/>
    <w:rsid w:val="004A173C"/>
    <w:rsid w:val="004A1A8A"/>
    <w:rsid w:val="004A2411"/>
    <w:rsid w:val="004A27F5"/>
    <w:rsid w:val="004A29BC"/>
    <w:rsid w:val="004A3308"/>
    <w:rsid w:val="004A3420"/>
    <w:rsid w:val="004A3543"/>
    <w:rsid w:val="004A3DFC"/>
    <w:rsid w:val="004A4156"/>
    <w:rsid w:val="004A44CA"/>
    <w:rsid w:val="004A46CE"/>
    <w:rsid w:val="004A4717"/>
    <w:rsid w:val="004A4E90"/>
    <w:rsid w:val="004A5308"/>
    <w:rsid w:val="004A54AF"/>
    <w:rsid w:val="004A5C59"/>
    <w:rsid w:val="004A604B"/>
    <w:rsid w:val="004A62FD"/>
    <w:rsid w:val="004A6848"/>
    <w:rsid w:val="004A688F"/>
    <w:rsid w:val="004A6B61"/>
    <w:rsid w:val="004A6BAE"/>
    <w:rsid w:val="004A731B"/>
    <w:rsid w:val="004A740E"/>
    <w:rsid w:val="004A7E4F"/>
    <w:rsid w:val="004B00B6"/>
    <w:rsid w:val="004B036B"/>
    <w:rsid w:val="004B0822"/>
    <w:rsid w:val="004B0BB8"/>
    <w:rsid w:val="004B0CED"/>
    <w:rsid w:val="004B1183"/>
    <w:rsid w:val="004B1289"/>
    <w:rsid w:val="004B19B2"/>
    <w:rsid w:val="004B1C34"/>
    <w:rsid w:val="004B1CAE"/>
    <w:rsid w:val="004B1D30"/>
    <w:rsid w:val="004B206C"/>
    <w:rsid w:val="004B23EC"/>
    <w:rsid w:val="004B2439"/>
    <w:rsid w:val="004B2F92"/>
    <w:rsid w:val="004B3099"/>
    <w:rsid w:val="004B323B"/>
    <w:rsid w:val="004B3495"/>
    <w:rsid w:val="004B36E0"/>
    <w:rsid w:val="004B380D"/>
    <w:rsid w:val="004B3A5D"/>
    <w:rsid w:val="004B430F"/>
    <w:rsid w:val="004B435E"/>
    <w:rsid w:val="004B446F"/>
    <w:rsid w:val="004B4645"/>
    <w:rsid w:val="004B49CA"/>
    <w:rsid w:val="004B4C8C"/>
    <w:rsid w:val="004B551E"/>
    <w:rsid w:val="004B5900"/>
    <w:rsid w:val="004B659A"/>
    <w:rsid w:val="004B680F"/>
    <w:rsid w:val="004B6CF7"/>
    <w:rsid w:val="004B720D"/>
    <w:rsid w:val="004B7470"/>
    <w:rsid w:val="004B75BB"/>
    <w:rsid w:val="004B7616"/>
    <w:rsid w:val="004B7A77"/>
    <w:rsid w:val="004B7CC6"/>
    <w:rsid w:val="004B7E1B"/>
    <w:rsid w:val="004C0156"/>
    <w:rsid w:val="004C0380"/>
    <w:rsid w:val="004C03E2"/>
    <w:rsid w:val="004C081B"/>
    <w:rsid w:val="004C0B75"/>
    <w:rsid w:val="004C12A4"/>
    <w:rsid w:val="004C1470"/>
    <w:rsid w:val="004C184D"/>
    <w:rsid w:val="004C1DBF"/>
    <w:rsid w:val="004C22C2"/>
    <w:rsid w:val="004C2455"/>
    <w:rsid w:val="004C24C4"/>
    <w:rsid w:val="004C2978"/>
    <w:rsid w:val="004C2AC0"/>
    <w:rsid w:val="004C2FB7"/>
    <w:rsid w:val="004C3139"/>
    <w:rsid w:val="004C32A1"/>
    <w:rsid w:val="004C3363"/>
    <w:rsid w:val="004C3906"/>
    <w:rsid w:val="004C3BA5"/>
    <w:rsid w:val="004C3F8D"/>
    <w:rsid w:val="004C408D"/>
    <w:rsid w:val="004C41AD"/>
    <w:rsid w:val="004C41FD"/>
    <w:rsid w:val="004C46E7"/>
    <w:rsid w:val="004C4D68"/>
    <w:rsid w:val="004C501A"/>
    <w:rsid w:val="004C5088"/>
    <w:rsid w:val="004C51AC"/>
    <w:rsid w:val="004C539A"/>
    <w:rsid w:val="004C5918"/>
    <w:rsid w:val="004C597D"/>
    <w:rsid w:val="004C5987"/>
    <w:rsid w:val="004C5BD8"/>
    <w:rsid w:val="004C5FA4"/>
    <w:rsid w:val="004C6077"/>
    <w:rsid w:val="004C679A"/>
    <w:rsid w:val="004C6A22"/>
    <w:rsid w:val="004C6E74"/>
    <w:rsid w:val="004C795B"/>
    <w:rsid w:val="004C7C03"/>
    <w:rsid w:val="004C7CFC"/>
    <w:rsid w:val="004C7D5C"/>
    <w:rsid w:val="004C7E29"/>
    <w:rsid w:val="004D02E7"/>
    <w:rsid w:val="004D084D"/>
    <w:rsid w:val="004D0E17"/>
    <w:rsid w:val="004D0E21"/>
    <w:rsid w:val="004D0E86"/>
    <w:rsid w:val="004D1372"/>
    <w:rsid w:val="004D14E1"/>
    <w:rsid w:val="004D173D"/>
    <w:rsid w:val="004D180E"/>
    <w:rsid w:val="004D1C45"/>
    <w:rsid w:val="004D21AD"/>
    <w:rsid w:val="004D223C"/>
    <w:rsid w:val="004D272A"/>
    <w:rsid w:val="004D2817"/>
    <w:rsid w:val="004D2920"/>
    <w:rsid w:val="004D29EC"/>
    <w:rsid w:val="004D30F5"/>
    <w:rsid w:val="004D3104"/>
    <w:rsid w:val="004D37D3"/>
    <w:rsid w:val="004D3A0F"/>
    <w:rsid w:val="004D3D3C"/>
    <w:rsid w:val="004D3EDE"/>
    <w:rsid w:val="004D3F3B"/>
    <w:rsid w:val="004D3F99"/>
    <w:rsid w:val="004D41DA"/>
    <w:rsid w:val="004D456E"/>
    <w:rsid w:val="004D5155"/>
    <w:rsid w:val="004D5372"/>
    <w:rsid w:val="004D5648"/>
    <w:rsid w:val="004D58A4"/>
    <w:rsid w:val="004D5D64"/>
    <w:rsid w:val="004D5ED3"/>
    <w:rsid w:val="004D6390"/>
    <w:rsid w:val="004D64C2"/>
    <w:rsid w:val="004D669A"/>
    <w:rsid w:val="004D67C2"/>
    <w:rsid w:val="004D68E1"/>
    <w:rsid w:val="004D69A7"/>
    <w:rsid w:val="004D6A78"/>
    <w:rsid w:val="004D6ABE"/>
    <w:rsid w:val="004D7167"/>
    <w:rsid w:val="004D736F"/>
    <w:rsid w:val="004D7798"/>
    <w:rsid w:val="004D7B74"/>
    <w:rsid w:val="004D7D9E"/>
    <w:rsid w:val="004D7F9D"/>
    <w:rsid w:val="004E011F"/>
    <w:rsid w:val="004E01D1"/>
    <w:rsid w:val="004E04CB"/>
    <w:rsid w:val="004E0BC7"/>
    <w:rsid w:val="004E0F7C"/>
    <w:rsid w:val="004E1E5E"/>
    <w:rsid w:val="004E1F75"/>
    <w:rsid w:val="004E241C"/>
    <w:rsid w:val="004E2797"/>
    <w:rsid w:val="004E27D9"/>
    <w:rsid w:val="004E3050"/>
    <w:rsid w:val="004E30D7"/>
    <w:rsid w:val="004E3250"/>
    <w:rsid w:val="004E365B"/>
    <w:rsid w:val="004E3824"/>
    <w:rsid w:val="004E3B4F"/>
    <w:rsid w:val="004E3E93"/>
    <w:rsid w:val="004E40A9"/>
    <w:rsid w:val="004E43A0"/>
    <w:rsid w:val="004E4E76"/>
    <w:rsid w:val="004E50CB"/>
    <w:rsid w:val="004E5482"/>
    <w:rsid w:val="004E56EF"/>
    <w:rsid w:val="004E5869"/>
    <w:rsid w:val="004E5B3A"/>
    <w:rsid w:val="004E5F10"/>
    <w:rsid w:val="004E723E"/>
    <w:rsid w:val="004E72C2"/>
    <w:rsid w:val="004E73B3"/>
    <w:rsid w:val="004E74A5"/>
    <w:rsid w:val="004E76BC"/>
    <w:rsid w:val="004F09AC"/>
    <w:rsid w:val="004F0DCA"/>
    <w:rsid w:val="004F1317"/>
    <w:rsid w:val="004F1426"/>
    <w:rsid w:val="004F1D17"/>
    <w:rsid w:val="004F235E"/>
    <w:rsid w:val="004F2626"/>
    <w:rsid w:val="004F2984"/>
    <w:rsid w:val="004F3098"/>
    <w:rsid w:val="004F33F9"/>
    <w:rsid w:val="004F3DD6"/>
    <w:rsid w:val="004F3E92"/>
    <w:rsid w:val="004F3EC5"/>
    <w:rsid w:val="004F43D1"/>
    <w:rsid w:val="004F4454"/>
    <w:rsid w:val="004F45E9"/>
    <w:rsid w:val="004F486F"/>
    <w:rsid w:val="004F5B7F"/>
    <w:rsid w:val="004F5E9B"/>
    <w:rsid w:val="004F6256"/>
    <w:rsid w:val="004F62E2"/>
    <w:rsid w:val="004F631F"/>
    <w:rsid w:val="004F6424"/>
    <w:rsid w:val="004F6941"/>
    <w:rsid w:val="004F6992"/>
    <w:rsid w:val="004F6BDE"/>
    <w:rsid w:val="004F6CF3"/>
    <w:rsid w:val="004F6E63"/>
    <w:rsid w:val="004F71AF"/>
    <w:rsid w:val="004F7E88"/>
    <w:rsid w:val="004F7FCC"/>
    <w:rsid w:val="00500095"/>
    <w:rsid w:val="0050010A"/>
    <w:rsid w:val="005006EE"/>
    <w:rsid w:val="0050072F"/>
    <w:rsid w:val="005009E0"/>
    <w:rsid w:val="00500A41"/>
    <w:rsid w:val="00500BE8"/>
    <w:rsid w:val="00500C0C"/>
    <w:rsid w:val="00500F9F"/>
    <w:rsid w:val="00501030"/>
    <w:rsid w:val="00501521"/>
    <w:rsid w:val="00501C82"/>
    <w:rsid w:val="005020FC"/>
    <w:rsid w:val="00502204"/>
    <w:rsid w:val="00502A1A"/>
    <w:rsid w:val="00502F3A"/>
    <w:rsid w:val="00503764"/>
    <w:rsid w:val="00503A2A"/>
    <w:rsid w:val="00503B29"/>
    <w:rsid w:val="00503C2B"/>
    <w:rsid w:val="00504068"/>
    <w:rsid w:val="005041B2"/>
    <w:rsid w:val="00504F1B"/>
    <w:rsid w:val="00505262"/>
    <w:rsid w:val="00505434"/>
    <w:rsid w:val="005056B5"/>
    <w:rsid w:val="00505E91"/>
    <w:rsid w:val="00506194"/>
    <w:rsid w:val="0050628D"/>
    <w:rsid w:val="005062A1"/>
    <w:rsid w:val="005068D1"/>
    <w:rsid w:val="0050714B"/>
    <w:rsid w:val="005071B3"/>
    <w:rsid w:val="00507371"/>
    <w:rsid w:val="00507CD2"/>
    <w:rsid w:val="00510B7D"/>
    <w:rsid w:val="00511236"/>
    <w:rsid w:val="005116D6"/>
    <w:rsid w:val="00511CF9"/>
    <w:rsid w:val="00511D4B"/>
    <w:rsid w:val="00512409"/>
    <w:rsid w:val="005124FB"/>
    <w:rsid w:val="005125EA"/>
    <w:rsid w:val="00512845"/>
    <w:rsid w:val="00512918"/>
    <w:rsid w:val="00512A3C"/>
    <w:rsid w:val="00512D1E"/>
    <w:rsid w:val="00512DBD"/>
    <w:rsid w:val="00512F6B"/>
    <w:rsid w:val="00513369"/>
    <w:rsid w:val="00513537"/>
    <w:rsid w:val="00513C0A"/>
    <w:rsid w:val="005141E3"/>
    <w:rsid w:val="00514245"/>
    <w:rsid w:val="005146C5"/>
    <w:rsid w:val="005148F2"/>
    <w:rsid w:val="00514B64"/>
    <w:rsid w:val="005153CD"/>
    <w:rsid w:val="005156A7"/>
    <w:rsid w:val="00515AFB"/>
    <w:rsid w:val="00515CCB"/>
    <w:rsid w:val="005160EC"/>
    <w:rsid w:val="00516411"/>
    <w:rsid w:val="005164C6"/>
    <w:rsid w:val="00516950"/>
    <w:rsid w:val="00516C3B"/>
    <w:rsid w:val="00516CD2"/>
    <w:rsid w:val="00516FB5"/>
    <w:rsid w:val="00517902"/>
    <w:rsid w:val="00517AC2"/>
    <w:rsid w:val="00517D61"/>
    <w:rsid w:val="00517F21"/>
    <w:rsid w:val="0052057F"/>
    <w:rsid w:val="00520598"/>
    <w:rsid w:val="00520E9B"/>
    <w:rsid w:val="00520F3D"/>
    <w:rsid w:val="00521218"/>
    <w:rsid w:val="00521715"/>
    <w:rsid w:val="00521AE8"/>
    <w:rsid w:val="00521C72"/>
    <w:rsid w:val="00521DC2"/>
    <w:rsid w:val="00521E57"/>
    <w:rsid w:val="0052202F"/>
    <w:rsid w:val="00522051"/>
    <w:rsid w:val="00522069"/>
    <w:rsid w:val="00522171"/>
    <w:rsid w:val="00522308"/>
    <w:rsid w:val="00522BD6"/>
    <w:rsid w:val="00522D4D"/>
    <w:rsid w:val="00522ED6"/>
    <w:rsid w:val="00523283"/>
    <w:rsid w:val="00523A4C"/>
    <w:rsid w:val="00523A8B"/>
    <w:rsid w:val="00523C17"/>
    <w:rsid w:val="00523F28"/>
    <w:rsid w:val="005241B5"/>
    <w:rsid w:val="00524488"/>
    <w:rsid w:val="00524585"/>
    <w:rsid w:val="0052459E"/>
    <w:rsid w:val="00524A88"/>
    <w:rsid w:val="00524AE8"/>
    <w:rsid w:val="00525047"/>
    <w:rsid w:val="0052515A"/>
    <w:rsid w:val="00525823"/>
    <w:rsid w:val="00525C55"/>
    <w:rsid w:val="00525DC6"/>
    <w:rsid w:val="00525F2A"/>
    <w:rsid w:val="00526DBD"/>
    <w:rsid w:val="0052717E"/>
    <w:rsid w:val="005271C6"/>
    <w:rsid w:val="00527234"/>
    <w:rsid w:val="0052783E"/>
    <w:rsid w:val="00527B8F"/>
    <w:rsid w:val="005302C2"/>
    <w:rsid w:val="00531576"/>
    <w:rsid w:val="00531A32"/>
    <w:rsid w:val="00532254"/>
    <w:rsid w:val="00532EC8"/>
    <w:rsid w:val="005335FE"/>
    <w:rsid w:val="00533D1F"/>
    <w:rsid w:val="00533D4A"/>
    <w:rsid w:val="00533FF0"/>
    <w:rsid w:val="0053426C"/>
    <w:rsid w:val="00534907"/>
    <w:rsid w:val="00534999"/>
    <w:rsid w:val="00534DC2"/>
    <w:rsid w:val="00535275"/>
    <w:rsid w:val="0053557C"/>
    <w:rsid w:val="005357C0"/>
    <w:rsid w:val="00535A5E"/>
    <w:rsid w:val="00535B5D"/>
    <w:rsid w:val="00535D25"/>
    <w:rsid w:val="00536265"/>
    <w:rsid w:val="00536A4C"/>
    <w:rsid w:val="00536C5B"/>
    <w:rsid w:val="00536E63"/>
    <w:rsid w:val="00537381"/>
    <w:rsid w:val="00537AB8"/>
    <w:rsid w:val="00537C4B"/>
    <w:rsid w:val="005400F8"/>
    <w:rsid w:val="00540675"/>
    <w:rsid w:val="005407E4"/>
    <w:rsid w:val="00540A06"/>
    <w:rsid w:val="00540EF8"/>
    <w:rsid w:val="00541015"/>
    <w:rsid w:val="00541249"/>
    <w:rsid w:val="00541672"/>
    <w:rsid w:val="00541781"/>
    <w:rsid w:val="00541872"/>
    <w:rsid w:val="00541C96"/>
    <w:rsid w:val="00541E49"/>
    <w:rsid w:val="0054233B"/>
    <w:rsid w:val="005429FD"/>
    <w:rsid w:val="00542F5A"/>
    <w:rsid w:val="0054378E"/>
    <w:rsid w:val="00543F23"/>
    <w:rsid w:val="0054406E"/>
    <w:rsid w:val="00544362"/>
    <w:rsid w:val="00544485"/>
    <w:rsid w:val="00544B80"/>
    <w:rsid w:val="00544B85"/>
    <w:rsid w:val="00544CF6"/>
    <w:rsid w:val="00544F2D"/>
    <w:rsid w:val="00545D5D"/>
    <w:rsid w:val="005461DB"/>
    <w:rsid w:val="00546308"/>
    <w:rsid w:val="0054663C"/>
    <w:rsid w:val="00546696"/>
    <w:rsid w:val="005467EE"/>
    <w:rsid w:val="00546ADE"/>
    <w:rsid w:val="005473D5"/>
    <w:rsid w:val="005477D1"/>
    <w:rsid w:val="0054790A"/>
    <w:rsid w:val="00547EE5"/>
    <w:rsid w:val="00547EF9"/>
    <w:rsid w:val="005503EA"/>
    <w:rsid w:val="00550639"/>
    <w:rsid w:val="005506FD"/>
    <w:rsid w:val="005507BA"/>
    <w:rsid w:val="00550867"/>
    <w:rsid w:val="00550969"/>
    <w:rsid w:val="00550D98"/>
    <w:rsid w:val="00550FCA"/>
    <w:rsid w:val="00551472"/>
    <w:rsid w:val="005518C5"/>
    <w:rsid w:val="00551972"/>
    <w:rsid w:val="005519F7"/>
    <w:rsid w:val="00551A1D"/>
    <w:rsid w:val="00551A2B"/>
    <w:rsid w:val="00551A9A"/>
    <w:rsid w:val="00551B91"/>
    <w:rsid w:val="00551D14"/>
    <w:rsid w:val="00551DB9"/>
    <w:rsid w:val="00551DDC"/>
    <w:rsid w:val="00552030"/>
    <w:rsid w:val="005520EA"/>
    <w:rsid w:val="0055237B"/>
    <w:rsid w:val="005524A8"/>
    <w:rsid w:val="00552524"/>
    <w:rsid w:val="00552725"/>
    <w:rsid w:val="005529D0"/>
    <w:rsid w:val="00552D23"/>
    <w:rsid w:val="00552DA4"/>
    <w:rsid w:val="005533BB"/>
    <w:rsid w:val="005534E3"/>
    <w:rsid w:val="00553A61"/>
    <w:rsid w:val="00553C71"/>
    <w:rsid w:val="00553CB1"/>
    <w:rsid w:val="00553E29"/>
    <w:rsid w:val="00553F90"/>
    <w:rsid w:val="0055414A"/>
    <w:rsid w:val="005541A1"/>
    <w:rsid w:val="0055444C"/>
    <w:rsid w:val="00554D18"/>
    <w:rsid w:val="005556BE"/>
    <w:rsid w:val="0055573B"/>
    <w:rsid w:val="00555AB0"/>
    <w:rsid w:val="00555AC7"/>
    <w:rsid w:val="00555BD1"/>
    <w:rsid w:val="00555E6C"/>
    <w:rsid w:val="00555EB0"/>
    <w:rsid w:val="0055614E"/>
    <w:rsid w:val="0055627F"/>
    <w:rsid w:val="005566D6"/>
    <w:rsid w:val="0055670E"/>
    <w:rsid w:val="0055698F"/>
    <w:rsid w:val="00556A19"/>
    <w:rsid w:val="00556E1A"/>
    <w:rsid w:val="00556F90"/>
    <w:rsid w:val="0055750A"/>
    <w:rsid w:val="00557BF5"/>
    <w:rsid w:val="00557C4E"/>
    <w:rsid w:val="005601CE"/>
    <w:rsid w:val="00560995"/>
    <w:rsid w:val="00560A06"/>
    <w:rsid w:val="00560CE2"/>
    <w:rsid w:val="00560DC0"/>
    <w:rsid w:val="00560E8E"/>
    <w:rsid w:val="00561343"/>
    <w:rsid w:val="0056162A"/>
    <w:rsid w:val="005619CA"/>
    <w:rsid w:val="00561E83"/>
    <w:rsid w:val="00562048"/>
    <w:rsid w:val="00562364"/>
    <w:rsid w:val="00562C9C"/>
    <w:rsid w:val="00562EE7"/>
    <w:rsid w:val="00563046"/>
    <w:rsid w:val="0056309D"/>
    <w:rsid w:val="005638B9"/>
    <w:rsid w:val="00563B4B"/>
    <w:rsid w:val="00563C6E"/>
    <w:rsid w:val="00563FEA"/>
    <w:rsid w:val="00564B2E"/>
    <w:rsid w:val="00564C6F"/>
    <w:rsid w:val="00564CB5"/>
    <w:rsid w:val="00565031"/>
    <w:rsid w:val="0056549C"/>
    <w:rsid w:val="00565E90"/>
    <w:rsid w:val="005662A1"/>
    <w:rsid w:val="00566720"/>
    <w:rsid w:val="00566779"/>
    <w:rsid w:val="0056688F"/>
    <w:rsid w:val="00566CE6"/>
    <w:rsid w:val="00566DA9"/>
    <w:rsid w:val="00566E52"/>
    <w:rsid w:val="005671DD"/>
    <w:rsid w:val="00567213"/>
    <w:rsid w:val="005672D6"/>
    <w:rsid w:val="0057125B"/>
    <w:rsid w:val="005713F8"/>
    <w:rsid w:val="005717EB"/>
    <w:rsid w:val="00571817"/>
    <w:rsid w:val="0057193B"/>
    <w:rsid w:val="00571B1A"/>
    <w:rsid w:val="00571BC8"/>
    <w:rsid w:val="005720F7"/>
    <w:rsid w:val="005721D6"/>
    <w:rsid w:val="00572214"/>
    <w:rsid w:val="0057272A"/>
    <w:rsid w:val="00572A2B"/>
    <w:rsid w:val="00572ACA"/>
    <w:rsid w:val="00572CB0"/>
    <w:rsid w:val="00572CED"/>
    <w:rsid w:val="00572F9E"/>
    <w:rsid w:val="00572FFC"/>
    <w:rsid w:val="0057329B"/>
    <w:rsid w:val="0057332B"/>
    <w:rsid w:val="0057350A"/>
    <w:rsid w:val="00573638"/>
    <w:rsid w:val="0057368D"/>
    <w:rsid w:val="00573FA7"/>
    <w:rsid w:val="005743C3"/>
    <w:rsid w:val="00574796"/>
    <w:rsid w:val="005751A3"/>
    <w:rsid w:val="0057526F"/>
    <w:rsid w:val="005753F2"/>
    <w:rsid w:val="005755F9"/>
    <w:rsid w:val="00575793"/>
    <w:rsid w:val="00575F50"/>
    <w:rsid w:val="005766BF"/>
    <w:rsid w:val="005768E2"/>
    <w:rsid w:val="00576BB2"/>
    <w:rsid w:val="00576C70"/>
    <w:rsid w:val="005773AA"/>
    <w:rsid w:val="0057796E"/>
    <w:rsid w:val="00580153"/>
    <w:rsid w:val="00580CA5"/>
    <w:rsid w:val="00581294"/>
    <w:rsid w:val="005813CB"/>
    <w:rsid w:val="00581548"/>
    <w:rsid w:val="005819A8"/>
    <w:rsid w:val="00581A3D"/>
    <w:rsid w:val="00581D97"/>
    <w:rsid w:val="005820BC"/>
    <w:rsid w:val="005827A8"/>
    <w:rsid w:val="005829C1"/>
    <w:rsid w:val="00582BAD"/>
    <w:rsid w:val="005836CE"/>
    <w:rsid w:val="005841F9"/>
    <w:rsid w:val="005842E6"/>
    <w:rsid w:val="00584992"/>
    <w:rsid w:val="00584FA6"/>
    <w:rsid w:val="005850CB"/>
    <w:rsid w:val="00585422"/>
    <w:rsid w:val="005856C1"/>
    <w:rsid w:val="00585B50"/>
    <w:rsid w:val="00585C6D"/>
    <w:rsid w:val="00586650"/>
    <w:rsid w:val="00586879"/>
    <w:rsid w:val="00586B21"/>
    <w:rsid w:val="00586B3D"/>
    <w:rsid w:val="0058717A"/>
    <w:rsid w:val="00587AE5"/>
    <w:rsid w:val="00587D50"/>
    <w:rsid w:val="005900AC"/>
    <w:rsid w:val="005900D9"/>
    <w:rsid w:val="00590430"/>
    <w:rsid w:val="00590528"/>
    <w:rsid w:val="0059089F"/>
    <w:rsid w:val="0059094E"/>
    <w:rsid w:val="0059097D"/>
    <w:rsid w:val="00590B0B"/>
    <w:rsid w:val="00590D88"/>
    <w:rsid w:val="00591404"/>
    <w:rsid w:val="0059146C"/>
    <w:rsid w:val="00591845"/>
    <w:rsid w:val="00591864"/>
    <w:rsid w:val="00591D32"/>
    <w:rsid w:val="005921DD"/>
    <w:rsid w:val="00592311"/>
    <w:rsid w:val="00592A77"/>
    <w:rsid w:val="005930C7"/>
    <w:rsid w:val="00593227"/>
    <w:rsid w:val="0059380C"/>
    <w:rsid w:val="00593C0A"/>
    <w:rsid w:val="00594094"/>
    <w:rsid w:val="005941BC"/>
    <w:rsid w:val="00594211"/>
    <w:rsid w:val="005942BF"/>
    <w:rsid w:val="005942ED"/>
    <w:rsid w:val="00594313"/>
    <w:rsid w:val="00594497"/>
    <w:rsid w:val="00594618"/>
    <w:rsid w:val="0059498B"/>
    <w:rsid w:val="00595268"/>
    <w:rsid w:val="0059543C"/>
    <w:rsid w:val="005955CD"/>
    <w:rsid w:val="00595608"/>
    <w:rsid w:val="0059561B"/>
    <w:rsid w:val="005958DB"/>
    <w:rsid w:val="00595AEA"/>
    <w:rsid w:val="00595B76"/>
    <w:rsid w:val="00595D13"/>
    <w:rsid w:val="00595DAD"/>
    <w:rsid w:val="00595F70"/>
    <w:rsid w:val="00596186"/>
    <w:rsid w:val="00596301"/>
    <w:rsid w:val="005966B1"/>
    <w:rsid w:val="00596836"/>
    <w:rsid w:val="00596860"/>
    <w:rsid w:val="00596C9B"/>
    <w:rsid w:val="00596FF0"/>
    <w:rsid w:val="0059729C"/>
    <w:rsid w:val="00597377"/>
    <w:rsid w:val="00597735"/>
    <w:rsid w:val="005978C1"/>
    <w:rsid w:val="00597A86"/>
    <w:rsid w:val="00597AF3"/>
    <w:rsid w:val="00597E7B"/>
    <w:rsid w:val="005A0287"/>
    <w:rsid w:val="005A0508"/>
    <w:rsid w:val="005A07F2"/>
    <w:rsid w:val="005A097E"/>
    <w:rsid w:val="005A10AB"/>
    <w:rsid w:val="005A1C1F"/>
    <w:rsid w:val="005A1EA0"/>
    <w:rsid w:val="005A2241"/>
    <w:rsid w:val="005A27E7"/>
    <w:rsid w:val="005A287E"/>
    <w:rsid w:val="005A2968"/>
    <w:rsid w:val="005A29C2"/>
    <w:rsid w:val="005A3068"/>
    <w:rsid w:val="005A3385"/>
    <w:rsid w:val="005A346A"/>
    <w:rsid w:val="005A3E73"/>
    <w:rsid w:val="005A3F46"/>
    <w:rsid w:val="005A3FD5"/>
    <w:rsid w:val="005A40D4"/>
    <w:rsid w:val="005A41B4"/>
    <w:rsid w:val="005A42E0"/>
    <w:rsid w:val="005A42F5"/>
    <w:rsid w:val="005A4462"/>
    <w:rsid w:val="005A46A6"/>
    <w:rsid w:val="005A472D"/>
    <w:rsid w:val="005A507F"/>
    <w:rsid w:val="005A535E"/>
    <w:rsid w:val="005A5B64"/>
    <w:rsid w:val="005A5EB3"/>
    <w:rsid w:val="005A5FBB"/>
    <w:rsid w:val="005A60AA"/>
    <w:rsid w:val="005A62B7"/>
    <w:rsid w:val="005A6311"/>
    <w:rsid w:val="005A6877"/>
    <w:rsid w:val="005A6883"/>
    <w:rsid w:val="005A6895"/>
    <w:rsid w:val="005A692A"/>
    <w:rsid w:val="005A695D"/>
    <w:rsid w:val="005A698A"/>
    <w:rsid w:val="005A6DDF"/>
    <w:rsid w:val="005A72C3"/>
    <w:rsid w:val="005A7332"/>
    <w:rsid w:val="005A7783"/>
    <w:rsid w:val="005A7822"/>
    <w:rsid w:val="005B01E3"/>
    <w:rsid w:val="005B030E"/>
    <w:rsid w:val="005B039F"/>
    <w:rsid w:val="005B082F"/>
    <w:rsid w:val="005B0C28"/>
    <w:rsid w:val="005B0C85"/>
    <w:rsid w:val="005B152D"/>
    <w:rsid w:val="005B16A3"/>
    <w:rsid w:val="005B16B7"/>
    <w:rsid w:val="005B1806"/>
    <w:rsid w:val="005B1C3D"/>
    <w:rsid w:val="005B1D91"/>
    <w:rsid w:val="005B220B"/>
    <w:rsid w:val="005B296F"/>
    <w:rsid w:val="005B29CC"/>
    <w:rsid w:val="005B2B83"/>
    <w:rsid w:val="005B2D3F"/>
    <w:rsid w:val="005B2E98"/>
    <w:rsid w:val="005B2EE5"/>
    <w:rsid w:val="005B2FD3"/>
    <w:rsid w:val="005B31CA"/>
    <w:rsid w:val="005B3294"/>
    <w:rsid w:val="005B34DC"/>
    <w:rsid w:val="005B38F6"/>
    <w:rsid w:val="005B3AE5"/>
    <w:rsid w:val="005B3B8A"/>
    <w:rsid w:val="005B3C3C"/>
    <w:rsid w:val="005B3DA2"/>
    <w:rsid w:val="005B47A9"/>
    <w:rsid w:val="005B4B3C"/>
    <w:rsid w:val="005B5079"/>
    <w:rsid w:val="005B544E"/>
    <w:rsid w:val="005B5A17"/>
    <w:rsid w:val="005B5E2E"/>
    <w:rsid w:val="005B5E42"/>
    <w:rsid w:val="005B61C3"/>
    <w:rsid w:val="005B6857"/>
    <w:rsid w:val="005B6AE2"/>
    <w:rsid w:val="005B6E25"/>
    <w:rsid w:val="005B7259"/>
    <w:rsid w:val="005B770D"/>
    <w:rsid w:val="005C0053"/>
    <w:rsid w:val="005C029A"/>
    <w:rsid w:val="005C0A42"/>
    <w:rsid w:val="005C113C"/>
    <w:rsid w:val="005C1179"/>
    <w:rsid w:val="005C182A"/>
    <w:rsid w:val="005C20F1"/>
    <w:rsid w:val="005C23E5"/>
    <w:rsid w:val="005C257E"/>
    <w:rsid w:val="005C2D68"/>
    <w:rsid w:val="005C2F42"/>
    <w:rsid w:val="005C369C"/>
    <w:rsid w:val="005C45FB"/>
    <w:rsid w:val="005C47D8"/>
    <w:rsid w:val="005C53EE"/>
    <w:rsid w:val="005C546A"/>
    <w:rsid w:val="005C5539"/>
    <w:rsid w:val="005C5B08"/>
    <w:rsid w:val="005C6224"/>
    <w:rsid w:val="005C6442"/>
    <w:rsid w:val="005C64E2"/>
    <w:rsid w:val="005C65A9"/>
    <w:rsid w:val="005C6CD6"/>
    <w:rsid w:val="005C6D3F"/>
    <w:rsid w:val="005C7039"/>
    <w:rsid w:val="005C71E5"/>
    <w:rsid w:val="005C72A5"/>
    <w:rsid w:val="005C7455"/>
    <w:rsid w:val="005C7BF6"/>
    <w:rsid w:val="005C7C30"/>
    <w:rsid w:val="005C7D44"/>
    <w:rsid w:val="005C7E2B"/>
    <w:rsid w:val="005C7EA3"/>
    <w:rsid w:val="005D0725"/>
    <w:rsid w:val="005D0933"/>
    <w:rsid w:val="005D0E7B"/>
    <w:rsid w:val="005D0F48"/>
    <w:rsid w:val="005D0FED"/>
    <w:rsid w:val="005D120B"/>
    <w:rsid w:val="005D1505"/>
    <w:rsid w:val="005D150C"/>
    <w:rsid w:val="005D1761"/>
    <w:rsid w:val="005D1867"/>
    <w:rsid w:val="005D18C7"/>
    <w:rsid w:val="005D1912"/>
    <w:rsid w:val="005D1B4C"/>
    <w:rsid w:val="005D2095"/>
    <w:rsid w:val="005D211C"/>
    <w:rsid w:val="005D21E8"/>
    <w:rsid w:val="005D228A"/>
    <w:rsid w:val="005D23AA"/>
    <w:rsid w:val="005D2921"/>
    <w:rsid w:val="005D3068"/>
    <w:rsid w:val="005D36A7"/>
    <w:rsid w:val="005D370E"/>
    <w:rsid w:val="005D41CF"/>
    <w:rsid w:val="005D447F"/>
    <w:rsid w:val="005D4861"/>
    <w:rsid w:val="005D4889"/>
    <w:rsid w:val="005D4937"/>
    <w:rsid w:val="005D50BD"/>
    <w:rsid w:val="005D5817"/>
    <w:rsid w:val="005D5866"/>
    <w:rsid w:val="005D5905"/>
    <w:rsid w:val="005D5F9E"/>
    <w:rsid w:val="005D615B"/>
    <w:rsid w:val="005D61A2"/>
    <w:rsid w:val="005D6333"/>
    <w:rsid w:val="005D640A"/>
    <w:rsid w:val="005D643C"/>
    <w:rsid w:val="005D643F"/>
    <w:rsid w:val="005D65E9"/>
    <w:rsid w:val="005D6890"/>
    <w:rsid w:val="005D6A45"/>
    <w:rsid w:val="005D71C5"/>
    <w:rsid w:val="005D71E8"/>
    <w:rsid w:val="005D73F8"/>
    <w:rsid w:val="005D75FB"/>
    <w:rsid w:val="005D76F7"/>
    <w:rsid w:val="005D7976"/>
    <w:rsid w:val="005E00D4"/>
    <w:rsid w:val="005E0335"/>
    <w:rsid w:val="005E03AE"/>
    <w:rsid w:val="005E0458"/>
    <w:rsid w:val="005E0CEC"/>
    <w:rsid w:val="005E1004"/>
    <w:rsid w:val="005E10F4"/>
    <w:rsid w:val="005E1326"/>
    <w:rsid w:val="005E1455"/>
    <w:rsid w:val="005E14A2"/>
    <w:rsid w:val="005E16D6"/>
    <w:rsid w:val="005E17BC"/>
    <w:rsid w:val="005E17C0"/>
    <w:rsid w:val="005E1D2E"/>
    <w:rsid w:val="005E242A"/>
    <w:rsid w:val="005E25A9"/>
    <w:rsid w:val="005E2B82"/>
    <w:rsid w:val="005E2D43"/>
    <w:rsid w:val="005E32CF"/>
    <w:rsid w:val="005E33AD"/>
    <w:rsid w:val="005E3564"/>
    <w:rsid w:val="005E38EF"/>
    <w:rsid w:val="005E3A2D"/>
    <w:rsid w:val="005E3FE4"/>
    <w:rsid w:val="005E4330"/>
    <w:rsid w:val="005E4FAC"/>
    <w:rsid w:val="005E51F4"/>
    <w:rsid w:val="005E570C"/>
    <w:rsid w:val="005E5D16"/>
    <w:rsid w:val="005E6016"/>
    <w:rsid w:val="005E62BC"/>
    <w:rsid w:val="005E64BC"/>
    <w:rsid w:val="005E655B"/>
    <w:rsid w:val="005E6564"/>
    <w:rsid w:val="005E6776"/>
    <w:rsid w:val="005E6981"/>
    <w:rsid w:val="005E6CC4"/>
    <w:rsid w:val="005E6EFC"/>
    <w:rsid w:val="005E706C"/>
    <w:rsid w:val="005E70B1"/>
    <w:rsid w:val="005E79C2"/>
    <w:rsid w:val="005E7BFD"/>
    <w:rsid w:val="005F0132"/>
    <w:rsid w:val="005F0511"/>
    <w:rsid w:val="005F062C"/>
    <w:rsid w:val="005F0A14"/>
    <w:rsid w:val="005F0EE3"/>
    <w:rsid w:val="005F1716"/>
    <w:rsid w:val="005F1866"/>
    <w:rsid w:val="005F2747"/>
    <w:rsid w:val="005F28C8"/>
    <w:rsid w:val="005F309F"/>
    <w:rsid w:val="005F36A3"/>
    <w:rsid w:val="005F36F8"/>
    <w:rsid w:val="005F380B"/>
    <w:rsid w:val="005F3E52"/>
    <w:rsid w:val="005F4135"/>
    <w:rsid w:val="005F4967"/>
    <w:rsid w:val="005F5308"/>
    <w:rsid w:val="005F57ED"/>
    <w:rsid w:val="005F5801"/>
    <w:rsid w:val="005F58F4"/>
    <w:rsid w:val="005F64FE"/>
    <w:rsid w:val="005F66A2"/>
    <w:rsid w:val="005F6A8F"/>
    <w:rsid w:val="005F6B8E"/>
    <w:rsid w:val="005F6C45"/>
    <w:rsid w:val="005F78E2"/>
    <w:rsid w:val="005F7A5E"/>
    <w:rsid w:val="005F7E56"/>
    <w:rsid w:val="005F7F0B"/>
    <w:rsid w:val="00600662"/>
    <w:rsid w:val="006007D0"/>
    <w:rsid w:val="0060088A"/>
    <w:rsid w:val="006008E2"/>
    <w:rsid w:val="00600DA8"/>
    <w:rsid w:val="00600ED5"/>
    <w:rsid w:val="0060108B"/>
    <w:rsid w:val="0060125C"/>
    <w:rsid w:val="00601744"/>
    <w:rsid w:val="006018FC"/>
    <w:rsid w:val="00601CEA"/>
    <w:rsid w:val="00602229"/>
    <w:rsid w:val="00602851"/>
    <w:rsid w:val="00603428"/>
    <w:rsid w:val="00603BF1"/>
    <w:rsid w:val="00604429"/>
    <w:rsid w:val="006049AA"/>
    <w:rsid w:val="00604FD9"/>
    <w:rsid w:val="0060583E"/>
    <w:rsid w:val="00605D00"/>
    <w:rsid w:val="00605DD5"/>
    <w:rsid w:val="006069A1"/>
    <w:rsid w:val="00606B1A"/>
    <w:rsid w:val="00607747"/>
    <w:rsid w:val="00607A76"/>
    <w:rsid w:val="00607CE5"/>
    <w:rsid w:val="00607E8C"/>
    <w:rsid w:val="0061003B"/>
    <w:rsid w:val="0061008E"/>
    <w:rsid w:val="0061070A"/>
    <w:rsid w:val="00610F33"/>
    <w:rsid w:val="006110B0"/>
    <w:rsid w:val="0061114D"/>
    <w:rsid w:val="006119A3"/>
    <w:rsid w:val="00611B3E"/>
    <w:rsid w:val="00611CB6"/>
    <w:rsid w:val="00612675"/>
    <w:rsid w:val="00612B3D"/>
    <w:rsid w:val="00612DB0"/>
    <w:rsid w:val="006130EA"/>
    <w:rsid w:val="00613518"/>
    <w:rsid w:val="00613523"/>
    <w:rsid w:val="006136D7"/>
    <w:rsid w:val="00613713"/>
    <w:rsid w:val="00613853"/>
    <w:rsid w:val="006138F2"/>
    <w:rsid w:val="00613A1C"/>
    <w:rsid w:val="00613AF8"/>
    <w:rsid w:val="00613D7C"/>
    <w:rsid w:val="006141E8"/>
    <w:rsid w:val="006147E6"/>
    <w:rsid w:val="006149C3"/>
    <w:rsid w:val="00614CE6"/>
    <w:rsid w:val="00614D28"/>
    <w:rsid w:val="0061541A"/>
    <w:rsid w:val="00615782"/>
    <w:rsid w:val="00615CE4"/>
    <w:rsid w:val="0061618C"/>
    <w:rsid w:val="006162D8"/>
    <w:rsid w:val="006166AA"/>
    <w:rsid w:val="006167D7"/>
    <w:rsid w:val="00616865"/>
    <w:rsid w:val="00616BFA"/>
    <w:rsid w:val="006171A8"/>
    <w:rsid w:val="00617211"/>
    <w:rsid w:val="0061743E"/>
    <w:rsid w:val="0062020B"/>
    <w:rsid w:val="00620311"/>
    <w:rsid w:val="006203D8"/>
    <w:rsid w:val="00620845"/>
    <w:rsid w:val="00621051"/>
    <w:rsid w:val="00621776"/>
    <w:rsid w:val="0062197C"/>
    <w:rsid w:val="00621AC6"/>
    <w:rsid w:val="00621C21"/>
    <w:rsid w:val="00621FC8"/>
    <w:rsid w:val="0062282E"/>
    <w:rsid w:val="006229DB"/>
    <w:rsid w:val="00623193"/>
    <w:rsid w:val="00623B88"/>
    <w:rsid w:val="00624193"/>
    <w:rsid w:val="006247B7"/>
    <w:rsid w:val="006249F0"/>
    <w:rsid w:val="00625157"/>
    <w:rsid w:val="0062531E"/>
    <w:rsid w:val="006253BE"/>
    <w:rsid w:val="0062556B"/>
    <w:rsid w:val="006259B0"/>
    <w:rsid w:val="00625EAC"/>
    <w:rsid w:val="006260EB"/>
    <w:rsid w:val="00626190"/>
    <w:rsid w:val="006262ED"/>
    <w:rsid w:val="006267B7"/>
    <w:rsid w:val="00626938"/>
    <w:rsid w:val="00626B38"/>
    <w:rsid w:val="00626BA9"/>
    <w:rsid w:val="00626C46"/>
    <w:rsid w:val="006271D3"/>
    <w:rsid w:val="006272DB"/>
    <w:rsid w:val="00627653"/>
    <w:rsid w:val="00627833"/>
    <w:rsid w:val="00627B38"/>
    <w:rsid w:val="00627E58"/>
    <w:rsid w:val="006305F1"/>
    <w:rsid w:val="00630731"/>
    <w:rsid w:val="0063077B"/>
    <w:rsid w:val="0063095B"/>
    <w:rsid w:val="00630AF4"/>
    <w:rsid w:val="00630C0D"/>
    <w:rsid w:val="00630F8E"/>
    <w:rsid w:val="006312DD"/>
    <w:rsid w:val="00631451"/>
    <w:rsid w:val="0063182C"/>
    <w:rsid w:val="006320F1"/>
    <w:rsid w:val="00632C6E"/>
    <w:rsid w:val="00632C8E"/>
    <w:rsid w:val="00632DA8"/>
    <w:rsid w:val="006333CE"/>
    <w:rsid w:val="0063394B"/>
    <w:rsid w:val="00633DB3"/>
    <w:rsid w:val="0063468F"/>
    <w:rsid w:val="0063540F"/>
    <w:rsid w:val="0063552F"/>
    <w:rsid w:val="006358ED"/>
    <w:rsid w:val="00635A06"/>
    <w:rsid w:val="00635D46"/>
    <w:rsid w:val="00635DFD"/>
    <w:rsid w:val="0063678E"/>
    <w:rsid w:val="006368A1"/>
    <w:rsid w:val="00636A90"/>
    <w:rsid w:val="00636CDA"/>
    <w:rsid w:val="00637066"/>
    <w:rsid w:val="00637090"/>
    <w:rsid w:val="00637198"/>
    <w:rsid w:val="00637249"/>
    <w:rsid w:val="00637948"/>
    <w:rsid w:val="00637C65"/>
    <w:rsid w:val="00637D83"/>
    <w:rsid w:val="006400D4"/>
    <w:rsid w:val="00640616"/>
    <w:rsid w:val="00640833"/>
    <w:rsid w:val="00640854"/>
    <w:rsid w:val="006409CD"/>
    <w:rsid w:val="00640BB4"/>
    <w:rsid w:val="00640CFB"/>
    <w:rsid w:val="00641139"/>
    <w:rsid w:val="00641448"/>
    <w:rsid w:val="00641842"/>
    <w:rsid w:val="00641A32"/>
    <w:rsid w:val="00641BA1"/>
    <w:rsid w:val="00641C9B"/>
    <w:rsid w:val="00641D5C"/>
    <w:rsid w:val="00641EAF"/>
    <w:rsid w:val="00642517"/>
    <w:rsid w:val="0064258E"/>
    <w:rsid w:val="00642E73"/>
    <w:rsid w:val="00643554"/>
    <w:rsid w:val="00643E97"/>
    <w:rsid w:val="006441B1"/>
    <w:rsid w:val="006446D4"/>
    <w:rsid w:val="006448AB"/>
    <w:rsid w:val="006448CC"/>
    <w:rsid w:val="00644C1E"/>
    <w:rsid w:val="00644CAA"/>
    <w:rsid w:val="00644E9C"/>
    <w:rsid w:val="0064554B"/>
    <w:rsid w:val="00645940"/>
    <w:rsid w:val="00645AFD"/>
    <w:rsid w:val="0064622A"/>
    <w:rsid w:val="00646754"/>
    <w:rsid w:val="006469FE"/>
    <w:rsid w:val="00647031"/>
    <w:rsid w:val="006470AB"/>
    <w:rsid w:val="006475F9"/>
    <w:rsid w:val="00647C87"/>
    <w:rsid w:val="00647D5D"/>
    <w:rsid w:val="00647E1C"/>
    <w:rsid w:val="00647E7B"/>
    <w:rsid w:val="006502A3"/>
    <w:rsid w:val="00650732"/>
    <w:rsid w:val="00651707"/>
    <w:rsid w:val="00651828"/>
    <w:rsid w:val="006518D6"/>
    <w:rsid w:val="00651F60"/>
    <w:rsid w:val="00651FD2"/>
    <w:rsid w:val="00652027"/>
    <w:rsid w:val="00652232"/>
    <w:rsid w:val="00652525"/>
    <w:rsid w:val="00652926"/>
    <w:rsid w:val="00652956"/>
    <w:rsid w:val="00652BE8"/>
    <w:rsid w:val="006532EE"/>
    <w:rsid w:val="0065385D"/>
    <w:rsid w:val="006540C6"/>
    <w:rsid w:val="006543A1"/>
    <w:rsid w:val="00654575"/>
    <w:rsid w:val="00654713"/>
    <w:rsid w:val="0065495D"/>
    <w:rsid w:val="0065552B"/>
    <w:rsid w:val="00655B5D"/>
    <w:rsid w:val="00655CE2"/>
    <w:rsid w:val="00655EA9"/>
    <w:rsid w:val="00656403"/>
    <w:rsid w:val="00656E38"/>
    <w:rsid w:val="00657056"/>
    <w:rsid w:val="00657815"/>
    <w:rsid w:val="00657847"/>
    <w:rsid w:val="00657DEC"/>
    <w:rsid w:val="00660428"/>
    <w:rsid w:val="006607F0"/>
    <w:rsid w:val="00660A16"/>
    <w:rsid w:val="00660B66"/>
    <w:rsid w:val="0066108D"/>
    <w:rsid w:val="0066142D"/>
    <w:rsid w:val="006614C0"/>
    <w:rsid w:val="00661B52"/>
    <w:rsid w:val="00662218"/>
    <w:rsid w:val="00662231"/>
    <w:rsid w:val="00662ABE"/>
    <w:rsid w:val="00662B80"/>
    <w:rsid w:val="00662EB9"/>
    <w:rsid w:val="00662F84"/>
    <w:rsid w:val="006630FC"/>
    <w:rsid w:val="00663161"/>
    <w:rsid w:val="0066318B"/>
    <w:rsid w:val="006634B1"/>
    <w:rsid w:val="006634E6"/>
    <w:rsid w:val="006637C0"/>
    <w:rsid w:val="006644FF"/>
    <w:rsid w:val="006649DA"/>
    <w:rsid w:val="00664A96"/>
    <w:rsid w:val="00664B8E"/>
    <w:rsid w:val="006656E8"/>
    <w:rsid w:val="00665B51"/>
    <w:rsid w:val="00665B88"/>
    <w:rsid w:val="00665E0D"/>
    <w:rsid w:val="006660A0"/>
    <w:rsid w:val="006660B5"/>
    <w:rsid w:val="00666BB9"/>
    <w:rsid w:val="00666E62"/>
    <w:rsid w:val="00666FB3"/>
    <w:rsid w:val="00667651"/>
    <w:rsid w:val="00667A5F"/>
    <w:rsid w:val="00667A6A"/>
    <w:rsid w:val="00667F1C"/>
    <w:rsid w:val="00670179"/>
    <w:rsid w:val="0067046B"/>
    <w:rsid w:val="00670992"/>
    <w:rsid w:val="006713AD"/>
    <w:rsid w:val="006718D0"/>
    <w:rsid w:val="00671F20"/>
    <w:rsid w:val="00672145"/>
    <w:rsid w:val="00672158"/>
    <w:rsid w:val="00672871"/>
    <w:rsid w:val="006729AA"/>
    <w:rsid w:val="00672B06"/>
    <w:rsid w:val="006731D5"/>
    <w:rsid w:val="006734D4"/>
    <w:rsid w:val="006738EC"/>
    <w:rsid w:val="00673A83"/>
    <w:rsid w:val="00673C58"/>
    <w:rsid w:val="00673EC8"/>
    <w:rsid w:val="00673F67"/>
    <w:rsid w:val="006741A3"/>
    <w:rsid w:val="0067434E"/>
    <w:rsid w:val="006745D9"/>
    <w:rsid w:val="006746A3"/>
    <w:rsid w:val="006749C9"/>
    <w:rsid w:val="00674DA4"/>
    <w:rsid w:val="00674E15"/>
    <w:rsid w:val="00675709"/>
    <w:rsid w:val="006759C5"/>
    <w:rsid w:val="00675B1E"/>
    <w:rsid w:val="00675D1D"/>
    <w:rsid w:val="0067606C"/>
    <w:rsid w:val="0067653C"/>
    <w:rsid w:val="00676727"/>
    <w:rsid w:val="0067674C"/>
    <w:rsid w:val="00676E08"/>
    <w:rsid w:val="0067730E"/>
    <w:rsid w:val="006777D1"/>
    <w:rsid w:val="006779A2"/>
    <w:rsid w:val="00677A0F"/>
    <w:rsid w:val="00677B86"/>
    <w:rsid w:val="00677C45"/>
    <w:rsid w:val="006803D5"/>
    <w:rsid w:val="00680DDC"/>
    <w:rsid w:val="00680E4A"/>
    <w:rsid w:val="006811FD"/>
    <w:rsid w:val="00681493"/>
    <w:rsid w:val="006814A7"/>
    <w:rsid w:val="00681879"/>
    <w:rsid w:val="00681922"/>
    <w:rsid w:val="0068215E"/>
    <w:rsid w:val="00682378"/>
    <w:rsid w:val="00682DD7"/>
    <w:rsid w:val="00682EEA"/>
    <w:rsid w:val="00683255"/>
    <w:rsid w:val="00683360"/>
    <w:rsid w:val="006833D6"/>
    <w:rsid w:val="006847F6"/>
    <w:rsid w:val="0068484A"/>
    <w:rsid w:val="00684A17"/>
    <w:rsid w:val="00684A62"/>
    <w:rsid w:val="00684AC6"/>
    <w:rsid w:val="00684EFE"/>
    <w:rsid w:val="006850A7"/>
    <w:rsid w:val="00685A61"/>
    <w:rsid w:val="00686085"/>
    <w:rsid w:val="006860B7"/>
    <w:rsid w:val="00686303"/>
    <w:rsid w:val="00686435"/>
    <w:rsid w:val="00686597"/>
    <w:rsid w:val="006865EA"/>
    <w:rsid w:val="00686788"/>
    <w:rsid w:val="006867BD"/>
    <w:rsid w:val="00687451"/>
    <w:rsid w:val="006877CD"/>
    <w:rsid w:val="00687912"/>
    <w:rsid w:val="00687AEF"/>
    <w:rsid w:val="0069049D"/>
    <w:rsid w:val="00690623"/>
    <w:rsid w:val="0069099E"/>
    <w:rsid w:val="00690C3A"/>
    <w:rsid w:val="00691100"/>
    <w:rsid w:val="006913A7"/>
    <w:rsid w:val="006913D4"/>
    <w:rsid w:val="00691C9A"/>
    <w:rsid w:val="00691F44"/>
    <w:rsid w:val="0069287F"/>
    <w:rsid w:val="00692B7D"/>
    <w:rsid w:val="00692BCD"/>
    <w:rsid w:val="00692D95"/>
    <w:rsid w:val="00692DE3"/>
    <w:rsid w:val="00692FB7"/>
    <w:rsid w:val="0069301D"/>
    <w:rsid w:val="00693855"/>
    <w:rsid w:val="00693A64"/>
    <w:rsid w:val="00693ACA"/>
    <w:rsid w:val="00693FB7"/>
    <w:rsid w:val="006946E7"/>
    <w:rsid w:val="006947E4"/>
    <w:rsid w:val="00694903"/>
    <w:rsid w:val="00694AA9"/>
    <w:rsid w:val="00694DFF"/>
    <w:rsid w:val="00694FE3"/>
    <w:rsid w:val="0069509B"/>
    <w:rsid w:val="006954B5"/>
    <w:rsid w:val="00695C3B"/>
    <w:rsid w:val="006960C3"/>
    <w:rsid w:val="006967E4"/>
    <w:rsid w:val="00696E31"/>
    <w:rsid w:val="00696EB2"/>
    <w:rsid w:val="00697121"/>
    <w:rsid w:val="00697B7B"/>
    <w:rsid w:val="00697D2A"/>
    <w:rsid w:val="00697F3E"/>
    <w:rsid w:val="006A00A7"/>
    <w:rsid w:val="006A01B4"/>
    <w:rsid w:val="006A0236"/>
    <w:rsid w:val="006A04F5"/>
    <w:rsid w:val="006A05A6"/>
    <w:rsid w:val="006A06A6"/>
    <w:rsid w:val="006A07DA"/>
    <w:rsid w:val="006A0872"/>
    <w:rsid w:val="006A09D5"/>
    <w:rsid w:val="006A0A42"/>
    <w:rsid w:val="006A0C1A"/>
    <w:rsid w:val="006A104B"/>
    <w:rsid w:val="006A157E"/>
    <w:rsid w:val="006A17D3"/>
    <w:rsid w:val="006A1824"/>
    <w:rsid w:val="006A19DD"/>
    <w:rsid w:val="006A19E8"/>
    <w:rsid w:val="006A1A91"/>
    <w:rsid w:val="006A20D0"/>
    <w:rsid w:val="006A22CE"/>
    <w:rsid w:val="006A242A"/>
    <w:rsid w:val="006A24AA"/>
    <w:rsid w:val="006A29FB"/>
    <w:rsid w:val="006A2BFD"/>
    <w:rsid w:val="006A3AE9"/>
    <w:rsid w:val="006A448E"/>
    <w:rsid w:val="006A4575"/>
    <w:rsid w:val="006A4859"/>
    <w:rsid w:val="006A4A6A"/>
    <w:rsid w:val="006A4B22"/>
    <w:rsid w:val="006A5C88"/>
    <w:rsid w:val="006A5F44"/>
    <w:rsid w:val="006A60BC"/>
    <w:rsid w:val="006A68D0"/>
    <w:rsid w:val="006A697F"/>
    <w:rsid w:val="006A7597"/>
    <w:rsid w:val="006A7A20"/>
    <w:rsid w:val="006A7A73"/>
    <w:rsid w:val="006A7D2C"/>
    <w:rsid w:val="006A7DC2"/>
    <w:rsid w:val="006A7E54"/>
    <w:rsid w:val="006B065B"/>
    <w:rsid w:val="006B0695"/>
    <w:rsid w:val="006B11D2"/>
    <w:rsid w:val="006B12D3"/>
    <w:rsid w:val="006B16F4"/>
    <w:rsid w:val="006B1988"/>
    <w:rsid w:val="006B1A45"/>
    <w:rsid w:val="006B1AEC"/>
    <w:rsid w:val="006B1F47"/>
    <w:rsid w:val="006B2048"/>
    <w:rsid w:val="006B24AB"/>
    <w:rsid w:val="006B25C8"/>
    <w:rsid w:val="006B278A"/>
    <w:rsid w:val="006B295D"/>
    <w:rsid w:val="006B2AF9"/>
    <w:rsid w:val="006B30DF"/>
    <w:rsid w:val="006B313F"/>
    <w:rsid w:val="006B351C"/>
    <w:rsid w:val="006B3755"/>
    <w:rsid w:val="006B3825"/>
    <w:rsid w:val="006B38F5"/>
    <w:rsid w:val="006B3930"/>
    <w:rsid w:val="006B3992"/>
    <w:rsid w:val="006B3D0A"/>
    <w:rsid w:val="006B40BA"/>
    <w:rsid w:val="006B4147"/>
    <w:rsid w:val="006B4206"/>
    <w:rsid w:val="006B4603"/>
    <w:rsid w:val="006B4B5B"/>
    <w:rsid w:val="006B4E07"/>
    <w:rsid w:val="006B4E61"/>
    <w:rsid w:val="006B4ECF"/>
    <w:rsid w:val="006B5189"/>
    <w:rsid w:val="006B5697"/>
    <w:rsid w:val="006B5703"/>
    <w:rsid w:val="006B57B2"/>
    <w:rsid w:val="006B5B54"/>
    <w:rsid w:val="006B5F55"/>
    <w:rsid w:val="006B6978"/>
    <w:rsid w:val="006B6A35"/>
    <w:rsid w:val="006B6C0F"/>
    <w:rsid w:val="006B6C82"/>
    <w:rsid w:val="006B6CAC"/>
    <w:rsid w:val="006B77ED"/>
    <w:rsid w:val="006B77FA"/>
    <w:rsid w:val="006B786A"/>
    <w:rsid w:val="006B7889"/>
    <w:rsid w:val="006B7A66"/>
    <w:rsid w:val="006B7DC5"/>
    <w:rsid w:val="006B7FA8"/>
    <w:rsid w:val="006C0422"/>
    <w:rsid w:val="006C0F16"/>
    <w:rsid w:val="006C1054"/>
    <w:rsid w:val="006C10C4"/>
    <w:rsid w:val="006C2045"/>
    <w:rsid w:val="006C20A3"/>
    <w:rsid w:val="006C2739"/>
    <w:rsid w:val="006C2849"/>
    <w:rsid w:val="006C2A42"/>
    <w:rsid w:val="006C2B20"/>
    <w:rsid w:val="006C33B1"/>
    <w:rsid w:val="006C3911"/>
    <w:rsid w:val="006C40F4"/>
    <w:rsid w:val="006C4770"/>
    <w:rsid w:val="006C4BDF"/>
    <w:rsid w:val="006C4E48"/>
    <w:rsid w:val="006C5147"/>
    <w:rsid w:val="006C518A"/>
    <w:rsid w:val="006C59BD"/>
    <w:rsid w:val="006C5B47"/>
    <w:rsid w:val="006C5DC4"/>
    <w:rsid w:val="006C6BD0"/>
    <w:rsid w:val="006C6BEC"/>
    <w:rsid w:val="006C6E5C"/>
    <w:rsid w:val="006C6F60"/>
    <w:rsid w:val="006C7304"/>
    <w:rsid w:val="006C771B"/>
    <w:rsid w:val="006C77FC"/>
    <w:rsid w:val="006D015E"/>
    <w:rsid w:val="006D0210"/>
    <w:rsid w:val="006D023E"/>
    <w:rsid w:val="006D05CF"/>
    <w:rsid w:val="006D0885"/>
    <w:rsid w:val="006D10C1"/>
    <w:rsid w:val="006D138A"/>
    <w:rsid w:val="006D13B3"/>
    <w:rsid w:val="006D1642"/>
    <w:rsid w:val="006D1727"/>
    <w:rsid w:val="006D184A"/>
    <w:rsid w:val="006D1DA7"/>
    <w:rsid w:val="006D1E82"/>
    <w:rsid w:val="006D1EB0"/>
    <w:rsid w:val="006D1ED0"/>
    <w:rsid w:val="006D21DE"/>
    <w:rsid w:val="006D259C"/>
    <w:rsid w:val="006D3019"/>
    <w:rsid w:val="006D3382"/>
    <w:rsid w:val="006D371B"/>
    <w:rsid w:val="006D396A"/>
    <w:rsid w:val="006D3CE9"/>
    <w:rsid w:val="006D3D28"/>
    <w:rsid w:val="006D3F89"/>
    <w:rsid w:val="006D41CE"/>
    <w:rsid w:val="006D44F1"/>
    <w:rsid w:val="006D4945"/>
    <w:rsid w:val="006D4F59"/>
    <w:rsid w:val="006D57D6"/>
    <w:rsid w:val="006D5857"/>
    <w:rsid w:val="006D5C87"/>
    <w:rsid w:val="006D61A4"/>
    <w:rsid w:val="006D62DE"/>
    <w:rsid w:val="006D66DA"/>
    <w:rsid w:val="006D66F6"/>
    <w:rsid w:val="006D6837"/>
    <w:rsid w:val="006D6A07"/>
    <w:rsid w:val="006D6C0B"/>
    <w:rsid w:val="006D6C22"/>
    <w:rsid w:val="006D6E59"/>
    <w:rsid w:val="006D7859"/>
    <w:rsid w:val="006E03C1"/>
    <w:rsid w:val="006E0949"/>
    <w:rsid w:val="006E0A58"/>
    <w:rsid w:val="006E0DD3"/>
    <w:rsid w:val="006E0EF3"/>
    <w:rsid w:val="006E1155"/>
    <w:rsid w:val="006E12A0"/>
    <w:rsid w:val="006E1310"/>
    <w:rsid w:val="006E163F"/>
    <w:rsid w:val="006E18C4"/>
    <w:rsid w:val="006E1A46"/>
    <w:rsid w:val="006E1A80"/>
    <w:rsid w:val="006E203C"/>
    <w:rsid w:val="006E231C"/>
    <w:rsid w:val="006E25AD"/>
    <w:rsid w:val="006E287A"/>
    <w:rsid w:val="006E292B"/>
    <w:rsid w:val="006E2D40"/>
    <w:rsid w:val="006E31AA"/>
    <w:rsid w:val="006E3B6E"/>
    <w:rsid w:val="006E4051"/>
    <w:rsid w:val="006E40E3"/>
    <w:rsid w:val="006E4345"/>
    <w:rsid w:val="006E4379"/>
    <w:rsid w:val="006E444D"/>
    <w:rsid w:val="006E46B3"/>
    <w:rsid w:val="006E499E"/>
    <w:rsid w:val="006E4BD2"/>
    <w:rsid w:val="006E4C16"/>
    <w:rsid w:val="006E5156"/>
    <w:rsid w:val="006E59DB"/>
    <w:rsid w:val="006E5D71"/>
    <w:rsid w:val="006E5F0F"/>
    <w:rsid w:val="006E5FF1"/>
    <w:rsid w:val="006E5FF3"/>
    <w:rsid w:val="006E6265"/>
    <w:rsid w:val="006E6290"/>
    <w:rsid w:val="006E6867"/>
    <w:rsid w:val="006E6BE2"/>
    <w:rsid w:val="006E6D04"/>
    <w:rsid w:val="006E6DB9"/>
    <w:rsid w:val="006E7285"/>
    <w:rsid w:val="006E7600"/>
    <w:rsid w:val="006E7CB2"/>
    <w:rsid w:val="006E7D85"/>
    <w:rsid w:val="006F0424"/>
    <w:rsid w:val="006F061A"/>
    <w:rsid w:val="006F0BC9"/>
    <w:rsid w:val="006F0E75"/>
    <w:rsid w:val="006F0E88"/>
    <w:rsid w:val="006F1103"/>
    <w:rsid w:val="006F1389"/>
    <w:rsid w:val="006F1644"/>
    <w:rsid w:val="006F19EC"/>
    <w:rsid w:val="006F1FFE"/>
    <w:rsid w:val="006F25B5"/>
    <w:rsid w:val="006F2734"/>
    <w:rsid w:val="006F2A88"/>
    <w:rsid w:val="006F2B02"/>
    <w:rsid w:val="006F3016"/>
    <w:rsid w:val="006F309B"/>
    <w:rsid w:val="006F33C1"/>
    <w:rsid w:val="006F35EE"/>
    <w:rsid w:val="006F3D9C"/>
    <w:rsid w:val="006F3FD9"/>
    <w:rsid w:val="006F405A"/>
    <w:rsid w:val="006F429F"/>
    <w:rsid w:val="006F442E"/>
    <w:rsid w:val="006F4755"/>
    <w:rsid w:val="006F47E5"/>
    <w:rsid w:val="006F4DC0"/>
    <w:rsid w:val="006F530B"/>
    <w:rsid w:val="006F531B"/>
    <w:rsid w:val="006F543E"/>
    <w:rsid w:val="006F5453"/>
    <w:rsid w:val="006F641B"/>
    <w:rsid w:val="006F6731"/>
    <w:rsid w:val="006F696F"/>
    <w:rsid w:val="006F6977"/>
    <w:rsid w:val="006F6A3D"/>
    <w:rsid w:val="006F6A8D"/>
    <w:rsid w:val="006F6FD0"/>
    <w:rsid w:val="006F700F"/>
    <w:rsid w:val="006F71A3"/>
    <w:rsid w:val="006F791E"/>
    <w:rsid w:val="006F7940"/>
    <w:rsid w:val="006F7CD8"/>
    <w:rsid w:val="006F7DDC"/>
    <w:rsid w:val="00700ACE"/>
    <w:rsid w:val="00700D77"/>
    <w:rsid w:val="007015AE"/>
    <w:rsid w:val="00701CA0"/>
    <w:rsid w:val="00701D78"/>
    <w:rsid w:val="00702BF5"/>
    <w:rsid w:val="00702D4B"/>
    <w:rsid w:val="00702D58"/>
    <w:rsid w:val="00703572"/>
    <w:rsid w:val="0070382D"/>
    <w:rsid w:val="00703C74"/>
    <w:rsid w:val="00703E84"/>
    <w:rsid w:val="00704112"/>
    <w:rsid w:val="007041C0"/>
    <w:rsid w:val="0070422E"/>
    <w:rsid w:val="00704295"/>
    <w:rsid w:val="007043D2"/>
    <w:rsid w:val="00704493"/>
    <w:rsid w:val="007046BF"/>
    <w:rsid w:val="0070486C"/>
    <w:rsid w:val="00704BCF"/>
    <w:rsid w:val="00705536"/>
    <w:rsid w:val="007056CB"/>
    <w:rsid w:val="00705730"/>
    <w:rsid w:val="007058BC"/>
    <w:rsid w:val="00705A42"/>
    <w:rsid w:val="00705C93"/>
    <w:rsid w:val="007069BA"/>
    <w:rsid w:val="00706CC5"/>
    <w:rsid w:val="00707380"/>
    <w:rsid w:val="0070747F"/>
    <w:rsid w:val="00707A9F"/>
    <w:rsid w:val="00710307"/>
    <w:rsid w:val="00710587"/>
    <w:rsid w:val="00710727"/>
    <w:rsid w:val="007108B5"/>
    <w:rsid w:val="00710D13"/>
    <w:rsid w:val="00710E8F"/>
    <w:rsid w:val="007111C4"/>
    <w:rsid w:val="0071145C"/>
    <w:rsid w:val="007114C0"/>
    <w:rsid w:val="00712069"/>
    <w:rsid w:val="00712131"/>
    <w:rsid w:val="007125EA"/>
    <w:rsid w:val="00713307"/>
    <w:rsid w:val="00713372"/>
    <w:rsid w:val="007136E3"/>
    <w:rsid w:val="00713983"/>
    <w:rsid w:val="00713E3F"/>
    <w:rsid w:val="00714C4E"/>
    <w:rsid w:val="00714EB5"/>
    <w:rsid w:val="00715333"/>
    <w:rsid w:val="007154D3"/>
    <w:rsid w:val="007155D9"/>
    <w:rsid w:val="007159B6"/>
    <w:rsid w:val="00715DC7"/>
    <w:rsid w:val="00715E44"/>
    <w:rsid w:val="007160B2"/>
    <w:rsid w:val="00716A0C"/>
    <w:rsid w:val="00716AE3"/>
    <w:rsid w:val="00716DFF"/>
    <w:rsid w:val="00716E1B"/>
    <w:rsid w:val="0071725D"/>
    <w:rsid w:val="00717317"/>
    <w:rsid w:val="007174C0"/>
    <w:rsid w:val="0071793C"/>
    <w:rsid w:val="00717B2C"/>
    <w:rsid w:val="007202FE"/>
    <w:rsid w:val="007205CF"/>
    <w:rsid w:val="00720720"/>
    <w:rsid w:val="00720CCF"/>
    <w:rsid w:val="00721673"/>
    <w:rsid w:val="00721D83"/>
    <w:rsid w:val="007220AC"/>
    <w:rsid w:val="0072221B"/>
    <w:rsid w:val="0072231B"/>
    <w:rsid w:val="0072271E"/>
    <w:rsid w:val="007227D7"/>
    <w:rsid w:val="00722978"/>
    <w:rsid w:val="00722A95"/>
    <w:rsid w:val="0072307F"/>
    <w:rsid w:val="007233F8"/>
    <w:rsid w:val="0072354B"/>
    <w:rsid w:val="007241C5"/>
    <w:rsid w:val="007247EF"/>
    <w:rsid w:val="00724E3D"/>
    <w:rsid w:val="00725096"/>
    <w:rsid w:val="0072529A"/>
    <w:rsid w:val="007252BA"/>
    <w:rsid w:val="00725786"/>
    <w:rsid w:val="007258AE"/>
    <w:rsid w:val="00725C3C"/>
    <w:rsid w:val="0072655C"/>
    <w:rsid w:val="007269FF"/>
    <w:rsid w:val="00726BC0"/>
    <w:rsid w:val="00726DD1"/>
    <w:rsid w:val="00727415"/>
    <w:rsid w:val="00727477"/>
    <w:rsid w:val="00730073"/>
    <w:rsid w:val="007301DF"/>
    <w:rsid w:val="007304FA"/>
    <w:rsid w:val="00730754"/>
    <w:rsid w:val="007308D6"/>
    <w:rsid w:val="00730A74"/>
    <w:rsid w:val="00730B76"/>
    <w:rsid w:val="00730C41"/>
    <w:rsid w:val="00730E6E"/>
    <w:rsid w:val="00731357"/>
    <w:rsid w:val="007317E3"/>
    <w:rsid w:val="007318A9"/>
    <w:rsid w:val="00731B40"/>
    <w:rsid w:val="007325A7"/>
    <w:rsid w:val="00732C23"/>
    <w:rsid w:val="00732CC5"/>
    <w:rsid w:val="00732E20"/>
    <w:rsid w:val="007339A4"/>
    <w:rsid w:val="00733B9B"/>
    <w:rsid w:val="00733ED5"/>
    <w:rsid w:val="0073413C"/>
    <w:rsid w:val="007345AB"/>
    <w:rsid w:val="00734629"/>
    <w:rsid w:val="007351E9"/>
    <w:rsid w:val="00735927"/>
    <w:rsid w:val="00735977"/>
    <w:rsid w:val="00735D01"/>
    <w:rsid w:val="00735FC7"/>
    <w:rsid w:val="0073608C"/>
    <w:rsid w:val="00736C45"/>
    <w:rsid w:val="00736CF2"/>
    <w:rsid w:val="00736D3D"/>
    <w:rsid w:val="00736EAC"/>
    <w:rsid w:val="00736F99"/>
    <w:rsid w:val="007371EB"/>
    <w:rsid w:val="0073728B"/>
    <w:rsid w:val="00737420"/>
    <w:rsid w:val="00737558"/>
    <w:rsid w:val="00737C21"/>
    <w:rsid w:val="00740568"/>
    <w:rsid w:val="007409AC"/>
    <w:rsid w:val="00740A96"/>
    <w:rsid w:val="00740C67"/>
    <w:rsid w:val="00741568"/>
    <w:rsid w:val="007416EF"/>
    <w:rsid w:val="00741706"/>
    <w:rsid w:val="0074172C"/>
    <w:rsid w:val="00741C43"/>
    <w:rsid w:val="00741E05"/>
    <w:rsid w:val="00742164"/>
    <w:rsid w:val="0074226C"/>
    <w:rsid w:val="00742572"/>
    <w:rsid w:val="007426A8"/>
    <w:rsid w:val="00742946"/>
    <w:rsid w:val="00742F46"/>
    <w:rsid w:val="00742FDE"/>
    <w:rsid w:val="0074333D"/>
    <w:rsid w:val="007433A8"/>
    <w:rsid w:val="0074341B"/>
    <w:rsid w:val="007434C2"/>
    <w:rsid w:val="00743855"/>
    <w:rsid w:val="00743902"/>
    <w:rsid w:val="00743BC2"/>
    <w:rsid w:val="007441EF"/>
    <w:rsid w:val="007442A0"/>
    <w:rsid w:val="0074513C"/>
    <w:rsid w:val="00745202"/>
    <w:rsid w:val="00745AE2"/>
    <w:rsid w:val="00745D31"/>
    <w:rsid w:val="00745E69"/>
    <w:rsid w:val="007460D2"/>
    <w:rsid w:val="00746496"/>
    <w:rsid w:val="007464D9"/>
    <w:rsid w:val="00746545"/>
    <w:rsid w:val="007467CB"/>
    <w:rsid w:val="007468A1"/>
    <w:rsid w:val="00746CD7"/>
    <w:rsid w:val="00746E56"/>
    <w:rsid w:val="00747271"/>
    <w:rsid w:val="007472DB"/>
    <w:rsid w:val="00747446"/>
    <w:rsid w:val="0075020E"/>
    <w:rsid w:val="00750ADC"/>
    <w:rsid w:val="00751951"/>
    <w:rsid w:val="00751B5E"/>
    <w:rsid w:val="00751C90"/>
    <w:rsid w:val="00751D94"/>
    <w:rsid w:val="00752D12"/>
    <w:rsid w:val="00752FB7"/>
    <w:rsid w:val="00753344"/>
    <w:rsid w:val="007533E8"/>
    <w:rsid w:val="007535C0"/>
    <w:rsid w:val="00753677"/>
    <w:rsid w:val="00754CC2"/>
    <w:rsid w:val="00754E1B"/>
    <w:rsid w:val="007550AC"/>
    <w:rsid w:val="00755212"/>
    <w:rsid w:val="007554D0"/>
    <w:rsid w:val="00755584"/>
    <w:rsid w:val="00755EEF"/>
    <w:rsid w:val="00755F62"/>
    <w:rsid w:val="0075614F"/>
    <w:rsid w:val="0075680E"/>
    <w:rsid w:val="00756F0E"/>
    <w:rsid w:val="00757305"/>
    <w:rsid w:val="00757E5B"/>
    <w:rsid w:val="00760857"/>
    <w:rsid w:val="007608A0"/>
    <w:rsid w:val="00760B75"/>
    <w:rsid w:val="00760C99"/>
    <w:rsid w:val="00761874"/>
    <w:rsid w:val="00761B44"/>
    <w:rsid w:val="00761BB2"/>
    <w:rsid w:val="00761EBA"/>
    <w:rsid w:val="0076223A"/>
    <w:rsid w:val="00762F70"/>
    <w:rsid w:val="007632D0"/>
    <w:rsid w:val="00763528"/>
    <w:rsid w:val="0076358A"/>
    <w:rsid w:val="00763916"/>
    <w:rsid w:val="00763A26"/>
    <w:rsid w:val="00763B62"/>
    <w:rsid w:val="00764208"/>
    <w:rsid w:val="0076489F"/>
    <w:rsid w:val="00764F9B"/>
    <w:rsid w:val="0076513D"/>
    <w:rsid w:val="007652FC"/>
    <w:rsid w:val="0076565E"/>
    <w:rsid w:val="0076575E"/>
    <w:rsid w:val="0076602B"/>
    <w:rsid w:val="00766089"/>
    <w:rsid w:val="00766B1A"/>
    <w:rsid w:val="00766F2C"/>
    <w:rsid w:val="007670B1"/>
    <w:rsid w:val="007670BC"/>
    <w:rsid w:val="00767218"/>
    <w:rsid w:val="007678C5"/>
    <w:rsid w:val="007707F6"/>
    <w:rsid w:val="007709AA"/>
    <w:rsid w:val="0077151D"/>
    <w:rsid w:val="00771BAC"/>
    <w:rsid w:val="00771CCB"/>
    <w:rsid w:val="00771CE6"/>
    <w:rsid w:val="00771FAE"/>
    <w:rsid w:val="00772078"/>
    <w:rsid w:val="00772297"/>
    <w:rsid w:val="007723E1"/>
    <w:rsid w:val="007724AB"/>
    <w:rsid w:val="00772D1D"/>
    <w:rsid w:val="00772D30"/>
    <w:rsid w:val="00773450"/>
    <w:rsid w:val="007735FC"/>
    <w:rsid w:val="007737C5"/>
    <w:rsid w:val="00773C9B"/>
    <w:rsid w:val="00773EE7"/>
    <w:rsid w:val="007740FA"/>
    <w:rsid w:val="0077418E"/>
    <w:rsid w:val="007744B5"/>
    <w:rsid w:val="00774584"/>
    <w:rsid w:val="0077466C"/>
    <w:rsid w:val="007746F0"/>
    <w:rsid w:val="00774732"/>
    <w:rsid w:val="00774D21"/>
    <w:rsid w:val="00774F49"/>
    <w:rsid w:val="007750F2"/>
    <w:rsid w:val="0077597E"/>
    <w:rsid w:val="00775BAF"/>
    <w:rsid w:val="00776121"/>
    <w:rsid w:val="00776207"/>
    <w:rsid w:val="00776406"/>
    <w:rsid w:val="007766FD"/>
    <w:rsid w:val="00776815"/>
    <w:rsid w:val="00776962"/>
    <w:rsid w:val="00776F54"/>
    <w:rsid w:val="00777143"/>
    <w:rsid w:val="007772BA"/>
    <w:rsid w:val="007776E6"/>
    <w:rsid w:val="00777736"/>
    <w:rsid w:val="00777E75"/>
    <w:rsid w:val="00777ED5"/>
    <w:rsid w:val="00777F20"/>
    <w:rsid w:val="00777F69"/>
    <w:rsid w:val="0078012A"/>
    <w:rsid w:val="007803C4"/>
    <w:rsid w:val="00780B55"/>
    <w:rsid w:val="00780DFB"/>
    <w:rsid w:val="00781295"/>
    <w:rsid w:val="00781413"/>
    <w:rsid w:val="007819CB"/>
    <w:rsid w:val="00781E4F"/>
    <w:rsid w:val="00782B26"/>
    <w:rsid w:val="00782CA0"/>
    <w:rsid w:val="00783AD0"/>
    <w:rsid w:val="00783E85"/>
    <w:rsid w:val="00784069"/>
    <w:rsid w:val="00784095"/>
    <w:rsid w:val="007844A7"/>
    <w:rsid w:val="00784B00"/>
    <w:rsid w:val="00784C58"/>
    <w:rsid w:val="00784E22"/>
    <w:rsid w:val="00785346"/>
    <w:rsid w:val="00785964"/>
    <w:rsid w:val="0078607F"/>
    <w:rsid w:val="007860D2"/>
    <w:rsid w:val="0078624B"/>
    <w:rsid w:val="007863D2"/>
    <w:rsid w:val="007867F5"/>
    <w:rsid w:val="00786C34"/>
    <w:rsid w:val="00786C8E"/>
    <w:rsid w:val="00786C99"/>
    <w:rsid w:val="00786CC9"/>
    <w:rsid w:val="00786CDE"/>
    <w:rsid w:val="00786CFE"/>
    <w:rsid w:val="00786D01"/>
    <w:rsid w:val="00786F42"/>
    <w:rsid w:val="007872B9"/>
    <w:rsid w:val="0078738D"/>
    <w:rsid w:val="00787493"/>
    <w:rsid w:val="007874AF"/>
    <w:rsid w:val="0078770C"/>
    <w:rsid w:val="007878CE"/>
    <w:rsid w:val="00787CF8"/>
    <w:rsid w:val="00787EE6"/>
    <w:rsid w:val="00787EF2"/>
    <w:rsid w:val="00787F22"/>
    <w:rsid w:val="007902BF"/>
    <w:rsid w:val="007903F5"/>
    <w:rsid w:val="00790850"/>
    <w:rsid w:val="007909D2"/>
    <w:rsid w:val="00790C8D"/>
    <w:rsid w:val="00791073"/>
    <w:rsid w:val="00791077"/>
    <w:rsid w:val="007916DE"/>
    <w:rsid w:val="0079191F"/>
    <w:rsid w:val="00791A0A"/>
    <w:rsid w:val="00791E56"/>
    <w:rsid w:val="00791FE0"/>
    <w:rsid w:val="0079211E"/>
    <w:rsid w:val="007922F2"/>
    <w:rsid w:val="0079238C"/>
    <w:rsid w:val="0079238D"/>
    <w:rsid w:val="00792BA4"/>
    <w:rsid w:val="00792E05"/>
    <w:rsid w:val="007931FF"/>
    <w:rsid w:val="007932E5"/>
    <w:rsid w:val="00793325"/>
    <w:rsid w:val="0079348D"/>
    <w:rsid w:val="007934CF"/>
    <w:rsid w:val="007935A2"/>
    <w:rsid w:val="00793D70"/>
    <w:rsid w:val="00793DE2"/>
    <w:rsid w:val="00793F74"/>
    <w:rsid w:val="0079412E"/>
    <w:rsid w:val="0079417B"/>
    <w:rsid w:val="0079429F"/>
    <w:rsid w:val="00794643"/>
    <w:rsid w:val="00794941"/>
    <w:rsid w:val="00794993"/>
    <w:rsid w:val="00794BD1"/>
    <w:rsid w:val="00795151"/>
    <w:rsid w:val="00795481"/>
    <w:rsid w:val="00795959"/>
    <w:rsid w:val="00795A1C"/>
    <w:rsid w:val="00795A64"/>
    <w:rsid w:val="00795AF7"/>
    <w:rsid w:val="00795D8D"/>
    <w:rsid w:val="007965AD"/>
    <w:rsid w:val="00796719"/>
    <w:rsid w:val="00796BBA"/>
    <w:rsid w:val="0079770C"/>
    <w:rsid w:val="007A00A6"/>
    <w:rsid w:val="007A024D"/>
    <w:rsid w:val="007A0417"/>
    <w:rsid w:val="007A095E"/>
    <w:rsid w:val="007A0B3C"/>
    <w:rsid w:val="007A0FCE"/>
    <w:rsid w:val="007A11CC"/>
    <w:rsid w:val="007A12B1"/>
    <w:rsid w:val="007A139E"/>
    <w:rsid w:val="007A170E"/>
    <w:rsid w:val="007A1DC0"/>
    <w:rsid w:val="007A1FC3"/>
    <w:rsid w:val="007A1FFD"/>
    <w:rsid w:val="007A2088"/>
    <w:rsid w:val="007A22CC"/>
    <w:rsid w:val="007A2546"/>
    <w:rsid w:val="007A2597"/>
    <w:rsid w:val="007A25F3"/>
    <w:rsid w:val="007A26F7"/>
    <w:rsid w:val="007A2777"/>
    <w:rsid w:val="007A2941"/>
    <w:rsid w:val="007A2A7C"/>
    <w:rsid w:val="007A2DB6"/>
    <w:rsid w:val="007A2E2C"/>
    <w:rsid w:val="007A31EC"/>
    <w:rsid w:val="007A33A8"/>
    <w:rsid w:val="007A3848"/>
    <w:rsid w:val="007A4495"/>
    <w:rsid w:val="007A449F"/>
    <w:rsid w:val="007A47F2"/>
    <w:rsid w:val="007A48C7"/>
    <w:rsid w:val="007A4D06"/>
    <w:rsid w:val="007A5038"/>
    <w:rsid w:val="007A51C5"/>
    <w:rsid w:val="007A5677"/>
    <w:rsid w:val="007A5684"/>
    <w:rsid w:val="007A58BD"/>
    <w:rsid w:val="007A6180"/>
    <w:rsid w:val="007A6548"/>
    <w:rsid w:val="007A658F"/>
    <w:rsid w:val="007A6C8E"/>
    <w:rsid w:val="007A6CC3"/>
    <w:rsid w:val="007A6DE3"/>
    <w:rsid w:val="007A7151"/>
    <w:rsid w:val="007A71A1"/>
    <w:rsid w:val="007A74ED"/>
    <w:rsid w:val="007A75D7"/>
    <w:rsid w:val="007A77E1"/>
    <w:rsid w:val="007B02FB"/>
    <w:rsid w:val="007B030C"/>
    <w:rsid w:val="007B0377"/>
    <w:rsid w:val="007B05C2"/>
    <w:rsid w:val="007B0AC3"/>
    <w:rsid w:val="007B0CA7"/>
    <w:rsid w:val="007B0F9D"/>
    <w:rsid w:val="007B1450"/>
    <w:rsid w:val="007B159A"/>
    <w:rsid w:val="007B15E1"/>
    <w:rsid w:val="007B19E5"/>
    <w:rsid w:val="007B1BD9"/>
    <w:rsid w:val="007B2365"/>
    <w:rsid w:val="007B2623"/>
    <w:rsid w:val="007B274C"/>
    <w:rsid w:val="007B2A5E"/>
    <w:rsid w:val="007B2C18"/>
    <w:rsid w:val="007B3085"/>
    <w:rsid w:val="007B3344"/>
    <w:rsid w:val="007B3375"/>
    <w:rsid w:val="007B346F"/>
    <w:rsid w:val="007B3B23"/>
    <w:rsid w:val="007B3B8F"/>
    <w:rsid w:val="007B3D6E"/>
    <w:rsid w:val="007B49AE"/>
    <w:rsid w:val="007B4A4D"/>
    <w:rsid w:val="007B4AA1"/>
    <w:rsid w:val="007B4C7E"/>
    <w:rsid w:val="007B4E74"/>
    <w:rsid w:val="007B4F9F"/>
    <w:rsid w:val="007B5148"/>
    <w:rsid w:val="007B54F2"/>
    <w:rsid w:val="007B5586"/>
    <w:rsid w:val="007B560E"/>
    <w:rsid w:val="007B572A"/>
    <w:rsid w:val="007B57BF"/>
    <w:rsid w:val="007B5C14"/>
    <w:rsid w:val="007B5EDA"/>
    <w:rsid w:val="007B619E"/>
    <w:rsid w:val="007B6AA5"/>
    <w:rsid w:val="007B73A5"/>
    <w:rsid w:val="007B7782"/>
    <w:rsid w:val="007B7790"/>
    <w:rsid w:val="007B7EDD"/>
    <w:rsid w:val="007C006F"/>
    <w:rsid w:val="007C031D"/>
    <w:rsid w:val="007C0467"/>
    <w:rsid w:val="007C1705"/>
    <w:rsid w:val="007C1EE0"/>
    <w:rsid w:val="007C2215"/>
    <w:rsid w:val="007C23DE"/>
    <w:rsid w:val="007C2B78"/>
    <w:rsid w:val="007C2D9F"/>
    <w:rsid w:val="007C2DEA"/>
    <w:rsid w:val="007C2E39"/>
    <w:rsid w:val="007C3391"/>
    <w:rsid w:val="007C3AD0"/>
    <w:rsid w:val="007C428B"/>
    <w:rsid w:val="007C4743"/>
    <w:rsid w:val="007C4FED"/>
    <w:rsid w:val="007C573A"/>
    <w:rsid w:val="007C5983"/>
    <w:rsid w:val="007C5ABC"/>
    <w:rsid w:val="007C5DCD"/>
    <w:rsid w:val="007C62FB"/>
    <w:rsid w:val="007C63E9"/>
    <w:rsid w:val="007C6488"/>
    <w:rsid w:val="007C6500"/>
    <w:rsid w:val="007C6568"/>
    <w:rsid w:val="007C6D54"/>
    <w:rsid w:val="007C6F9F"/>
    <w:rsid w:val="007C736E"/>
    <w:rsid w:val="007C7561"/>
    <w:rsid w:val="007C7B3F"/>
    <w:rsid w:val="007C7D88"/>
    <w:rsid w:val="007C7E0A"/>
    <w:rsid w:val="007C7F01"/>
    <w:rsid w:val="007D008C"/>
    <w:rsid w:val="007D05D8"/>
    <w:rsid w:val="007D0748"/>
    <w:rsid w:val="007D0DC3"/>
    <w:rsid w:val="007D1069"/>
    <w:rsid w:val="007D107E"/>
    <w:rsid w:val="007D1511"/>
    <w:rsid w:val="007D16A1"/>
    <w:rsid w:val="007D207C"/>
    <w:rsid w:val="007D2788"/>
    <w:rsid w:val="007D2C3D"/>
    <w:rsid w:val="007D2D4D"/>
    <w:rsid w:val="007D2DE5"/>
    <w:rsid w:val="007D36AC"/>
    <w:rsid w:val="007D3EE9"/>
    <w:rsid w:val="007D4082"/>
    <w:rsid w:val="007D4545"/>
    <w:rsid w:val="007D46FB"/>
    <w:rsid w:val="007D475F"/>
    <w:rsid w:val="007D4882"/>
    <w:rsid w:val="007D4A6D"/>
    <w:rsid w:val="007D4F4F"/>
    <w:rsid w:val="007D52DD"/>
    <w:rsid w:val="007D5468"/>
    <w:rsid w:val="007D5613"/>
    <w:rsid w:val="007D5A65"/>
    <w:rsid w:val="007D5CBE"/>
    <w:rsid w:val="007D5CF6"/>
    <w:rsid w:val="007D5FE6"/>
    <w:rsid w:val="007D6956"/>
    <w:rsid w:val="007D7534"/>
    <w:rsid w:val="007D790B"/>
    <w:rsid w:val="007D7EDC"/>
    <w:rsid w:val="007D7FFB"/>
    <w:rsid w:val="007E0140"/>
    <w:rsid w:val="007E017C"/>
    <w:rsid w:val="007E043B"/>
    <w:rsid w:val="007E0736"/>
    <w:rsid w:val="007E0B24"/>
    <w:rsid w:val="007E0D1E"/>
    <w:rsid w:val="007E0DD0"/>
    <w:rsid w:val="007E1294"/>
    <w:rsid w:val="007E1B53"/>
    <w:rsid w:val="007E2219"/>
    <w:rsid w:val="007E225F"/>
    <w:rsid w:val="007E2713"/>
    <w:rsid w:val="007E2855"/>
    <w:rsid w:val="007E2908"/>
    <w:rsid w:val="007E2D10"/>
    <w:rsid w:val="007E34A2"/>
    <w:rsid w:val="007E3750"/>
    <w:rsid w:val="007E390C"/>
    <w:rsid w:val="007E3983"/>
    <w:rsid w:val="007E3A17"/>
    <w:rsid w:val="007E3B7D"/>
    <w:rsid w:val="007E3F9F"/>
    <w:rsid w:val="007E4B5D"/>
    <w:rsid w:val="007E4B78"/>
    <w:rsid w:val="007E5052"/>
    <w:rsid w:val="007E5116"/>
    <w:rsid w:val="007E53C2"/>
    <w:rsid w:val="007E55E3"/>
    <w:rsid w:val="007E5679"/>
    <w:rsid w:val="007E57A6"/>
    <w:rsid w:val="007E5E95"/>
    <w:rsid w:val="007E5FCB"/>
    <w:rsid w:val="007E6284"/>
    <w:rsid w:val="007E63C4"/>
    <w:rsid w:val="007E63FD"/>
    <w:rsid w:val="007E64B0"/>
    <w:rsid w:val="007E6502"/>
    <w:rsid w:val="007E69F0"/>
    <w:rsid w:val="007E6B06"/>
    <w:rsid w:val="007E6B89"/>
    <w:rsid w:val="007E6D47"/>
    <w:rsid w:val="007E760F"/>
    <w:rsid w:val="007E79F9"/>
    <w:rsid w:val="007E7D80"/>
    <w:rsid w:val="007E7E80"/>
    <w:rsid w:val="007F009C"/>
    <w:rsid w:val="007F0587"/>
    <w:rsid w:val="007F0FD3"/>
    <w:rsid w:val="007F1208"/>
    <w:rsid w:val="007F1445"/>
    <w:rsid w:val="007F18BD"/>
    <w:rsid w:val="007F18E5"/>
    <w:rsid w:val="007F1BE4"/>
    <w:rsid w:val="007F22F4"/>
    <w:rsid w:val="007F2526"/>
    <w:rsid w:val="007F263A"/>
    <w:rsid w:val="007F2CD9"/>
    <w:rsid w:val="007F3765"/>
    <w:rsid w:val="007F41F7"/>
    <w:rsid w:val="007F4508"/>
    <w:rsid w:val="007F478C"/>
    <w:rsid w:val="007F50E0"/>
    <w:rsid w:val="007F515F"/>
    <w:rsid w:val="007F5AA3"/>
    <w:rsid w:val="007F5DF7"/>
    <w:rsid w:val="007F607A"/>
    <w:rsid w:val="007F60EC"/>
    <w:rsid w:val="007F6488"/>
    <w:rsid w:val="007F66B1"/>
    <w:rsid w:val="007F6F64"/>
    <w:rsid w:val="007F6F6E"/>
    <w:rsid w:val="007F7063"/>
    <w:rsid w:val="007F72E1"/>
    <w:rsid w:val="007F7463"/>
    <w:rsid w:val="007F77D6"/>
    <w:rsid w:val="007F7B4E"/>
    <w:rsid w:val="0080043C"/>
    <w:rsid w:val="00800684"/>
    <w:rsid w:val="00800758"/>
    <w:rsid w:val="00800860"/>
    <w:rsid w:val="00800CE1"/>
    <w:rsid w:val="00800D9E"/>
    <w:rsid w:val="00801140"/>
    <w:rsid w:val="008014B8"/>
    <w:rsid w:val="00801500"/>
    <w:rsid w:val="0080153B"/>
    <w:rsid w:val="00801A4B"/>
    <w:rsid w:val="00801AFC"/>
    <w:rsid w:val="00801C33"/>
    <w:rsid w:val="00801D17"/>
    <w:rsid w:val="00801D87"/>
    <w:rsid w:val="008022B0"/>
    <w:rsid w:val="00802D9C"/>
    <w:rsid w:val="00802FBA"/>
    <w:rsid w:val="00803386"/>
    <w:rsid w:val="008035F8"/>
    <w:rsid w:val="00803D92"/>
    <w:rsid w:val="0080475D"/>
    <w:rsid w:val="00804802"/>
    <w:rsid w:val="00804A7A"/>
    <w:rsid w:val="00804B36"/>
    <w:rsid w:val="00805259"/>
    <w:rsid w:val="008052F4"/>
    <w:rsid w:val="00805395"/>
    <w:rsid w:val="008055B3"/>
    <w:rsid w:val="0080575E"/>
    <w:rsid w:val="00805761"/>
    <w:rsid w:val="00805A43"/>
    <w:rsid w:val="008060FD"/>
    <w:rsid w:val="008062AC"/>
    <w:rsid w:val="008065BD"/>
    <w:rsid w:val="00806603"/>
    <w:rsid w:val="00806627"/>
    <w:rsid w:val="00806786"/>
    <w:rsid w:val="00806F4E"/>
    <w:rsid w:val="008070CC"/>
    <w:rsid w:val="00807456"/>
    <w:rsid w:val="00807A34"/>
    <w:rsid w:val="00807F02"/>
    <w:rsid w:val="0081051F"/>
    <w:rsid w:val="008107B9"/>
    <w:rsid w:val="008107F5"/>
    <w:rsid w:val="00810C15"/>
    <w:rsid w:val="00810C19"/>
    <w:rsid w:val="00810D4B"/>
    <w:rsid w:val="00810DED"/>
    <w:rsid w:val="00810E7A"/>
    <w:rsid w:val="0081123D"/>
    <w:rsid w:val="008114A7"/>
    <w:rsid w:val="00811887"/>
    <w:rsid w:val="008119E8"/>
    <w:rsid w:val="00811A14"/>
    <w:rsid w:val="00811B87"/>
    <w:rsid w:val="00812968"/>
    <w:rsid w:val="00812A74"/>
    <w:rsid w:val="00812BBA"/>
    <w:rsid w:val="00812CE7"/>
    <w:rsid w:val="0081394E"/>
    <w:rsid w:val="00813BBD"/>
    <w:rsid w:val="00813DB8"/>
    <w:rsid w:val="00813E0F"/>
    <w:rsid w:val="00814882"/>
    <w:rsid w:val="008148D1"/>
    <w:rsid w:val="00814A3D"/>
    <w:rsid w:val="00814B8F"/>
    <w:rsid w:val="00814CA5"/>
    <w:rsid w:val="00814D34"/>
    <w:rsid w:val="00814DF7"/>
    <w:rsid w:val="00814FCF"/>
    <w:rsid w:val="00815ADD"/>
    <w:rsid w:val="008162C4"/>
    <w:rsid w:val="00816391"/>
    <w:rsid w:val="00816453"/>
    <w:rsid w:val="008165D9"/>
    <w:rsid w:val="00816713"/>
    <w:rsid w:val="0081676D"/>
    <w:rsid w:val="008169D5"/>
    <w:rsid w:val="00816B57"/>
    <w:rsid w:val="00816BF2"/>
    <w:rsid w:val="00816C66"/>
    <w:rsid w:val="00817052"/>
    <w:rsid w:val="0081737C"/>
    <w:rsid w:val="008173FF"/>
    <w:rsid w:val="0081767A"/>
    <w:rsid w:val="008177CD"/>
    <w:rsid w:val="0081792B"/>
    <w:rsid w:val="00817D86"/>
    <w:rsid w:val="008201DF"/>
    <w:rsid w:val="0082024B"/>
    <w:rsid w:val="00820755"/>
    <w:rsid w:val="00820A0E"/>
    <w:rsid w:val="00820D47"/>
    <w:rsid w:val="00821153"/>
    <w:rsid w:val="0082122D"/>
    <w:rsid w:val="0082127F"/>
    <w:rsid w:val="00821296"/>
    <w:rsid w:val="00821383"/>
    <w:rsid w:val="00821C5B"/>
    <w:rsid w:val="00821D71"/>
    <w:rsid w:val="008220E3"/>
    <w:rsid w:val="008225F2"/>
    <w:rsid w:val="00822B47"/>
    <w:rsid w:val="00822FE4"/>
    <w:rsid w:val="008231B8"/>
    <w:rsid w:val="008233D3"/>
    <w:rsid w:val="008235DC"/>
    <w:rsid w:val="00823725"/>
    <w:rsid w:val="00823E0A"/>
    <w:rsid w:val="00824534"/>
    <w:rsid w:val="00824740"/>
    <w:rsid w:val="00824A6B"/>
    <w:rsid w:val="00824D0A"/>
    <w:rsid w:val="00824E02"/>
    <w:rsid w:val="0082505F"/>
    <w:rsid w:val="008250A7"/>
    <w:rsid w:val="008251B2"/>
    <w:rsid w:val="00825CEB"/>
    <w:rsid w:val="00825EC4"/>
    <w:rsid w:val="00825F94"/>
    <w:rsid w:val="00826063"/>
    <w:rsid w:val="0082614F"/>
    <w:rsid w:val="00826649"/>
    <w:rsid w:val="0082699B"/>
    <w:rsid w:val="00826CB7"/>
    <w:rsid w:val="00827111"/>
    <w:rsid w:val="00827174"/>
    <w:rsid w:val="00827206"/>
    <w:rsid w:val="0082796D"/>
    <w:rsid w:val="00830013"/>
    <w:rsid w:val="00830B49"/>
    <w:rsid w:val="0083135D"/>
    <w:rsid w:val="008315D0"/>
    <w:rsid w:val="0083163D"/>
    <w:rsid w:val="0083173B"/>
    <w:rsid w:val="00831C66"/>
    <w:rsid w:val="008320D8"/>
    <w:rsid w:val="0083245E"/>
    <w:rsid w:val="00832969"/>
    <w:rsid w:val="00832D26"/>
    <w:rsid w:val="008330BA"/>
    <w:rsid w:val="00833A61"/>
    <w:rsid w:val="00833BAB"/>
    <w:rsid w:val="00834F72"/>
    <w:rsid w:val="008351EE"/>
    <w:rsid w:val="00835375"/>
    <w:rsid w:val="00835D5E"/>
    <w:rsid w:val="00835E48"/>
    <w:rsid w:val="00836F76"/>
    <w:rsid w:val="008371BB"/>
    <w:rsid w:val="00837234"/>
    <w:rsid w:val="00837252"/>
    <w:rsid w:val="008377B8"/>
    <w:rsid w:val="00840317"/>
    <w:rsid w:val="008408AF"/>
    <w:rsid w:val="00840A86"/>
    <w:rsid w:val="00840D1A"/>
    <w:rsid w:val="00840D3B"/>
    <w:rsid w:val="0084185E"/>
    <w:rsid w:val="008419F7"/>
    <w:rsid w:val="00841C36"/>
    <w:rsid w:val="008420EA"/>
    <w:rsid w:val="008423B2"/>
    <w:rsid w:val="008432DE"/>
    <w:rsid w:val="00843700"/>
    <w:rsid w:val="00843C38"/>
    <w:rsid w:val="0084426E"/>
    <w:rsid w:val="0084466C"/>
    <w:rsid w:val="008447CC"/>
    <w:rsid w:val="0084481F"/>
    <w:rsid w:val="00844B25"/>
    <w:rsid w:val="00844C3F"/>
    <w:rsid w:val="00845949"/>
    <w:rsid w:val="00845DCF"/>
    <w:rsid w:val="00845F20"/>
    <w:rsid w:val="0084652B"/>
    <w:rsid w:val="00846C12"/>
    <w:rsid w:val="008471CF"/>
    <w:rsid w:val="00847682"/>
    <w:rsid w:val="00847826"/>
    <w:rsid w:val="00847B66"/>
    <w:rsid w:val="00847E5A"/>
    <w:rsid w:val="00850214"/>
    <w:rsid w:val="00850453"/>
    <w:rsid w:val="008506D4"/>
    <w:rsid w:val="008509CA"/>
    <w:rsid w:val="00850BFC"/>
    <w:rsid w:val="00850F03"/>
    <w:rsid w:val="008514EA"/>
    <w:rsid w:val="00851956"/>
    <w:rsid w:val="00851AF4"/>
    <w:rsid w:val="00851CC7"/>
    <w:rsid w:val="00851F84"/>
    <w:rsid w:val="00851FEC"/>
    <w:rsid w:val="00852472"/>
    <w:rsid w:val="0085269A"/>
    <w:rsid w:val="008529BE"/>
    <w:rsid w:val="00852BF6"/>
    <w:rsid w:val="00852E09"/>
    <w:rsid w:val="00853931"/>
    <w:rsid w:val="00854135"/>
    <w:rsid w:val="008547D1"/>
    <w:rsid w:val="00854E04"/>
    <w:rsid w:val="00855362"/>
    <w:rsid w:val="00855450"/>
    <w:rsid w:val="008558FF"/>
    <w:rsid w:val="00855B2D"/>
    <w:rsid w:val="00855E47"/>
    <w:rsid w:val="00856AA3"/>
    <w:rsid w:val="008572D7"/>
    <w:rsid w:val="00857400"/>
    <w:rsid w:val="008575C9"/>
    <w:rsid w:val="00857909"/>
    <w:rsid w:val="00857AAC"/>
    <w:rsid w:val="008601CD"/>
    <w:rsid w:val="00860564"/>
    <w:rsid w:val="00860681"/>
    <w:rsid w:val="00860C70"/>
    <w:rsid w:val="0086107D"/>
    <w:rsid w:val="00861573"/>
    <w:rsid w:val="00861692"/>
    <w:rsid w:val="008616A0"/>
    <w:rsid w:val="0086171D"/>
    <w:rsid w:val="00861848"/>
    <w:rsid w:val="008618AD"/>
    <w:rsid w:val="0086276C"/>
    <w:rsid w:val="00862D20"/>
    <w:rsid w:val="00863D28"/>
    <w:rsid w:val="00863E15"/>
    <w:rsid w:val="00864294"/>
    <w:rsid w:val="008647A1"/>
    <w:rsid w:val="00864CE8"/>
    <w:rsid w:val="00864EA8"/>
    <w:rsid w:val="00864F07"/>
    <w:rsid w:val="00864F30"/>
    <w:rsid w:val="0086532E"/>
    <w:rsid w:val="008654C8"/>
    <w:rsid w:val="00865670"/>
    <w:rsid w:val="008657E8"/>
    <w:rsid w:val="00865E25"/>
    <w:rsid w:val="0086621E"/>
    <w:rsid w:val="008668D7"/>
    <w:rsid w:val="00866953"/>
    <w:rsid w:val="00866D88"/>
    <w:rsid w:val="00867520"/>
    <w:rsid w:val="00867E4C"/>
    <w:rsid w:val="008703AF"/>
    <w:rsid w:val="008706D3"/>
    <w:rsid w:val="0087079D"/>
    <w:rsid w:val="008715D5"/>
    <w:rsid w:val="008716FC"/>
    <w:rsid w:val="00871A85"/>
    <w:rsid w:val="00871ABA"/>
    <w:rsid w:val="0087209D"/>
    <w:rsid w:val="0087253E"/>
    <w:rsid w:val="00872848"/>
    <w:rsid w:val="00872A26"/>
    <w:rsid w:val="00872ADD"/>
    <w:rsid w:val="00872EDC"/>
    <w:rsid w:val="00873002"/>
    <w:rsid w:val="00873498"/>
    <w:rsid w:val="00873581"/>
    <w:rsid w:val="00873B82"/>
    <w:rsid w:val="00874582"/>
    <w:rsid w:val="0087472B"/>
    <w:rsid w:val="00874EF9"/>
    <w:rsid w:val="0087547D"/>
    <w:rsid w:val="008755A1"/>
    <w:rsid w:val="008755DD"/>
    <w:rsid w:val="008755F7"/>
    <w:rsid w:val="008758F7"/>
    <w:rsid w:val="00875A82"/>
    <w:rsid w:val="00875B04"/>
    <w:rsid w:val="00875B6E"/>
    <w:rsid w:val="00875CFB"/>
    <w:rsid w:val="00876076"/>
    <w:rsid w:val="0087696D"/>
    <w:rsid w:val="00876C17"/>
    <w:rsid w:val="00876CFA"/>
    <w:rsid w:val="00876E1D"/>
    <w:rsid w:val="00877384"/>
    <w:rsid w:val="00877617"/>
    <w:rsid w:val="00877621"/>
    <w:rsid w:val="00877CC9"/>
    <w:rsid w:val="00877FC8"/>
    <w:rsid w:val="008809A3"/>
    <w:rsid w:val="00880C4E"/>
    <w:rsid w:val="00881336"/>
    <w:rsid w:val="00881369"/>
    <w:rsid w:val="0088165D"/>
    <w:rsid w:val="0088176F"/>
    <w:rsid w:val="00881CF6"/>
    <w:rsid w:val="00881F8A"/>
    <w:rsid w:val="008820C0"/>
    <w:rsid w:val="00882973"/>
    <w:rsid w:val="008829E9"/>
    <w:rsid w:val="0088319C"/>
    <w:rsid w:val="00883495"/>
    <w:rsid w:val="00883670"/>
    <w:rsid w:val="00883FB1"/>
    <w:rsid w:val="00884207"/>
    <w:rsid w:val="00884870"/>
    <w:rsid w:val="008848F0"/>
    <w:rsid w:val="00884979"/>
    <w:rsid w:val="00884F3B"/>
    <w:rsid w:val="00885254"/>
    <w:rsid w:val="0088535C"/>
    <w:rsid w:val="008853AC"/>
    <w:rsid w:val="00885654"/>
    <w:rsid w:val="00886865"/>
    <w:rsid w:val="008872EA"/>
    <w:rsid w:val="008874D6"/>
    <w:rsid w:val="00887F0D"/>
    <w:rsid w:val="00890786"/>
    <w:rsid w:val="00890899"/>
    <w:rsid w:val="00890E4C"/>
    <w:rsid w:val="008913D9"/>
    <w:rsid w:val="0089140E"/>
    <w:rsid w:val="0089147E"/>
    <w:rsid w:val="00891558"/>
    <w:rsid w:val="00891578"/>
    <w:rsid w:val="0089159A"/>
    <w:rsid w:val="0089162C"/>
    <w:rsid w:val="00891BBA"/>
    <w:rsid w:val="00891F6D"/>
    <w:rsid w:val="00892579"/>
    <w:rsid w:val="00892857"/>
    <w:rsid w:val="00892A63"/>
    <w:rsid w:val="0089362E"/>
    <w:rsid w:val="008936B8"/>
    <w:rsid w:val="00894117"/>
    <w:rsid w:val="0089418B"/>
    <w:rsid w:val="00894284"/>
    <w:rsid w:val="008942FF"/>
    <w:rsid w:val="00894631"/>
    <w:rsid w:val="008947B7"/>
    <w:rsid w:val="008962FF"/>
    <w:rsid w:val="00896951"/>
    <w:rsid w:val="00897167"/>
    <w:rsid w:val="00897430"/>
    <w:rsid w:val="008976EA"/>
    <w:rsid w:val="008A03F8"/>
    <w:rsid w:val="008A0880"/>
    <w:rsid w:val="008A0C18"/>
    <w:rsid w:val="008A0E6D"/>
    <w:rsid w:val="008A11C3"/>
    <w:rsid w:val="008A1474"/>
    <w:rsid w:val="008A17A6"/>
    <w:rsid w:val="008A1945"/>
    <w:rsid w:val="008A1F10"/>
    <w:rsid w:val="008A202A"/>
    <w:rsid w:val="008A20C7"/>
    <w:rsid w:val="008A24D9"/>
    <w:rsid w:val="008A2C68"/>
    <w:rsid w:val="008A2ECC"/>
    <w:rsid w:val="008A31F6"/>
    <w:rsid w:val="008A3479"/>
    <w:rsid w:val="008A3505"/>
    <w:rsid w:val="008A37F0"/>
    <w:rsid w:val="008A38AA"/>
    <w:rsid w:val="008A3BE0"/>
    <w:rsid w:val="008A3EF6"/>
    <w:rsid w:val="008A4526"/>
    <w:rsid w:val="008A4562"/>
    <w:rsid w:val="008A4772"/>
    <w:rsid w:val="008A48E6"/>
    <w:rsid w:val="008A598F"/>
    <w:rsid w:val="008A5B4A"/>
    <w:rsid w:val="008A5E23"/>
    <w:rsid w:val="008A638A"/>
    <w:rsid w:val="008A6541"/>
    <w:rsid w:val="008A677D"/>
    <w:rsid w:val="008A6915"/>
    <w:rsid w:val="008A69F5"/>
    <w:rsid w:val="008A6D7B"/>
    <w:rsid w:val="008A6EA5"/>
    <w:rsid w:val="008A7212"/>
    <w:rsid w:val="008A740E"/>
    <w:rsid w:val="008B0852"/>
    <w:rsid w:val="008B08FC"/>
    <w:rsid w:val="008B0BA5"/>
    <w:rsid w:val="008B0BF6"/>
    <w:rsid w:val="008B0C2A"/>
    <w:rsid w:val="008B0D8B"/>
    <w:rsid w:val="008B196B"/>
    <w:rsid w:val="008B1A4F"/>
    <w:rsid w:val="008B1B15"/>
    <w:rsid w:val="008B1CAA"/>
    <w:rsid w:val="008B20EC"/>
    <w:rsid w:val="008B2281"/>
    <w:rsid w:val="008B2C83"/>
    <w:rsid w:val="008B2D5A"/>
    <w:rsid w:val="008B3085"/>
    <w:rsid w:val="008B35B8"/>
    <w:rsid w:val="008B3646"/>
    <w:rsid w:val="008B38A5"/>
    <w:rsid w:val="008B3AA4"/>
    <w:rsid w:val="008B3B56"/>
    <w:rsid w:val="008B3C79"/>
    <w:rsid w:val="008B432C"/>
    <w:rsid w:val="008B459A"/>
    <w:rsid w:val="008B48BC"/>
    <w:rsid w:val="008B4D9E"/>
    <w:rsid w:val="008B522A"/>
    <w:rsid w:val="008B54FB"/>
    <w:rsid w:val="008B55AD"/>
    <w:rsid w:val="008B632F"/>
    <w:rsid w:val="008B67A0"/>
    <w:rsid w:val="008B67AF"/>
    <w:rsid w:val="008B6D1F"/>
    <w:rsid w:val="008B6DC3"/>
    <w:rsid w:val="008B6FA6"/>
    <w:rsid w:val="008B7700"/>
    <w:rsid w:val="008B7AA1"/>
    <w:rsid w:val="008B7C1F"/>
    <w:rsid w:val="008B7D57"/>
    <w:rsid w:val="008B7D8A"/>
    <w:rsid w:val="008C0027"/>
    <w:rsid w:val="008C01F3"/>
    <w:rsid w:val="008C0518"/>
    <w:rsid w:val="008C066D"/>
    <w:rsid w:val="008C0693"/>
    <w:rsid w:val="008C0BA9"/>
    <w:rsid w:val="008C0DA1"/>
    <w:rsid w:val="008C0F63"/>
    <w:rsid w:val="008C10FF"/>
    <w:rsid w:val="008C1891"/>
    <w:rsid w:val="008C1B25"/>
    <w:rsid w:val="008C1C51"/>
    <w:rsid w:val="008C27DE"/>
    <w:rsid w:val="008C2B04"/>
    <w:rsid w:val="008C30D8"/>
    <w:rsid w:val="008C3181"/>
    <w:rsid w:val="008C3386"/>
    <w:rsid w:val="008C33EB"/>
    <w:rsid w:val="008C35AA"/>
    <w:rsid w:val="008C37D5"/>
    <w:rsid w:val="008C39EC"/>
    <w:rsid w:val="008C46FD"/>
    <w:rsid w:val="008C4724"/>
    <w:rsid w:val="008C52BE"/>
    <w:rsid w:val="008C538F"/>
    <w:rsid w:val="008C5640"/>
    <w:rsid w:val="008C57BC"/>
    <w:rsid w:val="008C57C7"/>
    <w:rsid w:val="008C595B"/>
    <w:rsid w:val="008C5BAA"/>
    <w:rsid w:val="008C5CD7"/>
    <w:rsid w:val="008C5F48"/>
    <w:rsid w:val="008C5F55"/>
    <w:rsid w:val="008C5FA7"/>
    <w:rsid w:val="008C61D0"/>
    <w:rsid w:val="008C61E4"/>
    <w:rsid w:val="008C628B"/>
    <w:rsid w:val="008C6558"/>
    <w:rsid w:val="008C65D2"/>
    <w:rsid w:val="008C6749"/>
    <w:rsid w:val="008C73C0"/>
    <w:rsid w:val="008C7904"/>
    <w:rsid w:val="008C79F2"/>
    <w:rsid w:val="008C7C05"/>
    <w:rsid w:val="008D02C1"/>
    <w:rsid w:val="008D052D"/>
    <w:rsid w:val="008D0C0B"/>
    <w:rsid w:val="008D0CDE"/>
    <w:rsid w:val="008D0D90"/>
    <w:rsid w:val="008D0F17"/>
    <w:rsid w:val="008D110E"/>
    <w:rsid w:val="008D1336"/>
    <w:rsid w:val="008D1CA3"/>
    <w:rsid w:val="008D1FF5"/>
    <w:rsid w:val="008D2B87"/>
    <w:rsid w:val="008D2F78"/>
    <w:rsid w:val="008D305E"/>
    <w:rsid w:val="008D328F"/>
    <w:rsid w:val="008D33C0"/>
    <w:rsid w:val="008D38F4"/>
    <w:rsid w:val="008D3E17"/>
    <w:rsid w:val="008D4CE3"/>
    <w:rsid w:val="008D50F2"/>
    <w:rsid w:val="008D553C"/>
    <w:rsid w:val="008D5AFF"/>
    <w:rsid w:val="008D5CEE"/>
    <w:rsid w:val="008D5CF8"/>
    <w:rsid w:val="008D5F0E"/>
    <w:rsid w:val="008D60B5"/>
    <w:rsid w:val="008D610A"/>
    <w:rsid w:val="008D61B5"/>
    <w:rsid w:val="008D6547"/>
    <w:rsid w:val="008D6AFA"/>
    <w:rsid w:val="008D6B70"/>
    <w:rsid w:val="008D6CF5"/>
    <w:rsid w:val="008D7B66"/>
    <w:rsid w:val="008D7B91"/>
    <w:rsid w:val="008D7D21"/>
    <w:rsid w:val="008D7E4E"/>
    <w:rsid w:val="008E03D2"/>
    <w:rsid w:val="008E0EB3"/>
    <w:rsid w:val="008E1480"/>
    <w:rsid w:val="008E1C5E"/>
    <w:rsid w:val="008E1D98"/>
    <w:rsid w:val="008E2446"/>
    <w:rsid w:val="008E2829"/>
    <w:rsid w:val="008E298F"/>
    <w:rsid w:val="008E2F41"/>
    <w:rsid w:val="008E306E"/>
    <w:rsid w:val="008E3790"/>
    <w:rsid w:val="008E3895"/>
    <w:rsid w:val="008E3B0E"/>
    <w:rsid w:val="008E3BBE"/>
    <w:rsid w:val="008E3C1E"/>
    <w:rsid w:val="008E3DC6"/>
    <w:rsid w:val="008E4447"/>
    <w:rsid w:val="008E4B64"/>
    <w:rsid w:val="008E4D50"/>
    <w:rsid w:val="008E4EAC"/>
    <w:rsid w:val="008E4FEC"/>
    <w:rsid w:val="008E52EA"/>
    <w:rsid w:val="008E5767"/>
    <w:rsid w:val="008E59C6"/>
    <w:rsid w:val="008E5E0A"/>
    <w:rsid w:val="008E62EC"/>
    <w:rsid w:val="008E6343"/>
    <w:rsid w:val="008E66F0"/>
    <w:rsid w:val="008E67D8"/>
    <w:rsid w:val="008E68E0"/>
    <w:rsid w:val="008E6D4B"/>
    <w:rsid w:val="008E714E"/>
    <w:rsid w:val="008E796E"/>
    <w:rsid w:val="008E7FDC"/>
    <w:rsid w:val="008F07E2"/>
    <w:rsid w:val="008F0963"/>
    <w:rsid w:val="008F0EDE"/>
    <w:rsid w:val="008F1068"/>
    <w:rsid w:val="008F16A2"/>
    <w:rsid w:val="008F1B64"/>
    <w:rsid w:val="008F235D"/>
    <w:rsid w:val="008F2956"/>
    <w:rsid w:val="008F2B44"/>
    <w:rsid w:val="008F2BF3"/>
    <w:rsid w:val="008F2E29"/>
    <w:rsid w:val="008F3250"/>
    <w:rsid w:val="008F3526"/>
    <w:rsid w:val="008F35F8"/>
    <w:rsid w:val="008F3A94"/>
    <w:rsid w:val="008F3C2B"/>
    <w:rsid w:val="008F4126"/>
    <w:rsid w:val="008F4678"/>
    <w:rsid w:val="008F482E"/>
    <w:rsid w:val="008F4A15"/>
    <w:rsid w:val="008F4A2D"/>
    <w:rsid w:val="008F53ED"/>
    <w:rsid w:val="008F5553"/>
    <w:rsid w:val="008F589C"/>
    <w:rsid w:val="008F5A1C"/>
    <w:rsid w:val="008F5A45"/>
    <w:rsid w:val="008F5DAC"/>
    <w:rsid w:val="008F63E5"/>
    <w:rsid w:val="008F6400"/>
    <w:rsid w:val="008F67BB"/>
    <w:rsid w:val="008F6BC7"/>
    <w:rsid w:val="008F7113"/>
    <w:rsid w:val="008F739C"/>
    <w:rsid w:val="008F7620"/>
    <w:rsid w:val="008F783C"/>
    <w:rsid w:val="00900373"/>
    <w:rsid w:val="0090058A"/>
    <w:rsid w:val="009005AD"/>
    <w:rsid w:val="009006DD"/>
    <w:rsid w:val="0090099F"/>
    <w:rsid w:val="00900C4A"/>
    <w:rsid w:val="00900E95"/>
    <w:rsid w:val="00900EF8"/>
    <w:rsid w:val="00901211"/>
    <w:rsid w:val="009014A4"/>
    <w:rsid w:val="009015FE"/>
    <w:rsid w:val="0090164C"/>
    <w:rsid w:val="00901A71"/>
    <w:rsid w:val="009024FF"/>
    <w:rsid w:val="00902529"/>
    <w:rsid w:val="009027A7"/>
    <w:rsid w:val="00902A93"/>
    <w:rsid w:val="00902ABB"/>
    <w:rsid w:val="00902C72"/>
    <w:rsid w:val="00902DB3"/>
    <w:rsid w:val="0090319E"/>
    <w:rsid w:val="009036B5"/>
    <w:rsid w:val="00903A5F"/>
    <w:rsid w:val="009044A3"/>
    <w:rsid w:val="0090494C"/>
    <w:rsid w:val="00904B16"/>
    <w:rsid w:val="009052B9"/>
    <w:rsid w:val="00905484"/>
    <w:rsid w:val="0090588F"/>
    <w:rsid w:val="00905CB1"/>
    <w:rsid w:val="00905CC2"/>
    <w:rsid w:val="00905DF8"/>
    <w:rsid w:val="00905E0D"/>
    <w:rsid w:val="0090636B"/>
    <w:rsid w:val="009065EC"/>
    <w:rsid w:val="009067F5"/>
    <w:rsid w:val="00906B3C"/>
    <w:rsid w:val="00906B4E"/>
    <w:rsid w:val="00906B73"/>
    <w:rsid w:val="00906F0B"/>
    <w:rsid w:val="00906F1D"/>
    <w:rsid w:val="0090705B"/>
    <w:rsid w:val="00907295"/>
    <w:rsid w:val="00907761"/>
    <w:rsid w:val="0090782B"/>
    <w:rsid w:val="00907860"/>
    <w:rsid w:val="0090792F"/>
    <w:rsid w:val="00910208"/>
    <w:rsid w:val="00910465"/>
    <w:rsid w:val="00910509"/>
    <w:rsid w:val="0091076A"/>
    <w:rsid w:val="00910921"/>
    <w:rsid w:val="009111FF"/>
    <w:rsid w:val="00911965"/>
    <w:rsid w:val="0091251B"/>
    <w:rsid w:val="00912809"/>
    <w:rsid w:val="009128EC"/>
    <w:rsid w:val="00912913"/>
    <w:rsid w:val="00912C26"/>
    <w:rsid w:val="00912D51"/>
    <w:rsid w:val="00912F21"/>
    <w:rsid w:val="009132A4"/>
    <w:rsid w:val="009135C3"/>
    <w:rsid w:val="00913D2D"/>
    <w:rsid w:val="00913E28"/>
    <w:rsid w:val="009140C5"/>
    <w:rsid w:val="009141B9"/>
    <w:rsid w:val="00914381"/>
    <w:rsid w:val="00914568"/>
    <w:rsid w:val="00914792"/>
    <w:rsid w:val="0091484A"/>
    <w:rsid w:val="00914C3D"/>
    <w:rsid w:val="00915189"/>
    <w:rsid w:val="0091549A"/>
    <w:rsid w:val="00915778"/>
    <w:rsid w:val="009157E4"/>
    <w:rsid w:val="009160C1"/>
    <w:rsid w:val="0091672D"/>
    <w:rsid w:val="009167D8"/>
    <w:rsid w:val="00916997"/>
    <w:rsid w:val="00916B19"/>
    <w:rsid w:val="00916BC6"/>
    <w:rsid w:val="00916DA9"/>
    <w:rsid w:val="00916E45"/>
    <w:rsid w:val="00917164"/>
    <w:rsid w:val="00917ADE"/>
    <w:rsid w:val="00920069"/>
    <w:rsid w:val="0092025F"/>
    <w:rsid w:val="009206CE"/>
    <w:rsid w:val="00920CDE"/>
    <w:rsid w:val="00920D36"/>
    <w:rsid w:val="0092128D"/>
    <w:rsid w:val="0092144F"/>
    <w:rsid w:val="009214B0"/>
    <w:rsid w:val="009217C1"/>
    <w:rsid w:val="00921C1C"/>
    <w:rsid w:val="00921DB3"/>
    <w:rsid w:val="009227D9"/>
    <w:rsid w:val="00922C6E"/>
    <w:rsid w:val="0092304E"/>
    <w:rsid w:val="0092382E"/>
    <w:rsid w:val="00923BAD"/>
    <w:rsid w:val="00923E98"/>
    <w:rsid w:val="00923F27"/>
    <w:rsid w:val="00923F41"/>
    <w:rsid w:val="00924066"/>
    <w:rsid w:val="009240A8"/>
    <w:rsid w:val="00924420"/>
    <w:rsid w:val="009246B0"/>
    <w:rsid w:val="009246F5"/>
    <w:rsid w:val="00924A9E"/>
    <w:rsid w:val="00924B63"/>
    <w:rsid w:val="00924C83"/>
    <w:rsid w:val="00924CA5"/>
    <w:rsid w:val="00924F36"/>
    <w:rsid w:val="009253A9"/>
    <w:rsid w:val="0092590C"/>
    <w:rsid w:val="00925918"/>
    <w:rsid w:val="00925A0B"/>
    <w:rsid w:val="00925E1D"/>
    <w:rsid w:val="009260E4"/>
    <w:rsid w:val="009266E2"/>
    <w:rsid w:val="009268F3"/>
    <w:rsid w:val="00926A4C"/>
    <w:rsid w:val="00926B34"/>
    <w:rsid w:val="00926D20"/>
    <w:rsid w:val="009270F6"/>
    <w:rsid w:val="0092745E"/>
    <w:rsid w:val="00927D81"/>
    <w:rsid w:val="00930048"/>
    <w:rsid w:val="00930427"/>
    <w:rsid w:val="0093064C"/>
    <w:rsid w:val="00930744"/>
    <w:rsid w:val="009308D5"/>
    <w:rsid w:val="00930BE3"/>
    <w:rsid w:val="009310AA"/>
    <w:rsid w:val="00931388"/>
    <w:rsid w:val="00931766"/>
    <w:rsid w:val="00931C91"/>
    <w:rsid w:val="00931F37"/>
    <w:rsid w:val="00931FD5"/>
    <w:rsid w:val="009327C8"/>
    <w:rsid w:val="00932811"/>
    <w:rsid w:val="00932979"/>
    <w:rsid w:val="00932C55"/>
    <w:rsid w:val="00932DE4"/>
    <w:rsid w:val="0093372D"/>
    <w:rsid w:val="009337BC"/>
    <w:rsid w:val="0093381D"/>
    <w:rsid w:val="00933A32"/>
    <w:rsid w:val="00934909"/>
    <w:rsid w:val="00934C28"/>
    <w:rsid w:val="009354C9"/>
    <w:rsid w:val="00935A93"/>
    <w:rsid w:val="0093601A"/>
    <w:rsid w:val="00936045"/>
    <w:rsid w:val="009361A1"/>
    <w:rsid w:val="009362A9"/>
    <w:rsid w:val="009366BF"/>
    <w:rsid w:val="0093684A"/>
    <w:rsid w:val="00936DBF"/>
    <w:rsid w:val="00936F19"/>
    <w:rsid w:val="0093744C"/>
    <w:rsid w:val="0093754B"/>
    <w:rsid w:val="0093773D"/>
    <w:rsid w:val="009379E1"/>
    <w:rsid w:val="00937B61"/>
    <w:rsid w:val="00937EE1"/>
    <w:rsid w:val="0094028E"/>
    <w:rsid w:val="00940639"/>
    <w:rsid w:val="00940673"/>
    <w:rsid w:val="00940738"/>
    <w:rsid w:val="0094098C"/>
    <w:rsid w:val="00940B78"/>
    <w:rsid w:val="00940B7C"/>
    <w:rsid w:val="00940C98"/>
    <w:rsid w:val="00940DDD"/>
    <w:rsid w:val="00941964"/>
    <w:rsid w:val="00941A8B"/>
    <w:rsid w:val="00941E0A"/>
    <w:rsid w:val="009421BE"/>
    <w:rsid w:val="00942436"/>
    <w:rsid w:val="00942573"/>
    <w:rsid w:val="00942597"/>
    <w:rsid w:val="00942852"/>
    <w:rsid w:val="00942A34"/>
    <w:rsid w:val="00942A4D"/>
    <w:rsid w:val="00942A86"/>
    <w:rsid w:val="00942ADC"/>
    <w:rsid w:val="00942B86"/>
    <w:rsid w:val="00942D28"/>
    <w:rsid w:val="00942DBC"/>
    <w:rsid w:val="00943030"/>
    <w:rsid w:val="009430D2"/>
    <w:rsid w:val="0094324D"/>
    <w:rsid w:val="0094375C"/>
    <w:rsid w:val="00943B1E"/>
    <w:rsid w:val="00943EE4"/>
    <w:rsid w:val="00944556"/>
    <w:rsid w:val="00944B9B"/>
    <w:rsid w:val="00945BBC"/>
    <w:rsid w:val="00946631"/>
    <w:rsid w:val="0094670C"/>
    <w:rsid w:val="009468B5"/>
    <w:rsid w:val="00947250"/>
    <w:rsid w:val="00947987"/>
    <w:rsid w:val="00947A5B"/>
    <w:rsid w:val="00947EE6"/>
    <w:rsid w:val="009502B0"/>
    <w:rsid w:val="00950534"/>
    <w:rsid w:val="00950621"/>
    <w:rsid w:val="00951483"/>
    <w:rsid w:val="00951C94"/>
    <w:rsid w:val="00951DC1"/>
    <w:rsid w:val="00952562"/>
    <w:rsid w:val="00953153"/>
    <w:rsid w:val="00953396"/>
    <w:rsid w:val="009533A5"/>
    <w:rsid w:val="009535B1"/>
    <w:rsid w:val="0095367E"/>
    <w:rsid w:val="00953735"/>
    <w:rsid w:val="00953C2D"/>
    <w:rsid w:val="00953C39"/>
    <w:rsid w:val="00953DCC"/>
    <w:rsid w:val="00955288"/>
    <w:rsid w:val="00955383"/>
    <w:rsid w:val="00955531"/>
    <w:rsid w:val="00955606"/>
    <w:rsid w:val="0095581B"/>
    <w:rsid w:val="00955AA8"/>
    <w:rsid w:val="00955B30"/>
    <w:rsid w:val="00955F99"/>
    <w:rsid w:val="009560D1"/>
    <w:rsid w:val="009562F0"/>
    <w:rsid w:val="00956C64"/>
    <w:rsid w:val="0095721E"/>
    <w:rsid w:val="00957458"/>
    <w:rsid w:val="00957464"/>
    <w:rsid w:val="00957723"/>
    <w:rsid w:val="009579B7"/>
    <w:rsid w:val="00957ADF"/>
    <w:rsid w:val="00957B25"/>
    <w:rsid w:val="00957B8E"/>
    <w:rsid w:val="00957CD7"/>
    <w:rsid w:val="00957D7A"/>
    <w:rsid w:val="009601BF"/>
    <w:rsid w:val="009602C1"/>
    <w:rsid w:val="009603E5"/>
    <w:rsid w:val="00960E01"/>
    <w:rsid w:val="0096190B"/>
    <w:rsid w:val="009624A0"/>
    <w:rsid w:val="009626C5"/>
    <w:rsid w:val="00962BC0"/>
    <w:rsid w:val="00962BDD"/>
    <w:rsid w:val="00963409"/>
    <w:rsid w:val="009638DE"/>
    <w:rsid w:val="00963F74"/>
    <w:rsid w:val="00963F7D"/>
    <w:rsid w:val="009641E1"/>
    <w:rsid w:val="00964786"/>
    <w:rsid w:val="009647D1"/>
    <w:rsid w:val="00964AEC"/>
    <w:rsid w:val="00964B00"/>
    <w:rsid w:val="0096512E"/>
    <w:rsid w:val="00965886"/>
    <w:rsid w:val="00965C57"/>
    <w:rsid w:val="00965D85"/>
    <w:rsid w:val="009661E4"/>
    <w:rsid w:val="00966694"/>
    <w:rsid w:val="009668AF"/>
    <w:rsid w:val="00966D62"/>
    <w:rsid w:val="00966D98"/>
    <w:rsid w:val="009671E6"/>
    <w:rsid w:val="0096737F"/>
    <w:rsid w:val="00967A1F"/>
    <w:rsid w:val="0097052F"/>
    <w:rsid w:val="0097098B"/>
    <w:rsid w:val="00970A5C"/>
    <w:rsid w:val="00970D2C"/>
    <w:rsid w:val="00970D97"/>
    <w:rsid w:val="00970E41"/>
    <w:rsid w:val="0097160B"/>
    <w:rsid w:val="00971E39"/>
    <w:rsid w:val="00972198"/>
    <w:rsid w:val="009721B6"/>
    <w:rsid w:val="009726EC"/>
    <w:rsid w:val="009729CB"/>
    <w:rsid w:val="00972CFB"/>
    <w:rsid w:val="0097369C"/>
    <w:rsid w:val="0097385A"/>
    <w:rsid w:val="00973AD1"/>
    <w:rsid w:val="00973B58"/>
    <w:rsid w:val="00973DD1"/>
    <w:rsid w:val="00973EE6"/>
    <w:rsid w:val="009743F8"/>
    <w:rsid w:val="00974BB6"/>
    <w:rsid w:val="009752CE"/>
    <w:rsid w:val="009754F7"/>
    <w:rsid w:val="00975599"/>
    <w:rsid w:val="00975E5E"/>
    <w:rsid w:val="0097629A"/>
    <w:rsid w:val="009766BF"/>
    <w:rsid w:val="00976759"/>
    <w:rsid w:val="009767C1"/>
    <w:rsid w:val="00976835"/>
    <w:rsid w:val="00976BB1"/>
    <w:rsid w:val="009773A6"/>
    <w:rsid w:val="0097747C"/>
    <w:rsid w:val="00977567"/>
    <w:rsid w:val="0097783F"/>
    <w:rsid w:val="00977D7F"/>
    <w:rsid w:val="00977E50"/>
    <w:rsid w:val="00977FC0"/>
    <w:rsid w:val="00980095"/>
    <w:rsid w:val="009806BD"/>
    <w:rsid w:val="009806DD"/>
    <w:rsid w:val="00980CE4"/>
    <w:rsid w:val="009811A5"/>
    <w:rsid w:val="0098138A"/>
    <w:rsid w:val="009813FD"/>
    <w:rsid w:val="0098163A"/>
    <w:rsid w:val="0098182F"/>
    <w:rsid w:val="00981C2C"/>
    <w:rsid w:val="0098203D"/>
    <w:rsid w:val="00982048"/>
    <w:rsid w:val="00982253"/>
    <w:rsid w:val="00982357"/>
    <w:rsid w:val="0098238B"/>
    <w:rsid w:val="00982B1B"/>
    <w:rsid w:val="00982EDD"/>
    <w:rsid w:val="0098381F"/>
    <w:rsid w:val="0098471E"/>
    <w:rsid w:val="00984800"/>
    <w:rsid w:val="00984981"/>
    <w:rsid w:val="00984BAE"/>
    <w:rsid w:val="00984CEF"/>
    <w:rsid w:val="009853D4"/>
    <w:rsid w:val="00985614"/>
    <w:rsid w:val="00985632"/>
    <w:rsid w:val="00985710"/>
    <w:rsid w:val="00985F82"/>
    <w:rsid w:val="00985F95"/>
    <w:rsid w:val="00985F9B"/>
    <w:rsid w:val="00985F9F"/>
    <w:rsid w:val="009863E6"/>
    <w:rsid w:val="00986481"/>
    <w:rsid w:val="00986544"/>
    <w:rsid w:val="00986611"/>
    <w:rsid w:val="00986D76"/>
    <w:rsid w:val="00987767"/>
    <w:rsid w:val="00987AE0"/>
    <w:rsid w:val="0099010D"/>
    <w:rsid w:val="00990977"/>
    <w:rsid w:val="00990D33"/>
    <w:rsid w:val="00990EC1"/>
    <w:rsid w:val="0099135E"/>
    <w:rsid w:val="0099145B"/>
    <w:rsid w:val="0099164F"/>
    <w:rsid w:val="009919AC"/>
    <w:rsid w:val="00991A83"/>
    <w:rsid w:val="00992390"/>
    <w:rsid w:val="00992464"/>
    <w:rsid w:val="0099253D"/>
    <w:rsid w:val="00992D42"/>
    <w:rsid w:val="00992D9F"/>
    <w:rsid w:val="009930DA"/>
    <w:rsid w:val="0099351B"/>
    <w:rsid w:val="0099356E"/>
    <w:rsid w:val="00993D19"/>
    <w:rsid w:val="00993E22"/>
    <w:rsid w:val="00994048"/>
    <w:rsid w:val="009940F7"/>
    <w:rsid w:val="0099508E"/>
    <w:rsid w:val="009952F1"/>
    <w:rsid w:val="009956E1"/>
    <w:rsid w:val="00995834"/>
    <w:rsid w:val="00995903"/>
    <w:rsid w:val="009959D6"/>
    <w:rsid w:val="009959F3"/>
    <w:rsid w:val="00995CEB"/>
    <w:rsid w:val="00995E24"/>
    <w:rsid w:val="00995F33"/>
    <w:rsid w:val="00995FA2"/>
    <w:rsid w:val="009962DD"/>
    <w:rsid w:val="009963AC"/>
    <w:rsid w:val="009963EC"/>
    <w:rsid w:val="0099641B"/>
    <w:rsid w:val="00996477"/>
    <w:rsid w:val="00996B25"/>
    <w:rsid w:val="00996CBA"/>
    <w:rsid w:val="009970D6"/>
    <w:rsid w:val="009974CB"/>
    <w:rsid w:val="00997CA8"/>
    <w:rsid w:val="009A0109"/>
    <w:rsid w:val="009A0779"/>
    <w:rsid w:val="009A079D"/>
    <w:rsid w:val="009A0BF8"/>
    <w:rsid w:val="009A0CEC"/>
    <w:rsid w:val="009A16F6"/>
    <w:rsid w:val="009A18B5"/>
    <w:rsid w:val="009A1BD8"/>
    <w:rsid w:val="009A1CC4"/>
    <w:rsid w:val="009A1E76"/>
    <w:rsid w:val="009A1F4F"/>
    <w:rsid w:val="009A2068"/>
    <w:rsid w:val="009A26E4"/>
    <w:rsid w:val="009A27DD"/>
    <w:rsid w:val="009A2B7B"/>
    <w:rsid w:val="009A36D8"/>
    <w:rsid w:val="009A373D"/>
    <w:rsid w:val="009A3A1E"/>
    <w:rsid w:val="009A3AF1"/>
    <w:rsid w:val="009A41F1"/>
    <w:rsid w:val="009A45AE"/>
    <w:rsid w:val="009A4B36"/>
    <w:rsid w:val="009A5088"/>
    <w:rsid w:val="009A5763"/>
    <w:rsid w:val="009A5A67"/>
    <w:rsid w:val="009A5B4F"/>
    <w:rsid w:val="009A5C98"/>
    <w:rsid w:val="009A6B46"/>
    <w:rsid w:val="009A6D51"/>
    <w:rsid w:val="009A71D8"/>
    <w:rsid w:val="009A741B"/>
    <w:rsid w:val="009A79D5"/>
    <w:rsid w:val="009B0793"/>
    <w:rsid w:val="009B090A"/>
    <w:rsid w:val="009B0D74"/>
    <w:rsid w:val="009B1520"/>
    <w:rsid w:val="009B21B3"/>
    <w:rsid w:val="009B2503"/>
    <w:rsid w:val="009B279D"/>
    <w:rsid w:val="009B27CA"/>
    <w:rsid w:val="009B324E"/>
    <w:rsid w:val="009B3356"/>
    <w:rsid w:val="009B382D"/>
    <w:rsid w:val="009B3A59"/>
    <w:rsid w:val="009B3AE8"/>
    <w:rsid w:val="009B3D07"/>
    <w:rsid w:val="009B3D52"/>
    <w:rsid w:val="009B3DF6"/>
    <w:rsid w:val="009B3E6B"/>
    <w:rsid w:val="009B48EE"/>
    <w:rsid w:val="009B4C9D"/>
    <w:rsid w:val="009B4EB7"/>
    <w:rsid w:val="009B5143"/>
    <w:rsid w:val="009B519B"/>
    <w:rsid w:val="009B561C"/>
    <w:rsid w:val="009B5D7E"/>
    <w:rsid w:val="009B5EBA"/>
    <w:rsid w:val="009B5FBB"/>
    <w:rsid w:val="009B609F"/>
    <w:rsid w:val="009B64D8"/>
    <w:rsid w:val="009B7282"/>
    <w:rsid w:val="009B7318"/>
    <w:rsid w:val="009B76D0"/>
    <w:rsid w:val="009B794D"/>
    <w:rsid w:val="009B7985"/>
    <w:rsid w:val="009B7D04"/>
    <w:rsid w:val="009B7FA9"/>
    <w:rsid w:val="009C0018"/>
    <w:rsid w:val="009C0118"/>
    <w:rsid w:val="009C019E"/>
    <w:rsid w:val="009C0322"/>
    <w:rsid w:val="009C0478"/>
    <w:rsid w:val="009C04F2"/>
    <w:rsid w:val="009C0A71"/>
    <w:rsid w:val="009C1039"/>
    <w:rsid w:val="009C11DF"/>
    <w:rsid w:val="009C1D02"/>
    <w:rsid w:val="009C2315"/>
    <w:rsid w:val="009C2360"/>
    <w:rsid w:val="009C2363"/>
    <w:rsid w:val="009C24A9"/>
    <w:rsid w:val="009C250F"/>
    <w:rsid w:val="009C26F9"/>
    <w:rsid w:val="009C2BA7"/>
    <w:rsid w:val="009C2D37"/>
    <w:rsid w:val="009C3163"/>
    <w:rsid w:val="009C32A9"/>
    <w:rsid w:val="009C3393"/>
    <w:rsid w:val="009C35F9"/>
    <w:rsid w:val="009C36A6"/>
    <w:rsid w:val="009C47FB"/>
    <w:rsid w:val="009C5094"/>
    <w:rsid w:val="009C5212"/>
    <w:rsid w:val="009C5230"/>
    <w:rsid w:val="009C55EA"/>
    <w:rsid w:val="009C58BF"/>
    <w:rsid w:val="009C5934"/>
    <w:rsid w:val="009C5ADB"/>
    <w:rsid w:val="009C5BEF"/>
    <w:rsid w:val="009C6847"/>
    <w:rsid w:val="009C684A"/>
    <w:rsid w:val="009C6953"/>
    <w:rsid w:val="009C69A2"/>
    <w:rsid w:val="009C713F"/>
    <w:rsid w:val="009C7144"/>
    <w:rsid w:val="009C77A9"/>
    <w:rsid w:val="009C77E4"/>
    <w:rsid w:val="009C7A13"/>
    <w:rsid w:val="009C7A16"/>
    <w:rsid w:val="009C7E90"/>
    <w:rsid w:val="009D01C6"/>
    <w:rsid w:val="009D0A54"/>
    <w:rsid w:val="009D0CED"/>
    <w:rsid w:val="009D0E07"/>
    <w:rsid w:val="009D0F7B"/>
    <w:rsid w:val="009D1227"/>
    <w:rsid w:val="009D1354"/>
    <w:rsid w:val="009D140F"/>
    <w:rsid w:val="009D156C"/>
    <w:rsid w:val="009D15EA"/>
    <w:rsid w:val="009D1725"/>
    <w:rsid w:val="009D179A"/>
    <w:rsid w:val="009D18CC"/>
    <w:rsid w:val="009D1C5F"/>
    <w:rsid w:val="009D1C90"/>
    <w:rsid w:val="009D1DB9"/>
    <w:rsid w:val="009D2000"/>
    <w:rsid w:val="009D2342"/>
    <w:rsid w:val="009D2372"/>
    <w:rsid w:val="009D2411"/>
    <w:rsid w:val="009D2472"/>
    <w:rsid w:val="009D252B"/>
    <w:rsid w:val="009D25AF"/>
    <w:rsid w:val="009D2BB8"/>
    <w:rsid w:val="009D30BB"/>
    <w:rsid w:val="009D31B4"/>
    <w:rsid w:val="009D365F"/>
    <w:rsid w:val="009D36EC"/>
    <w:rsid w:val="009D39F7"/>
    <w:rsid w:val="009D3D93"/>
    <w:rsid w:val="009D400F"/>
    <w:rsid w:val="009D4130"/>
    <w:rsid w:val="009D43EA"/>
    <w:rsid w:val="009D4871"/>
    <w:rsid w:val="009D49BB"/>
    <w:rsid w:val="009D4C6E"/>
    <w:rsid w:val="009D4D3C"/>
    <w:rsid w:val="009D5FAA"/>
    <w:rsid w:val="009D62CB"/>
    <w:rsid w:val="009D62EA"/>
    <w:rsid w:val="009D6443"/>
    <w:rsid w:val="009D66F4"/>
    <w:rsid w:val="009D6AF6"/>
    <w:rsid w:val="009D6E87"/>
    <w:rsid w:val="009D7416"/>
    <w:rsid w:val="009D75B6"/>
    <w:rsid w:val="009D77A1"/>
    <w:rsid w:val="009D77B3"/>
    <w:rsid w:val="009D78F9"/>
    <w:rsid w:val="009D7B02"/>
    <w:rsid w:val="009D7DB2"/>
    <w:rsid w:val="009D7ECB"/>
    <w:rsid w:val="009D7FA1"/>
    <w:rsid w:val="009E08E1"/>
    <w:rsid w:val="009E0949"/>
    <w:rsid w:val="009E0B7F"/>
    <w:rsid w:val="009E0F03"/>
    <w:rsid w:val="009E10F0"/>
    <w:rsid w:val="009E1257"/>
    <w:rsid w:val="009E1271"/>
    <w:rsid w:val="009E15BD"/>
    <w:rsid w:val="009E18E2"/>
    <w:rsid w:val="009E1E98"/>
    <w:rsid w:val="009E2115"/>
    <w:rsid w:val="009E217A"/>
    <w:rsid w:val="009E26B0"/>
    <w:rsid w:val="009E2846"/>
    <w:rsid w:val="009E3047"/>
    <w:rsid w:val="009E30D2"/>
    <w:rsid w:val="009E3455"/>
    <w:rsid w:val="009E34D5"/>
    <w:rsid w:val="009E36BB"/>
    <w:rsid w:val="009E378C"/>
    <w:rsid w:val="009E3855"/>
    <w:rsid w:val="009E38BC"/>
    <w:rsid w:val="009E400D"/>
    <w:rsid w:val="009E4228"/>
    <w:rsid w:val="009E4C73"/>
    <w:rsid w:val="009E511B"/>
    <w:rsid w:val="009E5D4A"/>
    <w:rsid w:val="009E5E79"/>
    <w:rsid w:val="009E5F6D"/>
    <w:rsid w:val="009E6154"/>
    <w:rsid w:val="009E62E3"/>
    <w:rsid w:val="009E6C3C"/>
    <w:rsid w:val="009E7241"/>
    <w:rsid w:val="009E777C"/>
    <w:rsid w:val="009E788A"/>
    <w:rsid w:val="009E7964"/>
    <w:rsid w:val="009E7C51"/>
    <w:rsid w:val="009E7F3E"/>
    <w:rsid w:val="009F0152"/>
    <w:rsid w:val="009F03E4"/>
    <w:rsid w:val="009F07F0"/>
    <w:rsid w:val="009F0A2D"/>
    <w:rsid w:val="009F0A62"/>
    <w:rsid w:val="009F0A68"/>
    <w:rsid w:val="009F1258"/>
    <w:rsid w:val="009F165E"/>
    <w:rsid w:val="009F182A"/>
    <w:rsid w:val="009F1D2C"/>
    <w:rsid w:val="009F1E35"/>
    <w:rsid w:val="009F2773"/>
    <w:rsid w:val="009F288F"/>
    <w:rsid w:val="009F2D54"/>
    <w:rsid w:val="009F3596"/>
    <w:rsid w:val="009F3735"/>
    <w:rsid w:val="009F378E"/>
    <w:rsid w:val="009F37C8"/>
    <w:rsid w:val="009F405C"/>
    <w:rsid w:val="009F4231"/>
    <w:rsid w:val="009F43FE"/>
    <w:rsid w:val="009F45B7"/>
    <w:rsid w:val="009F472C"/>
    <w:rsid w:val="009F50EE"/>
    <w:rsid w:val="009F5173"/>
    <w:rsid w:val="009F5193"/>
    <w:rsid w:val="009F521D"/>
    <w:rsid w:val="009F59C9"/>
    <w:rsid w:val="009F5E8B"/>
    <w:rsid w:val="009F691A"/>
    <w:rsid w:val="009F6926"/>
    <w:rsid w:val="009F6AB1"/>
    <w:rsid w:val="009F7679"/>
    <w:rsid w:val="009F7728"/>
    <w:rsid w:val="009F7801"/>
    <w:rsid w:val="009F79AE"/>
    <w:rsid w:val="009F7DE5"/>
    <w:rsid w:val="00A00803"/>
    <w:rsid w:val="00A009B6"/>
    <w:rsid w:val="00A013E1"/>
    <w:rsid w:val="00A013F2"/>
    <w:rsid w:val="00A01505"/>
    <w:rsid w:val="00A0188E"/>
    <w:rsid w:val="00A01B38"/>
    <w:rsid w:val="00A021FB"/>
    <w:rsid w:val="00A0228F"/>
    <w:rsid w:val="00A023EF"/>
    <w:rsid w:val="00A024A5"/>
    <w:rsid w:val="00A024AE"/>
    <w:rsid w:val="00A0251E"/>
    <w:rsid w:val="00A0308E"/>
    <w:rsid w:val="00A03325"/>
    <w:rsid w:val="00A03350"/>
    <w:rsid w:val="00A03B47"/>
    <w:rsid w:val="00A03B76"/>
    <w:rsid w:val="00A041A7"/>
    <w:rsid w:val="00A0451D"/>
    <w:rsid w:val="00A04601"/>
    <w:rsid w:val="00A04C54"/>
    <w:rsid w:val="00A04CC8"/>
    <w:rsid w:val="00A058C4"/>
    <w:rsid w:val="00A05FE0"/>
    <w:rsid w:val="00A0602A"/>
    <w:rsid w:val="00A06044"/>
    <w:rsid w:val="00A06098"/>
    <w:rsid w:val="00A065C3"/>
    <w:rsid w:val="00A072A3"/>
    <w:rsid w:val="00A072AA"/>
    <w:rsid w:val="00A076D1"/>
    <w:rsid w:val="00A07BA0"/>
    <w:rsid w:val="00A07C93"/>
    <w:rsid w:val="00A102DA"/>
    <w:rsid w:val="00A105D8"/>
    <w:rsid w:val="00A10729"/>
    <w:rsid w:val="00A10873"/>
    <w:rsid w:val="00A10CD2"/>
    <w:rsid w:val="00A10D99"/>
    <w:rsid w:val="00A1112D"/>
    <w:rsid w:val="00A11247"/>
    <w:rsid w:val="00A11B79"/>
    <w:rsid w:val="00A11CC0"/>
    <w:rsid w:val="00A11F65"/>
    <w:rsid w:val="00A11FFE"/>
    <w:rsid w:val="00A12212"/>
    <w:rsid w:val="00A12283"/>
    <w:rsid w:val="00A12429"/>
    <w:rsid w:val="00A1254F"/>
    <w:rsid w:val="00A12602"/>
    <w:rsid w:val="00A12BD9"/>
    <w:rsid w:val="00A12D5E"/>
    <w:rsid w:val="00A12DB3"/>
    <w:rsid w:val="00A12ECD"/>
    <w:rsid w:val="00A13342"/>
    <w:rsid w:val="00A1373E"/>
    <w:rsid w:val="00A13D7B"/>
    <w:rsid w:val="00A14255"/>
    <w:rsid w:val="00A14BD6"/>
    <w:rsid w:val="00A14DDC"/>
    <w:rsid w:val="00A14FE8"/>
    <w:rsid w:val="00A1585E"/>
    <w:rsid w:val="00A15B46"/>
    <w:rsid w:val="00A15BAC"/>
    <w:rsid w:val="00A160A0"/>
    <w:rsid w:val="00A16788"/>
    <w:rsid w:val="00A16BC4"/>
    <w:rsid w:val="00A16EEF"/>
    <w:rsid w:val="00A17110"/>
    <w:rsid w:val="00A17B21"/>
    <w:rsid w:val="00A17C41"/>
    <w:rsid w:val="00A17CA7"/>
    <w:rsid w:val="00A17D3D"/>
    <w:rsid w:val="00A200DA"/>
    <w:rsid w:val="00A20492"/>
    <w:rsid w:val="00A20EA8"/>
    <w:rsid w:val="00A21187"/>
    <w:rsid w:val="00A21439"/>
    <w:rsid w:val="00A21594"/>
    <w:rsid w:val="00A21614"/>
    <w:rsid w:val="00A21978"/>
    <w:rsid w:val="00A219D1"/>
    <w:rsid w:val="00A21D80"/>
    <w:rsid w:val="00A22224"/>
    <w:rsid w:val="00A2249C"/>
    <w:rsid w:val="00A2275F"/>
    <w:rsid w:val="00A22CFA"/>
    <w:rsid w:val="00A22EA3"/>
    <w:rsid w:val="00A2314D"/>
    <w:rsid w:val="00A23464"/>
    <w:rsid w:val="00A23500"/>
    <w:rsid w:val="00A24046"/>
    <w:rsid w:val="00A2442A"/>
    <w:rsid w:val="00A2491F"/>
    <w:rsid w:val="00A24A4C"/>
    <w:rsid w:val="00A24B4F"/>
    <w:rsid w:val="00A24BD8"/>
    <w:rsid w:val="00A24EAC"/>
    <w:rsid w:val="00A24EFE"/>
    <w:rsid w:val="00A250BB"/>
    <w:rsid w:val="00A25114"/>
    <w:rsid w:val="00A25261"/>
    <w:rsid w:val="00A2581E"/>
    <w:rsid w:val="00A259FC"/>
    <w:rsid w:val="00A2608C"/>
    <w:rsid w:val="00A26187"/>
    <w:rsid w:val="00A26395"/>
    <w:rsid w:val="00A264DD"/>
    <w:rsid w:val="00A26D45"/>
    <w:rsid w:val="00A26FCB"/>
    <w:rsid w:val="00A27161"/>
    <w:rsid w:val="00A27285"/>
    <w:rsid w:val="00A3021D"/>
    <w:rsid w:val="00A30865"/>
    <w:rsid w:val="00A308FA"/>
    <w:rsid w:val="00A3157B"/>
    <w:rsid w:val="00A31760"/>
    <w:rsid w:val="00A31990"/>
    <w:rsid w:val="00A31A29"/>
    <w:rsid w:val="00A31FDA"/>
    <w:rsid w:val="00A322DD"/>
    <w:rsid w:val="00A32444"/>
    <w:rsid w:val="00A3283B"/>
    <w:rsid w:val="00A32891"/>
    <w:rsid w:val="00A331AE"/>
    <w:rsid w:val="00A338F2"/>
    <w:rsid w:val="00A34446"/>
    <w:rsid w:val="00A34456"/>
    <w:rsid w:val="00A34F9C"/>
    <w:rsid w:val="00A35041"/>
    <w:rsid w:val="00A35BFF"/>
    <w:rsid w:val="00A3620C"/>
    <w:rsid w:val="00A363E7"/>
    <w:rsid w:val="00A36540"/>
    <w:rsid w:val="00A36545"/>
    <w:rsid w:val="00A3667E"/>
    <w:rsid w:val="00A368A4"/>
    <w:rsid w:val="00A36AE5"/>
    <w:rsid w:val="00A37008"/>
    <w:rsid w:val="00A3747D"/>
    <w:rsid w:val="00A376FC"/>
    <w:rsid w:val="00A3798A"/>
    <w:rsid w:val="00A37DF6"/>
    <w:rsid w:val="00A37FC4"/>
    <w:rsid w:val="00A40047"/>
    <w:rsid w:val="00A404C9"/>
    <w:rsid w:val="00A406F2"/>
    <w:rsid w:val="00A408B2"/>
    <w:rsid w:val="00A40C0E"/>
    <w:rsid w:val="00A40E77"/>
    <w:rsid w:val="00A41021"/>
    <w:rsid w:val="00A414C7"/>
    <w:rsid w:val="00A41665"/>
    <w:rsid w:val="00A417DF"/>
    <w:rsid w:val="00A41CAC"/>
    <w:rsid w:val="00A41DE0"/>
    <w:rsid w:val="00A422F1"/>
    <w:rsid w:val="00A42ACE"/>
    <w:rsid w:val="00A42B39"/>
    <w:rsid w:val="00A432A5"/>
    <w:rsid w:val="00A432E9"/>
    <w:rsid w:val="00A43514"/>
    <w:rsid w:val="00A43651"/>
    <w:rsid w:val="00A4368B"/>
    <w:rsid w:val="00A4421C"/>
    <w:rsid w:val="00A443E7"/>
    <w:rsid w:val="00A44898"/>
    <w:rsid w:val="00A44B00"/>
    <w:rsid w:val="00A44B56"/>
    <w:rsid w:val="00A44B99"/>
    <w:rsid w:val="00A44E3A"/>
    <w:rsid w:val="00A4526E"/>
    <w:rsid w:val="00A452F6"/>
    <w:rsid w:val="00A45D76"/>
    <w:rsid w:val="00A465E3"/>
    <w:rsid w:val="00A46A72"/>
    <w:rsid w:val="00A46BAD"/>
    <w:rsid w:val="00A47052"/>
    <w:rsid w:val="00A479DB"/>
    <w:rsid w:val="00A47DD0"/>
    <w:rsid w:val="00A50133"/>
    <w:rsid w:val="00A50281"/>
    <w:rsid w:val="00A5068C"/>
    <w:rsid w:val="00A50B6D"/>
    <w:rsid w:val="00A50C2F"/>
    <w:rsid w:val="00A5109E"/>
    <w:rsid w:val="00A5122D"/>
    <w:rsid w:val="00A51552"/>
    <w:rsid w:val="00A51B77"/>
    <w:rsid w:val="00A51DD6"/>
    <w:rsid w:val="00A51EC1"/>
    <w:rsid w:val="00A5206F"/>
    <w:rsid w:val="00A521CF"/>
    <w:rsid w:val="00A522FC"/>
    <w:rsid w:val="00A523FA"/>
    <w:rsid w:val="00A52774"/>
    <w:rsid w:val="00A5283D"/>
    <w:rsid w:val="00A52871"/>
    <w:rsid w:val="00A5287E"/>
    <w:rsid w:val="00A529D3"/>
    <w:rsid w:val="00A52BF7"/>
    <w:rsid w:val="00A52DB4"/>
    <w:rsid w:val="00A52E55"/>
    <w:rsid w:val="00A530E3"/>
    <w:rsid w:val="00A530F9"/>
    <w:rsid w:val="00A53121"/>
    <w:rsid w:val="00A531EB"/>
    <w:rsid w:val="00A533DA"/>
    <w:rsid w:val="00A53AA2"/>
    <w:rsid w:val="00A53BC9"/>
    <w:rsid w:val="00A53DBC"/>
    <w:rsid w:val="00A547E4"/>
    <w:rsid w:val="00A54A3D"/>
    <w:rsid w:val="00A55071"/>
    <w:rsid w:val="00A55581"/>
    <w:rsid w:val="00A55A98"/>
    <w:rsid w:val="00A55E58"/>
    <w:rsid w:val="00A56318"/>
    <w:rsid w:val="00A56A5B"/>
    <w:rsid w:val="00A56D9F"/>
    <w:rsid w:val="00A56F04"/>
    <w:rsid w:val="00A570B2"/>
    <w:rsid w:val="00A57231"/>
    <w:rsid w:val="00A573AC"/>
    <w:rsid w:val="00A57596"/>
    <w:rsid w:val="00A5774A"/>
    <w:rsid w:val="00A60011"/>
    <w:rsid w:val="00A60614"/>
    <w:rsid w:val="00A6092C"/>
    <w:rsid w:val="00A60D34"/>
    <w:rsid w:val="00A60EA7"/>
    <w:rsid w:val="00A61176"/>
    <w:rsid w:val="00A611B9"/>
    <w:rsid w:val="00A611CE"/>
    <w:rsid w:val="00A617B4"/>
    <w:rsid w:val="00A618A6"/>
    <w:rsid w:val="00A61B53"/>
    <w:rsid w:val="00A61C6F"/>
    <w:rsid w:val="00A627D5"/>
    <w:rsid w:val="00A6280E"/>
    <w:rsid w:val="00A62A15"/>
    <w:rsid w:val="00A6313C"/>
    <w:rsid w:val="00A63156"/>
    <w:rsid w:val="00A63718"/>
    <w:rsid w:val="00A63BEC"/>
    <w:rsid w:val="00A63D4C"/>
    <w:rsid w:val="00A63EF9"/>
    <w:rsid w:val="00A63F69"/>
    <w:rsid w:val="00A63FB8"/>
    <w:rsid w:val="00A6418A"/>
    <w:rsid w:val="00A64417"/>
    <w:rsid w:val="00A64B33"/>
    <w:rsid w:val="00A64C81"/>
    <w:rsid w:val="00A65211"/>
    <w:rsid w:val="00A65827"/>
    <w:rsid w:val="00A65DA8"/>
    <w:rsid w:val="00A663CE"/>
    <w:rsid w:val="00A6743A"/>
    <w:rsid w:val="00A705CD"/>
    <w:rsid w:val="00A70A80"/>
    <w:rsid w:val="00A70EAA"/>
    <w:rsid w:val="00A70FDD"/>
    <w:rsid w:val="00A71053"/>
    <w:rsid w:val="00A71348"/>
    <w:rsid w:val="00A71A43"/>
    <w:rsid w:val="00A71B7A"/>
    <w:rsid w:val="00A7203B"/>
    <w:rsid w:val="00A72579"/>
    <w:rsid w:val="00A72632"/>
    <w:rsid w:val="00A72641"/>
    <w:rsid w:val="00A7281D"/>
    <w:rsid w:val="00A72828"/>
    <w:rsid w:val="00A72C4D"/>
    <w:rsid w:val="00A72DF1"/>
    <w:rsid w:val="00A72DFA"/>
    <w:rsid w:val="00A72F26"/>
    <w:rsid w:val="00A731C7"/>
    <w:rsid w:val="00A731D0"/>
    <w:rsid w:val="00A733E3"/>
    <w:rsid w:val="00A7389A"/>
    <w:rsid w:val="00A73A8E"/>
    <w:rsid w:val="00A7406A"/>
    <w:rsid w:val="00A74637"/>
    <w:rsid w:val="00A7493E"/>
    <w:rsid w:val="00A74D32"/>
    <w:rsid w:val="00A74E7C"/>
    <w:rsid w:val="00A74EC3"/>
    <w:rsid w:val="00A74EE7"/>
    <w:rsid w:val="00A751D1"/>
    <w:rsid w:val="00A75B92"/>
    <w:rsid w:val="00A75C5C"/>
    <w:rsid w:val="00A75E61"/>
    <w:rsid w:val="00A761C5"/>
    <w:rsid w:val="00A761F0"/>
    <w:rsid w:val="00A76705"/>
    <w:rsid w:val="00A76A0F"/>
    <w:rsid w:val="00A76D28"/>
    <w:rsid w:val="00A77487"/>
    <w:rsid w:val="00A77536"/>
    <w:rsid w:val="00A77587"/>
    <w:rsid w:val="00A77770"/>
    <w:rsid w:val="00A77C8B"/>
    <w:rsid w:val="00A77D82"/>
    <w:rsid w:val="00A77F76"/>
    <w:rsid w:val="00A77FA3"/>
    <w:rsid w:val="00A800D0"/>
    <w:rsid w:val="00A80591"/>
    <w:rsid w:val="00A8064A"/>
    <w:rsid w:val="00A806C5"/>
    <w:rsid w:val="00A80FB4"/>
    <w:rsid w:val="00A81036"/>
    <w:rsid w:val="00A817FF"/>
    <w:rsid w:val="00A819BB"/>
    <w:rsid w:val="00A81CBF"/>
    <w:rsid w:val="00A81ECF"/>
    <w:rsid w:val="00A81F82"/>
    <w:rsid w:val="00A82054"/>
    <w:rsid w:val="00A822FB"/>
    <w:rsid w:val="00A82ADB"/>
    <w:rsid w:val="00A83153"/>
    <w:rsid w:val="00A832D1"/>
    <w:rsid w:val="00A8343E"/>
    <w:rsid w:val="00A83777"/>
    <w:rsid w:val="00A83AFF"/>
    <w:rsid w:val="00A8481F"/>
    <w:rsid w:val="00A84986"/>
    <w:rsid w:val="00A84AB5"/>
    <w:rsid w:val="00A850AF"/>
    <w:rsid w:val="00A85DC7"/>
    <w:rsid w:val="00A85F54"/>
    <w:rsid w:val="00A85F8E"/>
    <w:rsid w:val="00A86323"/>
    <w:rsid w:val="00A868D8"/>
    <w:rsid w:val="00A86B03"/>
    <w:rsid w:val="00A86B08"/>
    <w:rsid w:val="00A86B33"/>
    <w:rsid w:val="00A86B3D"/>
    <w:rsid w:val="00A86D2B"/>
    <w:rsid w:val="00A86E5B"/>
    <w:rsid w:val="00A8778A"/>
    <w:rsid w:val="00A87CD3"/>
    <w:rsid w:val="00A87FB9"/>
    <w:rsid w:val="00A90006"/>
    <w:rsid w:val="00A900A9"/>
    <w:rsid w:val="00A902DE"/>
    <w:rsid w:val="00A9075B"/>
    <w:rsid w:val="00A91151"/>
    <w:rsid w:val="00A9126E"/>
    <w:rsid w:val="00A912AD"/>
    <w:rsid w:val="00A912C7"/>
    <w:rsid w:val="00A915B5"/>
    <w:rsid w:val="00A916CA"/>
    <w:rsid w:val="00A91B2A"/>
    <w:rsid w:val="00A91C0B"/>
    <w:rsid w:val="00A926BB"/>
    <w:rsid w:val="00A929D9"/>
    <w:rsid w:val="00A92A8C"/>
    <w:rsid w:val="00A9327D"/>
    <w:rsid w:val="00A93852"/>
    <w:rsid w:val="00A939A9"/>
    <w:rsid w:val="00A93C1F"/>
    <w:rsid w:val="00A93ED5"/>
    <w:rsid w:val="00A93FB7"/>
    <w:rsid w:val="00A94208"/>
    <w:rsid w:val="00A94460"/>
    <w:rsid w:val="00A94546"/>
    <w:rsid w:val="00A94D3E"/>
    <w:rsid w:val="00A94D7D"/>
    <w:rsid w:val="00A95A79"/>
    <w:rsid w:val="00A95BBC"/>
    <w:rsid w:val="00A95D84"/>
    <w:rsid w:val="00A963F6"/>
    <w:rsid w:val="00A967F4"/>
    <w:rsid w:val="00A96B7E"/>
    <w:rsid w:val="00A96C7A"/>
    <w:rsid w:val="00A9723B"/>
    <w:rsid w:val="00A9726F"/>
    <w:rsid w:val="00A97308"/>
    <w:rsid w:val="00AA007F"/>
    <w:rsid w:val="00AA06EC"/>
    <w:rsid w:val="00AA095A"/>
    <w:rsid w:val="00AA0F1F"/>
    <w:rsid w:val="00AA13A6"/>
    <w:rsid w:val="00AA1423"/>
    <w:rsid w:val="00AA16AB"/>
    <w:rsid w:val="00AA18AB"/>
    <w:rsid w:val="00AA1B70"/>
    <w:rsid w:val="00AA1C6F"/>
    <w:rsid w:val="00AA1DDE"/>
    <w:rsid w:val="00AA1F16"/>
    <w:rsid w:val="00AA221B"/>
    <w:rsid w:val="00AA225E"/>
    <w:rsid w:val="00AA24BF"/>
    <w:rsid w:val="00AA24DA"/>
    <w:rsid w:val="00AA258D"/>
    <w:rsid w:val="00AA2D65"/>
    <w:rsid w:val="00AA2EE7"/>
    <w:rsid w:val="00AA40E2"/>
    <w:rsid w:val="00AA4181"/>
    <w:rsid w:val="00AA43E3"/>
    <w:rsid w:val="00AA44A2"/>
    <w:rsid w:val="00AA45E0"/>
    <w:rsid w:val="00AA461E"/>
    <w:rsid w:val="00AA46FA"/>
    <w:rsid w:val="00AA4730"/>
    <w:rsid w:val="00AA47F3"/>
    <w:rsid w:val="00AA4B9F"/>
    <w:rsid w:val="00AA4E1C"/>
    <w:rsid w:val="00AA4F87"/>
    <w:rsid w:val="00AA5259"/>
    <w:rsid w:val="00AA58CA"/>
    <w:rsid w:val="00AA5BA2"/>
    <w:rsid w:val="00AA5BB0"/>
    <w:rsid w:val="00AA5F25"/>
    <w:rsid w:val="00AA688B"/>
    <w:rsid w:val="00AA7376"/>
    <w:rsid w:val="00AA79A7"/>
    <w:rsid w:val="00AB08AD"/>
    <w:rsid w:val="00AB0AF2"/>
    <w:rsid w:val="00AB0F11"/>
    <w:rsid w:val="00AB1141"/>
    <w:rsid w:val="00AB12EB"/>
    <w:rsid w:val="00AB133E"/>
    <w:rsid w:val="00AB139C"/>
    <w:rsid w:val="00AB18FF"/>
    <w:rsid w:val="00AB1D52"/>
    <w:rsid w:val="00AB2716"/>
    <w:rsid w:val="00AB27EB"/>
    <w:rsid w:val="00AB35CB"/>
    <w:rsid w:val="00AB3658"/>
    <w:rsid w:val="00AB3B45"/>
    <w:rsid w:val="00AB3E02"/>
    <w:rsid w:val="00AB42E4"/>
    <w:rsid w:val="00AB44F2"/>
    <w:rsid w:val="00AB4AAE"/>
    <w:rsid w:val="00AB5241"/>
    <w:rsid w:val="00AB529D"/>
    <w:rsid w:val="00AB53DA"/>
    <w:rsid w:val="00AB561B"/>
    <w:rsid w:val="00AB5638"/>
    <w:rsid w:val="00AB5CA0"/>
    <w:rsid w:val="00AB5EA8"/>
    <w:rsid w:val="00AB6D1F"/>
    <w:rsid w:val="00AB6E3F"/>
    <w:rsid w:val="00AB6F13"/>
    <w:rsid w:val="00AB7479"/>
    <w:rsid w:val="00AB7709"/>
    <w:rsid w:val="00AC03F6"/>
    <w:rsid w:val="00AC142B"/>
    <w:rsid w:val="00AC1684"/>
    <w:rsid w:val="00AC1816"/>
    <w:rsid w:val="00AC2142"/>
    <w:rsid w:val="00AC2436"/>
    <w:rsid w:val="00AC24A2"/>
    <w:rsid w:val="00AC27BB"/>
    <w:rsid w:val="00AC2904"/>
    <w:rsid w:val="00AC2D7A"/>
    <w:rsid w:val="00AC2E1C"/>
    <w:rsid w:val="00AC3106"/>
    <w:rsid w:val="00AC35FF"/>
    <w:rsid w:val="00AC383C"/>
    <w:rsid w:val="00AC38AB"/>
    <w:rsid w:val="00AC4349"/>
    <w:rsid w:val="00AC4851"/>
    <w:rsid w:val="00AC4A3E"/>
    <w:rsid w:val="00AC4A9A"/>
    <w:rsid w:val="00AC50F3"/>
    <w:rsid w:val="00AC51A7"/>
    <w:rsid w:val="00AC5455"/>
    <w:rsid w:val="00AC5CEF"/>
    <w:rsid w:val="00AC5F3D"/>
    <w:rsid w:val="00AC5FEF"/>
    <w:rsid w:val="00AC60CB"/>
    <w:rsid w:val="00AC6583"/>
    <w:rsid w:val="00AC7317"/>
    <w:rsid w:val="00AC7519"/>
    <w:rsid w:val="00AC78B6"/>
    <w:rsid w:val="00AD0002"/>
    <w:rsid w:val="00AD051C"/>
    <w:rsid w:val="00AD06E1"/>
    <w:rsid w:val="00AD08EC"/>
    <w:rsid w:val="00AD0B4E"/>
    <w:rsid w:val="00AD0DBC"/>
    <w:rsid w:val="00AD0F20"/>
    <w:rsid w:val="00AD1012"/>
    <w:rsid w:val="00AD12AF"/>
    <w:rsid w:val="00AD19C6"/>
    <w:rsid w:val="00AD1E3F"/>
    <w:rsid w:val="00AD2242"/>
    <w:rsid w:val="00AD2A55"/>
    <w:rsid w:val="00AD2BC8"/>
    <w:rsid w:val="00AD3264"/>
    <w:rsid w:val="00AD3514"/>
    <w:rsid w:val="00AD3517"/>
    <w:rsid w:val="00AD369C"/>
    <w:rsid w:val="00AD39C9"/>
    <w:rsid w:val="00AD3EAB"/>
    <w:rsid w:val="00AD4816"/>
    <w:rsid w:val="00AD4894"/>
    <w:rsid w:val="00AD5388"/>
    <w:rsid w:val="00AD53F0"/>
    <w:rsid w:val="00AD5E09"/>
    <w:rsid w:val="00AD5EBE"/>
    <w:rsid w:val="00AD6079"/>
    <w:rsid w:val="00AD630A"/>
    <w:rsid w:val="00AD6429"/>
    <w:rsid w:val="00AD650B"/>
    <w:rsid w:val="00AD65E8"/>
    <w:rsid w:val="00AD6752"/>
    <w:rsid w:val="00AD680D"/>
    <w:rsid w:val="00AD69BE"/>
    <w:rsid w:val="00AD6DD4"/>
    <w:rsid w:val="00AD6F09"/>
    <w:rsid w:val="00AD73C6"/>
    <w:rsid w:val="00AD77CF"/>
    <w:rsid w:val="00AD78F1"/>
    <w:rsid w:val="00AD7993"/>
    <w:rsid w:val="00AD7A01"/>
    <w:rsid w:val="00AD7B95"/>
    <w:rsid w:val="00AD7BDD"/>
    <w:rsid w:val="00AD7DDE"/>
    <w:rsid w:val="00AD7E2D"/>
    <w:rsid w:val="00AE003D"/>
    <w:rsid w:val="00AE01B8"/>
    <w:rsid w:val="00AE024E"/>
    <w:rsid w:val="00AE04A1"/>
    <w:rsid w:val="00AE0DDC"/>
    <w:rsid w:val="00AE1132"/>
    <w:rsid w:val="00AE11B5"/>
    <w:rsid w:val="00AE172A"/>
    <w:rsid w:val="00AE19A5"/>
    <w:rsid w:val="00AE19CC"/>
    <w:rsid w:val="00AE1C1B"/>
    <w:rsid w:val="00AE1CBB"/>
    <w:rsid w:val="00AE2094"/>
    <w:rsid w:val="00AE21D1"/>
    <w:rsid w:val="00AE2227"/>
    <w:rsid w:val="00AE2367"/>
    <w:rsid w:val="00AE25E7"/>
    <w:rsid w:val="00AE2840"/>
    <w:rsid w:val="00AE2FE7"/>
    <w:rsid w:val="00AE31AF"/>
    <w:rsid w:val="00AE3450"/>
    <w:rsid w:val="00AE37FB"/>
    <w:rsid w:val="00AE39BE"/>
    <w:rsid w:val="00AE3E11"/>
    <w:rsid w:val="00AE4069"/>
    <w:rsid w:val="00AE40E3"/>
    <w:rsid w:val="00AE40FE"/>
    <w:rsid w:val="00AE416E"/>
    <w:rsid w:val="00AE429E"/>
    <w:rsid w:val="00AE444F"/>
    <w:rsid w:val="00AE4692"/>
    <w:rsid w:val="00AE46C1"/>
    <w:rsid w:val="00AE599A"/>
    <w:rsid w:val="00AE5E80"/>
    <w:rsid w:val="00AE5EEB"/>
    <w:rsid w:val="00AE5F6F"/>
    <w:rsid w:val="00AE6143"/>
    <w:rsid w:val="00AE616D"/>
    <w:rsid w:val="00AE619B"/>
    <w:rsid w:val="00AE6760"/>
    <w:rsid w:val="00AE69D7"/>
    <w:rsid w:val="00AE6ABC"/>
    <w:rsid w:val="00AE70A7"/>
    <w:rsid w:val="00AE71B1"/>
    <w:rsid w:val="00AE756C"/>
    <w:rsid w:val="00AE7572"/>
    <w:rsid w:val="00AF05F2"/>
    <w:rsid w:val="00AF09F8"/>
    <w:rsid w:val="00AF0B34"/>
    <w:rsid w:val="00AF0BE6"/>
    <w:rsid w:val="00AF0D61"/>
    <w:rsid w:val="00AF0F03"/>
    <w:rsid w:val="00AF107A"/>
    <w:rsid w:val="00AF1181"/>
    <w:rsid w:val="00AF11AE"/>
    <w:rsid w:val="00AF1214"/>
    <w:rsid w:val="00AF15A4"/>
    <w:rsid w:val="00AF17BB"/>
    <w:rsid w:val="00AF295B"/>
    <w:rsid w:val="00AF2DBD"/>
    <w:rsid w:val="00AF345E"/>
    <w:rsid w:val="00AF3816"/>
    <w:rsid w:val="00AF3A7D"/>
    <w:rsid w:val="00AF4023"/>
    <w:rsid w:val="00AF4AD4"/>
    <w:rsid w:val="00AF60A9"/>
    <w:rsid w:val="00AF636E"/>
    <w:rsid w:val="00AF6545"/>
    <w:rsid w:val="00AF6ABF"/>
    <w:rsid w:val="00AF6C38"/>
    <w:rsid w:val="00AF6CC2"/>
    <w:rsid w:val="00AF6E11"/>
    <w:rsid w:val="00AF6FD4"/>
    <w:rsid w:val="00AF70BA"/>
    <w:rsid w:val="00AF7183"/>
    <w:rsid w:val="00AF75BB"/>
    <w:rsid w:val="00AF7680"/>
    <w:rsid w:val="00AF7CBC"/>
    <w:rsid w:val="00B0043D"/>
    <w:rsid w:val="00B006AD"/>
    <w:rsid w:val="00B00779"/>
    <w:rsid w:val="00B00971"/>
    <w:rsid w:val="00B0102F"/>
    <w:rsid w:val="00B01381"/>
    <w:rsid w:val="00B015F4"/>
    <w:rsid w:val="00B0174F"/>
    <w:rsid w:val="00B019D5"/>
    <w:rsid w:val="00B01CF8"/>
    <w:rsid w:val="00B01D58"/>
    <w:rsid w:val="00B0218D"/>
    <w:rsid w:val="00B021F3"/>
    <w:rsid w:val="00B0238D"/>
    <w:rsid w:val="00B0261F"/>
    <w:rsid w:val="00B02887"/>
    <w:rsid w:val="00B0293E"/>
    <w:rsid w:val="00B029E2"/>
    <w:rsid w:val="00B02E79"/>
    <w:rsid w:val="00B0330C"/>
    <w:rsid w:val="00B03354"/>
    <w:rsid w:val="00B03A03"/>
    <w:rsid w:val="00B03F30"/>
    <w:rsid w:val="00B04291"/>
    <w:rsid w:val="00B0429B"/>
    <w:rsid w:val="00B046E4"/>
    <w:rsid w:val="00B04AE1"/>
    <w:rsid w:val="00B04C4D"/>
    <w:rsid w:val="00B04D18"/>
    <w:rsid w:val="00B05634"/>
    <w:rsid w:val="00B05907"/>
    <w:rsid w:val="00B0638A"/>
    <w:rsid w:val="00B064C3"/>
    <w:rsid w:val="00B06D0B"/>
    <w:rsid w:val="00B06E64"/>
    <w:rsid w:val="00B06FB3"/>
    <w:rsid w:val="00B071C5"/>
    <w:rsid w:val="00B074F9"/>
    <w:rsid w:val="00B07742"/>
    <w:rsid w:val="00B07888"/>
    <w:rsid w:val="00B07984"/>
    <w:rsid w:val="00B07BBE"/>
    <w:rsid w:val="00B07C5F"/>
    <w:rsid w:val="00B10A31"/>
    <w:rsid w:val="00B10B23"/>
    <w:rsid w:val="00B10D20"/>
    <w:rsid w:val="00B10F97"/>
    <w:rsid w:val="00B11161"/>
    <w:rsid w:val="00B11270"/>
    <w:rsid w:val="00B114BB"/>
    <w:rsid w:val="00B116AC"/>
    <w:rsid w:val="00B11876"/>
    <w:rsid w:val="00B11891"/>
    <w:rsid w:val="00B11CDF"/>
    <w:rsid w:val="00B12073"/>
    <w:rsid w:val="00B122FF"/>
    <w:rsid w:val="00B126F2"/>
    <w:rsid w:val="00B12A19"/>
    <w:rsid w:val="00B13B62"/>
    <w:rsid w:val="00B13BFE"/>
    <w:rsid w:val="00B13CC9"/>
    <w:rsid w:val="00B13E7B"/>
    <w:rsid w:val="00B13F26"/>
    <w:rsid w:val="00B14683"/>
    <w:rsid w:val="00B14955"/>
    <w:rsid w:val="00B15347"/>
    <w:rsid w:val="00B156BB"/>
    <w:rsid w:val="00B157D7"/>
    <w:rsid w:val="00B15A43"/>
    <w:rsid w:val="00B15D15"/>
    <w:rsid w:val="00B15DE9"/>
    <w:rsid w:val="00B16116"/>
    <w:rsid w:val="00B162B7"/>
    <w:rsid w:val="00B162B8"/>
    <w:rsid w:val="00B16C0B"/>
    <w:rsid w:val="00B16CAE"/>
    <w:rsid w:val="00B17203"/>
    <w:rsid w:val="00B17401"/>
    <w:rsid w:val="00B17ADE"/>
    <w:rsid w:val="00B17D9A"/>
    <w:rsid w:val="00B20014"/>
    <w:rsid w:val="00B200E3"/>
    <w:rsid w:val="00B20360"/>
    <w:rsid w:val="00B20891"/>
    <w:rsid w:val="00B20BF6"/>
    <w:rsid w:val="00B213EB"/>
    <w:rsid w:val="00B2153D"/>
    <w:rsid w:val="00B21AEB"/>
    <w:rsid w:val="00B220B3"/>
    <w:rsid w:val="00B22330"/>
    <w:rsid w:val="00B22A1A"/>
    <w:rsid w:val="00B22BF9"/>
    <w:rsid w:val="00B22E5E"/>
    <w:rsid w:val="00B22FC1"/>
    <w:rsid w:val="00B23123"/>
    <w:rsid w:val="00B23149"/>
    <w:rsid w:val="00B23508"/>
    <w:rsid w:val="00B237C5"/>
    <w:rsid w:val="00B23EC0"/>
    <w:rsid w:val="00B2421A"/>
    <w:rsid w:val="00B247FA"/>
    <w:rsid w:val="00B24A64"/>
    <w:rsid w:val="00B24D56"/>
    <w:rsid w:val="00B24F2E"/>
    <w:rsid w:val="00B2520C"/>
    <w:rsid w:val="00B253CD"/>
    <w:rsid w:val="00B25C58"/>
    <w:rsid w:val="00B26208"/>
    <w:rsid w:val="00B26444"/>
    <w:rsid w:val="00B268C3"/>
    <w:rsid w:val="00B269E9"/>
    <w:rsid w:val="00B26ADA"/>
    <w:rsid w:val="00B26CBA"/>
    <w:rsid w:val="00B27308"/>
    <w:rsid w:val="00B2733A"/>
    <w:rsid w:val="00B277DE"/>
    <w:rsid w:val="00B27B34"/>
    <w:rsid w:val="00B27D1B"/>
    <w:rsid w:val="00B3000B"/>
    <w:rsid w:val="00B30191"/>
    <w:rsid w:val="00B3047B"/>
    <w:rsid w:val="00B307C2"/>
    <w:rsid w:val="00B307E3"/>
    <w:rsid w:val="00B3107F"/>
    <w:rsid w:val="00B31A53"/>
    <w:rsid w:val="00B31E14"/>
    <w:rsid w:val="00B31EB2"/>
    <w:rsid w:val="00B3211B"/>
    <w:rsid w:val="00B32784"/>
    <w:rsid w:val="00B328C2"/>
    <w:rsid w:val="00B32D84"/>
    <w:rsid w:val="00B32EB8"/>
    <w:rsid w:val="00B3313E"/>
    <w:rsid w:val="00B3318F"/>
    <w:rsid w:val="00B33319"/>
    <w:rsid w:val="00B3341F"/>
    <w:rsid w:val="00B334BA"/>
    <w:rsid w:val="00B33534"/>
    <w:rsid w:val="00B3357F"/>
    <w:rsid w:val="00B33C68"/>
    <w:rsid w:val="00B34104"/>
    <w:rsid w:val="00B34294"/>
    <w:rsid w:val="00B34682"/>
    <w:rsid w:val="00B34AD4"/>
    <w:rsid w:val="00B34C28"/>
    <w:rsid w:val="00B3533E"/>
    <w:rsid w:val="00B3543B"/>
    <w:rsid w:val="00B35606"/>
    <w:rsid w:val="00B36192"/>
    <w:rsid w:val="00B36B0B"/>
    <w:rsid w:val="00B36E71"/>
    <w:rsid w:val="00B37047"/>
    <w:rsid w:val="00B3746A"/>
    <w:rsid w:val="00B37B8A"/>
    <w:rsid w:val="00B37DE2"/>
    <w:rsid w:val="00B37EAC"/>
    <w:rsid w:val="00B40776"/>
    <w:rsid w:val="00B40E6A"/>
    <w:rsid w:val="00B41011"/>
    <w:rsid w:val="00B4106B"/>
    <w:rsid w:val="00B41079"/>
    <w:rsid w:val="00B413E4"/>
    <w:rsid w:val="00B41E1A"/>
    <w:rsid w:val="00B42469"/>
    <w:rsid w:val="00B42660"/>
    <w:rsid w:val="00B42D71"/>
    <w:rsid w:val="00B432CF"/>
    <w:rsid w:val="00B43D6F"/>
    <w:rsid w:val="00B43F4A"/>
    <w:rsid w:val="00B448EE"/>
    <w:rsid w:val="00B44AA9"/>
    <w:rsid w:val="00B44E8F"/>
    <w:rsid w:val="00B454EE"/>
    <w:rsid w:val="00B45A00"/>
    <w:rsid w:val="00B45BC8"/>
    <w:rsid w:val="00B45FB8"/>
    <w:rsid w:val="00B4674D"/>
    <w:rsid w:val="00B46892"/>
    <w:rsid w:val="00B46C2A"/>
    <w:rsid w:val="00B46CE1"/>
    <w:rsid w:val="00B46D29"/>
    <w:rsid w:val="00B46F24"/>
    <w:rsid w:val="00B47473"/>
    <w:rsid w:val="00B47805"/>
    <w:rsid w:val="00B47BB4"/>
    <w:rsid w:val="00B47D65"/>
    <w:rsid w:val="00B50532"/>
    <w:rsid w:val="00B507ED"/>
    <w:rsid w:val="00B507FD"/>
    <w:rsid w:val="00B50FE6"/>
    <w:rsid w:val="00B51057"/>
    <w:rsid w:val="00B5119A"/>
    <w:rsid w:val="00B51720"/>
    <w:rsid w:val="00B51837"/>
    <w:rsid w:val="00B51EEC"/>
    <w:rsid w:val="00B52312"/>
    <w:rsid w:val="00B528D9"/>
    <w:rsid w:val="00B52A5F"/>
    <w:rsid w:val="00B52AA7"/>
    <w:rsid w:val="00B52B6E"/>
    <w:rsid w:val="00B52FDE"/>
    <w:rsid w:val="00B53335"/>
    <w:rsid w:val="00B53394"/>
    <w:rsid w:val="00B53612"/>
    <w:rsid w:val="00B53D0F"/>
    <w:rsid w:val="00B53D24"/>
    <w:rsid w:val="00B53FF2"/>
    <w:rsid w:val="00B54079"/>
    <w:rsid w:val="00B5417E"/>
    <w:rsid w:val="00B5418F"/>
    <w:rsid w:val="00B5441E"/>
    <w:rsid w:val="00B544C3"/>
    <w:rsid w:val="00B552C5"/>
    <w:rsid w:val="00B5532E"/>
    <w:rsid w:val="00B56396"/>
    <w:rsid w:val="00B56B15"/>
    <w:rsid w:val="00B56D00"/>
    <w:rsid w:val="00B56EA1"/>
    <w:rsid w:val="00B57189"/>
    <w:rsid w:val="00B5747B"/>
    <w:rsid w:val="00B57F21"/>
    <w:rsid w:val="00B57F95"/>
    <w:rsid w:val="00B60281"/>
    <w:rsid w:val="00B602D1"/>
    <w:rsid w:val="00B603BC"/>
    <w:rsid w:val="00B60596"/>
    <w:rsid w:val="00B60C83"/>
    <w:rsid w:val="00B60D2A"/>
    <w:rsid w:val="00B61080"/>
    <w:rsid w:val="00B610CA"/>
    <w:rsid w:val="00B6140C"/>
    <w:rsid w:val="00B6141C"/>
    <w:rsid w:val="00B61E8E"/>
    <w:rsid w:val="00B629F8"/>
    <w:rsid w:val="00B62B1E"/>
    <w:rsid w:val="00B62F18"/>
    <w:rsid w:val="00B63132"/>
    <w:rsid w:val="00B634DE"/>
    <w:rsid w:val="00B6356F"/>
    <w:rsid w:val="00B6390A"/>
    <w:rsid w:val="00B63F91"/>
    <w:rsid w:val="00B6436B"/>
    <w:rsid w:val="00B643E9"/>
    <w:rsid w:val="00B64433"/>
    <w:rsid w:val="00B6446C"/>
    <w:rsid w:val="00B64E84"/>
    <w:rsid w:val="00B64FCC"/>
    <w:rsid w:val="00B65C6A"/>
    <w:rsid w:val="00B65D2E"/>
    <w:rsid w:val="00B6653D"/>
    <w:rsid w:val="00B665DF"/>
    <w:rsid w:val="00B6664C"/>
    <w:rsid w:val="00B668A9"/>
    <w:rsid w:val="00B66F07"/>
    <w:rsid w:val="00B66F1E"/>
    <w:rsid w:val="00B66F47"/>
    <w:rsid w:val="00B66FF5"/>
    <w:rsid w:val="00B67029"/>
    <w:rsid w:val="00B674D3"/>
    <w:rsid w:val="00B67B5E"/>
    <w:rsid w:val="00B67C7D"/>
    <w:rsid w:val="00B67D5E"/>
    <w:rsid w:val="00B67E07"/>
    <w:rsid w:val="00B70323"/>
    <w:rsid w:val="00B70556"/>
    <w:rsid w:val="00B7076E"/>
    <w:rsid w:val="00B708F4"/>
    <w:rsid w:val="00B70A26"/>
    <w:rsid w:val="00B70DD1"/>
    <w:rsid w:val="00B70F42"/>
    <w:rsid w:val="00B717CC"/>
    <w:rsid w:val="00B71B14"/>
    <w:rsid w:val="00B71D00"/>
    <w:rsid w:val="00B71E2F"/>
    <w:rsid w:val="00B71FFE"/>
    <w:rsid w:val="00B723AE"/>
    <w:rsid w:val="00B72587"/>
    <w:rsid w:val="00B72894"/>
    <w:rsid w:val="00B72F44"/>
    <w:rsid w:val="00B73274"/>
    <w:rsid w:val="00B73773"/>
    <w:rsid w:val="00B73A41"/>
    <w:rsid w:val="00B73A71"/>
    <w:rsid w:val="00B73BE3"/>
    <w:rsid w:val="00B73D94"/>
    <w:rsid w:val="00B74482"/>
    <w:rsid w:val="00B745C6"/>
    <w:rsid w:val="00B74E6D"/>
    <w:rsid w:val="00B7511D"/>
    <w:rsid w:val="00B753BB"/>
    <w:rsid w:val="00B75513"/>
    <w:rsid w:val="00B756BE"/>
    <w:rsid w:val="00B757E8"/>
    <w:rsid w:val="00B75CA2"/>
    <w:rsid w:val="00B766C4"/>
    <w:rsid w:val="00B76DC9"/>
    <w:rsid w:val="00B7733B"/>
    <w:rsid w:val="00B77701"/>
    <w:rsid w:val="00B7773A"/>
    <w:rsid w:val="00B77C8E"/>
    <w:rsid w:val="00B800EF"/>
    <w:rsid w:val="00B80116"/>
    <w:rsid w:val="00B80129"/>
    <w:rsid w:val="00B80403"/>
    <w:rsid w:val="00B8067E"/>
    <w:rsid w:val="00B80901"/>
    <w:rsid w:val="00B80A00"/>
    <w:rsid w:val="00B80D00"/>
    <w:rsid w:val="00B80EF4"/>
    <w:rsid w:val="00B81710"/>
    <w:rsid w:val="00B81D97"/>
    <w:rsid w:val="00B81F7D"/>
    <w:rsid w:val="00B82255"/>
    <w:rsid w:val="00B825F1"/>
    <w:rsid w:val="00B829FE"/>
    <w:rsid w:val="00B82BD3"/>
    <w:rsid w:val="00B830C0"/>
    <w:rsid w:val="00B834FA"/>
    <w:rsid w:val="00B83917"/>
    <w:rsid w:val="00B83F17"/>
    <w:rsid w:val="00B84287"/>
    <w:rsid w:val="00B843A2"/>
    <w:rsid w:val="00B84633"/>
    <w:rsid w:val="00B846D2"/>
    <w:rsid w:val="00B848D8"/>
    <w:rsid w:val="00B852AC"/>
    <w:rsid w:val="00B85E17"/>
    <w:rsid w:val="00B861A9"/>
    <w:rsid w:val="00B8638C"/>
    <w:rsid w:val="00B8690A"/>
    <w:rsid w:val="00B86997"/>
    <w:rsid w:val="00B86F03"/>
    <w:rsid w:val="00B87334"/>
    <w:rsid w:val="00B874AB"/>
    <w:rsid w:val="00B874D2"/>
    <w:rsid w:val="00B87586"/>
    <w:rsid w:val="00B877E8"/>
    <w:rsid w:val="00B87BC1"/>
    <w:rsid w:val="00B87F1B"/>
    <w:rsid w:val="00B90006"/>
    <w:rsid w:val="00B900CE"/>
    <w:rsid w:val="00B907D3"/>
    <w:rsid w:val="00B907E1"/>
    <w:rsid w:val="00B90915"/>
    <w:rsid w:val="00B90A56"/>
    <w:rsid w:val="00B9100F"/>
    <w:rsid w:val="00B9111E"/>
    <w:rsid w:val="00B91396"/>
    <w:rsid w:val="00B91725"/>
    <w:rsid w:val="00B9187F"/>
    <w:rsid w:val="00B9195D"/>
    <w:rsid w:val="00B91C0D"/>
    <w:rsid w:val="00B922A6"/>
    <w:rsid w:val="00B92A5F"/>
    <w:rsid w:val="00B92EED"/>
    <w:rsid w:val="00B935AA"/>
    <w:rsid w:val="00B93915"/>
    <w:rsid w:val="00B939E7"/>
    <w:rsid w:val="00B93C10"/>
    <w:rsid w:val="00B94A22"/>
    <w:rsid w:val="00B94E3C"/>
    <w:rsid w:val="00B954AB"/>
    <w:rsid w:val="00B95D5C"/>
    <w:rsid w:val="00B95EBA"/>
    <w:rsid w:val="00B960AB"/>
    <w:rsid w:val="00B9613C"/>
    <w:rsid w:val="00B969E2"/>
    <w:rsid w:val="00B96DEA"/>
    <w:rsid w:val="00B972FA"/>
    <w:rsid w:val="00B973B3"/>
    <w:rsid w:val="00B97730"/>
    <w:rsid w:val="00B9778C"/>
    <w:rsid w:val="00B97A62"/>
    <w:rsid w:val="00B97F3C"/>
    <w:rsid w:val="00BA0036"/>
    <w:rsid w:val="00BA0A89"/>
    <w:rsid w:val="00BA0D7A"/>
    <w:rsid w:val="00BA0DE0"/>
    <w:rsid w:val="00BA1150"/>
    <w:rsid w:val="00BA12D1"/>
    <w:rsid w:val="00BA158E"/>
    <w:rsid w:val="00BA1779"/>
    <w:rsid w:val="00BA21E2"/>
    <w:rsid w:val="00BA23E0"/>
    <w:rsid w:val="00BA3BDB"/>
    <w:rsid w:val="00BA3D4D"/>
    <w:rsid w:val="00BA418A"/>
    <w:rsid w:val="00BA437C"/>
    <w:rsid w:val="00BA456D"/>
    <w:rsid w:val="00BA52F9"/>
    <w:rsid w:val="00BA5734"/>
    <w:rsid w:val="00BA5AC4"/>
    <w:rsid w:val="00BA5C65"/>
    <w:rsid w:val="00BA5C8F"/>
    <w:rsid w:val="00BA5CB6"/>
    <w:rsid w:val="00BA6011"/>
    <w:rsid w:val="00BA604F"/>
    <w:rsid w:val="00BA6072"/>
    <w:rsid w:val="00BA63EF"/>
    <w:rsid w:val="00BA6BA0"/>
    <w:rsid w:val="00BA6C47"/>
    <w:rsid w:val="00BA6E69"/>
    <w:rsid w:val="00BA6FF7"/>
    <w:rsid w:val="00BA7561"/>
    <w:rsid w:val="00BA76FF"/>
    <w:rsid w:val="00BA7707"/>
    <w:rsid w:val="00BA77B6"/>
    <w:rsid w:val="00BB0161"/>
    <w:rsid w:val="00BB0243"/>
    <w:rsid w:val="00BB0D50"/>
    <w:rsid w:val="00BB0E82"/>
    <w:rsid w:val="00BB10DA"/>
    <w:rsid w:val="00BB17DD"/>
    <w:rsid w:val="00BB1A53"/>
    <w:rsid w:val="00BB1A56"/>
    <w:rsid w:val="00BB1D94"/>
    <w:rsid w:val="00BB1FDC"/>
    <w:rsid w:val="00BB22B8"/>
    <w:rsid w:val="00BB23E1"/>
    <w:rsid w:val="00BB24C9"/>
    <w:rsid w:val="00BB2C02"/>
    <w:rsid w:val="00BB32CB"/>
    <w:rsid w:val="00BB35EF"/>
    <w:rsid w:val="00BB3838"/>
    <w:rsid w:val="00BB3D40"/>
    <w:rsid w:val="00BB4642"/>
    <w:rsid w:val="00BB5006"/>
    <w:rsid w:val="00BB5414"/>
    <w:rsid w:val="00BB588C"/>
    <w:rsid w:val="00BB59BA"/>
    <w:rsid w:val="00BB59D8"/>
    <w:rsid w:val="00BB5A76"/>
    <w:rsid w:val="00BB5D68"/>
    <w:rsid w:val="00BB5E42"/>
    <w:rsid w:val="00BB61EC"/>
    <w:rsid w:val="00BB6501"/>
    <w:rsid w:val="00BB68AD"/>
    <w:rsid w:val="00BB6ABA"/>
    <w:rsid w:val="00BB71A2"/>
    <w:rsid w:val="00BB720A"/>
    <w:rsid w:val="00BB7EAB"/>
    <w:rsid w:val="00BC0050"/>
    <w:rsid w:val="00BC007D"/>
    <w:rsid w:val="00BC0357"/>
    <w:rsid w:val="00BC0D5E"/>
    <w:rsid w:val="00BC0F52"/>
    <w:rsid w:val="00BC1470"/>
    <w:rsid w:val="00BC1668"/>
    <w:rsid w:val="00BC18D7"/>
    <w:rsid w:val="00BC1C07"/>
    <w:rsid w:val="00BC2BDC"/>
    <w:rsid w:val="00BC2FF3"/>
    <w:rsid w:val="00BC3744"/>
    <w:rsid w:val="00BC3FEA"/>
    <w:rsid w:val="00BC4581"/>
    <w:rsid w:val="00BC494C"/>
    <w:rsid w:val="00BC4BDE"/>
    <w:rsid w:val="00BC4E13"/>
    <w:rsid w:val="00BC4E5F"/>
    <w:rsid w:val="00BC4FFF"/>
    <w:rsid w:val="00BC5068"/>
    <w:rsid w:val="00BC526A"/>
    <w:rsid w:val="00BC5AD7"/>
    <w:rsid w:val="00BC5BB7"/>
    <w:rsid w:val="00BC5BCB"/>
    <w:rsid w:val="00BC609C"/>
    <w:rsid w:val="00BC6747"/>
    <w:rsid w:val="00BC6B62"/>
    <w:rsid w:val="00BC6C2A"/>
    <w:rsid w:val="00BC7B36"/>
    <w:rsid w:val="00BC7E86"/>
    <w:rsid w:val="00BD0472"/>
    <w:rsid w:val="00BD058F"/>
    <w:rsid w:val="00BD0793"/>
    <w:rsid w:val="00BD082D"/>
    <w:rsid w:val="00BD08CD"/>
    <w:rsid w:val="00BD1305"/>
    <w:rsid w:val="00BD1496"/>
    <w:rsid w:val="00BD190E"/>
    <w:rsid w:val="00BD21C3"/>
    <w:rsid w:val="00BD2381"/>
    <w:rsid w:val="00BD2535"/>
    <w:rsid w:val="00BD279F"/>
    <w:rsid w:val="00BD4095"/>
    <w:rsid w:val="00BD40D2"/>
    <w:rsid w:val="00BD415E"/>
    <w:rsid w:val="00BD447D"/>
    <w:rsid w:val="00BD4A8E"/>
    <w:rsid w:val="00BD4E13"/>
    <w:rsid w:val="00BD55EE"/>
    <w:rsid w:val="00BD5D1E"/>
    <w:rsid w:val="00BD604E"/>
    <w:rsid w:val="00BD6372"/>
    <w:rsid w:val="00BD64B7"/>
    <w:rsid w:val="00BD6FD7"/>
    <w:rsid w:val="00BD6FEF"/>
    <w:rsid w:val="00BD7436"/>
    <w:rsid w:val="00BD78F6"/>
    <w:rsid w:val="00BD7C0C"/>
    <w:rsid w:val="00BD7D2D"/>
    <w:rsid w:val="00BE031D"/>
    <w:rsid w:val="00BE0552"/>
    <w:rsid w:val="00BE057F"/>
    <w:rsid w:val="00BE0885"/>
    <w:rsid w:val="00BE092E"/>
    <w:rsid w:val="00BE0E2A"/>
    <w:rsid w:val="00BE1062"/>
    <w:rsid w:val="00BE138D"/>
    <w:rsid w:val="00BE1630"/>
    <w:rsid w:val="00BE19BD"/>
    <w:rsid w:val="00BE1A24"/>
    <w:rsid w:val="00BE1A7A"/>
    <w:rsid w:val="00BE2057"/>
    <w:rsid w:val="00BE2468"/>
    <w:rsid w:val="00BE25A3"/>
    <w:rsid w:val="00BE2A8F"/>
    <w:rsid w:val="00BE2A9C"/>
    <w:rsid w:val="00BE32B3"/>
    <w:rsid w:val="00BE3A6C"/>
    <w:rsid w:val="00BE436E"/>
    <w:rsid w:val="00BE46FE"/>
    <w:rsid w:val="00BE4819"/>
    <w:rsid w:val="00BE484D"/>
    <w:rsid w:val="00BE49EA"/>
    <w:rsid w:val="00BE4B9B"/>
    <w:rsid w:val="00BE4C06"/>
    <w:rsid w:val="00BE5092"/>
    <w:rsid w:val="00BE52FB"/>
    <w:rsid w:val="00BE5497"/>
    <w:rsid w:val="00BE620D"/>
    <w:rsid w:val="00BE62A1"/>
    <w:rsid w:val="00BE6469"/>
    <w:rsid w:val="00BE69A3"/>
    <w:rsid w:val="00BE6DD5"/>
    <w:rsid w:val="00BE6E34"/>
    <w:rsid w:val="00BE6FBC"/>
    <w:rsid w:val="00BE73D8"/>
    <w:rsid w:val="00BE7A5E"/>
    <w:rsid w:val="00BE7BD7"/>
    <w:rsid w:val="00BE7CFF"/>
    <w:rsid w:val="00BE7D1C"/>
    <w:rsid w:val="00BE7EE2"/>
    <w:rsid w:val="00BF051A"/>
    <w:rsid w:val="00BF0AB5"/>
    <w:rsid w:val="00BF0BFE"/>
    <w:rsid w:val="00BF0CC0"/>
    <w:rsid w:val="00BF0D80"/>
    <w:rsid w:val="00BF0F25"/>
    <w:rsid w:val="00BF1360"/>
    <w:rsid w:val="00BF16B9"/>
    <w:rsid w:val="00BF182F"/>
    <w:rsid w:val="00BF1834"/>
    <w:rsid w:val="00BF2202"/>
    <w:rsid w:val="00BF27EB"/>
    <w:rsid w:val="00BF2E60"/>
    <w:rsid w:val="00BF332C"/>
    <w:rsid w:val="00BF3331"/>
    <w:rsid w:val="00BF3C4C"/>
    <w:rsid w:val="00BF3EF6"/>
    <w:rsid w:val="00BF3FE4"/>
    <w:rsid w:val="00BF4005"/>
    <w:rsid w:val="00BF457A"/>
    <w:rsid w:val="00BF46AB"/>
    <w:rsid w:val="00BF4F86"/>
    <w:rsid w:val="00BF4FAF"/>
    <w:rsid w:val="00BF5185"/>
    <w:rsid w:val="00BF52DC"/>
    <w:rsid w:val="00BF5317"/>
    <w:rsid w:val="00BF55A9"/>
    <w:rsid w:val="00BF5A2A"/>
    <w:rsid w:val="00BF608B"/>
    <w:rsid w:val="00BF609A"/>
    <w:rsid w:val="00BF66DE"/>
    <w:rsid w:val="00BF6F3C"/>
    <w:rsid w:val="00BF7D6C"/>
    <w:rsid w:val="00BF7DF6"/>
    <w:rsid w:val="00C001C1"/>
    <w:rsid w:val="00C00D4B"/>
    <w:rsid w:val="00C0158E"/>
    <w:rsid w:val="00C01636"/>
    <w:rsid w:val="00C01A96"/>
    <w:rsid w:val="00C01CD2"/>
    <w:rsid w:val="00C021BE"/>
    <w:rsid w:val="00C02C64"/>
    <w:rsid w:val="00C030EE"/>
    <w:rsid w:val="00C0346A"/>
    <w:rsid w:val="00C03853"/>
    <w:rsid w:val="00C03E4E"/>
    <w:rsid w:val="00C04534"/>
    <w:rsid w:val="00C045EC"/>
    <w:rsid w:val="00C04695"/>
    <w:rsid w:val="00C04A3A"/>
    <w:rsid w:val="00C04C3B"/>
    <w:rsid w:val="00C05185"/>
    <w:rsid w:val="00C05534"/>
    <w:rsid w:val="00C05C69"/>
    <w:rsid w:val="00C063F2"/>
    <w:rsid w:val="00C0642B"/>
    <w:rsid w:val="00C06D99"/>
    <w:rsid w:val="00C0754C"/>
    <w:rsid w:val="00C0785E"/>
    <w:rsid w:val="00C07B0C"/>
    <w:rsid w:val="00C07C26"/>
    <w:rsid w:val="00C07DF6"/>
    <w:rsid w:val="00C104D6"/>
    <w:rsid w:val="00C10641"/>
    <w:rsid w:val="00C10A80"/>
    <w:rsid w:val="00C11A18"/>
    <w:rsid w:val="00C11E7D"/>
    <w:rsid w:val="00C121D1"/>
    <w:rsid w:val="00C124FE"/>
    <w:rsid w:val="00C12970"/>
    <w:rsid w:val="00C12A14"/>
    <w:rsid w:val="00C12CB3"/>
    <w:rsid w:val="00C14323"/>
    <w:rsid w:val="00C14360"/>
    <w:rsid w:val="00C14A37"/>
    <w:rsid w:val="00C14CA0"/>
    <w:rsid w:val="00C15247"/>
    <w:rsid w:val="00C15504"/>
    <w:rsid w:val="00C15600"/>
    <w:rsid w:val="00C15717"/>
    <w:rsid w:val="00C1632B"/>
    <w:rsid w:val="00C16708"/>
    <w:rsid w:val="00C16839"/>
    <w:rsid w:val="00C1696B"/>
    <w:rsid w:val="00C16A52"/>
    <w:rsid w:val="00C16A89"/>
    <w:rsid w:val="00C16E60"/>
    <w:rsid w:val="00C17686"/>
    <w:rsid w:val="00C17E69"/>
    <w:rsid w:val="00C20005"/>
    <w:rsid w:val="00C200C5"/>
    <w:rsid w:val="00C207B7"/>
    <w:rsid w:val="00C20FD3"/>
    <w:rsid w:val="00C21C26"/>
    <w:rsid w:val="00C21CE3"/>
    <w:rsid w:val="00C2209C"/>
    <w:rsid w:val="00C220F5"/>
    <w:rsid w:val="00C226B1"/>
    <w:rsid w:val="00C22750"/>
    <w:rsid w:val="00C23B07"/>
    <w:rsid w:val="00C23CD3"/>
    <w:rsid w:val="00C24873"/>
    <w:rsid w:val="00C2540F"/>
    <w:rsid w:val="00C25D4F"/>
    <w:rsid w:val="00C25EBB"/>
    <w:rsid w:val="00C25F0A"/>
    <w:rsid w:val="00C26063"/>
    <w:rsid w:val="00C264E5"/>
    <w:rsid w:val="00C266BF"/>
    <w:rsid w:val="00C26827"/>
    <w:rsid w:val="00C2697F"/>
    <w:rsid w:val="00C26A31"/>
    <w:rsid w:val="00C27455"/>
    <w:rsid w:val="00C274C3"/>
    <w:rsid w:val="00C278BF"/>
    <w:rsid w:val="00C27CA2"/>
    <w:rsid w:val="00C27CF7"/>
    <w:rsid w:val="00C302EB"/>
    <w:rsid w:val="00C309AE"/>
    <w:rsid w:val="00C30D42"/>
    <w:rsid w:val="00C31578"/>
    <w:rsid w:val="00C3167F"/>
    <w:rsid w:val="00C31D31"/>
    <w:rsid w:val="00C32490"/>
    <w:rsid w:val="00C32BF1"/>
    <w:rsid w:val="00C32E25"/>
    <w:rsid w:val="00C33110"/>
    <w:rsid w:val="00C3389A"/>
    <w:rsid w:val="00C33AA0"/>
    <w:rsid w:val="00C33AE8"/>
    <w:rsid w:val="00C33DF6"/>
    <w:rsid w:val="00C33E99"/>
    <w:rsid w:val="00C34129"/>
    <w:rsid w:val="00C3449F"/>
    <w:rsid w:val="00C35154"/>
    <w:rsid w:val="00C3517D"/>
    <w:rsid w:val="00C3522E"/>
    <w:rsid w:val="00C3523F"/>
    <w:rsid w:val="00C353BF"/>
    <w:rsid w:val="00C35478"/>
    <w:rsid w:val="00C359BC"/>
    <w:rsid w:val="00C35A43"/>
    <w:rsid w:val="00C35D44"/>
    <w:rsid w:val="00C35FB4"/>
    <w:rsid w:val="00C36B3D"/>
    <w:rsid w:val="00C36B43"/>
    <w:rsid w:val="00C36EDB"/>
    <w:rsid w:val="00C3723A"/>
    <w:rsid w:val="00C3728C"/>
    <w:rsid w:val="00C400AD"/>
    <w:rsid w:val="00C40483"/>
    <w:rsid w:val="00C40A2C"/>
    <w:rsid w:val="00C40B1E"/>
    <w:rsid w:val="00C41BAB"/>
    <w:rsid w:val="00C41BDA"/>
    <w:rsid w:val="00C4284F"/>
    <w:rsid w:val="00C44058"/>
    <w:rsid w:val="00C441C8"/>
    <w:rsid w:val="00C44622"/>
    <w:rsid w:val="00C4464E"/>
    <w:rsid w:val="00C450D6"/>
    <w:rsid w:val="00C451FC"/>
    <w:rsid w:val="00C45493"/>
    <w:rsid w:val="00C458B2"/>
    <w:rsid w:val="00C45E56"/>
    <w:rsid w:val="00C46193"/>
    <w:rsid w:val="00C46197"/>
    <w:rsid w:val="00C46580"/>
    <w:rsid w:val="00C469D8"/>
    <w:rsid w:val="00C46EB5"/>
    <w:rsid w:val="00C46F96"/>
    <w:rsid w:val="00C4733B"/>
    <w:rsid w:val="00C47413"/>
    <w:rsid w:val="00C4755C"/>
    <w:rsid w:val="00C475EC"/>
    <w:rsid w:val="00C47744"/>
    <w:rsid w:val="00C47786"/>
    <w:rsid w:val="00C477A3"/>
    <w:rsid w:val="00C477B6"/>
    <w:rsid w:val="00C478B2"/>
    <w:rsid w:val="00C47989"/>
    <w:rsid w:val="00C47A34"/>
    <w:rsid w:val="00C50004"/>
    <w:rsid w:val="00C50221"/>
    <w:rsid w:val="00C50252"/>
    <w:rsid w:val="00C507AF"/>
    <w:rsid w:val="00C50A7C"/>
    <w:rsid w:val="00C50D21"/>
    <w:rsid w:val="00C50ED7"/>
    <w:rsid w:val="00C5107B"/>
    <w:rsid w:val="00C518DB"/>
    <w:rsid w:val="00C5212A"/>
    <w:rsid w:val="00C521BC"/>
    <w:rsid w:val="00C52594"/>
    <w:rsid w:val="00C525AC"/>
    <w:rsid w:val="00C5265A"/>
    <w:rsid w:val="00C526EE"/>
    <w:rsid w:val="00C5280D"/>
    <w:rsid w:val="00C52821"/>
    <w:rsid w:val="00C52F08"/>
    <w:rsid w:val="00C5307B"/>
    <w:rsid w:val="00C530AD"/>
    <w:rsid w:val="00C530EC"/>
    <w:rsid w:val="00C5387E"/>
    <w:rsid w:val="00C53920"/>
    <w:rsid w:val="00C53A53"/>
    <w:rsid w:val="00C53ED5"/>
    <w:rsid w:val="00C5407B"/>
    <w:rsid w:val="00C54162"/>
    <w:rsid w:val="00C545D0"/>
    <w:rsid w:val="00C5470D"/>
    <w:rsid w:val="00C54FC8"/>
    <w:rsid w:val="00C5577E"/>
    <w:rsid w:val="00C55F2D"/>
    <w:rsid w:val="00C56058"/>
    <w:rsid w:val="00C56216"/>
    <w:rsid w:val="00C5678D"/>
    <w:rsid w:val="00C56A2A"/>
    <w:rsid w:val="00C56B18"/>
    <w:rsid w:val="00C56B4B"/>
    <w:rsid w:val="00C56C03"/>
    <w:rsid w:val="00C56DE2"/>
    <w:rsid w:val="00C57042"/>
    <w:rsid w:val="00C579D4"/>
    <w:rsid w:val="00C57C33"/>
    <w:rsid w:val="00C603D2"/>
    <w:rsid w:val="00C6087F"/>
    <w:rsid w:val="00C60AC3"/>
    <w:rsid w:val="00C6129F"/>
    <w:rsid w:val="00C61465"/>
    <w:rsid w:val="00C61777"/>
    <w:rsid w:val="00C618F1"/>
    <w:rsid w:val="00C61A96"/>
    <w:rsid w:val="00C61F7A"/>
    <w:rsid w:val="00C61F9E"/>
    <w:rsid w:val="00C625D5"/>
    <w:rsid w:val="00C626C8"/>
    <w:rsid w:val="00C626E8"/>
    <w:rsid w:val="00C62794"/>
    <w:rsid w:val="00C62A6B"/>
    <w:rsid w:val="00C62CAF"/>
    <w:rsid w:val="00C62DD8"/>
    <w:rsid w:val="00C62E24"/>
    <w:rsid w:val="00C62F9F"/>
    <w:rsid w:val="00C62FD4"/>
    <w:rsid w:val="00C631A7"/>
    <w:rsid w:val="00C631AD"/>
    <w:rsid w:val="00C63205"/>
    <w:rsid w:val="00C63943"/>
    <w:rsid w:val="00C639FF"/>
    <w:rsid w:val="00C63C9A"/>
    <w:rsid w:val="00C63E83"/>
    <w:rsid w:val="00C64396"/>
    <w:rsid w:val="00C644F9"/>
    <w:rsid w:val="00C64D52"/>
    <w:rsid w:val="00C653C7"/>
    <w:rsid w:val="00C6562E"/>
    <w:rsid w:val="00C6568A"/>
    <w:rsid w:val="00C6576B"/>
    <w:rsid w:val="00C657BF"/>
    <w:rsid w:val="00C65D41"/>
    <w:rsid w:val="00C65DA7"/>
    <w:rsid w:val="00C65E32"/>
    <w:rsid w:val="00C66794"/>
    <w:rsid w:val="00C66A94"/>
    <w:rsid w:val="00C66B6B"/>
    <w:rsid w:val="00C66CD9"/>
    <w:rsid w:val="00C66DB9"/>
    <w:rsid w:val="00C6757D"/>
    <w:rsid w:val="00C6759E"/>
    <w:rsid w:val="00C67CCE"/>
    <w:rsid w:val="00C67E20"/>
    <w:rsid w:val="00C67E78"/>
    <w:rsid w:val="00C67F6C"/>
    <w:rsid w:val="00C7003E"/>
    <w:rsid w:val="00C711A3"/>
    <w:rsid w:val="00C715E6"/>
    <w:rsid w:val="00C72B99"/>
    <w:rsid w:val="00C7304C"/>
    <w:rsid w:val="00C731C9"/>
    <w:rsid w:val="00C73399"/>
    <w:rsid w:val="00C74120"/>
    <w:rsid w:val="00C74190"/>
    <w:rsid w:val="00C741AB"/>
    <w:rsid w:val="00C742CB"/>
    <w:rsid w:val="00C749F7"/>
    <w:rsid w:val="00C74C2A"/>
    <w:rsid w:val="00C74EDB"/>
    <w:rsid w:val="00C751CE"/>
    <w:rsid w:val="00C7520F"/>
    <w:rsid w:val="00C75472"/>
    <w:rsid w:val="00C75F92"/>
    <w:rsid w:val="00C7646C"/>
    <w:rsid w:val="00C7659C"/>
    <w:rsid w:val="00C76D43"/>
    <w:rsid w:val="00C772CE"/>
    <w:rsid w:val="00C800FD"/>
    <w:rsid w:val="00C8017A"/>
    <w:rsid w:val="00C801DF"/>
    <w:rsid w:val="00C80253"/>
    <w:rsid w:val="00C804D0"/>
    <w:rsid w:val="00C804F0"/>
    <w:rsid w:val="00C8073A"/>
    <w:rsid w:val="00C8080E"/>
    <w:rsid w:val="00C8088F"/>
    <w:rsid w:val="00C80DC8"/>
    <w:rsid w:val="00C811B1"/>
    <w:rsid w:val="00C81405"/>
    <w:rsid w:val="00C8179A"/>
    <w:rsid w:val="00C81808"/>
    <w:rsid w:val="00C81E12"/>
    <w:rsid w:val="00C8296E"/>
    <w:rsid w:val="00C82CE5"/>
    <w:rsid w:val="00C82F0B"/>
    <w:rsid w:val="00C82F26"/>
    <w:rsid w:val="00C8330D"/>
    <w:rsid w:val="00C840F7"/>
    <w:rsid w:val="00C84212"/>
    <w:rsid w:val="00C849B2"/>
    <w:rsid w:val="00C84CD4"/>
    <w:rsid w:val="00C84DE5"/>
    <w:rsid w:val="00C84FE6"/>
    <w:rsid w:val="00C861FE"/>
    <w:rsid w:val="00C862F0"/>
    <w:rsid w:val="00C86B4A"/>
    <w:rsid w:val="00C86D27"/>
    <w:rsid w:val="00C8701B"/>
    <w:rsid w:val="00C87395"/>
    <w:rsid w:val="00C87AFA"/>
    <w:rsid w:val="00C87BE7"/>
    <w:rsid w:val="00C90489"/>
    <w:rsid w:val="00C9063C"/>
    <w:rsid w:val="00C9067C"/>
    <w:rsid w:val="00C9070A"/>
    <w:rsid w:val="00C908CD"/>
    <w:rsid w:val="00C914C2"/>
    <w:rsid w:val="00C91578"/>
    <w:rsid w:val="00C9171B"/>
    <w:rsid w:val="00C91DD2"/>
    <w:rsid w:val="00C91EA9"/>
    <w:rsid w:val="00C91F81"/>
    <w:rsid w:val="00C920AF"/>
    <w:rsid w:val="00C923ED"/>
    <w:rsid w:val="00C92936"/>
    <w:rsid w:val="00C92A64"/>
    <w:rsid w:val="00C92D4D"/>
    <w:rsid w:val="00C92DFC"/>
    <w:rsid w:val="00C92F47"/>
    <w:rsid w:val="00C93C5A"/>
    <w:rsid w:val="00C93DC1"/>
    <w:rsid w:val="00C9402E"/>
    <w:rsid w:val="00C9417E"/>
    <w:rsid w:val="00C945E2"/>
    <w:rsid w:val="00C94890"/>
    <w:rsid w:val="00C94B96"/>
    <w:rsid w:val="00C94CF9"/>
    <w:rsid w:val="00C954B6"/>
    <w:rsid w:val="00C95747"/>
    <w:rsid w:val="00C964A5"/>
    <w:rsid w:val="00C9692A"/>
    <w:rsid w:val="00C96BC7"/>
    <w:rsid w:val="00C9730F"/>
    <w:rsid w:val="00C97A7F"/>
    <w:rsid w:val="00C97B75"/>
    <w:rsid w:val="00CA0246"/>
    <w:rsid w:val="00CA03C6"/>
    <w:rsid w:val="00CA047C"/>
    <w:rsid w:val="00CA06F8"/>
    <w:rsid w:val="00CA08DA"/>
    <w:rsid w:val="00CA09FD"/>
    <w:rsid w:val="00CA0A1B"/>
    <w:rsid w:val="00CA0F43"/>
    <w:rsid w:val="00CA1322"/>
    <w:rsid w:val="00CA146A"/>
    <w:rsid w:val="00CA15C6"/>
    <w:rsid w:val="00CA1819"/>
    <w:rsid w:val="00CA18AF"/>
    <w:rsid w:val="00CA1D68"/>
    <w:rsid w:val="00CA1EB7"/>
    <w:rsid w:val="00CA1EEB"/>
    <w:rsid w:val="00CA2313"/>
    <w:rsid w:val="00CA274D"/>
    <w:rsid w:val="00CA2C15"/>
    <w:rsid w:val="00CA33E7"/>
    <w:rsid w:val="00CA341B"/>
    <w:rsid w:val="00CA3AC1"/>
    <w:rsid w:val="00CA3B85"/>
    <w:rsid w:val="00CA4091"/>
    <w:rsid w:val="00CA43A4"/>
    <w:rsid w:val="00CA4ACA"/>
    <w:rsid w:val="00CA5102"/>
    <w:rsid w:val="00CA53D6"/>
    <w:rsid w:val="00CA5683"/>
    <w:rsid w:val="00CA58F8"/>
    <w:rsid w:val="00CA5FA2"/>
    <w:rsid w:val="00CA6305"/>
    <w:rsid w:val="00CA66B8"/>
    <w:rsid w:val="00CA697C"/>
    <w:rsid w:val="00CA6CB4"/>
    <w:rsid w:val="00CA6ED8"/>
    <w:rsid w:val="00CA6EDC"/>
    <w:rsid w:val="00CA7041"/>
    <w:rsid w:val="00CA7A73"/>
    <w:rsid w:val="00CA7DB3"/>
    <w:rsid w:val="00CB07D3"/>
    <w:rsid w:val="00CB0912"/>
    <w:rsid w:val="00CB0C38"/>
    <w:rsid w:val="00CB1665"/>
    <w:rsid w:val="00CB2488"/>
    <w:rsid w:val="00CB27FA"/>
    <w:rsid w:val="00CB2A5E"/>
    <w:rsid w:val="00CB2CA8"/>
    <w:rsid w:val="00CB37BB"/>
    <w:rsid w:val="00CB39C2"/>
    <w:rsid w:val="00CB4137"/>
    <w:rsid w:val="00CB4139"/>
    <w:rsid w:val="00CB43D3"/>
    <w:rsid w:val="00CB44FB"/>
    <w:rsid w:val="00CB4620"/>
    <w:rsid w:val="00CB4BA6"/>
    <w:rsid w:val="00CB4E57"/>
    <w:rsid w:val="00CB5139"/>
    <w:rsid w:val="00CB52EF"/>
    <w:rsid w:val="00CB5529"/>
    <w:rsid w:val="00CB58D7"/>
    <w:rsid w:val="00CB5A72"/>
    <w:rsid w:val="00CB5D65"/>
    <w:rsid w:val="00CB64CE"/>
    <w:rsid w:val="00CB6557"/>
    <w:rsid w:val="00CB6B2B"/>
    <w:rsid w:val="00CB6F91"/>
    <w:rsid w:val="00CB72B2"/>
    <w:rsid w:val="00CB72FC"/>
    <w:rsid w:val="00CB7A40"/>
    <w:rsid w:val="00CB7C0B"/>
    <w:rsid w:val="00CB7ED2"/>
    <w:rsid w:val="00CC0169"/>
    <w:rsid w:val="00CC021C"/>
    <w:rsid w:val="00CC0CA1"/>
    <w:rsid w:val="00CC0DDC"/>
    <w:rsid w:val="00CC11DE"/>
    <w:rsid w:val="00CC1AA8"/>
    <w:rsid w:val="00CC1E26"/>
    <w:rsid w:val="00CC27EE"/>
    <w:rsid w:val="00CC28DE"/>
    <w:rsid w:val="00CC2B22"/>
    <w:rsid w:val="00CC2D4B"/>
    <w:rsid w:val="00CC309E"/>
    <w:rsid w:val="00CC30F0"/>
    <w:rsid w:val="00CC326F"/>
    <w:rsid w:val="00CC3279"/>
    <w:rsid w:val="00CC354E"/>
    <w:rsid w:val="00CC360C"/>
    <w:rsid w:val="00CC3D42"/>
    <w:rsid w:val="00CC3DDE"/>
    <w:rsid w:val="00CC40AB"/>
    <w:rsid w:val="00CC4C69"/>
    <w:rsid w:val="00CC4E1C"/>
    <w:rsid w:val="00CC4E3A"/>
    <w:rsid w:val="00CC4FF1"/>
    <w:rsid w:val="00CC504E"/>
    <w:rsid w:val="00CC5495"/>
    <w:rsid w:val="00CC57D0"/>
    <w:rsid w:val="00CC5D6F"/>
    <w:rsid w:val="00CC5D9A"/>
    <w:rsid w:val="00CC5F82"/>
    <w:rsid w:val="00CC61D2"/>
    <w:rsid w:val="00CC6311"/>
    <w:rsid w:val="00CC68EA"/>
    <w:rsid w:val="00CC6B3A"/>
    <w:rsid w:val="00CC6F73"/>
    <w:rsid w:val="00CC7147"/>
    <w:rsid w:val="00CC7CF6"/>
    <w:rsid w:val="00CC7F36"/>
    <w:rsid w:val="00CD0773"/>
    <w:rsid w:val="00CD07D1"/>
    <w:rsid w:val="00CD0894"/>
    <w:rsid w:val="00CD0A44"/>
    <w:rsid w:val="00CD15FE"/>
    <w:rsid w:val="00CD19B8"/>
    <w:rsid w:val="00CD1ED9"/>
    <w:rsid w:val="00CD2162"/>
    <w:rsid w:val="00CD2302"/>
    <w:rsid w:val="00CD2C43"/>
    <w:rsid w:val="00CD2C7B"/>
    <w:rsid w:val="00CD2F88"/>
    <w:rsid w:val="00CD38E1"/>
    <w:rsid w:val="00CD3B44"/>
    <w:rsid w:val="00CD3D55"/>
    <w:rsid w:val="00CD47E2"/>
    <w:rsid w:val="00CD4DBA"/>
    <w:rsid w:val="00CD50F6"/>
    <w:rsid w:val="00CD5399"/>
    <w:rsid w:val="00CD564C"/>
    <w:rsid w:val="00CD5918"/>
    <w:rsid w:val="00CD6DD6"/>
    <w:rsid w:val="00CD6F56"/>
    <w:rsid w:val="00CD73DB"/>
    <w:rsid w:val="00CD7D4A"/>
    <w:rsid w:val="00CE02AF"/>
    <w:rsid w:val="00CE03FC"/>
    <w:rsid w:val="00CE0511"/>
    <w:rsid w:val="00CE0534"/>
    <w:rsid w:val="00CE061F"/>
    <w:rsid w:val="00CE0D4B"/>
    <w:rsid w:val="00CE0FD0"/>
    <w:rsid w:val="00CE12B6"/>
    <w:rsid w:val="00CE17AD"/>
    <w:rsid w:val="00CE1AC4"/>
    <w:rsid w:val="00CE1F1B"/>
    <w:rsid w:val="00CE216F"/>
    <w:rsid w:val="00CE2539"/>
    <w:rsid w:val="00CE2AE3"/>
    <w:rsid w:val="00CE2BB5"/>
    <w:rsid w:val="00CE321F"/>
    <w:rsid w:val="00CE37D7"/>
    <w:rsid w:val="00CE3984"/>
    <w:rsid w:val="00CE3A37"/>
    <w:rsid w:val="00CE3C1B"/>
    <w:rsid w:val="00CE3F8F"/>
    <w:rsid w:val="00CE4125"/>
    <w:rsid w:val="00CE431F"/>
    <w:rsid w:val="00CE43C4"/>
    <w:rsid w:val="00CE4506"/>
    <w:rsid w:val="00CE517C"/>
    <w:rsid w:val="00CE51B4"/>
    <w:rsid w:val="00CE5489"/>
    <w:rsid w:val="00CE6321"/>
    <w:rsid w:val="00CE656B"/>
    <w:rsid w:val="00CE6A98"/>
    <w:rsid w:val="00CE706C"/>
    <w:rsid w:val="00CE7313"/>
    <w:rsid w:val="00CE74FC"/>
    <w:rsid w:val="00CE7D60"/>
    <w:rsid w:val="00CF000A"/>
    <w:rsid w:val="00CF01BD"/>
    <w:rsid w:val="00CF06D9"/>
    <w:rsid w:val="00CF0D0B"/>
    <w:rsid w:val="00CF0D6B"/>
    <w:rsid w:val="00CF109D"/>
    <w:rsid w:val="00CF110B"/>
    <w:rsid w:val="00CF1A35"/>
    <w:rsid w:val="00CF1AD2"/>
    <w:rsid w:val="00CF1D3E"/>
    <w:rsid w:val="00CF21DA"/>
    <w:rsid w:val="00CF22BE"/>
    <w:rsid w:val="00CF237E"/>
    <w:rsid w:val="00CF262D"/>
    <w:rsid w:val="00CF2654"/>
    <w:rsid w:val="00CF31DB"/>
    <w:rsid w:val="00CF31EF"/>
    <w:rsid w:val="00CF376B"/>
    <w:rsid w:val="00CF4121"/>
    <w:rsid w:val="00CF4603"/>
    <w:rsid w:val="00CF49C9"/>
    <w:rsid w:val="00CF4A6A"/>
    <w:rsid w:val="00CF4AF4"/>
    <w:rsid w:val="00CF4B3F"/>
    <w:rsid w:val="00CF4F0E"/>
    <w:rsid w:val="00CF5D5C"/>
    <w:rsid w:val="00CF5E2E"/>
    <w:rsid w:val="00CF6EEB"/>
    <w:rsid w:val="00CF71E9"/>
    <w:rsid w:val="00CF7359"/>
    <w:rsid w:val="00CF7455"/>
    <w:rsid w:val="00CF7515"/>
    <w:rsid w:val="00CF7720"/>
    <w:rsid w:val="00CF7BA0"/>
    <w:rsid w:val="00CF7CA3"/>
    <w:rsid w:val="00CF7D0F"/>
    <w:rsid w:val="00CF7D40"/>
    <w:rsid w:val="00CF7ED5"/>
    <w:rsid w:val="00D00065"/>
    <w:rsid w:val="00D000C3"/>
    <w:rsid w:val="00D000E1"/>
    <w:rsid w:val="00D00167"/>
    <w:rsid w:val="00D00A75"/>
    <w:rsid w:val="00D00B6A"/>
    <w:rsid w:val="00D00D5A"/>
    <w:rsid w:val="00D01684"/>
    <w:rsid w:val="00D0172F"/>
    <w:rsid w:val="00D01A24"/>
    <w:rsid w:val="00D01CC1"/>
    <w:rsid w:val="00D02267"/>
    <w:rsid w:val="00D0257D"/>
    <w:rsid w:val="00D02D65"/>
    <w:rsid w:val="00D031FA"/>
    <w:rsid w:val="00D0338F"/>
    <w:rsid w:val="00D034F8"/>
    <w:rsid w:val="00D03563"/>
    <w:rsid w:val="00D03944"/>
    <w:rsid w:val="00D03AE6"/>
    <w:rsid w:val="00D04703"/>
    <w:rsid w:val="00D048CC"/>
    <w:rsid w:val="00D04FE1"/>
    <w:rsid w:val="00D051C0"/>
    <w:rsid w:val="00D05203"/>
    <w:rsid w:val="00D057D1"/>
    <w:rsid w:val="00D05CA7"/>
    <w:rsid w:val="00D062ED"/>
    <w:rsid w:val="00D06375"/>
    <w:rsid w:val="00D0671C"/>
    <w:rsid w:val="00D06964"/>
    <w:rsid w:val="00D07033"/>
    <w:rsid w:val="00D07404"/>
    <w:rsid w:val="00D07552"/>
    <w:rsid w:val="00D07578"/>
    <w:rsid w:val="00D10703"/>
    <w:rsid w:val="00D1083F"/>
    <w:rsid w:val="00D109E6"/>
    <w:rsid w:val="00D10D2F"/>
    <w:rsid w:val="00D1118B"/>
    <w:rsid w:val="00D1159F"/>
    <w:rsid w:val="00D11970"/>
    <w:rsid w:val="00D11AA6"/>
    <w:rsid w:val="00D1230C"/>
    <w:rsid w:val="00D12A18"/>
    <w:rsid w:val="00D12C2B"/>
    <w:rsid w:val="00D12F48"/>
    <w:rsid w:val="00D130D0"/>
    <w:rsid w:val="00D13360"/>
    <w:rsid w:val="00D133C8"/>
    <w:rsid w:val="00D13470"/>
    <w:rsid w:val="00D138D8"/>
    <w:rsid w:val="00D13AD8"/>
    <w:rsid w:val="00D144E5"/>
    <w:rsid w:val="00D14B1D"/>
    <w:rsid w:val="00D14DB2"/>
    <w:rsid w:val="00D1502A"/>
    <w:rsid w:val="00D1524B"/>
    <w:rsid w:val="00D154EC"/>
    <w:rsid w:val="00D1551F"/>
    <w:rsid w:val="00D159A2"/>
    <w:rsid w:val="00D15D2F"/>
    <w:rsid w:val="00D1731E"/>
    <w:rsid w:val="00D1786F"/>
    <w:rsid w:val="00D17970"/>
    <w:rsid w:val="00D17B71"/>
    <w:rsid w:val="00D17EC1"/>
    <w:rsid w:val="00D17F6C"/>
    <w:rsid w:val="00D200BE"/>
    <w:rsid w:val="00D203AE"/>
    <w:rsid w:val="00D205B3"/>
    <w:rsid w:val="00D205DA"/>
    <w:rsid w:val="00D2083A"/>
    <w:rsid w:val="00D2099A"/>
    <w:rsid w:val="00D20AE8"/>
    <w:rsid w:val="00D20D7A"/>
    <w:rsid w:val="00D20FD6"/>
    <w:rsid w:val="00D216CE"/>
    <w:rsid w:val="00D216DD"/>
    <w:rsid w:val="00D21804"/>
    <w:rsid w:val="00D2182F"/>
    <w:rsid w:val="00D218FD"/>
    <w:rsid w:val="00D2198A"/>
    <w:rsid w:val="00D21CB7"/>
    <w:rsid w:val="00D21CD4"/>
    <w:rsid w:val="00D21D89"/>
    <w:rsid w:val="00D22070"/>
    <w:rsid w:val="00D22282"/>
    <w:rsid w:val="00D223DB"/>
    <w:rsid w:val="00D22433"/>
    <w:rsid w:val="00D2272F"/>
    <w:rsid w:val="00D22AFA"/>
    <w:rsid w:val="00D22F16"/>
    <w:rsid w:val="00D23056"/>
    <w:rsid w:val="00D23115"/>
    <w:rsid w:val="00D2343F"/>
    <w:rsid w:val="00D234ED"/>
    <w:rsid w:val="00D237C4"/>
    <w:rsid w:val="00D2381F"/>
    <w:rsid w:val="00D238CB"/>
    <w:rsid w:val="00D23970"/>
    <w:rsid w:val="00D2399A"/>
    <w:rsid w:val="00D23E69"/>
    <w:rsid w:val="00D241C3"/>
    <w:rsid w:val="00D24331"/>
    <w:rsid w:val="00D24F12"/>
    <w:rsid w:val="00D25AB1"/>
    <w:rsid w:val="00D25D3B"/>
    <w:rsid w:val="00D262DF"/>
    <w:rsid w:val="00D2640B"/>
    <w:rsid w:val="00D26437"/>
    <w:rsid w:val="00D265A3"/>
    <w:rsid w:val="00D269D6"/>
    <w:rsid w:val="00D26A6A"/>
    <w:rsid w:val="00D26EB0"/>
    <w:rsid w:val="00D27361"/>
    <w:rsid w:val="00D278A1"/>
    <w:rsid w:val="00D27952"/>
    <w:rsid w:val="00D27A08"/>
    <w:rsid w:val="00D27B9A"/>
    <w:rsid w:val="00D27F33"/>
    <w:rsid w:val="00D27F61"/>
    <w:rsid w:val="00D302AF"/>
    <w:rsid w:val="00D307ED"/>
    <w:rsid w:val="00D30CC4"/>
    <w:rsid w:val="00D314FC"/>
    <w:rsid w:val="00D321D9"/>
    <w:rsid w:val="00D321DC"/>
    <w:rsid w:val="00D33160"/>
    <w:rsid w:val="00D3338D"/>
    <w:rsid w:val="00D333B5"/>
    <w:rsid w:val="00D3349D"/>
    <w:rsid w:val="00D33645"/>
    <w:rsid w:val="00D33758"/>
    <w:rsid w:val="00D3388E"/>
    <w:rsid w:val="00D339CB"/>
    <w:rsid w:val="00D339EE"/>
    <w:rsid w:val="00D33A75"/>
    <w:rsid w:val="00D33E55"/>
    <w:rsid w:val="00D34216"/>
    <w:rsid w:val="00D34308"/>
    <w:rsid w:val="00D3447C"/>
    <w:rsid w:val="00D3457C"/>
    <w:rsid w:val="00D34629"/>
    <w:rsid w:val="00D346E2"/>
    <w:rsid w:val="00D34794"/>
    <w:rsid w:val="00D349AB"/>
    <w:rsid w:val="00D34D89"/>
    <w:rsid w:val="00D358D6"/>
    <w:rsid w:val="00D359F3"/>
    <w:rsid w:val="00D35DC0"/>
    <w:rsid w:val="00D3665C"/>
    <w:rsid w:val="00D369CD"/>
    <w:rsid w:val="00D36B73"/>
    <w:rsid w:val="00D371E6"/>
    <w:rsid w:val="00D3735D"/>
    <w:rsid w:val="00D374BE"/>
    <w:rsid w:val="00D37648"/>
    <w:rsid w:val="00D3778C"/>
    <w:rsid w:val="00D37B0E"/>
    <w:rsid w:val="00D37CC0"/>
    <w:rsid w:val="00D40112"/>
    <w:rsid w:val="00D40172"/>
    <w:rsid w:val="00D4061F"/>
    <w:rsid w:val="00D407F2"/>
    <w:rsid w:val="00D40B7F"/>
    <w:rsid w:val="00D41080"/>
    <w:rsid w:val="00D413E0"/>
    <w:rsid w:val="00D41880"/>
    <w:rsid w:val="00D41D70"/>
    <w:rsid w:val="00D42925"/>
    <w:rsid w:val="00D429EE"/>
    <w:rsid w:val="00D42BF9"/>
    <w:rsid w:val="00D42D69"/>
    <w:rsid w:val="00D43862"/>
    <w:rsid w:val="00D43AE9"/>
    <w:rsid w:val="00D43ECE"/>
    <w:rsid w:val="00D43FED"/>
    <w:rsid w:val="00D44072"/>
    <w:rsid w:val="00D4428C"/>
    <w:rsid w:val="00D44C63"/>
    <w:rsid w:val="00D454EB"/>
    <w:rsid w:val="00D45E0B"/>
    <w:rsid w:val="00D46180"/>
    <w:rsid w:val="00D46E95"/>
    <w:rsid w:val="00D470C5"/>
    <w:rsid w:val="00D47179"/>
    <w:rsid w:val="00D473A2"/>
    <w:rsid w:val="00D47A50"/>
    <w:rsid w:val="00D5040B"/>
    <w:rsid w:val="00D504B4"/>
    <w:rsid w:val="00D507F7"/>
    <w:rsid w:val="00D5086C"/>
    <w:rsid w:val="00D50F31"/>
    <w:rsid w:val="00D51127"/>
    <w:rsid w:val="00D519FA"/>
    <w:rsid w:val="00D5222A"/>
    <w:rsid w:val="00D52642"/>
    <w:rsid w:val="00D5276C"/>
    <w:rsid w:val="00D53506"/>
    <w:rsid w:val="00D53844"/>
    <w:rsid w:val="00D53D4D"/>
    <w:rsid w:val="00D53DB5"/>
    <w:rsid w:val="00D53E51"/>
    <w:rsid w:val="00D53FF3"/>
    <w:rsid w:val="00D54372"/>
    <w:rsid w:val="00D546FE"/>
    <w:rsid w:val="00D547B7"/>
    <w:rsid w:val="00D54872"/>
    <w:rsid w:val="00D54A68"/>
    <w:rsid w:val="00D54DF2"/>
    <w:rsid w:val="00D55001"/>
    <w:rsid w:val="00D553D9"/>
    <w:rsid w:val="00D554E6"/>
    <w:rsid w:val="00D5588B"/>
    <w:rsid w:val="00D55DA6"/>
    <w:rsid w:val="00D5631A"/>
    <w:rsid w:val="00D568DD"/>
    <w:rsid w:val="00D569BC"/>
    <w:rsid w:val="00D56A5B"/>
    <w:rsid w:val="00D570DD"/>
    <w:rsid w:val="00D5721C"/>
    <w:rsid w:val="00D5732B"/>
    <w:rsid w:val="00D5758F"/>
    <w:rsid w:val="00D57935"/>
    <w:rsid w:val="00D57C2C"/>
    <w:rsid w:val="00D57D50"/>
    <w:rsid w:val="00D57EA4"/>
    <w:rsid w:val="00D60044"/>
    <w:rsid w:val="00D60056"/>
    <w:rsid w:val="00D604BE"/>
    <w:rsid w:val="00D60ADB"/>
    <w:rsid w:val="00D61376"/>
    <w:rsid w:val="00D6148E"/>
    <w:rsid w:val="00D61818"/>
    <w:rsid w:val="00D61DF6"/>
    <w:rsid w:val="00D625F7"/>
    <w:rsid w:val="00D62729"/>
    <w:rsid w:val="00D62AAD"/>
    <w:rsid w:val="00D62FED"/>
    <w:rsid w:val="00D631D6"/>
    <w:rsid w:val="00D6322D"/>
    <w:rsid w:val="00D63501"/>
    <w:rsid w:val="00D63BF8"/>
    <w:rsid w:val="00D63CA6"/>
    <w:rsid w:val="00D6442C"/>
    <w:rsid w:val="00D64B63"/>
    <w:rsid w:val="00D64C5C"/>
    <w:rsid w:val="00D64CC3"/>
    <w:rsid w:val="00D657C7"/>
    <w:rsid w:val="00D657DB"/>
    <w:rsid w:val="00D657F0"/>
    <w:rsid w:val="00D660CF"/>
    <w:rsid w:val="00D66154"/>
    <w:rsid w:val="00D663CF"/>
    <w:rsid w:val="00D67374"/>
    <w:rsid w:val="00D67ED3"/>
    <w:rsid w:val="00D70683"/>
    <w:rsid w:val="00D709A1"/>
    <w:rsid w:val="00D70BFD"/>
    <w:rsid w:val="00D718EF"/>
    <w:rsid w:val="00D7195D"/>
    <w:rsid w:val="00D71A9C"/>
    <w:rsid w:val="00D71BDA"/>
    <w:rsid w:val="00D71EAF"/>
    <w:rsid w:val="00D71F5E"/>
    <w:rsid w:val="00D723F1"/>
    <w:rsid w:val="00D72637"/>
    <w:rsid w:val="00D72FFA"/>
    <w:rsid w:val="00D730F6"/>
    <w:rsid w:val="00D7328E"/>
    <w:rsid w:val="00D73525"/>
    <w:rsid w:val="00D7473E"/>
    <w:rsid w:val="00D74A65"/>
    <w:rsid w:val="00D74C75"/>
    <w:rsid w:val="00D74C8B"/>
    <w:rsid w:val="00D74FA3"/>
    <w:rsid w:val="00D75CFA"/>
    <w:rsid w:val="00D75DF8"/>
    <w:rsid w:val="00D75E2D"/>
    <w:rsid w:val="00D763E8"/>
    <w:rsid w:val="00D7664C"/>
    <w:rsid w:val="00D76B85"/>
    <w:rsid w:val="00D76D2B"/>
    <w:rsid w:val="00D76EA6"/>
    <w:rsid w:val="00D77008"/>
    <w:rsid w:val="00D775B4"/>
    <w:rsid w:val="00D775BD"/>
    <w:rsid w:val="00D779C3"/>
    <w:rsid w:val="00D77EE9"/>
    <w:rsid w:val="00D80467"/>
    <w:rsid w:val="00D80503"/>
    <w:rsid w:val="00D8050C"/>
    <w:rsid w:val="00D80564"/>
    <w:rsid w:val="00D806B9"/>
    <w:rsid w:val="00D806ED"/>
    <w:rsid w:val="00D80AA1"/>
    <w:rsid w:val="00D80B6F"/>
    <w:rsid w:val="00D80BD6"/>
    <w:rsid w:val="00D80DF2"/>
    <w:rsid w:val="00D814A1"/>
    <w:rsid w:val="00D81583"/>
    <w:rsid w:val="00D81586"/>
    <w:rsid w:val="00D817B9"/>
    <w:rsid w:val="00D81868"/>
    <w:rsid w:val="00D81961"/>
    <w:rsid w:val="00D81C41"/>
    <w:rsid w:val="00D82496"/>
    <w:rsid w:val="00D8271C"/>
    <w:rsid w:val="00D82738"/>
    <w:rsid w:val="00D83061"/>
    <w:rsid w:val="00D8323D"/>
    <w:rsid w:val="00D8330F"/>
    <w:rsid w:val="00D834DF"/>
    <w:rsid w:val="00D83AC8"/>
    <w:rsid w:val="00D83C67"/>
    <w:rsid w:val="00D83D24"/>
    <w:rsid w:val="00D84620"/>
    <w:rsid w:val="00D8462B"/>
    <w:rsid w:val="00D849D5"/>
    <w:rsid w:val="00D84AE6"/>
    <w:rsid w:val="00D84D5E"/>
    <w:rsid w:val="00D854AD"/>
    <w:rsid w:val="00D8575D"/>
    <w:rsid w:val="00D85A18"/>
    <w:rsid w:val="00D85DFF"/>
    <w:rsid w:val="00D86263"/>
    <w:rsid w:val="00D86266"/>
    <w:rsid w:val="00D86512"/>
    <w:rsid w:val="00D865BF"/>
    <w:rsid w:val="00D86727"/>
    <w:rsid w:val="00D86912"/>
    <w:rsid w:val="00D86C4A"/>
    <w:rsid w:val="00D86F03"/>
    <w:rsid w:val="00D870A4"/>
    <w:rsid w:val="00D870C0"/>
    <w:rsid w:val="00D87656"/>
    <w:rsid w:val="00D8785D"/>
    <w:rsid w:val="00D8791D"/>
    <w:rsid w:val="00D87959"/>
    <w:rsid w:val="00D87DBE"/>
    <w:rsid w:val="00D87F86"/>
    <w:rsid w:val="00D903DC"/>
    <w:rsid w:val="00D9086F"/>
    <w:rsid w:val="00D90EDE"/>
    <w:rsid w:val="00D90FC6"/>
    <w:rsid w:val="00D914BF"/>
    <w:rsid w:val="00D91681"/>
    <w:rsid w:val="00D91909"/>
    <w:rsid w:val="00D91ED8"/>
    <w:rsid w:val="00D9216F"/>
    <w:rsid w:val="00D921BE"/>
    <w:rsid w:val="00D9273D"/>
    <w:rsid w:val="00D93898"/>
    <w:rsid w:val="00D93CD8"/>
    <w:rsid w:val="00D93CFE"/>
    <w:rsid w:val="00D93D7B"/>
    <w:rsid w:val="00D93FDB"/>
    <w:rsid w:val="00D94066"/>
    <w:rsid w:val="00D94222"/>
    <w:rsid w:val="00D94501"/>
    <w:rsid w:val="00D94599"/>
    <w:rsid w:val="00D9476D"/>
    <w:rsid w:val="00D94B8F"/>
    <w:rsid w:val="00D94CC1"/>
    <w:rsid w:val="00D9535F"/>
    <w:rsid w:val="00D9569F"/>
    <w:rsid w:val="00D95AA4"/>
    <w:rsid w:val="00D96090"/>
    <w:rsid w:val="00D96478"/>
    <w:rsid w:val="00D964A2"/>
    <w:rsid w:val="00D965F6"/>
    <w:rsid w:val="00D96808"/>
    <w:rsid w:val="00D96CD9"/>
    <w:rsid w:val="00D96E1D"/>
    <w:rsid w:val="00D9751C"/>
    <w:rsid w:val="00D97BA4"/>
    <w:rsid w:val="00DA00AF"/>
    <w:rsid w:val="00DA00F0"/>
    <w:rsid w:val="00DA0792"/>
    <w:rsid w:val="00DA0DF7"/>
    <w:rsid w:val="00DA1370"/>
    <w:rsid w:val="00DA17E4"/>
    <w:rsid w:val="00DA2095"/>
    <w:rsid w:val="00DA289B"/>
    <w:rsid w:val="00DA2AEC"/>
    <w:rsid w:val="00DA2C2B"/>
    <w:rsid w:val="00DA3164"/>
    <w:rsid w:val="00DA3B09"/>
    <w:rsid w:val="00DA41BA"/>
    <w:rsid w:val="00DA4383"/>
    <w:rsid w:val="00DA49A3"/>
    <w:rsid w:val="00DA4B4C"/>
    <w:rsid w:val="00DA4C9B"/>
    <w:rsid w:val="00DA5E6E"/>
    <w:rsid w:val="00DA66E1"/>
    <w:rsid w:val="00DA69B1"/>
    <w:rsid w:val="00DA6BD5"/>
    <w:rsid w:val="00DA6C10"/>
    <w:rsid w:val="00DA6C50"/>
    <w:rsid w:val="00DA7735"/>
    <w:rsid w:val="00DA7B98"/>
    <w:rsid w:val="00DA7CEE"/>
    <w:rsid w:val="00DA7EE6"/>
    <w:rsid w:val="00DB05F7"/>
    <w:rsid w:val="00DB06A1"/>
    <w:rsid w:val="00DB077A"/>
    <w:rsid w:val="00DB1331"/>
    <w:rsid w:val="00DB1364"/>
    <w:rsid w:val="00DB1474"/>
    <w:rsid w:val="00DB177F"/>
    <w:rsid w:val="00DB20FE"/>
    <w:rsid w:val="00DB237A"/>
    <w:rsid w:val="00DB244C"/>
    <w:rsid w:val="00DB278F"/>
    <w:rsid w:val="00DB3408"/>
    <w:rsid w:val="00DB34EC"/>
    <w:rsid w:val="00DB36DD"/>
    <w:rsid w:val="00DB401D"/>
    <w:rsid w:val="00DB49CD"/>
    <w:rsid w:val="00DB4A0E"/>
    <w:rsid w:val="00DB529B"/>
    <w:rsid w:val="00DB575D"/>
    <w:rsid w:val="00DB5893"/>
    <w:rsid w:val="00DB5BC0"/>
    <w:rsid w:val="00DB5F97"/>
    <w:rsid w:val="00DB6136"/>
    <w:rsid w:val="00DB616B"/>
    <w:rsid w:val="00DB6722"/>
    <w:rsid w:val="00DB7718"/>
    <w:rsid w:val="00DB7D99"/>
    <w:rsid w:val="00DC00F1"/>
    <w:rsid w:val="00DC023C"/>
    <w:rsid w:val="00DC0360"/>
    <w:rsid w:val="00DC0717"/>
    <w:rsid w:val="00DC0DEB"/>
    <w:rsid w:val="00DC0E10"/>
    <w:rsid w:val="00DC117E"/>
    <w:rsid w:val="00DC165E"/>
    <w:rsid w:val="00DC17D8"/>
    <w:rsid w:val="00DC1A90"/>
    <w:rsid w:val="00DC1D63"/>
    <w:rsid w:val="00DC1E43"/>
    <w:rsid w:val="00DC2155"/>
    <w:rsid w:val="00DC22F2"/>
    <w:rsid w:val="00DC299D"/>
    <w:rsid w:val="00DC2B10"/>
    <w:rsid w:val="00DC2DEB"/>
    <w:rsid w:val="00DC2E5A"/>
    <w:rsid w:val="00DC2EC9"/>
    <w:rsid w:val="00DC2FD7"/>
    <w:rsid w:val="00DC31E7"/>
    <w:rsid w:val="00DC34D9"/>
    <w:rsid w:val="00DC3A5B"/>
    <w:rsid w:val="00DC3E24"/>
    <w:rsid w:val="00DC3FDD"/>
    <w:rsid w:val="00DC4132"/>
    <w:rsid w:val="00DC4600"/>
    <w:rsid w:val="00DC4615"/>
    <w:rsid w:val="00DC4A8E"/>
    <w:rsid w:val="00DC4BC9"/>
    <w:rsid w:val="00DC4DCA"/>
    <w:rsid w:val="00DC4FE9"/>
    <w:rsid w:val="00DC5A3A"/>
    <w:rsid w:val="00DC5A7B"/>
    <w:rsid w:val="00DC623D"/>
    <w:rsid w:val="00DC678C"/>
    <w:rsid w:val="00DC69DD"/>
    <w:rsid w:val="00DC6A7F"/>
    <w:rsid w:val="00DC6AA5"/>
    <w:rsid w:val="00DC6F2F"/>
    <w:rsid w:val="00DC71F2"/>
    <w:rsid w:val="00DC7A88"/>
    <w:rsid w:val="00DC7D6D"/>
    <w:rsid w:val="00DC7E11"/>
    <w:rsid w:val="00DC7FEB"/>
    <w:rsid w:val="00DD0B7C"/>
    <w:rsid w:val="00DD0C00"/>
    <w:rsid w:val="00DD14DA"/>
    <w:rsid w:val="00DD1547"/>
    <w:rsid w:val="00DD1AEE"/>
    <w:rsid w:val="00DD1BEA"/>
    <w:rsid w:val="00DD259D"/>
    <w:rsid w:val="00DD25D7"/>
    <w:rsid w:val="00DD2675"/>
    <w:rsid w:val="00DD2980"/>
    <w:rsid w:val="00DD2F0F"/>
    <w:rsid w:val="00DD2F70"/>
    <w:rsid w:val="00DD30BD"/>
    <w:rsid w:val="00DD3139"/>
    <w:rsid w:val="00DD3683"/>
    <w:rsid w:val="00DD376F"/>
    <w:rsid w:val="00DD3B4D"/>
    <w:rsid w:val="00DD3F12"/>
    <w:rsid w:val="00DD4867"/>
    <w:rsid w:val="00DD4981"/>
    <w:rsid w:val="00DD4F89"/>
    <w:rsid w:val="00DD5B93"/>
    <w:rsid w:val="00DD5C86"/>
    <w:rsid w:val="00DD61F0"/>
    <w:rsid w:val="00DD6216"/>
    <w:rsid w:val="00DD622B"/>
    <w:rsid w:val="00DD6382"/>
    <w:rsid w:val="00DD66D3"/>
    <w:rsid w:val="00DD6916"/>
    <w:rsid w:val="00DD6E39"/>
    <w:rsid w:val="00DD73AA"/>
    <w:rsid w:val="00DD7740"/>
    <w:rsid w:val="00DD78C6"/>
    <w:rsid w:val="00DD79DA"/>
    <w:rsid w:val="00DD7A17"/>
    <w:rsid w:val="00DD7F68"/>
    <w:rsid w:val="00DE0443"/>
    <w:rsid w:val="00DE0A49"/>
    <w:rsid w:val="00DE12E8"/>
    <w:rsid w:val="00DE1548"/>
    <w:rsid w:val="00DE19A9"/>
    <w:rsid w:val="00DE1D59"/>
    <w:rsid w:val="00DE1DE0"/>
    <w:rsid w:val="00DE1FEE"/>
    <w:rsid w:val="00DE2065"/>
    <w:rsid w:val="00DE2514"/>
    <w:rsid w:val="00DE2907"/>
    <w:rsid w:val="00DE3098"/>
    <w:rsid w:val="00DE3175"/>
    <w:rsid w:val="00DE3597"/>
    <w:rsid w:val="00DE375F"/>
    <w:rsid w:val="00DE3935"/>
    <w:rsid w:val="00DE394A"/>
    <w:rsid w:val="00DE3E56"/>
    <w:rsid w:val="00DE3F99"/>
    <w:rsid w:val="00DE41C7"/>
    <w:rsid w:val="00DE43E8"/>
    <w:rsid w:val="00DE4643"/>
    <w:rsid w:val="00DE50A5"/>
    <w:rsid w:val="00DE535E"/>
    <w:rsid w:val="00DE5470"/>
    <w:rsid w:val="00DE54A2"/>
    <w:rsid w:val="00DE55B0"/>
    <w:rsid w:val="00DE5C96"/>
    <w:rsid w:val="00DE690B"/>
    <w:rsid w:val="00DE6D8C"/>
    <w:rsid w:val="00DE6FE5"/>
    <w:rsid w:val="00DE7021"/>
    <w:rsid w:val="00DE71A5"/>
    <w:rsid w:val="00DE7526"/>
    <w:rsid w:val="00DE7974"/>
    <w:rsid w:val="00DF020E"/>
    <w:rsid w:val="00DF0635"/>
    <w:rsid w:val="00DF0E34"/>
    <w:rsid w:val="00DF0F50"/>
    <w:rsid w:val="00DF106D"/>
    <w:rsid w:val="00DF19EE"/>
    <w:rsid w:val="00DF1D91"/>
    <w:rsid w:val="00DF1E27"/>
    <w:rsid w:val="00DF2187"/>
    <w:rsid w:val="00DF25D1"/>
    <w:rsid w:val="00DF2855"/>
    <w:rsid w:val="00DF28E8"/>
    <w:rsid w:val="00DF2A8F"/>
    <w:rsid w:val="00DF2B27"/>
    <w:rsid w:val="00DF2CA3"/>
    <w:rsid w:val="00DF3117"/>
    <w:rsid w:val="00DF334C"/>
    <w:rsid w:val="00DF3435"/>
    <w:rsid w:val="00DF358B"/>
    <w:rsid w:val="00DF3AA5"/>
    <w:rsid w:val="00DF3ADC"/>
    <w:rsid w:val="00DF3C39"/>
    <w:rsid w:val="00DF3C8E"/>
    <w:rsid w:val="00DF3F62"/>
    <w:rsid w:val="00DF40CD"/>
    <w:rsid w:val="00DF4250"/>
    <w:rsid w:val="00DF4304"/>
    <w:rsid w:val="00DF4801"/>
    <w:rsid w:val="00DF4B65"/>
    <w:rsid w:val="00DF4CF8"/>
    <w:rsid w:val="00DF4D59"/>
    <w:rsid w:val="00DF4DD5"/>
    <w:rsid w:val="00DF5406"/>
    <w:rsid w:val="00DF5461"/>
    <w:rsid w:val="00DF5797"/>
    <w:rsid w:val="00DF5C49"/>
    <w:rsid w:val="00DF5DA0"/>
    <w:rsid w:val="00DF5FB4"/>
    <w:rsid w:val="00DF623B"/>
    <w:rsid w:val="00DF63BA"/>
    <w:rsid w:val="00DF6D88"/>
    <w:rsid w:val="00DF6F9F"/>
    <w:rsid w:val="00DF701D"/>
    <w:rsid w:val="00DF71DF"/>
    <w:rsid w:val="00DF74D2"/>
    <w:rsid w:val="00DF75D4"/>
    <w:rsid w:val="00DF7839"/>
    <w:rsid w:val="00DF7BF2"/>
    <w:rsid w:val="00DF7D7C"/>
    <w:rsid w:val="00DF7DA6"/>
    <w:rsid w:val="00DF7EA2"/>
    <w:rsid w:val="00E0006D"/>
    <w:rsid w:val="00E00075"/>
    <w:rsid w:val="00E007AF"/>
    <w:rsid w:val="00E008AF"/>
    <w:rsid w:val="00E00B68"/>
    <w:rsid w:val="00E00BCB"/>
    <w:rsid w:val="00E00BD5"/>
    <w:rsid w:val="00E00F3E"/>
    <w:rsid w:val="00E01518"/>
    <w:rsid w:val="00E01522"/>
    <w:rsid w:val="00E01860"/>
    <w:rsid w:val="00E01D5F"/>
    <w:rsid w:val="00E022B4"/>
    <w:rsid w:val="00E02538"/>
    <w:rsid w:val="00E029DC"/>
    <w:rsid w:val="00E02A05"/>
    <w:rsid w:val="00E02EC0"/>
    <w:rsid w:val="00E03302"/>
    <w:rsid w:val="00E033DF"/>
    <w:rsid w:val="00E035E9"/>
    <w:rsid w:val="00E036ED"/>
    <w:rsid w:val="00E03959"/>
    <w:rsid w:val="00E03DC0"/>
    <w:rsid w:val="00E0468C"/>
    <w:rsid w:val="00E04CD7"/>
    <w:rsid w:val="00E04FBB"/>
    <w:rsid w:val="00E057C5"/>
    <w:rsid w:val="00E058A1"/>
    <w:rsid w:val="00E05903"/>
    <w:rsid w:val="00E05C03"/>
    <w:rsid w:val="00E0618C"/>
    <w:rsid w:val="00E07077"/>
    <w:rsid w:val="00E0745C"/>
    <w:rsid w:val="00E07534"/>
    <w:rsid w:val="00E07A40"/>
    <w:rsid w:val="00E07A4D"/>
    <w:rsid w:val="00E1001F"/>
    <w:rsid w:val="00E1028F"/>
    <w:rsid w:val="00E10481"/>
    <w:rsid w:val="00E1049A"/>
    <w:rsid w:val="00E10649"/>
    <w:rsid w:val="00E106AE"/>
    <w:rsid w:val="00E108C1"/>
    <w:rsid w:val="00E10CC7"/>
    <w:rsid w:val="00E10E89"/>
    <w:rsid w:val="00E11343"/>
    <w:rsid w:val="00E11673"/>
    <w:rsid w:val="00E11728"/>
    <w:rsid w:val="00E11B3D"/>
    <w:rsid w:val="00E11D9A"/>
    <w:rsid w:val="00E11F32"/>
    <w:rsid w:val="00E126CD"/>
    <w:rsid w:val="00E12906"/>
    <w:rsid w:val="00E1295B"/>
    <w:rsid w:val="00E12E34"/>
    <w:rsid w:val="00E12E37"/>
    <w:rsid w:val="00E1329A"/>
    <w:rsid w:val="00E13394"/>
    <w:rsid w:val="00E13557"/>
    <w:rsid w:val="00E13588"/>
    <w:rsid w:val="00E13CF2"/>
    <w:rsid w:val="00E13F72"/>
    <w:rsid w:val="00E141BB"/>
    <w:rsid w:val="00E14572"/>
    <w:rsid w:val="00E147E4"/>
    <w:rsid w:val="00E149AE"/>
    <w:rsid w:val="00E14B1C"/>
    <w:rsid w:val="00E14BA7"/>
    <w:rsid w:val="00E152DF"/>
    <w:rsid w:val="00E153B5"/>
    <w:rsid w:val="00E158AA"/>
    <w:rsid w:val="00E1593B"/>
    <w:rsid w:val="00E15A62"/>
    <w:rsid w:val="00E15F54"/>
    <w:rsid w:val="00E160EC"/>
    <w:rsid w:val="00E1611C"/>
    <w:rsid w:val="00E16434"/>
    <w:rsid w:val="00E165C7"/>
    <w:rsid w:val="00E16C94"/>
    <w:rsid w:val="00E16FE3"/>
    <w:rsid w:val="00E17D6E"/>
    <w:rsid w:val="00E17FCF"/>
    <w:rsid w:val="00E2023F"/>
    <w:rsid w:val="00E202E3"/>
    <w:rsid w:val="00E20521"/>
    <w:rsid w:val="00E2079D"/>
    <w:rsid w:val="00E20871"/>
    <w:rsid w:val="00E20A8F"/>
    <w:rsid w:val="00E20AAB"/>
    <w:rsid w:val="00E20DDB"/>
    <w:rsid w:val="00E2105C"/>
    <w:rsid w:val="00E21295"/>
    <w:rsid w:val="00E21A9D"/>
    <w:rsid w:val="00E22287"/>
    <w:rsid w:val="00E22836"/>
    <w:rsid w:val="00E22934"/>
    <w:rsid w:val="00E22B0F"/>
    <w:rsid w:val="00E22E8D"/>
    <w:rsid w:val="00E22F5B"/>
    <w:rsid w:val="00E23430"/>
    <w:rsid w:val="00E235F4"/>
    <w:rsid w:val="00E2368C"/>
    <w:rsid w:val="00E238FC"/>
    <w:rsid w:val="00E23D58"/>
    <w:rsid w:val="00E24AA1"/>
    <w:rsid w:val="00E24FD9"/>
    <w:rsid w:val="00E25B84"/>
    <w:rsid w:val="00E25BB7"/>
    <w:rsid w:val="00E25D33"/>
    <w:rsid w:val="00E26046"/>
    <w:rsid w:val="00E262BD"/>
    <w:rsid w:val="00E2656B"/>
    <w:rsid w:val="00E266DE"/>
    <w:rsid w:val="00E26716"/>
    <w:rsid w:val="00E2689A"/>
    <w:rsid w:val="00E26959"/>
    <w:rsid w:val="00E26B33"/>
    <w:rsid w:val="00E26B93"/>
    <w:rsid w:val="00E26CE5"/>
    <w:rsid w:val="00E26EB8"/>
    <w:rsid w:val="00E2781F"/>
    <w:rsid w:val="00E27DFB"/>
    <w:rsid w:val="00E27EBD"/>
    <w:rsid w:val="00E3009C"/>
    <w:rsid w:val="00E30602"/>
    <w:rsid w:val="00E307A4"/>
    <w:rsid w:val="00E309EE"/>
    <w:rsid w:val="00E30C47"/>
    <w:rsid w:val="00E30DB6"/>
    <w:rsid w:val="00E30F7C"/>
    <w:rsid w:val="00E314EB"/>
    <w:rsid w:val="00E31800"/>
    <w:rsid w:val="00E319A8"/>
    <w:rsid w:val="00E31B32"/>
    <w:rsid w:val="00E31B97"/>
    <w:rsid w:val="00E31D28"/>
    <w:rsid w:val="00E32324"/>
    <w:rsid w:val="00E3242A"/>
    <w:rsid w:val="00E32461"/>
    <w:rsid w:val="00E327A9"/>
    <w:rsid w:val="00E327B7"/>
    <w:rsid w:val="00E32A33"/>
    <w:rsid w:val="00E32F4D"/>
    <w:rsid w:val="00E33199"/>
    <w:rsid w:val="00E341A3"/>
    <w:rsid w:val="00E343B4"/>
    <w:rsid w:val="00E343FE"/>
    <w:rsid w:val="00E344A6"/>
    <w:rsid w:val="00E34C86"/>
    <w:rsid w:val="00E353E4"/>
    <w:rsid w:val="00E3544B"/>
    <w:rsid w:val="00E3554B"/>
    <w:rsid w:val="00E35814"/>
    <w:rsid w:val="00E359AB"/>
    <w:rsid w:val="00E36284"/>
    <w:rsid w:val="00E36ABF"/>
    <w:rsid w:val="00E36AD5"/>
    <w:rsid w:val="00E36B63"/>
    <w:rsid w:val="00E37035"/>
    <w:rsid w:val="00E3759E"/>
    <w:rsid w:val="00E3770B"/>
    <w:rsid w:val="00E37C67"/>
    <w:rsid w:val="00E37FC7"/>
    <w:rsid w:val="00E4008A"/>
    <w:rsid w:val="00E40863"/>
    <w:rsid w:val="00E41301"/>
    <w:rsid w:val="00E41421"/>
    <w:rsid w:val="00E41898"/>
    <w:rsid w:val="00E41A4B"/>
    <w:rsid w:val="00E41A57"/>
    <w:rsid w:val="00E41D15"/>
    <w:rsid w:val="00E4205D"/>
    <w:rsid w:val="00E42615"/>
    <w:rsid w:val="00E42666"/>
    <w:rsid w:val="00E42683"/>
    <w:rsid w:val="00E42B84"/>
    <w:rsid w:val="00E42C5E"/>
    <w:rsid w:val="00E4316B"/>
    <w:rsid w:val="00E439E7"/>
    <w:rsid w:val="00E43E8B"/>
    <w:rsid w:val="00E44219"/>
    <w:rsid w:val="00E443E4"/>
    <w:rsid w:val="00E448CD"/>
    <w:rsid w:val="00E44A63"/>
    <w:rsid w:val="00E44AB4"/>
    <w:rsid w:val="00E45047"/>
    <w:rsid w:val="00E456A7"/>
    <w:rsid w:val="00E45785"/>
    <w:rsid w:val="00E457D1"/>
    <w:rsid w:val="00E459DE"/>
    <w:rsid w:val="00E45AF2"/>
    <w:rsid w:val="00E45B28"/>
    <w:rsid w:val="00E46735"/>
    <w:rsid w:val="00E467D9"/>
    <w:rsid w:val="00E4693F"/>
    <w:rsid w:val="00E46E52"/>
    <w:rsid w:val="00E47869"/>
    <w:rsid w:val="00E47926"/>
    <w:rsid w:val="00E47DAF"/>
    <w:rsid w:val="00E47DEB"/>
    <w:rsid w:val="00E500DC"/>
    <w:rsid w:val="00E50812"/>
    <w:rsid w:val="00E50A66"/>
    <w:rsid w:val="00E50A9C"/>
    <w:rsid w:val="00E50D04"/>
    <w:rsid w:val="00E50D57"/>
    <w:rsid w:val="00E51395"/>
    <w:rsid w:val="00E515A5"/>
    <w:rsid w:val="00E51712"/>
    <w:rsid w:val="00E523B0"/>
    <w:rsid w:val="00E52429"/>
    <w:rsid w:val="00E52AA8"/>
    <w:rsid w:val="00E52F7C"/>
    <w:rsid w:val="00E53923"/>
    <w:rsid w:val="00E54378"/>
    <w:rsid w:val="00E543CB"/>
    <w:rsid w:val="00E5453E"/>
    <w:rsid w:val="00E5555A"/>
    <w:rsid w:val="00E55B84"/>
    <w:rsid w:val="00E55CDD"/>
    <w:rsid w:val="00E56236"/>
    <w:rsid w:val="00E5692E"/>
    <w:rsid w:val="00E569BC"/>
    <w:rsid w:val="00E56B64"/>
    <w:rsid w:val="00E56E31"/>
    <w:rsid w:val="00E56F19"/>
    <w:rsid w:val="00E56FA2"/>
    <w:rsid w:val="00E57039"/>
    <w:rsid w:val="00E5708A"/>
    <w:rsid w:val="00E5717F"/>
    <w:rsid w:val="00E572B7"/>
    <w:rsid w:val="00E57A25"/>
    <w:rsid w:val="00E57A4C"/>
    <w:rsid w:val="00E57AB6"/>
    <w:rsid w:val="00E60138"/>
    <w:rsid w:val="00E605C0"/>
    <w:rsid w:val="00E60A5E"/>
    <w:rsid w:val="00E60B28"/>
    <w:rsid w:val="00E60C9F"/>
    <w:rsid w:val="00E60D9D"/>
    <w:rsid w:val="00E60DAD"/>
    <w:rsid w:val="00E61547"/>
    <w:rsid w:val="00E61B1E"/>
    <w:rsid w:val="00E61BC6"/>
    <w:rsid w:val="00E61F7D"/>
    <w:rsid w:val="00E62105"/>
    <w:rsid w:val="00E6283E"/>
    <w:rsid w:val="00E62D78"/>
    <w:rsid w:val="00E62E24"/>
    <w:rsid w:val="00E6309C"/>
    <w:rsid w:val="00E63375"/>
    <w:rsid w:val="00E63577"/>
    <w:rsid w:val="00E637FB"/>
    <w:rsid w:val="00E63877"/>
    <w:rsid w:val="00E63881"/>
    <w:rsid w:val="00E63B08"/>
    <w:rsid w:val="00E63F6A"/>
    <w:rsid w:val="00E64266"/>
    <w:rsid w:val="00E64494"/>
    <w:rsid w:val="00E64C23"/>
    <w:rsid w:val="00E65853"/>
    <w:rsid w:val="00E65C90"/>
    <w:rsid w:val="00E65DCA"/>
    <w:rsid w:val="00E666AD"/>
    <w:rsid w:val="00E66C9C"/>
    <w:rsid w:val="00E67048"/>
    <w:rsid w:val="00E67186"/>
    <w:rsid w:val="00E67204"/>
    <w:rsid w:val="00E672CD"/>
    <w:rsid w:val="00E672D8"/>
    <w:rsid w:val="00E67A63"/>
    <w:rsid w:val="00E7006A"/>
    <w:rsid w:val="00E700C0"/>
    <w:rsid w:val="00E70815"/>
    <w:rsid w:val="00E7091F"/>
    <w:rsid w:val="00E70F26"/>
    <w:rsid w:val="00E71107"/>
    <w:rsid w:val="00E71682"/>
    <w:rsid w:val="00E71819"/>
    <w:rsid w:val="00E71C4D"/>
    <w:rsid w:val="00E71CDD"/>
    <w:rsid w:val="00E7212C"/>
    <w:rsid w:val="00E726E7"/>
    <w:rsid w:val="00E729A3"/>
    <w:rsid w:val="00E72A20"/>
    <w:rsid w:val="00E72E61"/>
    <w:rsid w:val="00E73189"/>
    <w:rsid w:val="00E7360B"/>
    <w:rsid w:val="00E73D83"/>
    <w:rsid w:val="00E73E68"/>
    <w:rsid w:val="00E74462"/>
    <w:rsid w:val="00E74B74"/>
    <w:rsid w:val="00E74ECE"/>
    <w:rsid w:val="00E7528E"/>
    <w:rsid w:val="00E75312"/>
    <w:rsid w:val="00E754C3"/>
    <w:rsid w:val="00E75688"/>
    <w:rsid w:val="00E758ED"/>
    <w:rsid w:val="00E7607F"/>
    <w:rsid w:val="00E76578"/>
    <w:rsid w:val="00E765EB"/>
    <w:rsid w:val="00E76906"/>
    <w:rsid w:val="00E76C18"/>
    <w:rsid w:val="00E76CCE"/>
    <w:rsid w:val="00E76FF7"/>
    <w:rsid w:val="00E77080"/>
    <w:rsid w:val="00E77504"/>
    <w:rsid w:val="00E77584"/>
    <w:rsid w:val="00E77736"/>
    <w:rsid w:val="00E77B48"/>
    <w:rsid w:val="00E77E32"/>
    <w:rsid w:val="00E77FB7"/>
    <w:rsid w:val="00E80902"/>
    <w:rsid w:val="00E809B8"/>
    <w:rsid w:val="00E80CB9"/>
    <w:rsid w:val="00E814E5"/>
    <w:rsid w:val="00E81D07"/>
    <w:rsid w:val="00E81EC9"/>
    <w:rsid w:val="00E82436"/>
    <w:rsid w:val="00E82734"/>
    <w:rsid w:val="00E829D7"/>
    <w:rsid w:val="00E82B68"/>
    <w:rsid w:val="00E8346D"/>
    <w:rsid w:val="00E83483"/>
    <w:rsid w:val="00E8368A"/>
    <w:rsid w:val="00E83857"/>
    <w:rsid w:val="00E843F3"/>
    <w:rsid w:val="00E84748"/>
    <w:rsid w:val="00E84753"/>
    <w:rsid w:val="00E84833"/>
    <w:rsid w:val="00E851A9"/>
    <w:rsid w:val="00E85943"/>
    <w:rsid w:val="00E85A6E"/>
    <w:rsid w:val="00E85B52"/>
    <w:rsid w:val="00E85B86"/>
    <w:rsid w:val="00E85CED"/>
    <w:rsid w:val="00E85F8E"/>
    <w:rsid w:val="00E860F0"/>
    <w:rsid w:val="00E861D4"/>
    <w:rsid w:val="00E86308"/>
    <w:rsid w:val="00E86C3D"/>
    <w:rsid w:val="00E86CF5"/>
    <w:rsid w:val="00E86DF7"/>
    <w:rsid w:val="00E86E65"/>
    <w:rsid w:val="00E87064"/>
    <w:rsid w:val="00E8787D"/>
    <w:rsid w:val="00E87C40"/>
    <w:rsid w:val="00E87DA9"/>
    <w:rsid w:val="00E87E2E"/>
    <w:rsid w:val="00E87F29"/>
    <w:rsid w:val="00E87FF4"/>
    <w:rsid w:val="00E9093F"/>
    <w:rsid w:val="00E90A0A"/>
    <w:rsid w:val="00E90EF9"/>
    <w:rsid w:val="00E910BA"/>
    <w:rsid w:val="00E91316"/>
    <w:rsid w:val="00E917CC"/>
    <w:rsid w:val="00E9197E"/>
    <w:rsid w:val="00E91DA6"/>
    <w:rsid w:val="00E9247E"/>
    <w:rsid w:val="00E92820"/>
    <w:rsid w:val="00E92AEB"/>
    <w:rsid w:val="00E933AE"/>
    <w:rsid w:val="00E93952"/>
    <w:rsid w:val="00E93AA1"/>
    <w:rsid w:val="00E93B50"/>
    <w:rsid w:val="00E942E8"/>
    <w:rsid w:val="00E94497"/>
    <w:rsid w:val="00E94A05"/>
    <w:rsid w:val="00E94DA9"/>
    <w:rsid w:val="00E95670"/>
    <w:rsid w:val="00E95C46"/>
    <w:rsid w:val="00E96701"/>
    <w:rsid w:val="00E96766"/>
    <w:rsid w:val="00E967D4"/>
    <w:rsid w:val="00E97BCA"/>
    <w:rsid w:val="00EA0008"/>
    <w:rsid w:val="00EA033E"/>
    <w:rsid w:val="00EA1C16"/>
    <w:rsid w:val="00EA1D1C"/>
    <w:rsid w:val="00EA2293"/>
    <w:rsid w:val="00EA229E"/>
    <w:rsid w:val="00EA238B"/>
    <w:rsid w:val="00EA2A7A"/>
    <w:rsid w:val="00EA2DB9"/>
    <w:rsid w:val="00EA3017"/>
    <w:rsid w:val="00EA3187"/>
    <w:rsid w:val="00EA32C8"/>
    <w:rsid w:val="00EA3549"/>
    <w:rsid w:val="00EA363F"/>
    <w:rsid w:val="00EA3911"/>
    <w:rsid w:val="00EA3A82"/>
    <w:rsid w:val="00EA3EC5"/>
    <w:rsid w:val="00EA508F"/>
    <w:rsid w:val="00EA51C9"/>
    <w:rsid w:val="00EA5A2C"/>
    <w:rsid w:val="00EA656F"/>
    <w:rsid w:val="00EA694D"/>
    <w:rsid w:val="00EA6CAD"/>
    <w:rsid w:val="00EA6D1E"/>
    <w:rsid w:val="00EA6FD8"/>
    <w:rsid w:val="00EA7186"/>
    <w:rsid w:val="00EA73BD"/>
    <w:rsid w:val="00EA7590"/>
    <w:rsid w:val="00EA75D4"/>
    <w:rsid w:val="00EA7621"/>
    <w:rsid w:val="00EA7BA1"/>
    <w:rsid w:val="00EB000D"/>
    <w:rsid w:val="00EB029E"/>
    <w:rsid w:val="00EB02D7"/>
    <w:rsid w:val="00EB07B9"/>
    <w:rsid w:val="00EB07E9"/>
    <w:rsid w:val="00EB0938"/>
    <w:rsid w:val="00EB0986"/>
    <w:rsid w:val="00EB0A8C"/>
    <w:rsid w:val="00EB0EA0"/>
    <w:rsid w:val="00EB0F05"/>
    <w:rsid w:val="00EB10C4"/>
    <w:rsid w:val="00EB1495"/>
    <w:rsid w:val="00EB15DB"/>
    <w:rsid w:val="00EB187B"/>
    <w:rsid w:val="00EB1BD5"/>
    <w:rsid w:val="00EB2591"/>
    <w:rsid w:val="00EB25D4"/>
    <w:rsid w:val="00EB299F"/>
    <w:rsid w:val="00EB3029"/>
    <w:rsid w:val="00EB3289"/>
    <w:rsid w:val="00EB3511"/>
    <w:rsid w:val="00EB366B"/>
    <w:rsid w:val="00EB4491"/>
    <w:rsid w:val="00EB4558"/>
    <w:rsid w:val="00EB482B"/>
    <w:rsid w:val="00EB50D6"/>
    <w:rsid w:val="00EB51D4"/>
    <w:rsid w:val="00EB53BF"/>
    <w:rsid w:val="00EB54AE"/>
    <w:rsid w:val="00EB55BE"/>
    <w:rsid w:val="00EB5838"/>
    <w:rsid w:val="00EB5843"/>
    <w:rsid w:val="00EB5F84"/>
    <w:rsid w:val="00EB67EB"/>
    <w:rsid w:val="00EB6840"/>
    <w:rsid w:val="00EB6B98"/>
    <w:rsid w:val="00EB6E76"/>
    <w:rsid w:val="00EB6F6C"/>
    <w:rsid w:val="00EB7005"/>
    <w:rsid w:val="00EB71C4"/>
    <w:rsid w:val="00EB76C9"/>
    <w:rsid w:val="00EB7848"/>
    <w:rsid w:val="00EB79E9"/>
    <w:rsid w:val="00EB7EB4"/>
    <w:rsid w:val="00EC08FE"/>
    <w:rsid w:val="00EC0A21"/>
    <w:rsid w:val="00EC0BCB"/>
    <w:rsid w:val="00EC0EDC"/>
    <w:rsid w:val="00EC116E"/>
    <w:rsid w:val="00EC1439"/>
    <w:rsid w:val="00EC1CED"/>
    <w:rsid w:val="00EC217A"/>
    <w:rsid w:val="00EC251A"/>
    <w:rsid w:val="00EC26FA"/>
    <w:rsid w:val="00EC2B2E"/>
    <w:rsid w:val="00EC3093"/>
    <w:rsid w:val="00EC3689"/>
    <w:rsid w:val="00EC3720"/>
    <w:rsid w:val="00EC3E0E"/>
    <w:rsid w:val="00EC3E2A"/>
    <w:rsid w:val="00EC3E91"/>
    <w:rsid w:val="00EC3F2E"/>
    <w:rsid w:val="00EC453B"/>
    <w:rsid w:val="00EC4B17"/>
    <w:rsid w:val="00EC51C5"/>
    <w:rsid w:val="00EC5271"/>
    <w:rsid w:val="00EC5A45"/>
    <w:rsid w:val="00EC5A6D"/>
    <w:rsid w:val="00EC5CAF"/>
    <w:rsid w:val="00EC61C0"/>
    <w:rsid w:val="00EC6838"/>
    <w:rsid w:val="00EC692C"/>
    <w:rsid w:val="00EC6AB8"/>
    <w:rsid w:val="00EC7423"/>
    <w:rsid w:val="00EC7895"/>
    <w:rsid w:val="00EC78AA"/>
    <w:rsid w:val="00EC7FBD"/>
    <w:rsid w:val="00ED0275"/>
    <w:rsid w:val="00ED0A75"/>
    <w:rsid w:val="00ED0AB5"/>
    <w:rsid w:val="00ED0FBD"/>
    <w:rsid w:val="00ED154D"/>
    <w:rsid w:val="00ED1815"/>
    <w:rsid w:val="00ED197B"/>
    <w:rsid w:val="00ED1B05"/>
    <w:rsid w:val="00ED23F8"/>
    <w:rsid w:val="00ED2755"/>
    <w:rsid w:val="00ED2843"/>
    <w:rsid w:val="00ED33C6"/>
    <w:rsid w:val="00ED3734"/>
    <w:rsid w:val="00ED38B6"/>
    <w:rsid w:val="00ED3A1D"/>
    <w:rsid w:val="00ED4100"/>
    <w:rsid w:val="00ED4483"/>
    <w:rsid w:val="00ED475A"/>
    <w:rsid w:val="00ED4DB0"/>
    <w:rsid w:val="00ED51CE"/>
    <w:rsid w:val="00ED55E9"/>
    <w:rsid w:val="00ED563A"/>
    <w:rsid w:val="00ED5A7E"/>
    <w:rsid w:val="00ED5BEE"/>
    <w:rsid w:val="00ED5EF6"/>
    <w:rsid w:val="00ED61F9"/>
    <w:rsid w:val="00ED6705"/>
    <w:rsid w:val="00ED6AA2"/>
    <w:rsid w:val="00ED7253"/>
    <w:rsid w:val="00ED7650"/>
    <w:rsid w:val="00ED77BB"/>
    <w:rsid w:val="00EE016A"/>
    <w:rsid w:val="00EE025C"/>
    <w:rsid w:val="00EE02A7"/>
    <w:rsid w:val="00EE104A"/>
    <w:rsid w:val="00EE1231"/>
    <w:rsid w:val="00EE1398"/>
    <w:rsid w:val="00EE1C97"/>
    <w:rsid w:val="00EE1CBC"/>
    <w:rsid w:val="00EE1DC2"/>
    <w:rsid w:val="00EE20D4"/>
    <w:rsid w:val="00EE24A9"/>
    <w:rsid w:val="00EE2D11"/>
    <w:rsid w:val="00EE2E7A"/>
    <w:rsid w:val="00EE303D"/>
    <w:rsid w:val="00EE3543"/>
    <w:rsid w:val="00EE36DE"/>
    <w:rsid w:val="00EE3BF7"/>
    <w:rsid w:val="00EE3C28"/>
    <w:rsid w:val="00EE42A8"/>
    <w:rsid w:val="00EE4F51"/>
    <w:rsid w:val="00EE560E"/>
    <w:rsid w:val="00EE5C87"/>
    <w:rsid w:val="00EE60DA"/>
    <w:rsid w:val="00EE6224"/>
    <w:rsid w:val="00EE6656"/>
    <w:rsid w:val="00EE6940"/>
    <w:rsid w:val="00EE6A0C"/>
    <w:rsid w:val="00EE729B"/>
    <w:rsid w:val="00EE7598"/>
    <w:rsid w:val="00EE78DC"/>
    <w:rsid w:val="00EE7A31"/>
    <w:rsid w:val="00EF06D3"/>
    <w:rsid w:val="00EF08DB"/>
    <w:rsid w:val="00EF0AD4"/>
    <w:rsid w:val="00EF12A9"/>
    <w:rsid w:val="00EF152A"/>
    <w:rsid w:val="00EF1692"/>
    <w:rsid w:val="00EF1B1D"/>
    <w:rsid w:val="00EF1D22"/>
    <w:rsid w:val="00EF217E"/>
    <w:rsid w:val="00EF25AF"/>
    <w:rsid w:val="00EF2877"/>
    <w:rsid w:val="00EF2B25"/>
    <w:rsid w:val="00EF2C2B"/>
    <w:rsid w:val="00EF30CD"/>
    <w:rsid w:val="00EF33B6"/>
    <w:rsid w:val="00EF34E9"/>
    <w:rsid w:val="00EF35C5"/>
    <w:rsid w:val="00EF37D0"/>
    <w:rsid w:val="00EF3937"/>
    <w:rsid w:val="00EF3CA5"/>
    <w:rsid w:val="00EF3D9F"/>
    <w:rsid w:val="00EF3EAF"/>
    <w:rsid w:val="00EF42F4"/>
    <w:rsid w:val="00EF4816"/>
    <w:rsid w:val="00EF4A74"/>
    <w:rsid w:val="00EF50F8"/>
    <w:rsid w:val="00EF514D"/>
    <w:rsid w:val="00EF59C7"/>
    <w:rsid w:val="00EF607D"/>
    <w:rsid w:val="00EF6377"/>
    <w:rsid w:val="00EF6562"/>
    <w:rsid w:val="00EF68F2"/>
    <w:rsid w:val="00EF6BA0"/>
    <w:rsid w:val="00EF740F"/>
    <w:rsid w:val="00EF7CE2"/>
    <w:rsid w:val="00EF7DCB"/>
    <w:rsid w:val="00F00273"/>
    <w:rsid w:val="00F00395"/>
    <w:rsid w:val="00F008A8"/>
    <w:rsid w:val="00F0106C"/>
    <w:rsid w:val="00F0137A"/>
    <w:rsid w:val="00F015FF"/>
    <w:rsid w:val="00F016C8"/>
    <w:rsid w:val="00F01941"/>
    <w:rsid w:val="00F01E94"/>
    <w:rsid w:val="00F01F1A"/>
    <w:rsid w:val="00F01FA1"/>
    <w:rsid w:val="00F02F51"/>
    <w:rsid w:val="00F0305E"/>
    <w:rsid w:val="00F03D18"/>
    <w:rsid w:val="00F03DC2"/>
    <w:rsid w:val="00F044B1"/>
    <w:rsid w:val="00F04AC6"/>
    <w:rsid w:val="00F04BD2"/>
    <w:rsid w:val="00F04DFA"/>
    <w:rsid w:val="00F05222"/>
    <w:rsid w:val="00F0543F"/>
    <w:rsid w:val="00F05A1B"/>
    <w:rsid w:val="00F06E4E"/>
    <w:rsid w:val="00F07066"/>
    <w:rsid w:val="00F07321"/>
    <w:rsid w:val="00F07D5F"/>
    <w:rsid w:val="00F1016E"/>
    <w:rsid w:val="00F101AF"/>
    <w:rsid w:val="00F10F8C"/>
    <w:rsid w:val="00F11265"/>
    <w:rsid w:val="00F112AE"/>
    <w:rsid w:val="00F11B94"/>
    <w:rsid w:val="00F121FA"/>
    <w:rsid w:val="00F128B2"/>
    <w:rsid w:val="00F12A76"/>
    <w:rsid w:val="00F12B9B"/>
    <w:rsid w:val="00F12C3B"/>
    <w:rsid w:val="00F12E44"/>
    <w:rsid w:val="00F130F0"/>
    <w:rsid w:val="00F1332B"/>
    <w:rsid w:val="00F134E4"/>
    <w:rsid w:val="00F13562"/>
    <w:rsid w:val="00F13790"/>
    <w:rsid w:val="00F1394B"/>
    <w:rsid w:val="00F13B2A"/>
    <w:rsid w:val="00F13BBE"/>
    <w:rsid w:val="00F13CA3"/>
    <w:rsid w:val="00F13F88"/>
    <w:rsid w:val="00F13FE1"/>
    <w:rsid w:val="00F14153"/>
    <w:rsid w:val="00F1455E"/>
    <w:rsid w:val="00F1491C"/>
    <w:rsid w:val="00F14DBC"/>
    <w:rsid w:val="00F14F96"/>
    <w:rsid w:val="00F14FB3"/>
    <w:rsid w:val="00F151B0"/>
    <w:rsid w:val="00F1535D"/>
    <w:rsid w:val="00F15691"/>
    <w:rsid w:val="00F15742"/>
    <w:rsid w:val="00F15849"/>
    <w:rsid w:val="00F1593C"/>
    <w:rsid w:val="00F159E1"/>
    <w:rsid w:val="00F15C8B"/>
    <w:rsid w:val="00F15E48"/>
    <w:rsid w:val="00F16019"/>
    <w:rsid w:val="00F1613C"/>
    <w:rsid w:val="00F164BD"/>
    <w:rsid w:val="00F1660A"/>
    <w:rsid w:val="00F16C19"/>
    <w:rsid w:val="00F16FF5"/>
    <w:rsid w:val="00F174BA"/>
    <w:rsid w:val="00F17834"/>
    <w:rsid w:val="00F202A9"/>
    <w:rsid w:val="00F203F4"/>
    <w:rsid w:val="00F209D7"/>
    <w:rsid w:val="00F20AA0"/>
    <w:rsid w:val="00F20AEE"/>
    <w:rsid w:val="00F20C07"/>
    <w:rsid w:val="00F20C11"/>
    <w:rsid w:val="00F20C71"/>
    <w:rsid w:val="00F20D2C"/>
    <w:rsid w:val="00F20E31"/>
    <w:rsid w:val="00F2104A"/>
    <w:rsid w:val="00F21510"/>
    <w:rsid w:val="00F21BEB"/>
    <w:rsid w:val="00F220B2"/>
    <w:rsid w:val="00F221A7"/>
    <w:rsid w:val="00F22317"/>
    <w:rsid w:val="00F22535"/>
    <w:rsid w:val="00F228ED"/>
    <w:rsid w:val="00F22C2E"/>
    <w:rsid w:val="00F230E9"/>
    <w:rsid w:val="00F23313"/>
    <w:rsid w:val="00F234F1"/>
    <w:rsid w:val="00F2356C"/>
    <w:rsid w:val="00F235C1"/>
    <w:rsid w:val="00F23B36"/>
    <w:rsid w:val="00F240F9"/>
    <w:rsid w:val="00F2413C"/>
    <w:rsid w:val="00F2443E"/>
    <w:rsid w:val="00F248B4"/>
    <w:rsid w:val="00F24B57"/>
    <w:rsid w:val="00F24BD0"/>
    <w:rsid w:val="00F24DB7"/>
    <w:rsid w:val="00F24F87"/>
    <w:rsid w:val="00F2543C"/>
    <w:rsid w:val="00F25AAB"/>
    <w:rsid w:val="00F25F83"/>
    <w:rsid w:val="00F2642D"/>
    <w:rsid w:val="00F26F3F"/>
    <w:rsid w:val="00F27233"/>
    <w:rsid w:val="00F27D54"/>
    <w:rsid w:val="00F27E7B"/>
    <w:rsid w:val="00F309A5"/>
    <w:rsid w:val="00F30EB9"/>
    <w:rsid w:val="00F3128F"/>
    <w:rsid w:val="00F3153E"/>
    <w:rsid w:val="00F3166D"/>
    <w:rsid w:val="00F31C37"/>
    <w:rsid w:val="00F31C5A"/>
    <w:rsid w:val="00F31DD9"/>
    <w:rsid w:val="00F3220C"/>
    <w:rsid w:val="00F3253E"/>
    <w:rsid w:val="00F32822"/>
    <w:rsid w:val="00F32B22"/>
    <w:rsid w:val="00F32F0E"/>
    <w:rsid w:val="00F3376E"/>
    <w:rsid w:val="00F33CF7"/>
    <w:rsid w:val="00F345AB"/>
    <w:rsid w:val="00F34A6C"/>
    <w:rsid w:val="00F352B0"/>
    <w:rsid w:val="00F352C8"/>
    <w:rsid w:val="00F353B5"/>
    <w:rsid w:val="00F35505"/>
    <w:rsid w:val="00F3570C"/>
    <w:rsid w:val="00F35F6F"/>
    <w:rsid w:val="00F35FA7"/>
    <w:rsid w:val="00F360A4"/>
    <w:rsid w:val="00F3635F"/>
    <w:rsid w:val="00F36396"/>
    <w:rsid w:val="00F368DF"/>
    <w:rsid w:val="00F36A4F"/>
    <w:rsid w:val="00F372DF"/>
    <w:rsid w:val="00F373BB"/>
    <w:rsid w:val="00F373DF"/>
    <w:rsid w:val="00F376CE"/>
    <w:rsid w:val="00F4021D"/>
    <w:rsid w:val="00F40250"/>
    <w:rsid w:val="00F40703"/>
    <w:rsid w:val="00F40BF9"/>
    <w:rsid w:val="00F412AA"/>
    <w:rsid w:val="00F415D3"/>
    <w:rsid w:val="00F416EB"/>
    <w:rsid w:val="00F4186E"/>
    <w:rsid w:val="00F418E0"/>
    <w:rsid w:val="00F41F8D"/>
    <w:rsid w:val="00F4216B"/>
    <w:rsid w:val="00F42211"/>
    <w:rsid w:val="00F430F3"/>
    <w:rsid w:val="00F43A59"/>
    <w:rsid w:val="00F43C9A"/>
    <w:rsid w:val="00F43F15"/>
    <w:rsid w:val="00F43F40"/>
    <w:rsid w:val="00F44057"/>
    <w:rsid w:val="00F442F8"/>
    <w:rsid w:val="00F44A38"/>
    <w:rsid w:val="00F45127"/>
    <w:rsid w:val="00F45265"/>
    <w:rsid w:val="00F455C8"/>
    <w:rsid w:val="00F45976"/>
    <w:rsid w:val="00F45CD0"/>
    <w:rsid w:val="00F464D9"/>
    <w:rsid w:val="00F469B3"/>
    <w:rsid w:val="00F47280"/>
    <w:rsid w:val="00F4740C"/>
    <w:rsid w:val="00F47453"/>
    <w:rsid w:val="00F47466"/>
    <w:rsid w:val="00F475BD"/>
    <w:rsid w:val="00F47C1B"/>
    <w:rsid w:val="00F47D94"/>
    <w:rsid w:val="00F47FE9"/>
    <w:rsid w:val="00F50649"/>
    <w:rsid w:val="00F507E6"/>
    <w:rsid w:val="00F50AD0"/>
    <w:rsid w:val="00F50CCE"/>
    <w:rsid w:val="00F5110A"/>
    <w:rsid w:val="00F51AF6"/>
    <w:rsid w:val="00F51C6D"/>
    <w:rsid w:val="00F51CEC"/>
    <w:rsid w:val="00F51EE7"/>
    <w:rsid w:val="00F52507"/>
    <w:rsid w:val="00F52838"/>
    <w:rsid w:val="00F52D90"/>
    <w:rsid w:val="00F5326B"/>
    <w:rsid w:val="00F532BF"/>
    <w:rsid w:val="00F532E5"/>
    <w:rsid w:val="00F5395D"/>
    <w:rsid w:val="00F53F63"/>
    <w:rsid w:val="00F540D1"/>
    <w:rsid w:val="00F548AE"/>
    <w:rsid w:val="00F548F3"/>
    <w:rsid w:val="00F550B2"/>
    <w:rsid w:val="00F550B4"/>
    <w:rsid w:val="00F55415"/>
    <w:rsid w:val="00F554C9"/>
    <w:rsid w:val="00F5562F"/>
    <w:rsid w:val="00F5597A"/>
    <w:rsid w:val="00F55B24"/>
    <w:rsid w:val="00F56025"/>
    <w:rsid w:val="00F560EB"/>
    <w:rsid w:val="00F5651B"/>
    <w:rsid w:val="00F5677D"/>
    <w:rsid w:val="00F569D6"/>
    <w:rsid w:val="00F56B10"/>
    <w:rsid w:val="00F56B9B"/>
    <w:rsid w:val="00F56C58"/>
    <w:rsid w:val="00F56DBC"/>
    <w:rsid w:val="00F57279"/>
    <w:rsid w:val="00F574F5"/>
    <w:rsid w:val="00F57658"/>
    <w:rsid w:val="00F57663"/>
    <w:rsid w:val="00F57813"/>
    <w:rsid w:val="00F57EF1"/>
    <w:rsid w:val="00F6002C"/>
    <w:rsid w:val="00F613A2"/>
    <w:rsid w:val="00F613D5"/>
    <w:rsid w:val="00F61879"/>
    <w:rsid w:val="00F6198F"/>
    <w:rsid w:val="00F629C6"/>
    <w:rsid w:val="00F631EC"/>
    <w:rsid w:val="00F632B1"/>
    <w:rsid w:val="00F63495"/>
    <w:rsid w:val="00F63607"/>
    <w:rsid w:val="00F637C7"/>
    <w:rsid w:val="00F6413F"/>
    <w:rsid w:val="00F643C6"/>
    <w:rsid w:val="00F645BE"/>
    <w:rsid w:val="00F647BC"/>
    <w:rsid w:val="00F64AB6"/>
    <w:rsid w:val="00F64D37"/>
    <w:rsid w:val="00F653C2"/>
    <w:rsid w:val="00F6555B"/>
    <w:rsid w:val="00F657C7"/>
    <w:rsid w:val="00F6598A"/>
    <w:rsid w:val="00F66065"/>
    <w:rsid w:val="00F6612B"/>
    <w:rsid w:val="00F67281"/>
    <w:rsid w:val="00F672A2"/>
    <w:rsid w:val="00F6739F"/>
    <w:rsid w:val="00F67529"/>
    <w:rsid w:val="00F679C4"/>
    <w:rsid w:val="00F679FD"/>
    <w:rsid w:val="00F67C51"/>
    <w:rsid w:val="00F67FEE"/>
    <w:rsid w:val="00F70202"/>
    <w:rsid w:val="00F7027A"/>
    <w:rsid w:val="00F704D7"/>
    <w:rsid w:val="00F704F1"/>
    <w:rsid w:val="00F70863"/>
    <w:rsid w:val="00F70BB7"/>
    <w:rsid w:val="00F70CEF"/>
    <w:rsid w:val="00F71161"/>
    <w:rsid w:val="00F71348"/>
    <w:rsid w:val="00F718B2"/>
    <w:rsid w:val="00F71E17"/>
    <w:rsid w:val="00F728C6"/>
    <w:rsid w:val="00F7349B"/>
    <w:rsid w:val="00F738AB"/>
    <w:rsid w:val="00F73DF4"/>
    <w:rsid w:val="00F74104"/>
    <w:rsid w:val="00F7450D"/>
    <w:rsid w:val="00F7466E"/>
    <w:rsid w:val="00F74A4E"/>
    <w:rsid w:val="00F74C36"/>
    <w:rsid w:val="00F7559C"/>
    <w:rsid w:val="00F755F1"/>
    <w:rsid w:val="00F75A0E"/>
    <w:rsid w:val="00F75B4A"/>
    <w:rsid w:val="00F75C25"/>
    <w:rsid w:val="00F765EE"/>
    <w:rsid w:val="00F766A8"/>
    <w:rsid w:val="00F76B63"/>
    <w:rsid w:val="00F76BE2"/>
    <w:rsid w:val="00F76E95"/>
    <w:rsid w:val="00F76F1F"/>
    <w:rsid w:val="00F7719B"/>
    <w:rsid w:val="00F774DB"/>
    <w:rsid w:val="00F774FF"/>
    <w:rsid w:val="00F7759E"/>
    <w:rsid w:val="00F77796"/>
    <w:rsid w:val="00F777C7"/>
    <w:rsid w:val="00F7781D"/>
    <w:rsid w:val="00F8041C"/>
    <w:rsid w:val="00F8055A"/>
    <w:rsid w:val="00F805A5"/>
    <w:rsid w:val="00F806AD"/>
    <w:rsid w:val="00F80820"/>
    <w:rsid w:val="00F80E76"/>
    <w:rsid w:val="00F811ED"/>
    <w:rsid w:val="00F8137B"/>
    <w:rsid w:val="00F8170A"/>
    <w:rsid w:val="00F8181C"/>
    <w:rsid w:val="00F81B25"/>
    <w:rsid w:val="00F81BF0"/>
    <w:rsid w:val="00F8201C"/>
    <w:rsid w:val="00F82095"/>
    <w:rsid w:val="00F820BA"/>
    <w:rsid w:val="00F82437"/>
    <w:rsid w:val="00F824AE"/>
    <w:rsid w:val="00F828AA"/>
    <w:rsid w:val="00F82B3F"/>
    <w:rsid w:val="00F831E9"/>
    <w:rsid w:val="00F839E6"/>
    <w:rsid w:val="00F83E96"/>
    <w:rsid w:val="00F84216"/>
    <w:rsid w:val="00F8434A"/>
    <w:rsid w:val="00F84519"/>
    <w:rsid w:val="00F8481D"/>
    <w:rsid w:val="00F849A3"/>
    <w:rsid w:val="00F85775"/>
    <w:rsid w:val="00F85862"/>
    <w:rsid w:val="00F85B54"/>
    <w:rsid w:val="00F86336"/>
    <w:rsid w:val="00F86464"/>
    <w:rsid w:val="00F86D55"/>
    <w:rsid w:val="00F86E3C"/>
    <w:rsid w:val="00F87261"/>
    <w:rsid w:val="00F877CD"/>
    <w:rsid w:val="00F87A26"/>
    <w:rsid w:val="00F87D15"/>
    <w:rsid w:val="00F903AE"/>
    <w:rsid w:val="00F907A5"/>
    <w:rsid w:val="00F90B57"/>
    <w:rsid w:val="00F90F68"/>
    <w:rsid w:val="00F91062"/>
    <w:rsid w:val="00F9106A"/>
    <w:rsid w:val="00F91600"/>
    <w:rsid w:val="00F91E09"/>
    <w:rsid w:val="00F91FE3"/>
    <w:rsid w:val="00F92002"/>
    <w:rsid w:val="00F924EC"/>
    <w:rsid w:val="00F92AD5"/>
    <w:rsid w:val="00F92CCE"/>
    <w:rsid w:val="00F92D27"/>
    <w:rsid w:val="00F931DF"/>
    <w:rsid w:val="00F931F1"/>
    <w:rsid w:val="00F932BD"/>
    <w:rsid w:val="00F932BE"/>
    <w:rsid w:val="00F9336F"/>
    <w:rsid w:val="00F93486"/>
    <w:rsid w:val="00F935F8"/>
    <w:rsid w:val="00F93CE2"/>
    <w:rsid w:val="00F941B4"/>
    <w:rsid w:val="00F947E2"/>
    <w:rsid w:val="00F94C5C"/>
    <w:rsid w:val="00F951A3"/>
    <w:rsid w:val="00F95694"/>
    <w:rsid w:val="00F959FE"/>
    <w:rsid w:val="00F9605D"/>
    <w:rsid w:val="00F960E4"/>
    <w:rsid w:val="00F961CB"/>
    <w:rsid w:val="00F96386"/>
    <w:rsid w:val="00F9662F"/>
    <w:rsid w:val="00F96A51"/>
    <w:rsid w:val="00F96E4E"/>
    <w:rsid w:val="00F97677"/>
    <w:rsid w:val="00F977A6"/>
    <w:rsid w:val="00F977F0"/>
    <w:rsid w:val="00F9791A"/>
    <w:rsid w:val="00F9795E"/>
    <w:rsid w:val="00F97A7D"/>
    <w:rsid w:val="00F97D19"/>
    <w:rsid w:val="00F97F76"/>
    <w:rsid w:val="00FA0374"/>
    <w:rsid w:val="00FA0480"/>
    <w:rsid w:val="00FA0634"/>
    <w:rsid w:val="00FA0895"/>
    <w:rsid w:val="00FA0ACD"/>
    <w:rsid w:val="00FA0D06"/>
    <w:rsid w:val="00FA1022"/>
    <w:rsid w:val="00FA102E"/>
    <w:rsid w:val="00FA10BE"/>
    <w:rsid w:val="00FA1424"/>
    <w:rsid w:val="00FA1576"/>
    <w:rsid w:val="00FA18B7"/>
    <w:rsid w:val="00FA1BB2"/>
    <w:rsid w:val="00FA207F"/>
    <w:rsid w:val="00FA2362"/>
    <w:rsid w:val="00FA2391"/>
    <w:rsid w:val="00FA2971"/>
    <w:rsid w:val="00FA2D66"/>
    <w:rsid w:val="00FA2F1B"/>
    <w:rsid w:val="00FA3225"/>
    <w:rsid w:val="00FA4271"/>
    <w:rsid w:val="00FA4BBB"/>
    <w:rsid w:val="00FA4E52"/>
    <w:rsid w:val="00FA4F25"/>
    <w:rsid w:val="00FA51BE"/>
    <w:rsid w:val="00FA56C2"/>
    <w:rsid w:val="00FA5C71"/>
    <w:rsid w:val="00FA606C"/>
    <w:rsid w:val="00FA6701"/>
    <w:rsid w:val="00FA6B49"/>
    <w:rsid w:val="00FA6FFB"/>
    <w:rsid w:val="00FA71E9"/>
    <w:rsid w:val="00FA7374"/>
    <w:rsid w:val="00FA7630"/>
    <w:rsid w:val="00FA7892"/>
    <w:rsid w:val="00FA7951"/>
    <w:rsid w:val="00FA7A4E"/>
    <w:rsid w:val="00FB0195"/>
    <w:rsid w:val="00FB0236"/>
    <w:rsid w:val="00FB030A"/>
    <w:rsid w:val="00FB03E4"/>
    <w:rsid w:val="00FB05F6"/>
    <w:rsid w:val="00FB063C"/>
    <w:rsid w:val="00FB06AA"/>
    <w:rsid w:val="00FB070D"/>
    <w:rsid w:val="00FB0E99"/>
    <w:rsid w:val="00FB10F1"/>
    <w:rsid w:val="00FB124B"/>
    <w:rsid w:val="00FB17B2"/>
    <w:rsid w:val="00FB2198"/>
    <w:rsid w:val="00FB352E"/>
    <w:rsid w:val="00FB3B19"/>
    <w:rsid w:val="00FB3DA9"/>
    <w:rsid w:val="00FB3FB3"/>
    <w:rsid w:val="00FB4AC1"/>
    <w:rsid w:val="00FB4BF1"/>
    <w:rsid w:val="00FB5316"/>
    <w:rsid w:val="00FB55C0"/>
    <w:rsid w:val="00FB5902"/>
    <w:rsid w:val="00FB59BC"/>
    <w:rsid w:val="00FB61DC"/>
    <w:rsid w:val="00FB64C6"/>
    <w:rsid w:val="00FB6510"/>
    <w:rsid w:val="00FB6520"/>
    <w:rsid w:val="00FB6C7F"/>
    <w:rsid w:val="00FB6E89"/>
    <w:rsid w:val="00FB7075"/>
    <w:rsid w:val="00FB7179"/>
    <w:rsid w:val="00FB765A"/>
    <w:rsid w:val="00FC0A0E"/>
    <w:rsid w:val="00FC0AB6"/>
    <w:rsid w:val="00FC0D2E"/>
    <w:rsid w:val="00FC1152"/>
    <w:rsid w:val="00FC1433"/>
    <w:rsid w:val="00FC1CDF"/>
    <w:rsid w:val="00FC208B"/>
    <w:rsid w:val="00FC236B"/>
    <w:rsid w:val="00FC2B1C"/>
    <w:rsid w:val="00FC2B61"/>
    <w:rsid w:val="00FC2CFC"/>
    <w:rsid w:val="00FC31E1"/>
    <w:rsid w:val="00FC3694"/>
    <w:rsid w:val="00FC3867"/>
    <w:rsid w:val="00FC38C9"/>
    <w:rsid w:val="00FC3944"/>
    <w:rsid w:val="00FC3E1B"/>
    <w:rsid w:val="00FC3F3B"/>
    <w:rsid w:val="00FC432C"/>
    <w:rsid w:val="00FC444C"/>
    <w:rsid w:val="00FC513A"/>
    <w:rsid w:val="00FC548B"/>
    <w:rsid w:val="00FC5619"/>
    <w:rsid w:val="00FC590B"/>
    <w:rsid w:val="00FC5926"/>
    <w:rsid w:val="00FC5FF1"/>
    <w:rsid w:val="00FC606E"/>
    <w:rsid w:val="00FC6366"/>
    <w:rsid w:val="00FC64B2"/>
    <w:rsid w:val="00FC6872"/>
    <w:rsid w:val="00FC690C"/>
    <w:rsid w:val="00FC69B6"/>
    <w:rsid w:val="00FC6B9A"/>
    <w:rsid w:val="00FC6E55"/>
    <w:rsid w:val="00FC6F47"/>
    <w:rsid w:val="00FC7902"/>
    <w:rsid w:val="00FC7914"/>
    <w:rsid w:val="00FC7A60"/>
    <w:rsid w:val="00FC7E2B"/>
    <w:rsid w:val="00FD062E"/>
    <w:rsid w:val="00FD06A7"/>
    <w:rsid w:val="00FD06E7"/>
    <w:rsid w:val="00FD0B04"/>
    <w:rsid w:val="00FD0C15"/>
    <w:rsid w:val="00FD0E49"/>
    <w:rsid w:val="00FD0E53"/>
    <w:rsid w:val="00FD193D"/>
    <w:rsid w:val="00FD1A76"/>
    <w:rsid w:val="00FD1CA4"/>
    <w:rsid w:val="00FD2319"/>
    <w:rsid w:val="00FD2352"/>
    <w:rsid w:val="00FD277F"/>
    <w:rsid w:val="00FD2975"/>
    <w:rsid w:val="00FD2CCC"/>
    <w:rsid w:val="00FD3017"/>
    <w:rsid w:val="00FD3497"/>
    <w:rsid w:val="00FD3503"/>
    <w:rsid w:val="00FD35A8"/>
    <w:rsid w:val="00FD3642"/>
    <w:rsid w:val="00FD39D6"/>
    <w:rsid w:val="00FD3C15"/>
    <w:rsid w:val="00FD3C9C"/>
    <w:rsid w:val="00FD3E9F"/>
    <w:rsid w:val="00FD3FD5"/>
    <w:rsid w:val="00FD47B3"/>
    <w:rsid w:val="00FD4865"/>
    <w:rsid w:val="00FD4902"/>
    <w:rsid w:val="00FD4A2D"/>
    <w:rsid w:val="00FD4E4C"/>
    <w:rsid w:val="00FD5538"/>
    <w:rsid w:val="00FD5675"/>
    <w:rsid w:val="00FD5995"/>
    <w:rsid w:val="00FD5B69"/>
    <w:rsid w:val="00FD5F30"/>
    <w:rsid w:val="00FD625B"/>
    <w:rsid w:val="00FD6349"/>
    <w:rsid w:val="00FD6D9A"/>
    <w:rsid w:val="00FD701A"/>
    <w:rsid w:val="00FD7214"/>
    <w:rsid w:val="00FD7A30"/>
    <w:rsid w:val="00FD7A75"/>
    <w:rsid w:val="00FD7C96"/>
    <w:rsid w:val="00FD7F22"/>
    <w:rsid w:val="00FE0C07"/>
    <w:rsid w:val="00FE0C24"/>
    <w:rsid w:val="00FE0C7B"/>
    <w:rsid w:val="00FE0DFF"/>
    <w:rsid w:val="00FE1088"/>
    <w:rsid w:val="00FE1147"/>
    <w:rsid w:val="00FE15AD"/>
    <w:rsid w:val="00FE162D"/>
    <w:rsid w:val="00FE18CC"/>
    <w:rsid w:val="00FE1A49"/>
    <w:rsid w:val="00FE1B58"/>
    <w:rsid w:val="00FE1D86"/>
    <w:rsid w:val="00FE1DBF"/>
    <w:rsid w:val="00FE1F04"/>
    <w:rsid w:val="00FE219C"/>
    <w:rsid w:val="00FE21F7"/>
    <w:rsid w:val="00FE2AD1"/>
    <w:rsid w:val="00FE2B8C"/>
    <w:rsid w:val="00FE2D5F"/>
    <w:rsid w:val="00FE2D7A"/>
    <w:rsid w:val="00FE2DE6"/>
    <w:rsid w:val="00FE2F6C"/>
    <w:rsid w:val="00FE36AD"/>
    <w:rsid w:val="00FE406F"/>
    <w:rsid w:val="00FE40C8"/>
    <w:rsid w:val="00FE439A"/>
    <w:rsid w:val="00FE439B"/>
    <w:rsid w:val="00FE4546"/>
    <w:rsid w:val="00FE4938"/>
    <w:rsid w:val="00FE4C3D"/>
    <w:rsid w:val="00FE4F58"/>
    <w:rsid w:val="00FE50E7"/>
    <w:rsid w:val="00FE56AA"/>
    <w:rsid w:val="00FE59D2"/>
    <w:rsid w:val="00FE5B0B"/>
    <w:rsid w:val="00FE6199"/>
    <w:rsid w:val="00FE648A"/>
    <w:rsid w:val="00FE66C6"/>
    <w:rsid w:val="00FE674F"/>
    <w:rsid w:val="00FE68B8"/>
    <w:rsid w:val="00FE6B99"/>
    <w:rsid w:val="00FE6F6E"/>
    <w:rsid w:val="00FE710C"/>
    <w:rsid w:val="00FE721F"/>
    <w:rsid w:val="00FE74EA"/>
    <w:rsid w:val="00FE76EC"/>
    <w:rsid w:val="00FE7977"/>
    <w:rsid w:val="00FE7B31"/>
    <w:rsid w:val="00FE7C94"/>
    <w:rsid w:val="00FF0086"/>
    <w:rsid w:val="00FF01F5"/>
    <w:rsid w:val="00FF038C"/>
    <w:rsid w:val="00FF06B6"/>
    <w:rsid w:val="00FF0D47"/>
    <w:rsid w:val="00FF0EA6"/>
    <w:rsid w:val="00FF0EB3"/>
    <w:rsid w:val="00FF1006"/>
    <w:rsid w:val="00FF1103"/>
    <w:rsid w:val="00FF110D"/>
    <w:rsid w:val="00FF11FA"/>
    <w:rsid w:val="00FF1D35"/>
    <w:rsid w:val="00FF1D8F"/>
    <w:rsid w:val="00FF2051"/>
    <w:rsid w:val="00FF218A"/>
    <w:rsid w:val="00FF21DE"/>
    <w:rsid w:val="00FF2AB4"/>
    <w:rsid w:val="00FF2DBC"/>
    <w:rsid w:val="00FF2FBD"/>
    <w:rsid w:val="00FF36D2"/>
    <w:rsid w:val="00FF3866"/>
    <w:rsid w:val="00FF3B52"/>
    <w:rsid w:val="00FF413F"/>
    <w:rsid w:val="00FF44BE"/>
    <w:rsid w:val="00FF4672"/>
    <w:rsid w:val="00FF4AF0"/>
    <w:rsid w:val="00FF4EA9"/>
    <w:rsid w:val="00FF4F09"/>
    <w:rsid w:val="00FF5145"/>
    <w:rsid w:val="00FF52F2"/>
    <w:rsid w:val="00FF567F"/>
    <w:rsid w:val="00FF59CF"/>
    <w:rsid w:val="00FF5A56"/>
    <w:rsid w:val="00FF5A6E"/>
    <w:rsid w:val="00FF5CBC"/>
    <w:rsid w:val="00FF6042"/>
    <w:rsid w:val="00FF60A6"/>
    <w:rsid w:val="00FF60FF"/>
    <w:rsid w:val="00FF616E"/>
    <w:rsid w:val="00FF61B0"/>
    <w:rsid w:val="00FF63CE"/>
    <w:rsid w:val="00FF6C6D"/>
    <w:rsid w:val="00FF7716"/>
    <w:rsid w:val="00FF7728"/>
    <w:rsid w:val="00FF78D9"/>
    <w:rsid w:val="00FF7DA6"/>
    <w:rsid w:val="00FF7DE9"/>
    <w:rsid w:val="01024A97"/>
    <w:rsid w:val="01037BD9"/>
    <w:rsid w:val="01082A9D"/>
    <w:rsid w:val="015A4100"/>
    <w:rsid w:val="01BE63E3"/>
    <w:rsid w:val="01BF7294"/>
    <w:rsid w:val="01ED70B2"/>
    <w:rsid w:val="02085959"/>
    <w:rsid w:val="022260BE"/>
    <w:rsid w:val="024B2507"/>
    <w:rsid w:val="024E1DB2"/>
    <w:rsid w:val="02AB232B"/>
    <w:rsid w:val="02D3197E"/>
    <w:rsid w:val="02D57319"/>
    <w:rsid w:val="030856F4"/>
    <w:rsid w:val="03155A6F"/>
    <w:rsid w:val="03325A3A"/>
    <w:rsid w:val="03646034"/>
    <w:rsid w:val="037D3DB3"/>
    <w:rsid w:val="03B913F5"/>
    <w:rsid w:val="03C17F51"/>
    <w:rsid w:val="03E54D6B"/>
    <w:rsid w:val="04235096"/>
    <w:rsid w:val="04284E8E"/>
    <w:rsid w:val="04393E76"/>
    <w:rsid w:val="04816FA9"/>
    <w:rsid w:val="049F39FC"/>
    <w:rsid w:val="04BE6B0D"/>
    <w:rsid w:val="04DA4989"/>
    <w:rsid w:val="050215F2"/>
    <w:rsid w:val="053F33CD"/>
    <w:rsid w:val="05871B5F"/>
    <w:rsid w:val="0592037F"/>
    <w:rsid w:val="059C6F48"/>
    <w:rsid w:val="05A820DE"/>
    <w:rsid w:val="05C551FA"/>
    <w:rsid w:val="05CC71E3"/>
    <w:rsid w:val="05E4673F"/>
    <w:rsid w:val="06663207"/>
    <w:rsid w:val="06682C24"/>
    <w:rsid w:val="068558B9"/>
    <w:rsid w:val="068848D6"/>
    <w:rsid w:val="068E6E4B"/>
    <w:rsid w:val="069E2629"/>
    <w:rsid w:val="06E81FBB"/>
    <w:rsid w:val="06EF7A2E"/>
    <w:rsid w:val="070C5B80"/>
    <w:rsid w:val="070F5BF0"/>
    <w:rsid w:val="07201CA4"/>
    <w:rsid w:val="073D6AAC"/>
    <w:rsid w:val="07933F1E"/>
    <w:rsid w:val="07C04C3F"/>
    <w:rsid w:val="07DC1710"/>
    <w:rsid w:val="07E4001F"/>
    <w:rsid w:val="07F40CC0"/>
    <w:rsid w:val="080D1435"/>
    <w:rsid w:val="08170174"/>
    <w:rsid w:val="082742D2"/>
    <w:rsid w:val="083C18CB"/>
    <w:rsid w:val="08491CA3"/>
    <w:rsid w:val="08730C60"/>
    <w:rsid w:val="087D450D"/>
    <w:rsid w:val="088033EB"/>
    <w:rsid w:val="08887F0B"/>
    <w:rsid w:val="08906BEC"/>
    <w:rsid w:val="08A854B4"/>
    <w:rsid w:val="08EB19BC"/>
    <w:rsid w:val="08FA093E"/>
    <w:rsid w:val="09201C9E"/>
    <w:rsid w:val="09343C43"/>
    <w:rsid w:val="0965044B"/>
    <w:rsid w:val="09773440"/>
    <w:rsid w:val="09C2164E"/>
    <w:rsid w:val="0A3D5DF1"/>
    <w:rsid w:val="0A511CA0"/>
    <w:rsid w:val="0A877F08"/>
    <w:rsid w:val="0AAC5152"/>
    <w:rsid w:val="0ABF36C6"/>
    <w:rsid w:val="0B4F5D62"/>
    <w:rsid w:val="0B7676A0"/>
    <w:rsid w:val="0B8A1C4E"/>
    <w:rsid w:val="0BBC226A"/>
    <w:rsid w:val="0C0D34EC"/>
    <w:rsid w:val="0C21514D"/>
    <w:rsid w:val="0C2601D3"/>
    <w:rsid w:val="0C384D33"/>
    <w:rsid w:val="0C4F3703"/>
    <w:rsid w:val="0C911355"/>
    <w:rsid w:val="0C9D4C48"/>
    <w:rsid w:val="0CBD57D8"/>
    <w:rsid w:val="0CEE7AC5"/>
    <w:rsid w:val="0CF4567C"/>
    <w:rsid w:val="0D0E3F83"/>
    <w:rsid w:val="0D171406"/>
    <w:rsid w:val="0D2B27C5"/>
    <w:rsid w:val="0D2C6A60"/>
    <w:rsid w:val="0D386C95"/>
    <w:rsid w:val="0D410F70"/>
    <w:rsid w:val="0D517A11"/>
    <w:rsid w:val="0D7261B0"/>
    <w:rsid w:val="0D7D08B6"/>
    <w:rsid w:val="0E072ECA"/>
    <w:rsid w:val="0E3E4062"/>
    <w:rsid w:val="0E9103B5"/>
    <w:rsid w:val="0E967B7C"/>
    <w:rsid w:val="0EA94ADD"/>
    <w:rsid w:val="0EAD3EC1"/>
    <w:rsid w:val="0EDA7A28"/>
    <w:rsid w:val="0F050BB0"/>
    <w:rsid w:val="0F373801"/>
    <w:rsid w:val="0F600721"/>
    <w:rsid w:val="0FA63510"/>
    <w:rsid w:val="0FD00A09"/>
    <w:rsid w:val="0FD92E28"/>
    <w:rsid w:val="0FE02448"/>
    <w:rsid w:val="0FEA2AD0"/>
    <w:rsid w:val="0FF76D5B"/>
    <w:rsid w:val="10054161"/>
    <w:rsid w:val="10055744"/>
    <w:rsid w:val="10196E8D"/>
    <w:rsid w:val="10357EDC"/>
    <w:rsid w:val="10587A1A"/>
    <w:rsid w:val="10A13DF0"/>
    <w:rsid w:val="10C0255C"/>
    <w:rsid w:val="10D91B75"/>
    <w:rsid w:val="111B7AE9"/>
    <w:rsid w:val="113270A1"/>
    <w:rsid w:val="11981392"/>
    <w:rsid w:val="11D151BA"/>
    <w:rsid w:val="11D5794F"/>
    <w:rsid w:val="120F505D"/>
    <w:rsid w:val="12253DBE"/>
    <w:rsid w:val="12343CD6"/>
    <w:rsid w:val="125A054C"/>
    <w:rsid w:val="12BC29AA"/>
    <w:rsid w:val="12E93D85"/>
    <w:rsid w:val="12F7434A"/>
    <w:rsid w:val="1309534F"/>
    <w:rsid w:val="13447F13"/>
    <w:rsid w:val="13491D10"/>
    <w:rsid w:val="13502266"/>
    <w:rsid w:val="13545124"/>
    <w:rsid w:val="135A0AEE"/>
    <w:rsid w:val="1395557F"/>
    <w:rsid w:val="13966708"/>
    <w:rsid w:val="13967ABC"/>
    <w:rsid w:val="13CE5158"/>
    <w:rsid w:val="13D75CE6"/>
    <w:rsid w:val="13DD397C"/>
    <w:rsid w:val="146D1F1A"/>
    <w:rsid w:val="147347A6"/>
    <w:rsid w:val="148F7207"/>
    <w:rsid w:val="149A7E76"/>
    <w:rsid w:val="14AA1310"/>
    <w:rsid w:val="14CE43C7"/>
    <w:rsid w:val="14CF6801"/>
    <w:rsid w:val="15431591"/>
    <w:rsid w:val="15494A2D"/>
    <w:rsid w:val="15684E3D"/>
    <w:rsid w:val="158D4665"/>
    <w:rsid w:val="15F70EC6"/>
    <w:rsid w:val="16086B99"/>
    <w:rsid w:val="162414C9"/>
    <w:rsid w:val="162A7875"/>
    <w:rsid w:val="162B47D0"/>
    <w:rsid w:val="16303291"/>
    <w:rsid w:val="1679423E"/>
    <w:rsid w:val="16AB765D"/>
    <w:rsid w:val="16C01B11"/>
    <w:rsid w:val="16D507CA"/>
    <w:rsid w:val="17181C01"/>
    <w:rsid w:val="17853262"/>
    <w:rsid w:val="17C21B46"/>
    <w:rsid w:val="17CA4633"/>
    <w:rsid w:val="17D830A1"/>
    <w:rsid w:val="18263980"/>
    <w:rsid w:val="1840343A"/>
    <w:rsid w:val="184B4740"/>
    <w:rsid w:val="186B06B2"/>
    <w:rsid w:val="18BE799F"/>
    <w:rsid w:val="18E75EA3"/>
    <w:rsid w:val="197246D2"/>
    <w:rsid w:val="19992C07"/>
    <w:rsid w:val="19AD631E"/>
    <w:rsid w:val="19B66539"/>
    <w:rsid w:val="1A0044AC"/>
    <w:rsid w:val="1A1D4618"/>
    <w:rsid w:val="1A367FE6"/>
    <w:rsid w:val="1A461AAA"/>
    <w:rsid w:val="1A96676A"/>
    <w:rsid w:val="1A9B34B2"/>
    <w:rsid w:val="1ABA724D"/>
    <w:rsid w:val="1ACC2982"/>
    <w:rsid w:val="1AEF7F7E"/>
    <w:rsid w:val="1AF60BF5"/>
    <w:rsid w:val="1AFF0F18"/>
    <w:rsid w:val="1B0D26F4"/>
    <w:rsid w:val="1B590746"/>
    <w:rsid w:val="1B986225"/>
    <w:rsid w:val="1BCE7E89"/>
    <w:rsid w:val="1BE41DA9"/>
    <w:rsid w:val="1BEF2AA9"/>
    <w:rsid w:val="1BF1731B"/>
    <w:rsid w:val="1C641FD3"/>
    <w:rsid w:val="1C9A6397"/>
    <w:rsid w:val="1D0A01CF"/>
    <w:rsid w:val="1D1C02D3"/>
    <w:rsid w:val="1D353CCE"/>
    <w:rsid w:val="1D795F78"/>
    <w:rsid w:val="1D8446DA"/>
    <w:rsid w:val="1D913089"/>
    <w:rsid w:val="1DA92F9A"/>
    <w:rsid w:val="1DEB17F3"/>
    <w:rsid w:val="1DEE4F79"/>
    <w:rsid w:val="1DFC4E44"/>
    <w:rsid w:val="1E0D442A"/>
    <w:rsid w:val="1E327DC9"/>
    <w:rsid w:val="1E5C5437"/>
    <w:rsid w:val="1E672B09"/>
    <w:rsid w:val="1E701BD4"/>
    <w:rsid w:val="1E8614D7"/>
    <w:rsid w:val="1EAA1C3B"/>
    <w:rsid w:val="1EBA119E"/>
    <w:rsid w:val="1EBE2373"/>
    <w:rsid w:val="1EC477BA"/>
    <w:rsid w:val="1EC51869"/>
    <w:rsid w:val="1ECC4F64"/>
    <w:rsid w:val="1EE618BF"/>
    <w:rsid w:val="1F491768"/>
    <w:rsid w:val="1F556BEF"/>
    <w:rsid w:val="1F6D23F2"/>
    <w:rsid w:val="1F7E41A3"/>
    <w:rsid w:val="1F937663"/>
    <w:rsid w:val="1FAC05CF"/>
    <w:rsid w:val="1FB71EC7"/>
    <w:rsid w:val="1FE045B9"/>
    <w:rsid w:val="1FE566B0"/>
    <w:rsid w:val="206A3FAE"/>
    <w:rsid w:val="208A41FD"/>
    <w:rsid w:val="20995C4C"/>
    <w:rsid w:val="20D8454E"/>
    <w:rsid w:val="20DA159F"/>
    <w:rsid w:val="20FD0571"/>
    <w:rsid w:val="210F494D"/>
    <w:rsid w:val="210F739E"/>
    <w:rsid w:val="219B1AD1"/>
    <w:rsid w:val="21B326FB"/>
    <w:rsid w:val="21CD200E"/>
    <w:rsid w:val="22075392"/>
    <w:rsid w:val="222C4D64"/>
    <w:rsid w:val="22633280"/>
    <w:rsid w:val="22D77FF5"/>
    <w:rsid w:val="22E71AD9"/>
    <w:rsid w:val="22F155C8"/>
    <w:rsid w:val="22FE07B1"/>
    <w:rsid w:val="236F2DAC"/>
    <w:rsid w:val="237243F4"/>
    <w:rsid w:val="237247DB"/>
    <w:rsid w:val="239A3729"/>
    <w:rsid w:val="23E7798A"/>
    <w:rsid w:val="241841A7"/>
    <w:rsid w:val="246803F9"/>
    <w:rsid w:val="246905A0"/>
    <w:rsid w:val="24AF2C9C"/>
    <w:rsid w:val="24C039AC"/>
    <w:rsid w:val="24E51ED8"/>
    <w:rsid w:val="24F42C30"/>
    <w:rsid w:val="252F3A82"/>
    <w:rsid w:val="252F57A6"/>
    <w:rsid w:val="25943F33"/>
    <w:rsid w:val="25A1066A"/>
    <w:rsid w:val="25A33555"/>
    <w:rsid w:val="25C57926"/>
    <w:rsid w:val="25D24360"/>
    <w:rsid w:val="25EF018C"/>
    <w:rsid w:val="260B5BF0"/>
    <w:rsid w:val="261073E1"/>
    <w:rsid w:val="26366678"/>
    <w:rsid w:val="263D78FC"/>
    <w:rsid w:val="26743464"/>
    <w:rsid w:val="273B3E55"/>
    <w:rsid w:val="274132A2"/>
    <w:rsid w:val="274A56FF"/>
    <w:rsid w:val="27C020BA"/>
    <w:rsid w:val="27CE422F"/>
    <w:rsid w:val="27D5577D"/>
    <w:rsid w:val="28022E22"/>
    <w:rsid w:val="282F4978"/>
    <w:rsid w:val="284943E1"/>
    <w:rsid w:val="285F330E"/>
    <w:rsid w:val="286B3FA3"/>
    <w:rsid w:val="28873A24"/>
    <w:rsid w:val="28B542A5"/>
    <w:rsid w:val="28F3215A"/>
    <w:rsid w:val="28FC3639"/>
    <w:rsid w:val="292251AF"/>
    <w:rsid w:val="295342D9"/>
    <w:rsid w:val="29701E9C"/>
    <w:rsid w:val="297F6B6E"/>
    <w:rsid w:val="29C41AF9"/>
    <w:rsid w:val="2A150749"/>
    <w:rsid w:val="2A354EAD"/>
    <w:rsid w:val="2A362F08"/>
    <w:rsid w:val="2A413AD3"/>
    <w:rsid w:val="2A92067A"/>
    <w:rsid w:val="2ACE0CC3"/>
    <w:rsid w:val="2AD03B41"/>
    <w:rsid w:val="2ADB33BF"/>
    <w:rsid w:val="2AF5480C"/>
    <w:rsid w:val="2AFA1708"/>
    <w:rsid w:val="2B01381E"/>
    <w:rsid w:val="2B340644"/>
    <w:rsid w:val="2B656926"/>
    <w:rsid w:val="2B765123"/>
    <w:rsid w:val="2BC8285C"/>
    <w:rsid w:val="2BE43E97"/>
    <w:rsid w:val="2BE55F74"/>
    <w:rsid w:val="2BF2459A"/>
    <w:rsid w:val="2C0C63C7"/>
    <w:rsid w:val="2C217869"/>
    <w:rsid w:val="2C66419D"/>
    <w:rsid w:val="2C6A69F9"/>
    <w:rsid w:val="2C7824ED"/>
    <w:rsid w:val="2CA01782"/>
    <w:rsid w:val="2CA31140"/>
    <w:rsid w:val="2CAA17C4"/>
    <w:rsid w:val="2D051E76"/>
    <w:rsid w:val="2D1C394E"/>
    <w:rsid w:val="2D1D06AE"/>
    <w:rsid w:val="2D380ED9"/>
    <w:rsid w:val="2D430274"/>
    <w:rsid w:val="2D49683A"/>
    <w:rsid w:val="2D611590"/>
    <w:rsid w:val="2D63719D"/>
    <w:rsid w:val="2DC73359"/>
    <w:rsid w:val="2DCC2CB9"/>
    <w:rsid w:val="2DE34AD6"/>
    <w:rsid w:val="2DE66D04"/>
    <w:rsid w:val="2E3C45A8"/>
    <w:rsid w:val="2E425665"/>
    <w:rsid w:val="2E495DD8"/>
    <w:rsid w:val="2EBC50B0"/>
    <w:rsid w:val="2EC7298C"/>
    <w:rsid w:val="2EC93339"/>
    <w:rsid w:val="2ECB6D20"/>
    <w:rsid w:val="2EE07E99"/>
    <w:rsid w:val="2EEA3533"/>
    <w:rsid w:val="2F064B31"/>
    <w:rsid w:val="2F0B7656"/>
    <w:rsid w:val="2F6C253D"/>
    <w:rsid w:val="2F764B49"/>
    <w:rsid w:val="2F927BA0"/>
    <w:rsid w:val="2FAF2D3B"/>
    <w:rsid w:val="2FE838DA"/>
    <w:rsid w:val="304721C3"/>
    <w:rsid w:val="30565745"/>
    <w:rsid w:val="30667806"/>
    <w:rsid w:val="30C07CED"/>
    <w:rsid w:val="31094082"/>
    <w:rsid w:val="313E6A2E"/>
    <w:rsid w:val="31430751"/>
    <w:rsid w:val="319575D8"/>
    <w:rsid w:val="31B106E4"/>
    <w:rsid w:val="31B66EC5"/>
    <w:rsid w:val="32367CF5"/>
    <w:rsid w:val="32853957"/>
    <w:rsid w:val="32AA399D"/>
    <w:rsid w:val="32C63C73"/>
    <w:rsid w:val="32F329F8"/>
    <w:rsid w:val="3310445E"/>
    <w:rsid w:val="332072EF"/>
    <w:rsid w:val="332270A0"/>
    <w:rsid w:val="33453C0F"/>
    <w:rsid w:val="334F718A"/>
    <w:rsid w:val="33572F5F"/>
    <w:rsid w:val="338249EF"/>
    <w:rsid w:val="33826380"/>
    <w:rsid w:val="33900AE3"/>
    <w:rsid w:val="33C214C7"/>
    <w:rsid w:val="33C70EF8"/>
    <w:rsid w:val="33C722C9"/>
    <w:rsid w:val="33F776CC"/>
    <w:rsid w:val="33FD45FF"/>
    <w:rsid w:val="34191193"/>
    <w:rsid w:val="341A1A89"/>
    <w:rsid w:val="345A4F22"/>
    <w:rsid w:val="34F36283"/>
    <w:rsid w:val="3509582A"/>
    <w:rsid w:val="352E13EC"/>
    <w:rsid w:val="35523BCD"/>
    <w:rsid w:val="355569A2"/>
    <w:rsid w:val="35885406"/>
    <w:rsid w:val="35986C8F"/>
    <w:rsid w:val="359D7892"/>
    <w:rsid w:val="360B3750"/>
    <w:rsid w:val="361125E0"/>
    <w:rsid w:val="36170A2C"/>
    <w:rsid w:val="362E1EE9"/>
    <w:rsid w:val="363A7BCD"/>
    <w:rsid w:val="3658270E"/>
    <w:rsid w:val="3673202B"/>
    <w:rsid w:val="36772D23"/>
    <w:rsid w:val="36D73C26"/>
    <w:rsid w:val="36E2681F"/>
    <w:rsid w:val="370137E2"/>
    <w:rsid w:val="37225A1A"/>
    <w:rsid w:val="379523F9"/>
    <w:rsid w:val="37B3784A"/>
    <w:rsid w:val="37BD0B8E"/>
    <w:rsid w:val="37CB297E"/>
    <w:rsid w:val="37CD555A"/>
    <w:rsid w:val="37DE03E9"/>
    <w:rsid w:val="383653B7"/>
    <w:rsid w:val="38D9227C"/>
    <w:rsid w:val="38EC5D7F"/>
    <w:rsid w:val="390558F7"/>
    <w:rsid w:val="390E253D"/>
    <w:rsid w:val="391031F8"/>
    <w:rsid w:val="392F1D05"/>
    <w:rsid w:val="393C487E"/>
    <w:rsid w:val="39433F1E"/>
    <w:rsid w:val="395156AE"/>
    <w:rsid w:val="39775E39"/>
    <w:rsid w:val="397E484D"/>
    <w:rsid w:val="399621D2"/>
    <w:rsid w:val="39BC7A38"/>
    <w:rsid w:val="39C9263F"/>
    <w:rsid w:val="3A064BF6"/>
    <w:rsid w:val="3A15151C"/>
    <w:rsid w:val="3A67789F"/>
    <w:rsid w:val="3A8E5536"/>
    <w:rsid w:val="3AA76124"/>
    <w:rsid w:val="3ACC672D"/>
    <w:rsid w:val="3AF0697F"/>
    <w:rsid w:val="3B126E79"/>
    <w:rsid w:val="3B1E3FC4"/>
    <w:rsid w:val="3B3A56FA"/>
    <w:rsid w:val="3B465FF0"/>
    <w:rsid w:val="3B5E19C3"/>
    <w:rsid w:val="3B9904FE"/>
    <w:rsid w:val="3B9C0168"/>
    <w:rsid w:val="3BB74E68"/>
    <w:rsid w:val="3BB810EC"/>
    <w:rsid w:val="3BF37B2E"/>
    <w:rsid w:val="3BFA4A23"/>
    <w:rsid w:val="3C0512F9"/>
    <w:rsid w:val="3C140A55"/>
    <w:rsid w:val="3C297FE2"/>
    <w:rsid w:val="3C390F8D"/>
    <w:rsid w:val="3C647337"/>
    <w:rsid w:val="3CB34033"/>
    <w:rsid w:val="3CCA567B"/>
    <w:rsid w:val="3CF9434A"/>
    <w:rsid w:val="3D664983"/>
    <w:rsid w:val="3D695713"/>
    <w:rsid w:val="3D865E26"/>
    <w:rsid w:val="3D94044F"/>
    <w:rsid w:val="3DC24C69"/>
    <w:rsid w:val="3DCC0054"/>
    <w:rsid w:val="3DE75861"/>
    <w:rsid w:val="3DEE3860"/>
    <w:rsid w:val="3E021AFF"/>
    <w:rsid w:val="3E20341D"/>
    <w:rsid w:val="3E404E7A"/>
    <w:rsid w:val="3E487768"/>
    <w:rsid w:val="3EB16E32"/>
    <w:rsid w:val="3ED95B6C"/>
    <w:rsid w:val="3EE85DF1"/>
    <w:rsid w:val="3F187D02"/>
    <w:rsid w:val="3F3311FE"/>
    <w:rsid w:val="3F3944BD"/>
    <w:rsid w:val="3F9A56F2"/>
    <w:rsid w:val="3FEE2661"/>
    <w:rsid w:val="3FF66F7F"/>
    <w:rsid w:val="400B0E30"/>
    <w:rsid w:val="40635F97"/>
    <w:rsid w:val="40790BFA"/>
    <w:rsid w:val="409C29BB"/>
    <w:rsid w:val="409C4ACD"/>
    <w:rsid w:val="40BC062D"/>
    <w:rsid w:val="40BC292F"/>
    <w:rsid w:val="40E569DC"/>
    <w:rsid w:val="41336CFA"/>
    <w:rsid w:val="415214A0"/>
    <w:rsid w:val="41AC7424"/>
    <w:rsid w:val="41BA701B"/>
    <w:rsid w:val="41C07469"/>
    <w:rsid w:val="41FA4B7B"/>
    <w:rsid w:val="42137857"/>
    <w:rsid w:val="425F478F"/>
    <w:rsid w:val="42650627"/>
    <w:rsid w:val="426D6F6E"/>
    <w:rsid w:val="428601EC"/>
    <w:rsid w:val="42882BD2"/>
    <w:rsid w:val="42BA767A"/>
    <w:rsid w:val="42E061AC"/>
    <w:rsid w:val="42FB30A5"/>
    <w:rsid w:val="43217E42"/>
    <w:rsid w:val="43697719"/>
    <w:rsid w:val="43A13F1C"/>
    <w:rsid w:val="43B12AC0"/>
    <w:rsid w:val="43BC323A"/>
    <w:rsid w:val="43C06371"/>
    <w:rsid w:val="43E826C2"/>
    <w:rsid w:val="447272B7"/>
    <w:rsid w:val="449D6243"/>
    <w:rsid w:val="44D01994"/>
    <w:rsid w:val="44D41B24"/>
    <w:rsid w:val="44ED4E07"/>
    <w:rsid w:val="44F07418"/>
    <w:rsid w:val="44F34CCC"/>
    <w:rsid w:val="45437EA8"/>
    <w:rsid w:val="454609C3"/>
    <w:rsid w:val="4554553C"/>
    <w:rsid w:val="45602267"/>
    <w:rsid w:val="456F56C5"/>
    <w:rsid w:val="457D1590"/>
    <w:rsid w:val="45815CD2"/>
    <w:rsid w:val="458913D6"/>
    <w:rsid w:val="4599753C"/>
    <w:rsid w:val="45A51B63"/>
    <w:rsid w:val="45B22F87"/>
    <w:rsid w:val="45D37B5B"/>
    <w:rsid w:val="45E52F9E"/>
    <w:rsid w:val="46390AFA"/>
    <w:rsid w:val="463F0102"/>
    <w:rsid w:val="46590E3F"/>
    <w:rsid w:val="46950E92"/>
    <w:rsid w:val="46A6664B"/>
    <w:rsid w:val="46BB37D2"/>
    <w:rsid w:val="46C45E06"/>
    <w:rsid w:val="46D71DA9"/>
    <w:rsid w:val="46EE0212"/>
    <w:rsid w:val="4701757F"/>
    <w:rsid w:val="47322976"/>
    <w:rsid w:val="47474234"/>
    <w:rsid w:val="48077F9B"/>
    <w:rsid w:val="480D4FD0"/>
    <w:rsid w:val="482B32BC"/>
    <w:rsid w:val="484E491A"/>
    <w:rsid w:val="48697493"/>
    <w:rsid w:val="48A15FCC"/>
    <w:rsid w:val="48F27545"/>
    <w:rsid w:val="491B7E03"/>
    <w:rsid w:val="493450FF"/>
    <w:rsid w:val="49424512"/>
    <w:rsid w:val="494A3CF2"/>
    <w:rsid w:val="497A0DA7"/>
    <w:rsid w:val="497C285F"/>
    <w:rsid w:val="498E6B65"/>
    <w:rsid w:val="499E5BF7"/>
    <w:rsid w:val="49AA1F32"/>
    <w:rsid w:val="4A192276"/>
    <w:rsid w:val="4AC525DE"/>
    <w:rsid w:val="4AE37251"/>
    <w:rsid w:val="4B2A1098"/>
    <w:rsid w:val="4B3753DE"/>
    <w:rsid w:val="4B8116C1"/>
    <w:rsid w:val="4BB108C2"/>
    <w:rsid w:val="4BCC1B2D"/>
    <w:rsid w:val="4BD073A2"/>
    <w:rsid w:val="4BDC2D8F"/>
    <w:rsid w:val="4BEF42AC"/>
    <w:rsid w:val="4BF7614B"/>
    <w:rsid w:val="4C572A24"/>
    <w:rsid w:val="4C5D51E1"/>
    <w:rsid w:val="4C6544D4"/>
    <w:rsid w:val="4C8B63CF"/>
    <w:rsid w:val="4C913E56"/>
    <w:rsid w:val="4CC875D9"/>
    <w:rsid w:val="4CCA3649"/>
    <w:rsid w:val="4CDF0862"/>
    <w:rsid w:val="4CE7530F"/>
    <w:rsid w:val="4D10421F"/>
    <w:rsid w:val="4D5310A8"/>
    <w:rsid w:val="4D576A66"/>
    <w:rsid w:val="4D5F1C5E"/>
    <w:rsid w:val="4D9B5D3A"/>
    <w:rsid w:val="4DB63D48"/>
    <w:rsid w:val="4DBA25AC"/>
    <w:rsid w:val="4DBF25D3"/>
    <w:rsid w:val="4DD527B0"/>
    <w:rsid w:val="4DE5633F"/>
    <w:rsid w:val="4E062F97"/>
    <w:rsid w:val="4E192AB1"/>
    <w:rsid w:val="4E6278EA"/>
    <w:rsid w:val="4F3A65C0"/>
    <w:rsid w:val="4F9848AE"/>
    <w:rsid w:val="4FEA0E02"/>
    <w:rsid w:val="4FF973BB"/>
    <w:rsid w:val="4FFD3A0F"/>
    <w:rsid w:val="5038574B"/>
    <w:rsid w:val="50872F9A"/>
    <w:rsid w:val="50CC340B"/>
    <w:rsid w:val="50D012B7"/>
    <w:rsid w:val="50F105B2"/>
    <w:rsid w:val="514F061B"/>
    <w:rsid w:val="517472BC"/>
    <w:rsid w:val="517B21D3"/>
    <w:rsid w:val="51956FE0"/>
    <w:rsid w:val="519A1A15"/>
    <w:rsid w:val="51F537FA"/>
    <w:rsid w:val="521063EF"/>
    <w:rsid w:val="5270770D"/>
    <w:rsid w:val="52933B9F"/>
    <w:rsid w:val="52BC5DE1"/>
    <w:rsid w:val="53833D7C"/>
    <w:rsid w:val="53A14F22"/>
    <w:rsid w:val="53BA1742"/>
    <w:rsid w:val="53E57995"/>
    <w:rsid w:val="543A2BA5"/>
    <w:rsid w:val="54431B7A"/>
    <w:rsid w:val="54440A5D"/>
    <w:rsid w:val="544A3B5F"/>
    <w:rsid w:val="547A15FA"/>
    <w:rsid w:val="548A40B7"/>
    <w:rsid w:val="54A35992"/>
    <w:rsid w:val="54E83AF2"/>
    <w:rsid w:val="54EE07C6"/>
    <w:rsid w:val="54F7292F"/>
    <w:rsid w:val="55364848"/>
    <w:rsid w:val="55506B65"/>
    <w:rsid w:val="558605B5"/>
    <w:rsid w:val="559B3966"/>
    <w:rsid w:val="559D032F"/>
    <w:rsid w:val="55A357D0"/>
    <w:rsid w:val="55CF5B94"/>
    <w:rsid w:val="55DB0A14"/>
    <w:rsid w:val="55EC1F79"/>
    <w:rsid w:val="55FB4D58"/>
    <w:rsid w:val="563213ED"/>
    <w:rsid w:val="56762406"/>
    <w:rsid w:val="569A50CA"/>
    <w:rsid w:val="569F6E43"/>
    <w:rsid w:val="56D1042F"/>
    <w:rsid w:val="571F7FC3"/>
    <w:rsid w:val="57415D3A"/>
    <w:rsid w:val="57432561"/>
    <w:rsid w:val="57461F87"/>
    <w:rsid w:val="57631356"/>
    <w:rsid w:val="57695795"/>
    <w:rsid w:val="57931E34"/>
    <w:rsid w:val="57A53CF9"/>
    <w:rsid w:val="57B964CA"/>
    <w:rsid w:val="581140BC"/>
    <w:rsid w:val="582B7D9F"/>
    <w:rsid w:val="58307969"/>
    <w:rsid w:val="583C4E24"/>
    <w:rsid w:val="58561864"/>
    <w:rsid w:val="58721354"/>
    <w:rsid w:val="58857528"/>
    <w:rsid w:val="58951D34"/>
    <w:rsid w:val="58A96545"/>
    <w:rsid w:val="58D41668"/>
    <w:rsid w:val="58DB69C7"/>
    <w:rsid w:val="58EA1F51"/>
    <w:rsid w:val="594F429E"/>
    <w:rsid w:val="59642586"/>
    <w:rsid w:val="59824509"/>
    <w:rsid w:val="59BF527F"/>
    <w:rsid w:val="59C647B8"/>
    <w:rsid w:val="59CC77E1"/>
    <w:rsid w:val="59E5566E"/>
    <w:rsid w:val="59E75173"/>
    <w:rsid w:val="5A034F1B"/>
    <w:rsid w:val="5A1C50AE"/>
    <w:rsid w:val="5A2C7418"/>
    <w:rsid w:val="5A4861FC"/>
    <w:rsid w:val="5A5C6495"/>
    <w:rsid w:val="5A6B02D8"/>
    <w:rsid w:val="5ABD4B43"/>
    <w:rsid w:val="5AC30E13"/>
    <w:rsid w:val="5B0B5760"/>
    <w:rsid w:val="5B122F2C"/>
    <w:rsid w:val="5B49740B"/>
    <w:rsid w:val="5B63395E"/>
    <w:rsid w:val="5B7A1ACA"/>
    <w:rsid w:val="5BB844EF"/>
    <w:rsid w:val="5BF32397"/>
    <w:rsid w:val="5C0A1923"/>
    <w:rsid w:val="5C0F5C1A"/>
    <w:rsid w:val="5CB84DDE"/>
    <w:rsid w:val="5CFC2760"/>
    <w:rsid w:val="5D597072"/>
    <w:rsid w:val="5D6E427D"/>
    <w:rsid w:val="5DAF5D36"/>
    <w:rsid w:val="5DDC5EC7"/>
    <w:rsid w:val="5DDF6B72"/>
    <w:rsid w:val="5DEF0579"/>
    <w:rsid w:val="5E085971"/>
    <w:rsid w:val="5E3039A7"/>
    <w:rsid w:val="5E404A0F"/>
    <w:rsid w:val="5E4C626D"/>
    <w:rsid w:val="5EAE6A77"/>
    <w:rsid w:val="5EC00E92"/>
    <w:rsid w:val="5ECA5AC9"/>
    <w:rsid w:val="5ECF7B52"/>
    <w:rsid w:val="5ED135A2"/>
    <w:rsid w:val="5F36779A"/>
    <w:rsid w:val="5F391A4D"/>
    <w:rsid w:val="5F4159B2"/>
    <w:rsid w:val="5F494F39"/>
    <w:rsid w:val="5FAD0162"/>
    <w:rsid w:val="5FCE1EFF"/>
    <w:rsid w:val="60052045"/>
    <w:rsid w:val="601A642F"/>
    <w:rsid w:val="601C5F84"/>
    <w:rsid w:val="607E3F83"/>
    <w:rsid w:val="60EA1575"/>
    <w:rsid w:val="61871D31"/>
    <w:rsid w:val="6197042C"/>
    <w:rsid w:val="61A4722B"/>
    <w:rsid w:val="6205115B"/>
    <w:rsid w:val="62051C41"/>
    <w:rsid w:val="621758BF"/>
    <w:rsid w:val="621B4C94"/>
    <w:rsid w:val="623A5CC1"/>
    <w:rsid w:val="6241402B"/>
    <w:rsid w:val="62940E62"/>
    <w:rsid w:val="629A5BA6"/>
    <w:rsid w:val="629D5088"/>
    <w:rsid w:val="62AE2499"/>
    <w:rsid w:val="630A0FE2"/>
    <w:rsid w:val="631E191E"/>
    <w:rsid w:val="634218E4"/>
    <w:rsid w:val="63573A00"/>
    <w:rsid w:val="63630E85"/>
    <w:rsid w:val="63873656"/>
    <w:rsid w:val="638E6D00"/>
    <w:rsid w:val="63910A64"/>
    <w:rsid w:val="63987813"/>
    <w:rsid w:val="63AB736A"/>
    <w:rsid w:val="63B92314"/>
    <w:rsid w:val="63D04774"/>
    <w:rsid w:val="64211C66"/>
    <w:rsid w:val="642F737E"/>
    <w:rsid w:val="6445529B"/>
    <w:rsid w:val="64936026"/>
    <w:rsid w:val="64C174E0"/>
    <w:rsid w:val="65031A71"/>
    <w:rsid w:val="651468C1"/>
    <w:rsid w:val="654609FB"/>
    <w:rsid w:val="65493889"/>
    <w:rsid w:val="654A00C0"/>
    <w:rsid w:val="655D11C4"/>
    <w:rsid w:val="65617599"/>
    <w:rsid w:val="65B52D73"/>
    <w:rsid w:val="65DD0A50"/>
    <w:rsid w:val="65EA60BC"/>
    <w:rsid w:val="66863C4E"/>
    <w:rsid w:val="66932E36"/>
    <w:rsid w:val="66A46C49"/>
    <w:rsid w:val="66D43D62"/>
    <w:rsid w:val="66D81448"/>
    <w:rsid w:val="66F575AA"/>
    <w:rsid w:val="67186453"/>
    <w:rsid w:val="671A1DEF"/>
    <w:rsid w:val="67212E7F"/>
    <w:rsid w:val="67827F72"/>
    <w:rsid w:val="679239ED"/>
    <w:rsid w:val="679320EB"/>
    <w:rsid w:val="67960BD7"/>
    <w:rsid w:val="67AC2B85"/>
    <w:rsid w:val="682874BC"/>
    <w:rsid w:val="6836265A"/>
    <w:rsid w:val="68377FA6"/>
    <w:rsid w:val="68423B6A"/>
    <w:rsid w:val="68776C77"/>
    <w:rsid w:val="687905F4"/>
    <w:rsid w:val="688C0B1A"/>
    <w:rsid w:val="68AC7CCF"/>
    <w:rsid w:val="68B375E8"/>
    <w:rsid w:val="68D96E58"/>
    <w:rsid w:val="68DD2CDA"/>
    <w:rsid w:val="68E45DC7"/>
    <w:rsid w:val="68FE206F"/>
    <w:rsid w:val="69465F06"/>
    <w:rsid w:val="69556686"/>
    <w:rsid w:val="69733FA1"/>
    <w:rsid w:val="69A00B92"/>
    <w:rsid w:val="69C438C1"/>
    <w:rsid w:val="69DB63D1"/>
    <w:rsid w:val="6A276C6C"/>
    <w:rsid w:val="6A2B7865"/>
    <w:rsid w:val="6A587DBB"/>
    <w:rsid w:val="6A6C56AF"/>
    <w:rsid w:val="6A6D18E9"/>
    <w:rsid w:val="6A770B67"/>
    <w:rsid w:val="6A776B4C"/>
    <w:rsid w:val="6AC7438A"/>
    <w:rsid w:val="6AF209C9"/>
    <w:rsid w:val="6B174B88"/>
    <w:rsid w:val="6B514D01"/>
    <w:rsid w:val="6B620657"/>
    <w:rsid w:val="6B7E7F3A"/>
    <w:rsid w:val="6BA27886"/>
    <w:rsid w:val="6BF97924"/>
    <w:rsid w:val="6BFF11C9"/>
    <w:rsid w:val="6C0E78AB"/>
    <w:rsid w:val="6C26700F"/>
    <w:rsid w:val="6C27546B"/>
    <w:rsid w:val="6C2D68F4"/>
    <w:rsid w:val="6C357C81"/>
    <w:rsid w:val="6C3B2107"/>
    <w:rsid w:val="6C3B6499"/>
    <w:rsid w:val="6C434876"/>
    <w:rsid w:val="6C597DD2"/>
    <w:rsid w:val="6C7F40C3"/>
    <w:rsid w:val="6CAD52D8"/>
    <w:rsid w:val="6CB4215E"/>
    <w:rsid w:val="6CFD46BE"/>
    <w:rsid w:val="6D302A05"/>
    <w:rsid w:val="6D8222CA"/>
    <w:rsid w:val="6E332795"/>
    <w:rsid w:val="6E3553D1"/>
    <w:rsid w:val="6E3D580E"/>
    <w:rsid w:val="6E573282"/>
    <w:rsid w:val="6E590071"/>
    <w:rsid w:val="6E5D4A48"/>
    <w:rsid w:val="6E5E106F"/>
    <w:rsid w:val="6E67319E"/>
    <w:rsid w:val="6E9537E1"/>
    <w:rsid w:val="6EB206B4"/>
    <w:rsid w:val="6EC660D4"/>
    <w:rsid w:val="6ECA0292"/>
    <w:rsid w:val="6F165FF8"/>
    <w:rsid w:val="6F2E3968"/>
    <w:rsid w:val="6F356C2D"/>
    <w:rsid w:val="6F526553"/>
    <w:rsid w:val="6F543C67"/>
    <w:rsid w:val="6F910B84"/>
    <w:rsid w:val="6FB706D1"/>
    <w:rsid w:val="6FF91AE3"/>
    <w:rsid w:val="70303CF8"/>
    <w:rsid w:val="70763C7F"/>
    <w:rsid w:val="707E7CEE"/>
    <w:rsid w:val="70EC69B7"/>
    <w:rsid w:val="71390589"/>
    <w:rsid w:val="719E424F"/>
    <w:rsid w:val="71A11D16"/>
    <w:rsid w:val="71EB20EF"/>
    <w:rsid w:val="71F52700"/>
    <w:rsid w:val="721022D9"/>
    <w:rsid w:val="729C5E03"/>
    <w:rsid w:val="72A76D2D"/>
    <w:rsid w:val="72C12D4B"/>
    <w:rsid w:val="72D4461D"/>
    <w:rsid w:val="72E254D4"/>
    <w:rsid w:val="730821EE"/>
    <w:rsid w:val="7349530A"/>
    <w:rsid w:val="734C5968"/>
    <w:rsid w:val="73743D2E"/>
    <w:rsid w:val="73803C93"/>
    <w:rsid w:val="738D01D3"/>
    <w:rsid w:val="73BA695B"/>
    <w:rsid w:val="74382521"/>
    <w:rsid w:val="747A4556"/>
    <w:rsid w:val="747D5E89"/>
    <w:rsid w:val="748F3352"/>
    <w:rsid w:val="74AD6276"/>
    <w:rsid w:val="74E87F3F"/>
    <w:rsid w:val="750309BD"/>
    <w:rsid w:val="75204E75"/>
    <w:rsid w:val="75330B63"/>
    <w:rsid w:val="75521174"/>
    <w:rsid w:val="75670C7A"/>
    <w:rsid w:val="759B3C6B"/>
    <w:rsid w:val="76205F63"/>
    <w:rsid w:val="763B1AE3"/>
    <w:rsid w:val="765F5C78"/>
    <w:rsid w:val="76BF246D"/>
    <w:rsid w:val="76F7591F"/>
    <w:rsid w:val="77171642"/>
    <w:rsid w:val="77292254"/>
    <w:rsid w:val="77610612"/>
    <w:rsid w:val="776C321F"/>
    <w:rsid w:val="778E60FA"/>
    <w:rsid w:val="779555C0"/>
    <w:rsid w:val="779A1470"/>
    <w:rsid w:val="77B41C0D"/>
    <w:rsid w:val="77BE3E09"/>
    <w:rsid w:val="77E35ACD"/>
    <w:rsid w:val="77ED37A7"/>
    <w:rsid w:val="77F02AA3"/>
    <w:rsid w:val="77FB2A1B"/>
    <w:rsid w:val="785F0BD2"/>
    <w:rsid w:val="78C11FF6"/>
    <w:rsid w:val="78C41691"/>
    <w:rsid w:val="78D152AB"/>
    <w:rsid w:val="78D41B7F"/>
    <w:rsid w:val="78FB0B3D"/>
    <w:rsid w:val="79112E9A"/>
    <w:rsid w:val="7919401F"/>
    <w:rsid w:val="791A19DF"/>
    <w:rsid w:val="793451E9"/>
    <w:rsid w:val="7968209E"/>
    <w:rsid w:val="797D77C1"/>
    <w:rsid w:val="79B90D0A"/>
    <w:rsid w:val="79C821E2"/>
    <w:rsid w:val="79CB040E"/>
    <w:rsid w:val="7A085F22"/>
    <w:rsid w:val="7A24098F"/>
    <w:rsid w:val="7A2D6AA4"/>
    <w:rsid w:val="7A461A14"/>
    <w:rsid w:val="7A9747D7"/>
    <w:rsid w:val="7AA3757D"/>
    <w:rsid w:val="7AAA713D"/>
    <w:rsid w:val="7AAC5C9D"/>
    <w:rsid w:val="7B086FBD"/>
    <w:rsid w:val="7B3B5177"/>
    <w:rsid w:val="7B692066"/>
    <w:rsid w:val="7B6F7563"/>
    <w:rsid w:val="7B866780"/>
    <w:rsid w:val="7BA2492B"/>
    <w:rsid w:val="7BD30FB9"/>
    <w:rsid w:val="7BE730EF"/>
    <w:rsid w:val="7C0B4DE9"/>
    <w:rsid w:val="7C132268"/>
    <w:rsid w:val="7C585196"/>
    <w:rsid w:val="7C725F39"/>
    <w:rsid w:val="7C757A91"/>
    <w:rsid w:val="7C893180"/>
    <w:rsid w:val="7D3F3679"/>
    <w:rsid w:val="7D61382E"/>
    <w:rsid w:val="7D7748A0"/>
    <w:rsid w:val="7D9037FE"/>
    <w:rsid w:val="7DCF197A"/>
    <w:rsid w:val="7E8A0281"/>
    <w:rsid w:val="7EA5760D"/>
    <w:rsid w:val="7EB33972"/>
    <w:rsid w:val="7EC124E8"/>
    <w:rsid w:val="7EE4133E"/>
    <w:rsid w:val="7EF563AB"/>
    <w:rsid w:val="7EFA25FC"/>
    <w:rsid w:val="7F2C3359"/>
    <w:rsid w:val="7F8D4204"/>
    <w:rsid w:val="7FDD2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bCs/>
      <w:sz w:val="24"/>
    </w:rPr>
  </w:style>
  <w:style w:type="paragraph" w:styleId="3">
    <w:name w:val="heading 2"/>
    <w:basedOn w:val="1"/>
    <w:next w:val="1"/>
    <w:qFormat/>
    <w:uiPriority w:val="0"/>
    <w:pPr>
      <w:keepNext/>
      <w:spacing w:line="360" w:lineRule="auto"/>
      <w:jc w:val="center"/>
      <w:outlineLvl w:val="1"/>
    </w:pPr>
    <w:rPr>
      <w:sz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6"/>
    <w:qFormat/>
    <w:uiPriority w:val="0"/>
    <w:pPr>
      <w:widowControl/>
      <w:ind w:firstLine="420"/>
      <w:jc w:val="left"/>
    </w:pPr>
    <w:rPr>
      <w:kern w:val="0"/>
      <w:sz w:val="24"/>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Document Map"/>
    <w:basedOn w:val="1"/>
    <w:link w:val="44"/>
    <w:uiPriority w:val="0"/>
    <w:rPr>
      <w:rFonts w:ascii="宋体"/>
      <w:sz w:val="18"/>
      <w:szCs w:val="18"/>
    </w:rPr>
  </w:style>
  <w:style w:type="paragraph" w:styleId="8">
    <w:name w:val="annotation text"/>
    <w:basedOn w:val="1"/>
    <w:link w:val="43"/>
    <w:semiHidden/>
    <w:uiPriority w:val="0"/>
    <w:pPr>
      <w:widowControl/>
      <w:jc w:val="left"/>
    </w:pPr>
    <w:rPr>
      <w:kern w:val="0"/>
      <w:sz w:val="24"/>
      <w:szCs w:val="20"/>
    </w:rPr>
  </w:style>
  <w:style w:type="paragraph" w:styleId="9">
    <w:name w:val="Body Text 3"/>
    <w:basedOn w:val="1"/>
    <w:uiPriority w:val="0"/>
    <w:rPr>
      <w:sz w:val="30"/>
      <w:szCs w:val="20"/>
    </w:rPr>
  </w:style>
  <w:style w:type="paragraph" w:styleId="10">
    <w:name w:val="Body Text"/>
    <w:basedOn w:val="1"/>
    <w:uiPriority w:val="0"/>
    <w:pPr>
      <w:spacing w:afterLines="50"/>
    </w:pPr>
    <w:rPr>
      <w:sz w:val="28"/>
      <w:szCs w:val="20"/>
    </w:rPr>
  </w:style>
  <w:style w:type="paragraph" w:styleId="11">
    <w:name w:val="Body Text Indent"/>
    <w:basedOn w:val="1"/>
    <w:link w:val="51"/>
    <w:uiPriority w:val="0"/>
    <w:pPr>
      <w:spacing w:line="360" w:lineRule="auto"/>
      <w:ind w:firstLine="561"/>
    </w:pPr>
    <w:rPr>
      <w:rFonts w:eastAsia="楷体_GB2312"/>
      <w:sz w:val="24"/>
    </w:rPr>
  </w:style>
  <w:style w:type="paragraph" w:styleId="12">
    <w:name w:val="Block Text"/>
    <w:basedOn w:val="1"/>
    <w:next w:val="1"/>
    <w:uiPriority w:val="0"/>
    <w:pPr>
      <w:ind w:left="176" w:right="232"/>
    </w:pPr>
    <w:rPr>
      <w:rFonts w:ascii="楷体_GB2312" w:eastAsia="楷体_GB2312"/>
      <w:sz w:val="28"/>
    </w:rPr>
  </w:style>
  <w:style w:type="paragraph" w:styleId="13">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4">
    <w:name w:val="Plain Text"/>
    <w:basedOn w:val="1"/>
    <w:link w:val="95"/>
    <w:qFormat/>
    <w:uiPriority w:val="0"/>
    <w:rPr>
      <w:rFonts w:ascii="宋体" w:hAnsi="Courier New"/>
      <w:szCs w:val="20"/>
    </w:rPr>
  </w:style>
  <w:style w:type="paragraph" w:styleId="15">
    <w:name w:val="Body Text Indent 2"/>
    <w:basedOn w:val="1"/>
    <w:qFormat/>
    <w:uiPriority w:val="0"/>
    <w:pPr>
      <w:ind w:firstLine="446" w:firstLineChars="186"/>
    </w:pPr>
    <w:rPr>
      <w:sz w:val="24"/>
      <w:szCs w:val="20"/>
    </w:rPr>
  </w:style>
  <w:style w:type="paragraph" w:styleId="16">
    <w:name w:val="Balloon Text"/>
    <w:basedOn w:val="1"/>
    <w:link w:val="50"/>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20"/>
    </w:rPr>
  </w:style>
  <w:style w:type="paragraph" w:styleId="18">
    <w:name w:val="header"/>
    <w:basedOn w:val="1"/>
    <w:link w:val="49"/>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0">
    <w:name w:val="List"/>
    <w:basedOn w:val="1"/>
    <w:qFormat/>
    <w:uiPriority w:val="0"/>
    <w:pPr>
      <w:snapToGrid w:val="0"/>
    </w:pPr>
    <w:rPr>
      <w:szCs w:val="21"/>
    </w:rPr>
  </w:style>
  <w:style w:type="paragraph" w:styleId="21">
    <w:name w:val="footnote text"/>
    <w:basedOn w:val="1"/>
    <w:semiHidden/>
    <w:uiPriority w:val="0"/>
    <w:pPr>
      <w:snapToGrid w:val="0"/>
      <w:jc w:val="left"/>
    </w:pPr>
    <w:rPr>
      <w:sz w:val="18"/>
      <w:szCs w:val="18"/>
    </w:rPr>
  </w:style>
  <w:style w:type="paragraph" w:styleId="22">
    <w:name w:val="Body Text Indent 3"/>
    <w:basedOn w:val="1"/>
    <w:qFormat/>
    <w:uiPriority w:val="0"/>
    <w:pPr>
      <w:spacing w:line="400" w:lineRule="exact"/>
      <w:ind w:firstLine="721"/>
    </w:pPr>
    <w:rPr>
      <w:sz w:val="18"/>
      <w:szCs w:val="20"/>
    </w:rPr>
  </w:style>
  <w:style w:type="paragraph" w:styleId="23">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25">
    <w:name w:val="annotation subject"/>
    <w:basedOn w:val="8"/>
    <w:next w:val="8"/>
    <w:link w:val="42"/>
    <w:qFormat/>
    <w:uiPriority w:val="0"/>
    <w:pPr>
      <w:widowControl w:val="0"/>
    </w:pPr>
    <w:rPr>
      <w:b/>
      <w:bCs/>
      <w:kern w:val="2"/>
      <w:sz w:val="21"/>
      <w:szCs w:val="24"/>
    </w:rPr>
  </w:style>
  <w:style w:type="paragraph" w:styleId="26">
    <w:name w:val="Body Text First Indent 2"/>
    <w:basedOn w:val="11"/>
    <w:link w:val="41"/>
    <w:uiPriority w:val="0"/>
    <w:pPr>
      <w:spacing w:after="120" w:line="240" w:lineRule="auto"/>
      <w:ind w:left="420" w:leftChars="200" w:firstLine="420" w:firstLineChars="200"/>
    </w:pPr>
    <w:rPr>
      <w:sz w:val="21"/>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Hyperlink"/>
    <w:uiPriority w:val="99"/>
    <w:rPr>
      <w:color w:val="0000FF"/>
      <w:u w:val="single"/>
    </w:rPr>
  </w:style>
  <w:style w:type="character" w:styleId="32">
    <w:name w:val="annotation reference"/>
    <w:qFormat/>
    <w:uiPriority w:val="0"/>
    <w:rPr>
      <w:sz w:val="21"/>
      <w:szCs w:val="21"/>
    </w:rPr>
  </w:style>
  <w:style w:type="character" w:styleId="33">
    <w:name w:val="footnote reference"/>
    <w:semiHidden/>
    <w:qFormat/>
    <w:uiPriority w:val="0"/>
    <w:rPr>
      <w:vertAlign w:val="superscript"/>
    </w:rPr>
  </w:style>
  <w:style w:type="character" w:customStyle="1" w:styleId="34">
    <w:name w:val="报告书正文 Char"/>
    <w:link w:val="35"/>
    <w:qFormat/>
    <w:uiPriority w:val="0"/>
    <w:rPr>
      <w:kern w:val="2"/>
      <w:sz w:val="24"/>
      <w:szCs w:val="24"/>
      <w:lang w:val="en-US" w:eastAsia="zh-CN" w:bidi="ar-SA"/>
    </w:rPr>
  </w:style>
  <w:style w:type="paragraph" w:customStyle="1" w:styleId="35">
    <w:name w:val="报告书正文"/>
    <w:link w:val="34"/>
    <w:qFormat/>
    <w:uiPriority w:val="0"/>
    <w:pPr>
      <w:spacing w:line="360" w:lineRule="auto"/>
      <w:ind w:firstLine="539"/>
    </w:pPr>
    <w:rPr>
      <w:rFonts w:ascii="Times New Roman" w:hAnsi="Times New Roman" w:eastAsia="宋体" w:cs="Times New Roman"/>
      <w:kern w:val="2"/>
      <w:sz w:val="24"/>
      <w:szCs w:val="24"/>
      <w:lang w:val="en-US" w:eastAsia="zh-CN" w:bidi="ar-SA"/>
    </w:rPr>
  </w:style>
  <w:style w:type="character" w:customStyle="1" w:styleId="36">
    <w:name w:val="正文缩进 Char"/>
    <w:link w:val="5"/>
    <w:qFormat/>
    <w:uiPriority w:val="0"/>
    <w:rPr>
      <w:rFonts w:eastAsia="宋体"/>
      <w:sz w:val="24"/>
      <w:lang w:val="en-US" w:eastAsia="zh-CN" w:bidi="ar-SA"/>
    </w:rPr>
  </w:style>
  <w:style w:type="character" w:customStyle="1" w:styleId="37">
    <w:name w:val="【正文】 Char"/>
    <w:link w:val="38"/>
    <w:qFormat/>
    <w:uiPriority w:val="0"/>
    <w:rPr>
      <w:snapToGrid w:val="0"/>
      <w:color w:val="000000"/>
      <w:sz w:val="24"/>
    </w:rPr>
  </w:style>
  <w:style w:type="paragraph" w:customStyle="1" w:styleId="38">
    <w:name w:val="【正文】"/>
    <w:basedOn w:val="1"/>
    <w:link w:val="37"/>
    <w:qFormat/>
    <w:uiPriority w:val="0"/>
    <w:pPr>
      <w:spacing w:before="120" w:after="120" w:line="360" w:lineRule="auto"/>
      <w:ind w:firstLine="480" w:firstLineChars="200"/>
    </w:pPr>
    <w:rPr>
      <w:snapToGrid w:val="0"/>
      <w:color w:val="000000"/>
      <w:kern w:val="0"/>
      <w:sz w:val="24"/>
      <w:szCs w:val="20"/>
    </w:rPr>
  </w:style>
  <w:style w:type="character" w:customStyle="1" w:styleId="39">
    <w:name w:val="报告表正文 Char"/>
    <w:link w:val="40"/>
    <w:qFormat/>
    <w:uiPriority w:val="0"/>
    <w:rPr>
      <w:sz w:val="24"/>
    </w:rPr>
  </w:style>
  <w:style w:type="paragraph" w:customStyle="1" w:styleId="40">
    <w:name w:val="报告表正文"/>
    <w:basedOn w:val="1"/>
    <w:link w:val="39"/>
    <w:qFormat/>
    <w:uiPriority w:val="0"/>
    <w:pPr>
      <w:adjustRightInd w:val="0"/>
      <w:spacing w:line="312" w:lineRule="auto"/>
      <w:ind w:left="113" w:right="113" w:firstLine="482"/>
      <w:jc w:val="left"/>
      <w:textAlignment w:val="baseline"/>
    </w:pPr>
    <w:rPr>
      <w:kern w:val="0"/>
      <w:sz w:val="24"/>
      <w:szCs w:val="20"/>
    </w:rPr>
  </w:style>
  <w:style w:type="character" w:customStyle="1" w:styleId="41">
    <w:name w:val="正文首行缩进 2 Char"/>
    <w:link w:val="26"/>
    <w:qFormat/>
    <w:uiPriority w:val="0"/>
    <w:rPr>
      <w:rFonts w:eastAsia="楷体_GB2312"/>
      <w:kern w:val="2"/>
      <w:sz w:val="21"/>
      <w:szCs w:val="24"/>
    </w:rPr>
  </w:style>
  <w:style w:type="character" w:customStyle="1" w:styleId="42">
    <w:name w:val="批注主题 Char"/>
    <w:basedOn w:val="43"/>
    <w:link w:val="25"/>
    <w:qFormat/>
    <w:uiPriority w:val="0"/>
  </w:style>
  <w:style w:type="character" w:customStyle="1" w:styleId="43">
    <w:name w:val="批注文字 Char"/>
    <w:link w:val="8"/>
    <w:semiHidden/>
    <w:qFormat/>
    <w:uiPriority w:val="0"/>
    <w:rPr>
      <w:sz w:val="24"/>
    </w:rPr>
  </w:style>
  <w:style w:type="character" w:customStyle="1" w:styleId="44">
    <w:name w:val="文档结构图 Char"/>
    <w:link w:val="7"/>
    <w:qFormat/>
    <w:uiPriority w:val="0"/>
    <w:rPr>
      <w:rFonts w:ascii="宋体"/>
      <w:kern w:val="2"/>
      <w:sz w:val="18"/>
      <w:szCs w:val="18"/>
    </w:rPr>
  </w:style>
  <w:style w:type="character" w:customStyle="1" w:styleId="45">
    <w:name w:val="表格内容 Char"/>
    <w:link w:val="46"/>
    <w:qFormat/>
    <w:uiPriority w:val="0"/>
    <w:rPr>
      <w:kern w:val="2"/>
      <w:sz w:val="21"/>
      <w:szCs w:val="22"/>
    </w:rPr>
  </w:style>
  <w:style w:type="paragraph" w:customStyle="1" w:styleId="46">
    <w:name w:val="表格内容"/>
    <w:basedOn w:val="1"/>
    <w:link w:val="45"/>
    <w:qFormat/>
    <w:uiPriority w:val="0"/>
    <w:pPr>
      <w:adjustRightInd w:val="0"/>
      <w:snapToGrid w:val="0"/>
      <w:spacing w:line="276" w:lineRule="auto"/>
      <w:jc w:val="center"/>
    </w:pPr>
    <w:rPr>
      <w:szCs w:val="22"/>
    </w:rPr>
  </w:style>
  <w:style w:type="character" w:customStyle="1" w:styleId="47">
    <w:name w:val="样式 正文文本缩进 + 首行缩进:  2 字符 Char"/>
    <w:link w:val="48"/>
    <w:qFormat/>
    <w:uiPriority w:val="0"/>
    <w:rPr>
      <w:rFonts w:cs="宋体"/>
      <w:snapToGrid w:val="0"/>
      <w:sz w:val="28"/>
    </w:rPr>
  </w:style>
  <w:style w:type="paragraph" w:customStyle="1" w:styleId="48">
    <w:name w:val="样式 正文文本缩进 + 首行缩进:  2 字符"/>
    <w:basedOn w:val="1"/>
    <w:link w:val="47"/>
    <w:qFormat/>
    <w:uiPriority w:val="0"/>
    <w:pPr>
      <w:spacing w:line="560" w:lineRule="exact"/>
      <w:ind w:firstLine="567" w:firstLineChars="200"/>
    </w:pPr>
    <w:rPr>
      <w:snapToGrid w:val="0"/>
      <w:kern w:val="0"/>
      <w:sz w:val="28"/>
      <w:szCs w:val="20"/>
    </w:rPr>
  </w:style>
  <w:style w:type="character" w:customStyle="1" w:styleId="49">
    <w:name w:val="页眉 Char"/>
    <w:link w:val="18"/>
    <w:qFormat/>
    <w:uiPriority w:val="0"/>
    <w:rPr>
      <w:kern w:val="2"/>
      <w:sz w:val="18"/>
    </w:rPr>
  </w:style>
  <w:style w:type="character" w:customStyle="1" w:styleId="50">
    <w:name w:val="批注框文本 Char"/>
    <w:link w:val="16"/>
    <w:qFormat/>
    <w:uiPriority w:val="0"/>
    <w:rPr>
      <w:kern w:val="2"/>
      <w:sz w:val="18"/>
      <w:szCs w:val="18"/>
    </w:rPr>
  </w:style>
  <w:style w:type="character" w:customStyle="1" w:styleId="51">
    <w:name w:val="正文文本缩进 Char"/>
    <w:link w:val="11"/>
    <w:qFormat/>
    <w:uiPriority w:val="0"/>
    <w:rPr>
      <w:rFonts w:eastAsia="楷体_GB2312"/>
      <w:kern w:val="2"/>
      <w:sz w:val="24"/>
      <w:szCs w:val="24"/>
    </w:rPr>
  </w:style>
  <w:style w:type="paragraph" w:customStyle="1" w:styleId="52">
    <w:name w:val="表格名称"/>
    <w:basedOn w:val="1"/>
    <w:qFormat/>
    <w:uiPriority w:val="0"/>
    <w:pPr>
      <w:snapToGrid w:val="0"/>
      <w:jc w:val="center"/>
    </w:pPr>
    <w:rPr>
      <w:rFonts w:ascii="仿宋_GB2312" w:hAnsi="Arial Black" w:eastAsia="黑体"/>
      <w:kern w:val="44"/>
      <w:sz w:val="24"/>
      <w:szCs w:val="20"/>
    </w:rPr>
  </w:style>
  <w:style w:type="paragraph" w:customStyle="1" w:styleId="53">
    <w:name w:val="00"/>
    <w:basedOn w:val="1"/>
    <w:qFormat/>
    <w:uiPriority w:val="0"/>
    <w:pPr>
      <w:spacing w:line="520" w:lineRule="exact"/>
      <w:ind w:firstLine="200" w:firstLineChars="200"/>
    </w:pPr>
    <w:rPr>
      <w:sz w:val="24"/>
    </w:rPr>
  </w:style>
  <w:style w:type="paragraph" w:customStyle="1" w:styleId="54">
    <w:name w:val="表格标题"/>
    <w:basedOn w:val="1"/>
    <w:qFormat/>
    <w:uiPriority w:val="0"/>
    <w:pPr>
      <w:spacing w:line="360" w:lineRule="auto"/>
      <w:ind w:firstLine="2786" w:firstLineChars="1161"/>
      <w:outlineLvl w:val="0"/>
    </w:pPr>
    <w:rPr>
      <w:rFonts w:ascii="黑体" w:hAnsi="宋体" w:eastAsia="黑体" w:cs="Arial"/>
      <w:bCs/>
      <w:sz w:val="24"/>
      <w:szCs w:val="32"/>
    </w:rPr>
  </w:style>
  <w:style w:type="paragraph" w:customStyle="1" w:styleId="55">
    <w:name w:val="TableStyle12"/>
    <w:basedOn w:val="1"/>
    <w:qFormat/>
    <w:uiPriority w:val="0"/>
    <w:pPr>
      <w:jc w:val="center"/>
    </w:pPr>
    <w:rPr>
      <w:kern w:val="0"/>
      <w:sz w:val="24"/>
      <w:szCs w:val="22"/>
    </w:rPr>
  </w:style>
  <w:style w:type="paragraph" w:customStyle="1" w:styleId="56">
    <w:name w:val="段落"/>
    <w:basedOn w:val="14"/>
    <w:qFormat/>
    <w:uiPriority w:val="0"/>
    <w:pPr>
      <w:spacing w:line="500" w:lineRule="exact"/>
      <w:ind w:firstLine="578"/>
    </w:pPr>
    <w:rPr>
      <w:rFonts w:ascii="Times New Roman" w:hAnsi="Times New Roman"/>
      <w:sz w:val="28"/>
    </w:rPr>
  </w:style>
  <w:style w:type="paragraph" w:customStyle="1" w:styleId="57">
    <w:name w:val="Char Char Char Char"/>
    <w:basedOn w:val="1"/>
    <w:qFormat/>
    <w:uiPriority w:val="0"/>
    <w:pPr>
      <w:snapToGrid w:val="0"/>
      <w:spacing w:line="360" w:lineRule="auto"/>
      <w:ind w:firstLine="200" w:firstLineChars="200"/>
    </w:pPr>
    <w:rPr>
      <w:rFonts w:eastAsia="仿宋_GB2312"/>
      <w:sz w:val="24"/>
    </w:rPr>
  </w:style>
  <w:style w:type="paragraph" w:customStyle="1" w:styleId="58">
    <w:name w:val="样式1"/>
    <w:basedOn w:val="1"/>
    <w:qFormat/>
    <w:uiPriority w:val="0"/>
    <w:pPr>
      <w:jc w:val="center"/>
    </w:pPr>
    <w:rPr>
      <w:bCs/>
      <w:sz w:val="48"/>
    </w:rPr>
  </w:style>
  <w:style w:type="paragraph" w:customStyle="1" w:styleId="59">
    <w:name w:val="报告正文"/>
    <w:basedOn w:val="1"/>
    <w:qFormat/>
    <w:uiPriority w:val="0"/>
    <w:pPr>
      <w:spacing w:line="480" w:lineRule="exact"/>
      <w:ind w:firstLine="200" w:firstLineChars="200"/>
    </w:pPr>
    <w:rPr>
      <w:color w:val="000000"/>
      <w:sz w:val="24"/>
    </w:rPr>
  </w:style>
  <w:style w:type="paragraph" w:customStyle="1" w:styleId="60">
    <w:name w:val="表"/>
    <w:basedOn w:val="1"/>
    <w:qFormat/>
    <w:uiPriority w:val="0"/>
    <w:pPr>
      <w:snapToGrid w:val="0"/>
      <w:jc w:val="center"/>
    </w:pPr>
    <w:rPr>
      <w:spacing w:val="2"/>
      <w:szCs w:val="20"/>
    </w:rPr>
  </w:style>
  <w:style w:type="paragraph" w:customStyle="1" w:styleId="61">
    <w:name w:val="Table Paragraph"/>
    <w:basedOn w:val="1"/>
    <w:qFormat/>
    <w:uiPriority w:val="1"/>
    <w:pPr>
      <w:jc w:val="left"/>
    </w:pPr>
    <w:rPr>
      <w:rFonts w:ascii="Calibri" w:hAnsi="Calibri"/>
      <w:kern w:val="0"/>
      <w:sz w:val="22"/>
      <w:szCs w:val="22"/>
      <w:lang w:eastAsia="en-US"/>
    </w:rPr>
  </w:style>
  <w:style w:type="paragraph" w:customStyle="1" w:styleId="62">
    <w:name w:val="p0"/>
    <w:basedOn w:val="1"/>
    <w:qFormat/>
    <w:uiPriority w:val="99"/>
    <w:pPr>
      <w:widowControl/>
    </w:pPr>
    <w:rPr>
      <w:rFonts w:ascii="Calibri" w:hAnsi="Calibri" w:cs="宋体"/>
      <w:kern w:val="0"/>
      <w:szCs w:val="21"/>
    </w:rPr>
  </w:style>
  <w:style w:type="paragraph" w:customStyle="1" w:styleId="63">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64">
    <w:name w:val="段落1"/>
    <w:basedOn w:val="1"/>
    <w:qFormat/>
    <w:uiPriority w:val="0"/>
    <w:pPr>
      <w:spacing w:line="480" w:lineRule="exact"/>
      <w:ind w:firstLine="584" w:firstLineChars="200"/>
    </w:pPr>
    <w:rPr>
      <w:spacing w:val="6"/>
      <w:sz w:val="28"/>
    </w:rPr>
  </w:style>
  <w:style w:type="paragraph" w:customStyle="1" w:styleId="65">
    <w:name w:val="表格文字"/>
    <w:basedOn w:val="1"/>
    <w:qFormat/>
    <w:uiPriority w:val="0"/>
    <w:pPr>
      <w:adjustRightInd w:val="0"/>
      <w:snapToGrid w:val="0"/>
      <w:spacing w:after="120" w:line="240" w:lineRule="exact"/>
      <w:jc w:val="center"/>
    </w:pPr>
    <w:rPr>
      <w:rFonts w:ascii="宋体" w:hAnsi="宋体" w:cs="宋体"/>
      <w:color w:val="000000"/>
      <w:spacing w:val="-7"/>
      <w:szCs w:val="21"/>
    </w:rPr>
  </w:style>
  <w:style w:type="paragraph" w:styleId="66">
    <w:name w:val="List Paragraph"/>
    <w:basedOn w:val="1"/>
    <w:qFormat/>
    <w:uiPriority w:val="1"/>
    <w:pPr>
      <w:spacing w:before="161"/>
      <w:ind w:left="1185" w:hanging="605"/>
    </w:pPr>
    <w:rPr>
      <w:rFonts w:ascii="宋体" w:hAnsi="宋体" w:cs="宋体"/>
      <w:lang w:val="zh-CN" w:bidi="zh-CN"/>
    </w:rPr>
  </w:style>
  <w:style w:type="paragraph" w:customStyle="1" w:styleId="67">
    <w:name w:val="表格字体"/>
    <w:basedOn w:val="59"/>
    <w:qFormat/>
    <w:uiPriority w:val="0"/>
    <w:pPr>
      <w:adjustRightInd w:val="0"/>
      <w:spacing w:line="300" w:lineRule="exact"/>
      <w:ind w:firstLine="0" w:firstLineChars="0"/>
      <w:jc w:val="center"/>
    </w:pPr>
    <w:rPr>
      <w:rFonts w:ascii="宋体"/>
      <w:color w:val="auto"/>
      <w:sz w:val="21"/>
    </w:rPr>
  </w:style>
  <w:style w:type="paragraph" w:customStyle="1" w:styleId="68">
    <w:name w:val="正文1"/>
    <w:basedOn w:val="1"/>
    <w:qFormat/>
    <w:uiPriority w:val="0"/>
    <w:pPr>
      <w:adjustRightInd w:val="0"/>
      <w:snapToGrid w:val="0"/>
      <w:spacing w:line="500" w:lineRule="atLeast"/>
      <w:ind w:firstLine="567"/>
    </w:pPr>
    <w:rPr>
      <w:sz w:val="28"/>
      <w:szCs w:val="20"/>
    </w:rPr>
  </w:style>
  <w:style w:type="paragraph" w:customStyle="1" w:styleId="69">
    <w:name w:val="Char"/>
    <w:basedOn w:val="1"/>
    <w:qFormat/>
    <w:uiPriority w:val="0"/>
    <w:pPr>
      <w:spacing w:line="360" w:lineRule="auto"/>
      <w:ind w:firstLine="200" w:firstLineChars="200"/>
    </w:pPr>
    <w:rPr>
      <w:szCs w:val="20"/>
    </w:rPr>
  </w:style>
  <w:style w:type="paragraph" w:customStyle="1" w:styleId="70">
    <w:name w:val="默认段落字体 Para Char Char Char Char"/>
    <w:basedOn w:val="1"/>
    <w:qFormat/>
    <w:uiPriority w:val="0"/>
    <w:rPr>
      <w:sz w:val="24"/>
    </w:rPr>
  </w:style>
  <w:style w:type="paragraph" w:customStyle="1" w:styleId="71">
    <w:name w:val="Char5"/>
    <w:basedOn w:val="1"/>
    <w:qFormat/>
    <w:uiPriority w:val="0"/>
    <w:pPr>
      <w:adjustRightInd w:val="0"/>
      <w:snapToGrid w:val="0"/>
      <w:spacing w:line="360" w:lineRule="auto"/>
      <w:ind w:firstLine="200" w:firstLineChars="200"/>
    </w:pPr>
    <w:rPr>
      <w:rFonts w:ascii="宋体" w:hAnsi="宋体" w:cs="宋体"/>
      <w:sz w:val="24"/>
    </w:rPr>
  </w:style>
  <w:style w:type="paragraph" w:customStyle="1" w:styleId="72">
    <w:name w:val="表 头"/>
    <w:basedOn w:val="1"/>
    <w:qFormat/>
    <w:uiPriority w:val="0"/>
    <w:pPr>
      <w:adjustRightInd w:val="0"/>
      <w:spacing w:before="120" w:after="120" w:line="360" w:lineRule="atLeast"/>
      <w:jc w:val="center"/>
    </w:pPr>
    <w:rPr>
      <w:rFonts w:eastAsia="黑体"/>
      <w:spacing w:val="10"/>
      <w:kern w:val="0"/>
      <w:sz w:val="24"/>
      <w:szCs w:val="20"/>
    </w:rPr>
  </w:style>
  <w:style w:type="table" w:customStyle="1" w:styleId="73">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74">
    <w:name w:val="TOC Heading"/>
    <w:basedOn w:val="2"/>
    <w:next w:val="1"/>
    <w:semiHidden/>
    <w:unhideWhenUsed/>
    <w:qFormat/>
    <w:uiPriority w:val="39"/>
    <w:pPr>
      <w:keepLines/>
      <w:widowControl/>
      <w:spacing w:before="480" w:line="276" w:lineRule="auto"/>
      <w:jc w:val="left"/>
      <w:outlineLvl w:val="9"/>
    </w:pPr>
    <w:rPr>
      <w:rFonts w:ascii="Cambria" w:hAnsi="Cambria"/>
      <w:color w:val="365F91"/>
      <w:kern w:val="0"/>
      <w:sz w:val="28"/>
      <w:szCs w:val="28"/>
    </w:rPr>
  </w:style>
  <w:style w:type="character" w:customStyle="1" w:styleId="75">
    <w:name w:val="style21"/>
    <w:qFormat/>
    <w:uiPriority w:val="0"/>
    <w:rPr>
      <w:rFonts w:hint="eastAsia" w:ascii="宋体" w:hAnsi="宋体" w:eastAsia="宋体"/>
      <w:b/>
      <w:kern w:val="2"/>
      <w:sz w:val="18"/>
      <w:szCs w:val="18"/>
      <w:lang w:val="en-US" w:eastAsia="zh-CN" w:bidi="ar-SA"/>
    </w:rPr>
  </w:style>
  <w:style w:type="paragraph" w:customStyle="1" w:styleId="76">
    <w:name w:val="1. 表格内容"/>
    <w:basedOn w:val="1"/>
    <w:qFormat/>
    <w:uiPriority w:val="0"/>
    <w:pPr>
      <w:snapToGrid w:val="0"/>
      <w:jc w:val="center"/>
    </w:pPr>
    <w:rPr>
      <w:szCs w:val="21"/>
    </w:rPr>
  </w:style>
  <w:style w:type="paragraph" w:customStyle="1" w:styleId="77">
    <w:name w:val="_Style 83"/>
    <w:basedOn w:val="11"/>
    <w:next w:val="26"/>
    <w:qFormat/>
    <w:uiPriority w:val="0"/>
    <w:pPr>
      <w:spacing w:after="120" w:line="240" w:lineRule="auto"/>
      <w:ind w:left="420" w:leftChars="200" w:firstLine="420" w:firstLineChars="200"/>
    </w:pPr>
    <w:rPr>
      <w:rFonts w:eastAsia="宋体"/>
      <w:sz w:val="21"/>
    </w:rPr>
  </w:style>
  <w:style w:type="paragraph" w:customStyle="1" w:styleId="78">
    <w:name w:val="报告表表格文字"/>
    <w:basedOn w:val="1"/>
    <w:qFormat/>
    <w:uiPriority w:val="0"/>
    <w:pPr>
      <w:autoSpaceDE w:val="0"/>
      <w:autoSpaceDN w:val="0"/>
      <w:adjustRightInd w:val="0"/>
      <w:snapToGrid w:val="0"/>
      <w:spacing w:line="360" w:lineRule="exact"/>
      <w:jc w:val="center"/>
    </w:pPr>
    <w:rPr>
      <w:rFonts w:ascii="Calibri" w:hAnsi="Calibri"/>
      <w:color w:val="000000"/>
      <w:kern w:val="0"/>
      <w:szCs w:val="21"/>
    </w:rPr>
  </w:style>
  <w:style w:type="character" w:customStyle="1" w:styleId="79">
    <w:name w:val="样式4 Char"/>
    <w:link w:val="80"/>
    <w:qFormat/>
    <w:locked/>
    <w:uiPriority w:val="0"/>
    <w:rPr>
      <w:rFonts w:ascii="宋体" w:hAnsi="宋体" w:cs="宋体"/>
      <w:color w:val="000000"/>
      <w:kern w:val="2"/>
      <w:sz w:val="21"/>
      <w:szCs w:val="24"/>
    </w:rPr>
  </w:style>
  <w:style w:type="paragraph" w:customStyle="1" w:styleId="80">
    <w:name w:val="样式4"/>
    <w:basedOn w:val="1"/>
    <w:link w:val="79"/>
    <w:qFormat/>
    <w:uiPriority w:val="0"/>
    <w:pPr>
      <w:spacing w:line="240" w:lineRule="exact"/>
      <w:jc w:val="center"/>
    </w:pPr>
    <w:rPr>
      <w:rFonts w:ascii="宋体" w:hAnsi="宋体"/>
      <w:color w:val="000000"/>
    </w:rPr>
  </w:style>
  <w:style w:type="character" w:customStyle="1" w:styleId="81">
    <w:name w:val="表格2 Char"/>
    <w:basedOn w:val="29"/>
    <w:link w:val="82"/>
    <w:qFormat/>
    <w:locked/>
    <w:uiPriority w:val="0"/>
    <w:rPr>
      <w:rFonts w:ascii="宋体" w:hAnsi="宋体"/>
      <w:b/>
      <w:kern w:val="2"/>
      <w:sz w:val="21"/>
      <w:szCs w:val="21"/>
    </w:rPr>
  </w:style>
  <w:style w:type="paragraph" w:customStyle="1" w:styleId="82">
    <w:name w:val="表格2"/>
    <w:basedOn w:val="1"/>
    <w:link w:val="81"/>
    <w:qFormat/>
    <w:uiPriority w:val="0"/>
    <w:pPr>
      <w:spacing w:line="400" w:lineRule="atLeast"/>
      <w:jc w:val="center"/>
    </w:pPr>
    <w:rPr>
      <w:rFonts w:ascii="宋体" w:hAnsi="宋体"/>
      <w:b/>
      <w:szCs w:val="21"/>
    </w:rPr>
  </w:style>
  <w:style w:type="paragraph" w:customStyle="1" w:styleId="83">
    <w:name w:val="正文新 Char"/>
    <w:basedOn w:val="1"/>
    <w:qFormat/>
    <w:uiPriority w:val="99"/>
    <w:pPr>
      <w:spacing w:line="360" w:lineRule="auto"/>
      <w:ind w:firstLine="480" w:firstLineChars="200"/>
    </w:pPr>
    <w:rPr>
      <w:rFonts w:cs="宋体"/>
      <w:sz w:val="24"/>
      <w:szCs w:val="20"/>
    </w:rPr>
  </w:style>
  <w:style w:type="paragraph" w:customStyle="1" w:styleId="84">
    <w:name w:val="表头"/>
    <w:basedOn w:val="1"/>
    <w:next w:val="1"/>
    <w:qFormat/>
    <w:uiPriority w:val="0"/>
    <w:pPr>
      <w:adjustRightInd w:val="0"/>
      <w:snapToGrid w:val="0"/>
      <w:spacing w:line="520" w:lineRule="exact"/>
      <w:ind w:firstLine="480" w:firstLineChars="200"/>
    </w:pPr>
    <w:rPr>
      <w:rFonts w:eastAsia="黑体"/>
      <w:sz w:val="24"/>
      <w:lang w:val="zh-CN"/>
    </w:rPr>
  </w:style>
  <w:style w:type="paragraph" w:customStyle="1" w:styleId="85">
    <w:name w:val="表头文字"/>
    <w:basedOn w:val="1"/>
    <w:qFormat/>
    <w:uiPriority w:val="0"/>
    <w:pPr>
      <w:widowControl/>
      <w:adjustRightInd w:val="0"/>
      <w:snapToGrid w:val="0"/>
      <w:spacing w:line="360" w:lineRule="exact"/>
      <w:ind w:firstLine="480" w:firstLineChars="200"/>
    </w:pPr>
    <w:rPr>
      <w:b/>
      <w:kern w:val="0"/>
      <w:sz w:val="24"/>
    </w:rPr>
  </w:style>
  <w:style w:type="character" w:customStyle="1" w:styleId="86">
    <w:name w:val="c正文 字符"/>
    <w:link w:val="87"/>
    <w:qFormat/>
    <w:uiPriority w:val="0"/>
    <w:rPr>
      <w:kern w:val="2"/>
      <w:sz w:val="24"/>
    </w:rPr>
  </w:style>
  <w:style w:type="paragraph" w:customStyle="1" w:styleId="87">
    <w:name w:val="c正文"/>
    <w:basedOn w:val="1"/>
    <w:link w:val="86"/>
    <w:qFormat/>
    <w:uiPriority w:val="0"/>
    <w:pPr>
      <w:adjustRightInd w:val="0"/>
      <w:snapToGrid w:val="0"/>
      <w:spacing w:line="500" w:lineRule="exact"/>
      <w:ind w:firstLine="480" w:firstLineChars="200"/>
    </w:pPr>
    <w:rPr>
      <w:sz w:val="24"/>
      <w:szCs w:val="20"/>
    </w:rPr>
  </w:style>
  <w:style w:type="character" w:customStyle="1" w:styleId="88">
    <w:name w:val="c表内容 字符"/>
    <w:link w:val="89"/>
    <w:qFormat/>
    <w:locked/>
    <w:uiPriority w:val="0"/>
    <w:rPr>
      <w:kern w:val="2"/>
      <w:sz w:val="21"/>
      <w:szCs w:val="21"/>
    </w:rPr>
  </w:style>
  <w:style w:type="paragraph" w:customStyle="1" w:styleId="89">
    <w:name w:val="c表内容"/>
    <w:basedOn w:val="1"/>
    <w:link w:val="88"/>
    <w:qFormat/>
    <w:uiPriority w:val="0"/>
    <w:pPr>
      <w:spacing w:line="320" w:lineRule="exact"/>
      <w:jc w:val="center"/>
    </w:pPr>
    <w:rPr>
      <w:szCs w:val="21"/>
    </w:rPr>
  </w:style>
  <w:style w:type="paragraph" w:customStyle="1" w:styleId="90">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91">
    <w:name w:val="c表头 字符"/>
    <w:link w:val="92"/>
    <w:qFormat/>
    <w:locked/>
    <w:uiPriority w:val="0"/>
    <w:rPr>
      <w:b/>
      <w:kern w:val="2"/>
      <w:sz w:val="21"/>
      <w:szCs w:val="21"/>
    </w:rPr>
  </w:style>
  <w:style w:type="paragraph" w:customStyle="1" w:styleId="92">
    <w:name w:val="c表头"/>
    <w:basedOn w:val="1"/>
    <w:link w:val="91"/>
    <w:qFormat/>
    <w:uiPriority w:val="0"/>
    <w:pPr>
      <w:widowControl/>
      <w:spacing w:afterLines="20" w:line="400" w:lineRule="exact"/>
      <w:ind w:firstLine="413" w:firstLineChars="196"/>
    </w:pPr>
    <w:rPr>
      <w:b/>
      <w:szCs w:val="21"/>
    </w:rPr>
  </w:style>
  <w:style w:type="character" w:customStyle="1" w:styleId="93">
    <w:name w:val="段前2字符 Char"/>
    <w:link w:val="94"/>
    <w:qFormat/>
    <w:locked/>
    <w:uiPriority w:val="0"/>
    <w:rPr>
      <w:rFonts w:ascii="Calibri" w:hAnsi="Calibri" w:cs="宋体"/>
      <w:sz w:val="24"/>
    </w:rPr>
  </w:style>
  <w:style w:type="paragraph" w:customStyle="1" w:styleId="94">
    <w:name w:val="段前2字符"/>
    <w:basedOn w:val="1"/>
    <w:link w:val="93"/>
    <w:qFormat/>
    <w:uiPriority w:val="0"/>
    <w:pPr>
      <w:adjustRightInd w:val="0"/>
      <w:snapToGrid w:val="0"/>
      <w:spacing w:line="360" w:lineRule="auto"/>
      <w:ind w:firstLine="480" w:firstLineChars="200"/>
      <w:jc w:val="left"/>
    </w:pPr>
    <w:rPr>
      <w:rFonts w:ascii="Calibri" w:hAnsi="Calibri"/>
      <w:kern w:val="0"/>
      <w:sz w:val="24"/>
      <w:szCs w:val="20"/>
    </w:rPr>
  </w:style>
  <w:style w:type="character" w:customStyle="1" w:styleId="95">
    <w:name w:val="纯文本 Char"/>
    <w:link w:val="14"/>
    <w:qFormat/>
    <w:uiPriority w:val="0"/>
    <w:rPr>
      <w:rFonts w:ascii="宋体" w:hAnsi="Courier New"/>
      <w:kern w:val="2"/>
      <w:sz w:val="21"/>
    </w:rPr>
  </w:style>
  <w:style w:type="character" w:customStyle="1" w:styleId="96">
    <w:name w:val="c标4 字符"/>
    <w:link w:val="97"/>
    <w:qFormat/>
    <w:uiPriority w:val="0"/>
    <w:rPr>
      <w:b/>
      <w:kern w:val="2"/>
      <w:sz w:val="24"/>
      <w:szCs w:val="21"/>
      <w:lang w:val="en-US" w:eastAsia="zh-CN"/>
    </w:rPr>
  </w:style>
  <w:style w:type="paragraph" w:customStyle="1" w:styleId="97">
    <w:name w:val="c标4"/>
    <w:basedOn w:val="1"/>
    <w:link w:val="96"/>
    <w:qFormat/>
    <w:uiPriority w:val="0"/>
    <w:pPr>
      <w:spacing w:line="500" w:lineRule="exact"/>
      <w:ind w:firstLine="472" w:firstLineChars="196"/>
    </w:pPr>
    <w:rPr>
      <w:b/>
      <w:sz w:val="24"/>
      <w:szCs w:val="21"/>
    </w:rPr>
  </w:style>
  <w:style w:type="paragraph" w:customStyle="1" w:styleId="98">
    <w:name w:val="正文文本 (2)"/>
    <w:basedOn w:val="1"/>
    <w:link w:val="99"/>
    <w:qFormat/>
    <w:uiPriority w:val="0"/>
    <w:pPr>
      <w:shd w:val="clear" w:color="auto" w:fill="FFFFFF"/>
      <w:spacing w:line="466" w:lineRule="exact"/>
      <w:ind w:hanging="540"/>
      <w:jc w:val="distribute"/>
    </w:pPr>
    <w:rPr>
      <w:rFonts w:ascii="宋体" w:hAnsi="宋体"/>
      <w:sz w:val="22"/>
      <w:szCs w:val="20"/>
    </w:rPr>
  </w:style>
  <w:style w:type="character" w:customStyle="1" w:styleId="99">
    <w:name w:val="正文文本 (2)_"/>
    <w:link w:val="98"/>
    <w:unhideWhenUsed/>
    <w:qFormat/>
    <w:uiPriority w:val="0"/>
    <w:rPr>
      <w:rFonts w:ascii="宋体" w:hAnsi="宋体"/>
      <w:kern w:val="2"/>
      <w:sz w:val="22"/>
      <w:shd w:val="clear" w:color="auto" w:fill="FFFFFF"/>
    </w:rPr>
  </w:style>
  <w:style w:type="character" w:customStyle="1" w:styleId="100">
    <w:name w:val="正文文本 (2) + 12 pt"/>
    <w:unhideWhenUsed/>
    <w:qFormat/>
    <w:uiPriority w:val="99"/>
    <w:rPr>
      <w:rFonts w:hint="eastAsia" w:ascii="宋体" w:hAnsi="宋体" w:eastAsia="宋体" w:cs="Times New Roman"/>
      <w:b/>
      <w:sz w:val="24"/>
      <w:szCs w:val="24"/>
    </w:rPr>
  </w:style>
  <w:style w:type="character" w:customStyle="1" w:styleId="101">
    <w:name w:val="正文文本 (2) + 10 pt"/>
    <w:unhideWhenUsed/>
    <w:qFormat/>
    <w:uiPriority w:val="99"/>
    <w:rPr>
      <w:rFonts w:hint="eastAsia" w:ascii="宋体" w:hAnsi="宋体" w:eastAsia="宋体" w:cs="Times New Roman"/>
      <w:spacing w:val="30"/>
      <w:sz w:val="20"/>
      <w:szCs w:val="24"/>
    </w:rPr>
  </w:style>
  <w:style w:type="character" w:customStyle="1" w:styleId="102">
    <w:name w:val="正文文本 (2) + Microsoft Sans Serif"/>
    <w:unhideWhenUsed/>
    <w:qFormat/>
    <w:uiPriority w:val="99"/>
    <w:rPr>
      <w:rFonts w:hint="default" w:ascii="Microsoft Sans Serif" w:hAnsi="Microsoft Sans Serif" w:eastAsia="Microsoft Sans Serif" w:cs="Times New Roman"/>
      <w:b/>
      <w:spacing w:val="-10"/>
      <w:sz w:val="19"/>
      <w:szCs w:val="24"/>
      <w:lang w:val="en-US" w:eastAsia="en-US"/>
    </w:rPr>
  </w:style>
  <w:style w:type="paragraph" w:customStyle="1" w:styleId="103">
    <w:name w:val="表头样式1"/>
    <w:basedOn w:val="1"/>
    <w:qFormat/>
    <w:uiPriority w:val="0"/>
    <w:pPr>
      <w:adjustRightInd w:val="0"/>
      <w:snapToGrid w:val="0"/>
      <w:jc w:val="center"/>
    </w:pPr>
    <w:rPr>
      <w:rFonts w:ascii="Calibri" w:hAnsi="Calibri" w:eastAsia="楷体_GB2312" w:cs="Calibri"/>
      <w:bCs/>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94EFC8-D86C-42F6-9442-9CEEF5ADA6A5}">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61</Pages>
  <Words>7279</Words>
  <Characters>41496</Characters>
  <Lines>345</Lines>
  <Paragraphs>97</Paragraphs>
  <TotalTime>30</TotalTime>
  <ScaleCrop>false</ScaleCrop>
  <LinksUpToDate>false</LinksUpToDate>
  <CharactersWithSpaces>48678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2020-11-07T15:56:00Z</dcterms:created>
  <dc:creator>软件仓库</dc:creator>
  <cp:lastModifiedBy>ZX磊</cp:lastModifiedBy>
  <cp:lastPrinted>2020-01-15T22:13:00Z</cp:lastPrinted>
  <dcterms:modified xsi:type="dcterms:W3CDTF">2020-12-15T07:34:44Z</dcterms:modified>
  <dc:title>建设项目环境影响报告表</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