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74" w:lineRule="exact"/>
        <w:jc w:val="center"/>
        <w:rPr>
          <w:rFonts w:ascii="方正小标宋简体" w:hAnsi="Times New Roman" w:eastAsia="方正小标宋简体"/>
          <w:color w:val="000000"/>
          <w:sz w:val="44"/>
          <w:szCs w:val="44"/>
        </w:rPr>
      </w:pPr>
      <w:r>
        <w:rPr>
          <w:rFonts w:hint="eastAsia" w:ascii="方正小标宋简体" w:hAnsi="Times New Roman" w:eastAsia="方正小标宋简体"/>
          <w:color w:val="000000"/>
          <w:sz w:val="44"/>
          <w:szCs w:val="44"/>
        </w:rPr>
        <w:t>2020年度中共新乡县委组织部</w:t>
      </w:r>
    </w:p>
    <w:p>
      <w:pPr>
        <w:adjustRightInd w:val="0"/>
        <w:snapToGrid w:val="0"/>
        <w:spacing w:line="574" w:lineRule="exact"/>
        <w:jc w:val="center"/>
        <w:rPr>
          <w:rFonts w:ascii="方正小标宋简体" w:hAnsi="Times New Roman" w:eastAsia="方正小标宋简体"/>
          <w:color w:val="000000"/>
          <w:sz w:val="44"/>
          <w:szCs w:val="44"/>
        </w:rPr>
      </w:pPr>
      <w:r>
        <w:rPr>
          <w:rFonts w:hint="eastAsia" w:ascii="方正小标宋简体" w:hAnsi="Times New Roman" w:eastAsia="方正小标宋简体"/>
          <w:color w:val="000000"/>
          <w:sz w:val="44"/>
          <w:szCs w:val="44"/>
        </w:rPr>
        <w:t>部门预算公开说明</w:t>
      </w:r>
    </w:p>
    <w:p>
      <w:pPr>
        <w:adjustRightInd w:val="0"/>
        <w:snapToGrid w:val="0"/>
        <w:spacing w:line="574" w:lineRule="exact"/>
        <w:rPr>
          <w:rFonts w:ascii="楷体" w:hAnsi="楷体" w:eastAsia="楷体"/>
          <w:color w:val="000000"/>
          <w:sz w:val="32"/>
          <w:szCs w:val="32"/>
        </w:rPr>
      </w:pPr>
    </w:p>
    <w:p>
      <w:pPr>
        <w:adjustRightInd w:val="0"/>
        <w:snapToGrid w:val="0"/>
        <w:spacing w:line="574" w:lineRule="exact"/>
        <w:jc w:val="center"/>
        <w:rPr>
          <w:rFonts w:ascii="楷体" w:hAnsi="楷体" w:eastAsia="楷体"/>
          <w:color w:val="000000"/>
          <w:sz w:val="32"/>
          <w:szCs w:val="32"/>
        </w:rPr>
      </w:pPr>
    </w:p>
    <w:p>
      <w:pPr>
        <w:kinsoku w:val="0"/>
        <w:overflowPunct w:val="0"/>
        <w:adjustRightInd w:val="0"/>
        <w:snapToGrid w:val="0"/>
        <w:spacing w:line="574" w:lineRule="exact"/>
        <w:ind w:left="-142" w:right="51" w:firstLine="39" w:firstLineChars="7"/>
        <w:jc w:val="center"/>
        <w:rPr>
          <w:rFonts w:ascii="黑体" w:hAnsi="Times New Roman" w:eastAsia="黑体" w:cs="黑体"/>
          <w:color w:val="000000"/>
          <w:sz w:val="56"/>
          <w:szCs w:val="56"/>
        </w:rPr>
      </w:pPr>
      <w:r>
        <w:rPr>
          <w:rFonts w:hint="eastAsia" w:ascii="黑体" w:hAnsi="Times New Roman" w:eastAsia="黑体" w:cs="黑体"/>
          <w:color w:val="000000"/>
          <w:sz w:val="56"/>
          <w:szCs w:val="56"/>
        </w:rPr>
        <w:t>目录</w:t>
      </w:r>
    </w:p>
    <w:p>
      <w:pPr>
        <w:kinsoku w:val="0"/>
        <w:overflowPunct w:val="0"/>
        <w:adjustRightInd w:val="0"/>
        <w:snapToGrid w:val="0"/>
        <w:spacing w:line="574" w:lineRule="exact"/>
        <w:ind w:right="26" w:firstLine="640" w:firstLineChars="200"/>
        <w:rPr>
          <w:rFonts w:ascii="黑体" w:hAnsi="Times New Roman" w:eastAsia="黑体" w:cs="黑体"/>
          <w:color w:val="000000"/>
          <w:w w:val="99"/>
          <w:sz w:val="32"/>
          <w:szCs w:val="32"/>
        </w:rPr>
      </w:pPr>
      <w:r>
        <w:rPr>
          <w:rFonts w:hint="eastAsia" w:ascii="黑体" w:hAnsi="Times New Roman" w:eastAsia="黑体" w:cs="黑体"/>
          <w:color w:val="000000"/>
          <w:sz w:val="32"/>
          <w:szCs w:val="32"/>
        </w:rPr>
        <w:t>第一部分</w:t>
      </w:r>
      <w:r>
        <w:rPr>
          <w:rFonts w:hint="eastAsia" w:ascii="黑体" w:hAnsi="黑体" w:eastAsia="黑体"/>
          <w:color w:val="000000"/>
          <w:sz w:val="32"/>
          <w:szCs w:val="32"/>
        </w:rPr>
        <w:t>中共新乡县委组织部</w:t>
      </w:r>
      <w:r>
        <w:rPr>
          <w:rFonts w:hint="eastAsia" w:ascii="黑体" w:hAnsi="Times New Roman" w:eastAsia="黑体" w:cs="黑体"/>
          <w:color w:val="000000"/>
          <w:sz w:val="32"/>
          <w:szCs w:val="32"/>
        </w:rPr>
        <w:t>概况</w:t>
      </w:r>
    </w:p>
    <w:p>
      <w:pPr>
        <w:kinsoku w:val="0"/>
        <w:overflowPunct w:val="0"/>
        <w:adjustRightInd w:val="0"/>
        <w:snapToGrid w:val="0"/>
        <w:spacing w:line="574" w:lineRule="exact"/>
        <w:ind w:right="84" w:firstLine="960" w:firstLineChars="300"/>
        <w:rPr>
          <w:rFonts w:ascii="华文楷体" w:hAnsi="华文楷体" w:eastAsia="华文楷体" w:cs="仿宋_GB2312"/>
          <w:color w:val="000000"/>
          <w:sz w:val="32"/>
          <w:szCs w:val="32"/>
        </w:rPr>
      </w:pPr>
      <w:r>
        <w:rPr>
          <w:rFonts w:hint="eastAsia" w:ascii="仿宋_GB2312" w:hAnsi="Times New Roman" w:eastAsia="仿宋_GB2312" w:cs="仿宋_GB2312"/>
          <w:color w:val="000000"/>
          <w:sz w:val="32"/>
          <w:szCs w:val="32"/>
        </w:rPr>
        <w:t>一、主要职能</w:t>
      </w:r>
    </w:p>
    <w:p>
      <w:pPr>
        <w:kinsoku w:val="0"/>
        <w:overflowPunct w:val="0"/>
        <w:adjustRightInd w:val="0"/>
        <w:snapToGrid w:val="0"/>
        <w:spacing w:line="574" w:lineRule="exact"/>
        <w:ind w:right="84" w:firstLine="960" w:firstLineChars="300"/>
        <w:rPr>
          <w:rFonts w:ascii="华文楷体" w:hAnsi="华文楷体" w:eastAsia="华文楷体" w:cs="仿宋_GB2312"/>
          <w:color w:val="000000"/>
          <w:sz w:val="32"/>
          <w:szCs w:val="32"/>
        </w:rPr>
      </w:pPr>
      <w:r>
        <w:rPr>
          <w:rFonts w:hint="eastAsia" w:ascii="仿宋_GB2312" w:hAnsi="Times New Roman" w:eastAsia="仿宋_GB2312" w:cs="仿宋_GB2312"/>
          <w:color w:val="000000"/>
          <w:sz w:val="32"/>
          <w:szCs w:val="32"/>
        </w:rPr>
        <w:t>二、部门预算单位构成</w:t>
      </w:r>
    </w:p>
    <w:p>
      <w:pPr>
        <w:kinsoku w:val="0"/>
        <w:overflowPunct w:val="0"/>
        <w:adjustRightInd w:val="0"/>
        <w:snapToGrid w:val="0"/>
        <w:spacing w:line="574" w:lineRule="exact"/>
        <w:ind w:right="84" w:firstLine="960" w:firstLineChars="300"/>
        <w:rPr>
          <w:rFonts w:ascii="仿宋" w:hAnsi="仿宋" w:eastAsia="仿宋" w:cs="仿宋_GB2312"/>
          <w:color w:val="000000"/>
          <w:sz w:val="32"/>
          <w:szCs w:val="32"/>
        </w:rPr>
      </w:pPr>
      <w:r>
        <w:rPr>
          <w:rFonts w:hint="eastAsia" w:ascii="仿宋" w:hAnsi="仿宋" w:eastAsia="仿宋" w:cs="仿宋_GB2312"/>
          <w:color w:val="000000"/>
          <w:sz w:val="32"/>
          <w:szCs w:val="32"/>
        </w:rPr>
        <w:t>三、部门人员编制总体情况</w:t>
      </w:r>
    </w:p>
    <w:p>
      <w:pPr>
        <w:kinsoku w:val="0"/>
        <w:overflowPunct w:val="0"/>
        <w:adjustRightInd w:val="0"/>
        <w:snapToGrid w:val="0"/>
        <w:spacing w:line="574" w:lineRule="exact"/>
        <w:ind w:right="26" w:firstLine="320" w:firstLineChars="100"/>
        <w:rPr>
          <w:rFonts w:ascii="黑体" w:hAnsi="Times New Roman" w:eastAsia="黑体" w:cs="黑体"/>
          <w:color w:val="000000"/>
          <w:w w:val="99"/>
          <w:sz w:val="32"/>
          <w:szCs w:val="32"/>
        </w:rPr>
      </w:pPr>
      <w:r>
        <w:rPr>
          <w:rFonts w:hint="eastAsia" w:ascii="黑体" w:hAnsi="Times New Roman" w:eastAsia="黑体" w:cs="黑体"/>
          <w:color w:val="000000"/>
          <w:sz w:val="32"/>
          <w:szCs w:val="32"/>
        </w:rPr>
        <w:t xml:space="preserve">第二部分  </w:t>
      </w:r>
      <w:r>
        <w:rPr>
          <w:rFonts w:hint="eastAsia" w:ascii="黑体" w:hAnsi="黑体" w:eastAsia="黑体"/>
          <w:color w:val="000000"/>
          <w:sz w:val="32"/>
          <w:szCs w:val="32"/>
        </w:rPr>
        <w:t>中共新乡县委组织部</w:t>
      </w:r>
      <w:r>
        <w:rPr>
          <w:rFonts w:ascii="黑体" w:hAnsi="Times New Roman" w:eastAsia="黑体" w:cs="黑体"/>
          <w:color w:val="000000"/>
          <w:sz w:val="32"/>
          <w:szCs w:val="32"/>
        </w:rPr>
        <w:t>20</w:t>
      </w:r>
      <w:r>
        <w:rPr>
          <w:rFonts w:hint="eastAsia" w:ascii="黑体" w:hAnsi="Times New Roman" w:eastAsia="黑体" w:cs="黑体"/>
          <w:color w:val="000000"/>
          <w:sz w:val="32"/>
          <w:szCs w:val="32"/>
        </w:rPr>
        <w:t>20年度部门预算情况说明</w:t>
      </w:r>
    </w:p>
    <w:p>
      <w:pPr>
        <w:kinsoku w:val="0"/>
        <w:overflowPunct w:val="0"/>
        <w:adjustRightInd w:val="0"/>
        <w:snapToGrid w:val="0"/>
        <w:spacing w:line="574" w:lineRule="exact"/>
        <w:ind w:right="521" w:firstLine="320" w:firstLineChars="100"/>
        <w:rPr>
          <w:rFonts w:ascii="黑体" w:hAnsi="Times New Roman" w:eastAsia="黑体" w:cs="黑体"/>
          <w:color w:val="000000"/>
          <w:sz w:val="32"/>
          <w:szCs w:val="32"/>
        </w:rPr>
      </w:pPr>
      <w:r>
        <w:rPr>
          <w:rFonts w:hint="eastAsia" w:ascii="黑体" w:hAnsi="Times New Roman" w:eastAsia="黑体" w:cs="黑体"/>
          <w:color w:val="000000"/>
          <w:sz w:val="32"/>
          <w:szCs w:val="32"/>
        </w:rPr>
        <w:t>第三部分名词解释</w:t>
      </w:r>
    </w:p>
    <w:p>
      <w:pPr>
        <w:kinsoku w:val="0"/>
        <w:overflowPunct w:val="0"/>
        <w:adjustRightInd w:val="0"/>
        <w:snapToGrid w:val="0"/>
        <w:spacing w:line="574" w:lineRule="exact"/>
        <w:ind w:firstLine="640" w:firstLineChars="200"/>
        <w:rPr>
          <w:rFonts w:ascii="黑体" w:hAnsi="Times New Roman" w:eastAsia="黑体" w:cs="黑体"/>
          <w:color w:val="000000"/>
          <w:sz w:val="32"/>
          <w:szCs w:val="32"/>
        </w:rPr>
      </w:pPr>
      <w:r>
        <w:rPr>
          <w:rFonts w:hint="eastAsia" w:ascii="黑体" w:hAnsi="Times New Roman" w:eastAsia="黑体" w:cs="黑体"/>
          <w:color w:val="000000"/>
          <w:sz w:val="32"/>
          <w:szCs w:val="32"/>
        </w:rPr>
        <w:t>附件：</w:t>
      </w:r>
      <w:r>
        <w:rPr>
          <w:rFonts w:hint="eastAsia" w:ascii="黑体" w:hAnsi="黑体" w:eastAsia="黑体"/>
          <w:color w:val="000000"/>
          <w:sz w:val="32"/>
          <w:szCs w:val="32"/>
        </w:rPr>
        <w:t>中共新乡县委组织部</w:t>
      </w:r>
      <w:r>
        <w:rPr>
          <w:rFonts w:hint="eastAsia" w:ascii="黑体" w:hAnsi="Times New Roman" w:eastAsia="黑体" w:cs="黑体"/>
          <w:color w:val="000000"/>
          <w:sz w:val="32"/>
          <w:szCs w:val="32"/>
        </w:rPr>
        <w:t>2020年度部门预算表</w:t>
      </w:r>
    </w:p>
    <w:p>
      <w:pPr>
        <w:kinsoku w:val="0"/>
        <w:overflowPunct w:val="0"/>
        <w:adjustRightInd w:val="0"/>
        <w:snapToGrid w:val="0"/>
        <w:spacing w:line="574" w:lineRule="exact"/>
        <w:ind w:right="51" w:firstLine="960" w:firstLineChars="300"/>
        <w:rPr>
          <w:rFonts w:ascii="仿宋_GB2312" w:hAnsi="Times New Roman" w:eastAsia="仿宋_GB2312" w:cs="仿宋_GB2312"/>
          <w:color w:val="000000"/>
          <w:sz w:val="32"/>
          <w:szCs w:val="32"/>
        </w:rPr>
      </w:pPr>
      <w:r>
        <w:rPr>
          <w:rFonts w:hint="eastAsia" w:ascii="仿宋_GB2312" w:hAnsi="Times New Roman" w:eastAsia="仿宋_GB2312" w:cs="仿宋_GB2312"/>
          <w:color w:val="000000"/>
          <w:sz w:val="32"/>
          <w:szCs w:val="32"/>
        </w:rPr>
        <w:t>一、</w:t>
      </w:r>
      <w:r>
        <w:rPr>
          <w:rFonts w:hint="eastAsia" w:ascii="仿宋_GB2312" w:eastAsia="仿宋_GB2312"/>
          <w:color w:val="000000"/>
          <w:sz w:val="32"/>
          <w:szCs w:val="32"/>
        </w:rPr>
        <w:t>部门收支总体情况表</w:t>
      </w:r>
    </w:p>
    <w:p>
      <w:pPr>
        <w:kinsoku w:val="0"/>
        <w:overflowPunct w:val="0"/>
        <w:adjustRightInd w:val="0"/>
        <w:snapToGrid w:val="0"/>
        <w:spacing w:line="574" w:lineRule="exact"/>
        <w:ind w:right="51" w:firstLine="960" w:firstLineChars="300"/>
        <w:rPr>
          <w:rFonts w:ascii="仿宋_GB2312" w:hAnsi="Times New Roman" w:eastAsia="仿宋_GB2312" w:cs="仿宋_GB2312"/>
          <w:color w:val="000000"/>
          <w:sz w:val="32"/>
          <w:szCs w:val="32"/>
        </w:rPr>
      </w:pPr>
      <w:r>
        <w:rPr>
          <w:rFonts w:hint="eastAsia" w:ascii="仿宋_GB2312" w:hAnsi="Times New Roman" w:eastAsia="仿宋_GB2312" w:cs="仿宋_GB2312"/>
          <w:color w:val="000000"/>
          <w:sz w:val="32"/>
          <w:szCs w:val="32"/>
        </w:rPr>
        <w:t>二、</w:t>
      </w:r>
      <w:r>
        <w:rPr>
          <w:rFonts w:hint="eastAsia" w:ascii="仿宋_GB2312" w:eastAsia="仿宋_GB2312"/>
          <w:color w:val="000000"/>
          <w:sz w:val="32"/>
          <w:szCs w:val="32"/>
        </w:rPr>
        <w:t>部门收入总体情况表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hAnsi="Times New Roman" w:eastAsia="仿宋_GB2312" w:cs="仿宋_GB2312"/>
          <w:color w:val="000000"/>
          <w:sz w:val="32"/>
          <w:szCs w:val="32"/>
        </w:rPr>
        <w:t>三、</w:t>
      </w:r>
      <w:r>
        <w:rPr>
          <w:rFonts w:hint="eastAsia" w:ascii="仿宋_GB2312" w:eastAsia="仿宋_GB2312"/>
          <w:color w:val="000000"/>
          <w:sz w:val="32"/>
          <w:szCs w:val="32"/>
        </w:rPr>
        <w:t>部门支出总体情况表</w:t>
      </w:r>
    </w:p>
    <w:p>
      <w:pPr>
        <w:kinsoku w:val="0"/>
        <w:overflowPunct w:val="0"/>
        <w:adjustRightInd w:val="0"/>
        <w:snapToGrid w:val="0"/>
        <w:spacing w:line="574" w:lineRule="exact"/>
        <w:ind w:right="51" w:firstLine="960" w:firstLineChars="300"/>
        <w:rPr>
          <w:rFonts w:ascii="仿宋_GB2312" w:hAnsi="Times New Roman" w:eastAsia="仿宋_GB2312" w:cs="仿宋_GB2312"/>
          <w:color w:val="000000"/>
          <w:sz w:val="32"/>
          <w:szCs w:val="32"/>
        </w:rPr>
      </w:pPr>
      <w:r>
        <w:rPr>
          <w:rFonts w:hint="eastAsia" w:ascii="仿宋_GB2312" w:hAnsi="Times New Roman" w:eastAsia="仿宋_GB2312" w:cs="仿宋_GB2312"/>
          <w:color w:val="000000"/>
          <w:sz w:val="32"/>
          <w:szCs w:val="32"/>
        </w:rPr>
        <w:t>四、</w:t>
      </w:r>
      <w:r>
        <w:rPr>
          <w:rFonts w:hint="eastAsia" w:ascii="仿宋_GB2312" w:eastAsia="仿宋_GB2312"/>
          <w:color w:val="000000"/>
          <w:sz w:val="32"/>
          <w:szCs w:val="32"/>
        </w:rPr>
        <w:t>财政拨款收支总体情况表</w:t>
      </w:r>
    </w:p>
    <w:p>
      <w:pPr>
        <w:kinsoku w:val="0"/>
        <w:overflowPunct w:val="0"/>
        <w:adjustRightInd w:val="0"/>
        <w:snapToGrid w:val="0"/>
        <w:spacing w:line="574" w:lineRule="exact"/>
        <w:ind w:right="51" w:firstLine="960" w:firstLineChars="300"/>
        <w:rPr>
          <w:rFonts w:ascii="仿宋_GB2312" w:hAnsi="Times New Roman" w:eastAsia="仿宋_GB2312" w:cs="仿宋_GB2312"/>
          <w:color w:val="000000"/>
          <w:sz w:val="32"/>
          <w:szCs w:val="32"/>
        </w:rPr>
      </w:pPr>
      <w:r>
        <w:rPr>
          <w:rFonts w:hint="eastAsia" w:ascii="仿宋_GB2312" w:hAnsi="Times New Roman" w:eastAsia="仿宋_GB2312" w:cs="仿宋_GB2312"/>
          <w:color w:val="000000"/>
          <w:sz w:val="32"/>
          <w:szCs w:val="32"/>
        </w:rPr>
        <w:t>五、</w:t>
      </w:r>
      <w:r>
        <w:rPr>
          <w:rFonts w:hint="eastAsia" w:ascii="仿宋_GB2312" w:eastAsia="仿宋_GB2312"/>
          <w:color w:val="000000"/>
          <w:sz w:val="32"/>
          <w:szCs w:val="32"/>
        </w:rPr>
        <w:t>一般公共预算支出情况表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hAnsi="Times New Roman" w:eastAsia="仿宋_GB2312" w:cs="仿宋_GB2312"/>
          <w:color w:val="000000"/>
          <w:sz w:val="32"/>
          <w:szCs w:val="32"/>
        </w:rPr>
        <w:t>六、</w:t>
      </w:r>
      <w:r>
        <w:rPr>
          <w:rFonts w:hint="eastAsia" w:ascii="仿宋_GB2312" w:eastAsia="仿宋_GB2312"/>
          <w:color w:val="000000"/>
          <w:sz w:val="32"/>
          <w:szCs w:val="32"/>
        </w:rPr>
        <w:t>一般公共预算基本支出情况表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eastAsia="仿宋_GB2312"/>
          <w:color w:val="000000"/>
          <w:sz w:val="32"/>
          <w:szCs w:val="32"/>
        </w:rPr>
        <w:t>七、一般公共预算项目支出情况表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eastAsia="仿宋_GB2312"/>
          <w:color w:val="000000"/>
          <w:sz w:val="32"/>
          <w:szCs w:val="32"/>
        </w:rPr>
        <w:t>八、一般公共预算“三公”经费支出情况表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hAnsi="Times New Roman" w:eastAsia="仿宋_GB2312" w:cs="仿宋_GB2312"/>
          <w:color w:val="000000"/>
          <w:sz w:val="32"/>
          <w:szCs w:val="32"/>
        </w:rPr>
        <w:t>九、</w:t>
      </w:r>
      <w:r>
        <w:rPr>
          <w:rFonts w:hint="eastAsia" w:ascii="仿宋_GB2312" w:eastAsia="仿宋_GB2312"/>
          <w:color w:val="000000"/>
          <w:sz w:val="32"/>
          <w:szCs w:val="32"/>
        </w:rPr>
        <w:t>政府性基金支出情况表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eastAsia="仿宋_GB2312"/>
          <w:color w:val="000000"/>
          <w:sz w:val="32"/>
          <w:szCs w:val="32"/>
        </w:rPr>
        <w:t>十、政府性基金项目支出情况表</w:t>
      </w:r>
    </w:p>
    <w:p>
      <w:pPr>
        <w:kinsoku w:val="0"/>
        <w:overflowPunct w:val="0"/>
        <w:adjustRightInd w:val="0"/>
        <w:snapToGrid w:val="0"/>
        <w:spacing w:line="574" w:lineRule="exact"/>
        <w:ind w:right="51" w:firstLine="960" w:firstLineChars="300"/>
        <w:rPr>
          <w:rFonts w:ascii="仿宋_GB2312" w:hAnsi="Times New Roman" w:eastAsia="仿宋_GB2312" w:cs="仿宋_GB2312"/>
          <w:color w:val="000000"/>
          <w:sz w:val="32"/>
          <w:szCs w:val="32"/>
        </w:rPr>
      </w:pPr>
      <w:r>
        <w:rPr>
          <w:rFonts w:hint="eastAsia" w:ascii="仿宋_GB2312" w:hAnsi="Times New Roman" w:eastAsia="仿宋_GB2312" w:cs="仿宋_GB2312"/>
          <w:color w:val="000000"/>
          <w:sz w:val="32"/>
          <w:szCs w:val="32"/>
        </w:rPr>
        <w:t>十一、国有资本经营收支表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eastAsia="仿宋_GB2312"/>
          <w:color w:val="000000"/>
          <w:sz w:val="32"/>
          <w:szCs w:val="32"/>
        </w:rPr>
        <w:t>十二、机关运行经费情况表</w:t>
      </w:r>
    </w:p>
    <w:p>
      <w:pPr>
        <w:kinsoku w:val="0"/>
        <w:overflowPunct w:val="0"/>
        <w:adjustRightInd w:val="0"/>
        <w:snapToGrid w:val="0"/>
        <w:spacing w:line="574" w:lineRule="exact"/>
        <w:ind w:right="51" w:firstLine="960" w:firstLineChars="300"/>
        <w:rPr>
          <w:rFonts w:ascii="仿宋_GB2312" w:eastAsia="仿宋_GB2312"/>
          <w:color w:val="000000"/>
          <w:sz w:val="32"/>
          <w:szCs w:val="32"/>
        </w:rPr>
      </w:pPr>
      <w:r>
        <w:rPr>
          <w:rFonts w:hint="eastAsia" w:ascii="仿宋_GB2312" w:eastAsia="仿宋_GB2312"/>
          <w:color w:val="000000"/>
          <w:sz w:val="32"/>
          <w:szCs w:val="32"/>
        </w:rPr>
        <w:t>十三、政府采购表</w:t>
      </w:r>
    </w:p>
    <w:p>
      <w:pPr>
        <w:adjustRightInd w:val="0"/>
        <w:snapToGrid w:val="0"/>
        <w:spacing w:line="574" w:lineRule="exact"/>
        <w:jc w:val="center"/>
        <w:rPr>
          <w:rFonts w:ascii="黑体" w:hAnsi="黑体" w:eastAsia="黑体"/>
          <w:color w:val="000000"/>
          <w:sz w:val="32"/>
          <w:szCs w:val="32"/>
        </w:rPr>
      </w:pPr>
      <w:r>
        <w:rPr>
          <w:rFonts w:hint="eastAsia" w:ascii="仿宋_GB2312" w:hAnsi="Times New Roman" w:eastAsia="仿宋_GB2312" w:cs="仿宋_GB2312"/>
          <w:color w:val="000000"/>
          <w:sz w:val="32"/>
          <w:szCs w:val="32"/>
        </w:rPr>
        <w:br w:type="page"/>
      </w:r>
      <w:r>
        <w:rPr>
          <w:rFonts w:hint="eastAsia" w:ascii="黑体" w:hAnsi="黑体" w:eastAsia="黑体"/>
          <w:color w:val="000000"/>
          <w:sz w:val="32"/>
          <w:szCs w:val="32"/>
        </w:rPr>
        <w:t>第一部分</w:t>
      </w:r>
    </w:p>
    <w:p>
      <w:pPr>
        <w:adjustRightInd w:val="0"/>
        <w:snapToGrid w:val="0"/>
        <w:spacing w:line="574" w:lineRule="exact"/>
        <w:jc w:val="center"/>
        <w:rPr>
          <w:rFonts w:ascii="黑体" w:hAnsi="黑体" w:eastAsia="黑体"/>
          <w:color w:val="000000"/>
          <w:sz w:val="32"/>
          <w:szCs w:val="32"/>
        </w:rPr>
      </w:pPr>
      <w:r>
        <w:rPr>
          <w:rFonts w:hint="eastAsia" w:ascii="黑体" w:hAnsi="黑体" w:eastAsia="黑体"/>
          <w:color w:val="000000"/>
          <w:sz w:val="32"/>
          <w:szCs w:val="32"/>
        </w:rPr>
        <w:t>中共新乡县委组织部概况</w:t>
      </w:r>
    </w:p>
    <w:p>
      <w:pPr>
        <w:adjustRightInd w:val="0"/>
        <w:snapToGrid w:val="0"/>
        <w:spacing w:line="574" w:lineRule="exact"/>
        <w:ind w:firstLine="640" w:firstLineChars="200"/>
        <w:jc w:val="center"/>
        <w:rPr>
          <w:rFonts w:ascii="黑体" w:hAnsi="黑体" w:eastAsia="黑体"/>
          <w:color w:val="000000"/>
          <w:sz w:val="32"/>
          <w:szCs w:val="32"/>
        </w:rPr>
      </w:pPr>
    </w:p>
    <w:p>
      <w:pPr>
        <w:numPr>
          <w:ilvl w:val="0"/>
          <w:numId w:val="1"/>
        </w:numPr>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中共新乡县委组织部主要职责</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中共新乡县委组织部机关内设6个内设机构：办公室、组织股、干部调配股、干部股、干部监督室，人才工作办公室。</w:t>
      </w:r>
    </w:p>
    <w:p>
      <w:pPr>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组织部下属3个单位：中共新乡县委党史研究室、中共新乡县委党员电化教育中心、新乡县史来贺干部教育培训中心。</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主要职责是：服务于党的政治路线和中心任务,是新时期</w:t>
      </w:r>
      <w:r>
        <w:fldChar w:fldCharType="begin"/>
      </w:r>
      <w:r>
        <w:instrText xml:space="preserve"> HYPERLINK "https://www.baidu.com/s?wd=%E5%85%9A%E7%9A%84%E7%BB%84%E7%BB%87%E5%B7%A5%E4%BD%9C&amp;tn=44039180_cpr&amp;fenlei=mv6quAkxTZn0IZRqIHckPjm4nH00T1YvuAcdPHw-PjIBPjR1nvn10ZwV5Hcvrjm3rH6sPfKWUMw85HfYnjn4nH6sgvPsT6KdThsqpZwYTjCEQLGCpyw9Uz4Bmy-bIi4WUvYETgN-TLwGUv3EP1fkn1f4P0" \t "_blank" </w:instrText>
      </w:r>
      <w:r>
        <w:fldChar w:fldCharType="separate"/>
      </w:r>
      <w:r>
        <w:rPr>
          <w:rFonts w:hint="eastAsia" w:ascii="仿宋_GB2312" w:hAnsi="仿宋_GB2312" w:eastAsia="仿宋_GB2312" w:cs="仿宋_GB2312"/>
          <w:sz w:val="32"/>
          <w:szCs w:val="32"/>
        </w:rPr>
        <w:t>党的组织工作</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的基本原则。组织部门作为具体负责</w:t>
      </w:r>
      <w:r>
        <w:fldChar w:fldCharType="begin"/>
      </w:r>
      <w:r>
        <w:instrText xml:space="preserve"> HYPERLINK "https://www.baidu.com/s?wd=%E5%85%9A%E7%9A%84%E7%BB%84%E7%BB%87%E5%B7%A5%E4%BD%9C&amp;tn=44039180_cpr&amp;fenlei=mv6quAkxTZn0IZRqIHckPjm4nH00T1YvuAcdPHw-PjIBPjR1nvn10ZwV5Hcvrjm3rH6sPfKWUMw85HfYnjn4nH6sgvPsT6KdThsqpZwYTjCEQLGCpyw9Uz4Bmy-bIi4WUvYETgN-TLwGUv3EP1fkn1f4P0" \t "_blank" </w:instrText>
      </w:r>
      <w:r>
        <w:fldChar w:fldCharType="separate"/>
      </w:r>
      <w:r>
        <w:rPr>
          <w:rFonts w:hint="eastAsia" w:ascii="仿宋_GB2312" w:hAnsi="仿宋_GB2312" w:eastAsia="仿宋_GB2312" w:cs="仿宋_GB2312"/>
          <w:sz w:val="32"/>
          <w:szCs w:val="32"/>
        </w:rPr>
        <w:t>党的组织工作</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t>的业务部门,其服务职能十分明显。具体表现在,一是在组织工作方面直接为党委服务;二是为广大干部、党员服务,人称“干部之家”、“党员之家”;三是通过完成组织工作任务,直接间接地为党的政治路线服务。</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一）拟定研究和指导全县党组织特别是党的基层组织的建设，探索各类新的经济组织中党组织的设置和活动方式；协调、规划和指导全县党员教育工作，主管党员的管理和发展共走，指导和组织新时期党的建设理论研究。</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二）提出各乡（镇）区和县直各单位以及其他列入县委管理的领导班子和领导干部的调整、配备的意见和建议；负责县委管理干部以及县委委托组织部管理干部的考察和办理任免、工资、待遇、离退休等有关具体工作；指导领导班子的思想作风建设；承办科级干部和组织部管理的干部调配、交流及团营级军队转业干部的安置事宜，负责因公出国（境）人员的政审工作。</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（三）贯彻执行中央和省委关于干部队伍建设的方针、政策，培养选拔优秀中青年干部，搞好后背干部队伍建设。</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（四）研究指导全县党的组织制度和干部人事制度的改革，制定或参与制定全县组织和干部人事工作的有关政策和制度。</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（五）负责全县组织工作和干部工作的督促检查，加强对全县选拔干部工作的监督，以及向县委反映重要情况，提出建议。</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（六）主管全县干部教育工作，制定全县干部教育规划和实施意见；负责县委管理干部、组织部部管干部及后备干部的培训工作。</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（七）贯彻落实党的知识分子政策，调查研究知识分子工作状况，指导、协调全县知识分子工作，负责县级专业技术拔尖人才的选拔管理工作，做好选派、配备科技副职工作。</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（八）做好全县组织和干部工作的宣传、信息和调研工作。</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（九）研究指导全县各级党群、人大、政协机关参照《国家公务员暂行条例》金星管理的工作，建立有关制度，探索适应各参照管理单位特点的人事管理制度。</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（十）负责全县退（离）休干部的宏观管理，组织协调、贯彻落实老干部工作政策规定（具体工作有县委老干部局承担）。</w:t>
      </w:r>
    </w:p>
    <w:p>
      <w:pPr>
        <w:ind w:firstLine="480" w:firstLineChars="150"/>
        <w:rPr>
          <w:rFonts w:ascii="仿宋_GB2312" w:hAnsi="仿宋_GB2312" w:eastAsia="仿宋_GB2312" w:cs="仿宋_GB2312"/>
          <w:sz w:val="32"/>
          <w:szCs w:val="32"/>
        </w:rPr>
      </w:pPr>
      <w:r>
        <w:rPr>
          <w:rFonts w:hint="eastAsia" w:ascii="仿宋_GB2312" w:hAnsi="仿宋_GB2312" w:eastAsia="仿宋_GB2312" w:cs="仿宋_GB2312"/>
          <w:sz w:val="32"/>
          <w:szCs w:val="32"/>
        </w:rPr>
        <w:t>（十一）完成县委以及上级组织部门交办的其他工作。</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根据上诉职责，县委组织部设6个职能股（室）。</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办公室</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主管机要、信访、文印、文书档案工作；负责信息、文字材料、督办检查、文电处理、机关保密工作；负责全县组织系统信息、信访等方面的指导工作；负责机关财务、会务、接待、车辆、保卫、医疗、卫生等执行后勤服务工作；协调部内各股（室）的有关业务工作；负责机关退离休人员的管理和服务工作；办理部领导交办的其他事项。</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组织股</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负责研究和指导全县党组织建设，规划和指导全县党的基层组织建设工作；研究和指导全县各级党组织及各类新经济组织中党组织的设置、管理和活动；承办县直部门和有关单位设立和撤销党组、党委的审批工作、承办跨乡（镇）、县直部门党组织改变领导关系的审批工作；研究和提出全县党的组织制度、党内生活制度建设的意见；承办县党代会和县党代会议的有关事项；参与县人大、县政协换届的有关工作；指导乡镇和县直属党委的换届选举工作和县级群众组织换届选举工作；研究和指导全县各级党组织党员领导干部民主生活会；负责研究和提出贯彻执行中央及省、市、县委有关党员队伍建设方针、政策的意见和措施、协调、规划、检查、指导全县党员教育工作；主管全县党员的管理和发展工作；负责全县党内状况的统计和党员组织关系及党籍，党费管理工作，负责全县党员因私出国（境）手续审批的指导、检查工作；指导全县农村基层干部培训及后备干部队伍建设工作。</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干部调配股</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研究、探索、制定干部人事制度的有关政策；负责审核办理县委管理的干部职务任免及工作、待遇、离退休的审批；负责办理县委协助市委管理的干部职务任免及工资、待遇、离退休的报批工作；负责向市委备案的干部职务任免的备案工作；承办县委管理的干部的调配、交流及安置工作；负责和协调军队转业干部的安置工作；办理出国境干部审核和备案手续；指导全县干部任免、调配工作；负责实施县委康干部的年度考核工作；负责参照国家工务官制度管理工作；负责、指导及协调全县干部的档案管理工作；负责干部统计和干部信息工作。</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干部股</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负责考察各乡镇、区、县直机关、事业单位、权重团体、县营企业领导班子和县委管理的干部，对上述领导班子的换届调整配备和县委管理干部的职务任免、交流、待遇和离退休等问题提出建议；料及掌握上述领导班子作风建设和民主生活会情况，并提出工作建议；会同有关部门做好女干部、费中共党员干部、少数民族干部的教育培养和选拔工作；参与县委与市直局委双重管理干部的任免和有关具体工作；组织建立全县科级后备干部名单，并负责进行考察了解，提出培养使用意见；负责全县股级干部的备案审核、宏观管理工作；负责研究和提出贯彻执行中央、省委、市委有关干部教育工作方针、政策的意见和措施，制定并组织实施全县干部培训规划；组织县委管理的干部和后备干部的培训；受（办）理全县反映纤维管理的领导干部问题的来信来访。</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干部监督室</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指导全县干部调查审理工作，制定干审工作规划、计划，并组织落实；负责县委管理的干部和部分老同事的党籍、党龄、单价工作时间的认定工作以及其他历史遗留问题；做好股级以上干部建国后参加工作时间的确定和更改工作；加强有关执法执纪、综合监督部门的联系啊，了解和掌握干部违法违纪情况，负责对县管干部的谈话、诫勉工作；承担对全县选拨任用干部工作的监督检查，负责公示情况的举报受理工作，落实干部离任审计制度；研究加强乡（科）级领导干部的监督检查；探索新时期干部监督管理的新思路，做好干部监督的调研工作，使干部监督工作逐步走向规范化、制度化。</w:t>
      </w:r>
    </w:p>
    <w:p>
      <w:pPr>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人才工作办公室</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落实中央、省委、市委知识分子政策，对全县知识分子状况进行调查研究，提出工作建议；选拔、管理具有专业技术拔尖人才，并组织开展活动；协助市委管理好市级拔尖人才；指导全县知识人资工作和培养青年科技人才；宏观指导、协调、选派、配备科技副职工作；负责制定或参与制定全县知识分子政策和规定。 </w:t>
      </w:r>
    </w:p>
    <w:p>
      <w:pPr>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二、中共新乡县委组织部预算单位构成</w:t>
      </w:r>
    </w:p>
    <w:p>
      <w:pPr>
        <w:kinsoku w:val="0"/>
        <w:overflowPunct w:val="0"/>
        <w:autoSpaceDE w:val="0"/>
        <w:autoSpaceDN w:val="0"/>
        <w:adjustRightInd w:val="0"/>
        <w:snapToGrid w:val="0"/>
        <w:spacing w:line="574" w:lineRule="exact"/>
        <w:ind w:firstLine="480" w:firstLineChars="15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中共新乡县委组织部</w:t>
      </w:r>
      <w:r>
        <w:rPr>
          <w:rFonts w:hint="eastAsia" w:ascii="仿宋_GB2312" w:hAnsi="仿宋_GB2312" w:eastAsia="仿宋_GB2312" w:cs="仿宋_GB2312"/>
          <w:color w:val="000000"/>
          <w:spacing w:val="2"/>
          <w:sz w:val="32"/>
          <w:szCs w:val="32"/>
        </w:rPr>
        <w:t>部门</w:t>
      </w:r>
      <w:r>
        <w:rPr>
          <w:rFonts w:hint="eastAsia" w:ascii="仿宋_GB2312" w:hAnsi="仿宋_GB2312" w:eastAsia="仿宋_GB2312" w:cs="仿宋_GB2312"/>
          <w:color w:val="000000"/>
          <w:sz w:val="32"/>
          <w:szCs w:val="32"/>
        </w:rPr>
        <w:t>预算</w:t>
      </w:r>
      <w:r>
        <w:rPr>
          <w:rFonts w:hint="eastAsia" w:ascii="仿宋_GB2312" w:hAnsi="仿宋_GB2312" w:eastAsia="仿宋_GB2312" w:cs="仿宋_GB2312"/>
          <w:color w:val="000000"/>
          <w:spacing w:val="2"/>
          <w:sz w:val="32"/>
          <w:szCs w:val="32"/>
        </w:rPr>
        <w:t>包括</w:t>
      </w:r>
      <w:r>
        <w:rPr>
          <w:rFonts w:hint="eastAsia" w:ascii="仿宋_GB2312" w:hAnsi="仿宋_GB2312" w:eastAsia="仿宋_GB2312" w:cs="仿宋_GB2312"/>
          <w:color w:val="000000"/>
          <w:sz w:val="32"/>
          <w:szCs w:val="32"/>
        </w:rPr>
        <w:t>局</w:t>
      </w:r>
      <w:r>
        <w:rPr>
          <w:rFonts w:hint="eastAsia" w:ascii="仿宋_GB2312" w:hAnsi="仿宋_GB2312" w:eastAsia="仿宋_GB2312" w:cs="仿宋_GB2312"/>
          <w:color w:val="000000"/>
          <w:spacing w:val="2"/>
          <w:sz w:val="32"/>
          <w:szCs w:val="32"/>
        </w:rPr>
        <w:t>机关本级</w:t>
      </w:r>
      <w:r>
        <w:rPr>
          <w:rFonts w:hint="eastAsia" w:ascii="仿宋_GB2312" w:hAnsi="仿宋_GB2312" w:eastAsia="仿宋_GB2312" w:cs="仿宋_GB2312"/>
          <w:color w:val="000000"/>
          <w:spacing w:val="-1"/>
          <w:sz w:val="32"/>
          <w:szCs w:val="32"/>
        </w:rPr>
        <w:t>预算</w:t>
      </w:r>
      <w:r>
        <w:rPr>
          <w:rFonts w:hint="eastAsia" w:ascii="仿宋_GB2312" w:hAnsi="仿宋_GB2312" w:eastAsia="仿宋_GB2312" w:cs="仿宋_GB2312"/>
          <w:sz w:val="32"/>
          <w:szCs w:val="32"/>
        </w:rPr>
        <w:t>。</w:t>
      </w:r>
    </w:p>
    <w:p>
      <w:pPr>
        <w:numPr>
          <w:ilvl w:val="0"/>
          <w:numId w:val="2"/>
        </w:numPr>
        <w:adjustRightInd w:val="0"/>
        <w:snapToGrid w:val="0"/>
        <w:spacing w:line="574" w:lineRule="exact"/>
        <w:ind w:firstLine="645"/>
        <w:rPr>
          <w:rFonts w:ascii="黑体" w:hAnsi="黑体" w:eastAsia="黑体" w:cs="仿宋_GB2312"/>
          <w:color w:val="000000"/>
          <w:sz w:val="32"/>
          <w:szCs w:val="32"/>
        </w:rPr>
      </w:pPr>
      <w:r>
        <w:rPr>
          <w:rFonts w:hint="eastAsia" w:ascii="黑体" w:hAnsi="黑体" w:eastAsia="黑体" w:cs="仿宋_GB2312"/>
          <w:color w:val="000000"/>
          <w:sz w:val="32"/>
          <w:szCs w:val="32"/>
        </w:rPr>
        <w:t>部门人员编制总体情况</w:t>
      </w:r>
    </w:p>
    <w:p>
      <w:pPr>
        <w:adjustRightInd w:val="0"/>
        <w:snapToGrid w:val="0"/>
        <w:spacing w:line="574" w:lineRule="exact"/>
        <w:ind w:firstLine="480" w:firstLineChars="15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总编制人数27人，在职实有人数66人，其中：行政编制21人、事业编制27人；离退休人员18人，其中：离休8人、退休10人。</w:t>
      </w:r>
    </w:p>
    <w:p>
      <w:pPr>
        <w:adjustRightInd w:val="0"/>
        <w:snapToGrid w:val="0"/>
        <w:spacing w:line="574" w:lineRule="exact"/>
        <w:jc w:val="center"/>
        <w:rPr>
          <w:rFonts w:ascii="仿宋_GB2312" w:hAnsi="仿宋_GB2312" w:eastAsia="仿宋_GB2312" w:cs="仿宋_GB2312"/>
          <w:color w:val="000000"/>
          <w:sz w:val="32"/>
          <w:szCs w:val="32"/>
        </w:rPr>
      </w:pPr>
    </w:p>
    <w:p>
      <w:pPr>
        <w:adjustRightInd w:val="0"/>
        <w:snapToGrid w:val="0"/>
        <w:spacing w:line="574" w:lineRule="exact"/>
        <w:jc w:val="center"/>
        <w:rPr>
          <w:rFonts w:ascii="黑体" w:hAnsi="黑体" w:eastAsia="黑体" w:cs="仿宋_GB2312"/>
          <w:color w:val="000000"/>
          <w:sz w:val="32"/>
          <w:szCs w:val="32"/>
        </w:rPr>
      </w:pPr>
    </w:p>
    <w:p>
      <w:pPr>
        <w:adjustRightInd w:val="0"/>
        <w:snapToGrid w:val="0"/>
        <w:spacing w:line="574" w:lineRule="exact"/>
        <w:jc w:val="center"/>
        <w:rPr>
          <w:rFonts w:hint="eastAsia" w:ascii="黑体" w:hAnsi="黑体" w:eastAsia="黑体" w:cs="仿宋_GB2312"/>
          <w:color w:val="000000"/>
          <w:sz w:val="32"/>
          <w:szCs w:val="32"/>
        </w:rPr>
      </w:pPr>
    </w:p>
    <w:p>
      <w:pPr>
        <w:adjustRightInd w:val="0"/>
        <w:snapToGrid w:val="0"/>
        <w:spacing w:line="574" w:lineRule="exact"/>
        <w:jc w:val="center"/>
        <w:rPr>
          <w:rFonts w:hint="eastAsia" w:ascii="黑体" w:hAnsi="黑体" w:eastAsia="黑体" w:cs="仿宋_GB2312"/>
          <w:color w:val="000000"/>
          <w:sz w:val="32"/>
          <w:szCs w:val="32"/>
        </w:rPr>
      </w:pPr>
    </w:p>
    <w:p>
      <w:pPr>
        <w:adjustRightInd w:val="0"/>
        <w:snapToGrid w:val="0"/>
        <w:spacing w:line="574" w:lineRule="exact"/>
        <w:jc w:val="center"/>
        <w:rPr>
          <w:rFonts w:hint="eastAsia" w:ascii="黑体" w:hAnsi="黑体" w:eastAsia="黑体" w:cs="仿宋_GB2312"/>
          <w:color w:val="000000"/>
          <w:sz w:val="32"/>
          <w:szCs w:val="32"/>
        </w:rPr>
      </w:pPr>
    </w:p>
    <w:p>
      <w:pPr>
        <w:adjustRightInd w:val="0"/>
        <w:snapToGrid w:val="0"/>
        <w:spacing w:line="574" w:lineRule="exact"/>
        <w:jc w:val="center"/>
        <w:rPr>
          <w:rFonts w:hint="eastAsia" w:ascii="黑体" w:hAnsi="黑体" w:eastAsia="黑体" w:cs="仿宋_GB2312"/>
          <w:color w:val="000000"/>
          <w:sz w:val="32"/>
          <w:szCs w:val="32"/>
        </w:rPr>
      </w:pPr>
    </w:p>
    <w:p>
      <w:pPr>
        <w:adjustRightInd w:val="0"/>
        <w:snapToGrid w:val="0"/>
        <w:spacing w:line="574" w:lineRule="exact"/>
        <w:jc w:val="center"/>
        <w:rPr>
          <w:rFonts w:hint="eastAsia" w:ascii="黑体" w:hAnsi="黑体" w:eastAsia="黑体" w:cs="仿宋_GB2312"/>
          <w:color w:val="000000"/>
          <w:sz w:val="32"/>
          <w:szCs w:val="32"/>
        </w:rPr>
      </w:pPr>
    </w:p>
    <w:p>
      <w:pPr>
        <w:adjustRightInd w:val="0"/>
        <w:snapToGrid w:val="0"/>
        <w:spacing w:line="574" w:lineRule="exact"/>
        <w:jc w:val="center"/>
        <w:rPr>
          <w:rFonts w:hint="eastAsia" w:ascii="黑体" w:hAnsi="黑体" w:eastAsia="黑体" w:cs="仿宋_GB2312"/>
          <w:color w:val="000000"/>
          <w:sz w:val="32"/>
          <w:szCs w:val="32"/>
        </w:rPr>
      </w:pPr>
    </w:p>
    <w:p>
      <w:pPr>
        <w:adjustRightInd w:val="0"/>
        <w:snapToGrid w:val="0"/>
        <w:spacing w:line="574" w:lineRule="exact"/>
        <w:jc w:val="center"/>
        <w:rPr>
          <w:rFonts w:ascii="黑体" w:hAnsi="黑体" w:eastAsia="黑体" w:cs="仿宋_GB2312"/>
          <w:color w:val="000000"/>
          <w:sz w:val="32"/>
          <w:szCs w:val="32"/>
        </w:rPr>
      </w:pPr>
      <w:r>
        <w:rPr>
          <w:rFonts w:hint="eastAsia" w:ascii="黑体" w:hAnsi="黑体" w:eastAsia="黑体" w:cs="仿宋_GB2312"/>
          <w:color w:val="000000"/>
          <w:sz w:val="32"/>
          <w:szCs w:val="32"/>
        </w:rPr>
        <w:t>第二部分</w:t>
      </w:r>
    </w:p>
    <w:p>
      <w:pPr>
        <w:adjustRightInd w:val="0"/>
        <w:snapToGrid w:val="0"/>
        <w:spacing w:line="574" w:lineRule="exact"/>
        <w:jc w:val="center"/>
        <w:rPr>
          <w:rFonts w:ascii="仿宋_GB2312" w:hAnsi="仿宋_GB2312" w:eastAsia="仿宋_GB2312" w:cs="仿宋_GB2312"/>
          <w:color w:val="000000"/>
          <w:spacing w:val="-38"/>
          <w:sz w:val="32"/>
          <w:szCs w:val="32"/>
        </w:rPr>
      </w:pPr>
    </w:p>
    <w:p>
      <w:pPr>
        <w:adjustRightInd w:val="0"/>
        <w:snapToGrid w:val="0"/>
        <w:spacing w:line="574" w:lineRule="exact"/>
        <w:jc w:val="center"/>
        <w:rPr>
          <w:rFonts w:ascii="黑体" w:hAnsi="黑体" w:eastAsia="黑体" w:cs="仿宋_GB2312"/>
          <w:color w:val="000000"/>
          <w:sz w:val="32"/>
          <w:szCs w:val="32"/>
        </w:rPr>
      </w:pPr>
      <w:r>
        <w:rPr>
          <w:rFonts w:hint="eastAsia" w:ascii="黑体" w:hAnsi="黑体" w:eastAsia="黑体" w:cs="仿宋_GB2312"/>
          <w:color w:val="000000"/>
          <w:sz w:val="32"/>
          <w:szCs w:val="32"/>
        </w:rPr>
        <w:t>中共新乡县委组织部2020年度部门预算情况说明</w:t>
      </w:r>
    </w:p>
    <w:p>
      <w:pPr>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一、收入支出预算总体情况说明</w:t>
      </w:r>
    </w:p>
    <w:p>
      <w:pPr>
        <w:shd w:val="clear" w:color="auto" w:fill="FFFFFF"/>
        <w:adjustRightInd w:val="0"/>
        <w:snapToGrid w:val="0"/>
        <w:spacing w:line="574" w:lineRule="exact"/>
        <w:ind w:firstLine="636"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1"/>
          <w:sz w:val="32"/>
          <w:szCs w:val="32"/>
        </w:rPr>
        <w:t>中共新乡县委组织部2</w:t>
      </w:r>
      <w:r>
        <w:rPr>
          <w:rFonts w:hint="eastAsia" w:ascii="仿宋_GB2312" w:hAnsi="仿宋_GB2312" w:eastAsia="仿宋_GB2312" w:cs="仿宋_GB2312"/>
          <w:color w:val="000000"/>
          <w:sz w:val="32"/>
          <w:szCs w:val="32"/>
        </w:rPr>
        <w:t>020年收入总计3432.49万元，支出总计3432.49万元，与2019年相比，收、支总计各减少48.9万元，减少0.04%。</w:t>
      </w:r>
      <w:r>
        <w:rPr>
          <w:rFonts w:hint="eastAsia" w:ascii="仿宋" w:hAnsi="仿宋" w:eastAsia="仿宋" w:cs="Courier New"/>
          <w:sz w:val="32"/>
          <w:szCs w:val="32"/>
        </w:rPr>
        <w:t>主要原因是：</w:t>
      </w:r>
      <w:r>
        <w:rPr>
          <w:rFonts w:hint="eastAsia" w:ascii="仿宋_GB2312" w:eastAsia="仿宋_GB2312" w:cs="Courier New"/>
          <w:sz w:val="32"/>
          <w:szCs w:val="32"/>
          <w:lang w:eastAsia="zh-CN"/>
        </w:rPr>
        <w:t>人员调整及办公费减少</w:t>
      </w:r>
      <w:r>
        <w:rPr>
          <w:rFonts w:hint="eastAsia" w:ascii="仿宋" w:hAnsi="仿宋" w:eastAsia="仿宋" w:cs="Courier New"/>
          <w:sz w:val="32"/>
          <w:szCs w:val="32"/>
        </w:rPr>
        <w:t>。</w:t>
      </w:r>
    </w:p>
    <w:p>
      <w:pPr>
        <w:adjustRightInd w:val="0"/>
        <w:snapToGrid w:val="0"/>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仿宋_GB2312"/>
          <w:color w:val="000000"/>
          <w:sz w:val="32"/>
          <w:szCs w:val="32"/>
        </w:rPr>
        <w:t>二、收入预算总体情况说明</w:t>
      </w:r>
    </w:p>
    <w:p>
      <w:pPr>
        <w:spacing w:line="574" w:lineRule="exact"/>
        <w:ind w:firstLine="636"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1"/>
          <w:sz w:val="32"/>
          <w:szCs w:val="32"/>
        </w:rPr>
        <w:t>中共新乡县委组织部</w:t>
      </w:r>
      <w:r>
        <w:rPr>
          <w:rFonts w:hint="eastAsia" w:ascii="仿宋_GB2312" w:hAnsi="仿宋_GB2312" w:eastAsia="仿宋_GB2312" w:cs="仿宋_GB2312"/>
          <w:color w:val="000000"/>
          <w:sz w:val="32"/>
          <w:szCs w:val="32"/>
        </w:rPr>
        <w:t>2020年收入合计3432.49万元，其中：一般公共预算3403.3万元;一般公共预算结余结转29.19万元。</w:t>
      </w:r>
    </w:p>
    <w:p>
      <w:pPr>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三、支出预算总体情况说明</w:t>
      </w:r>
    </w:p>
    <w:p>
      <w:pPr>
        <w:spacing w:line="574" w:lineRule="exact"/>
        <w:ind w:firstLine="636"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1"/>
          <w:sz w:val="32"/>
          <w:szCs w:val="32"/>
        </w:rPr>
        <w:t>中共新乡县委组织部</w:t>
      </w:r>
      <w:r>
        <w:rPr>
          <w:rFonts w:hint="eastAsia" w:ascii="仿宋_GB2312" w:hAnsi="仿宋_GB2312" w:eastAsia="仿宋_GB2312" w:cs="仿宋_GB2312"/>
          <w:color w:val="000000"/>
          <w:sz w:val="32"/>
          <w:szCs w:val="32"/>
        </w:rPr>
        <w:t>2020年支出合计3432.49万元，其中：基本支出659.3万元，占19%；项目支出2773.19万元，占81%。</w:t>
      </w:r>
    </w:p>
    <w:p>
      <w:pPr>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四、财政拨款收入支出预算总体情况说明</w:t>
      </w:r>
    </w:p>
    <w:p>
      <w:pPr>
        <w:shd w:val="clear" w:color="auto" w:fill="FFFFFF"/>
        <w:adjustRightInd w:val="0"/>
        <w:snapToGrid w:val="0"/>
        <w:spacing w:line="574" w:lineRule="exact"/>
        <w:ind w:firstLine="636"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pacing w:val="-1"/>
          <w:sz w:val="32"/>
          <w:szCs w:val="32"/>
        </w:rPr>
        <w:t>中共新乡县委组织部</w:t>
      </w:r>
      <w:r>
        <w:rPr>
          <w:rFonts w:hint="eastAsia" w:ascii="仿宋_GB2312" w:hAnsi="仿宋_GB2312" w:eastAsia="仿宋_GB2312" w:cs="仿宋_GB2312"/>
          <w:color w:val="000000"/>
          <w:sz w:val="32"/>
          <w:szCs w:val="32"/>
        </w:rPr>
        <w:t>2020年财政拨款收支预算3403.3万元，其中，一般公共预算3403.3万元，政府性基金预算0万元。与2019年相比，减少13%。</w:t>
      </w:r>
      <w:r>
        <w:rPr>
          <w:rFonts w:hint="eastAsia" w:ascii="仿宋" w:hAnsi="仿宋" w:eastAsia="仿宋" w:cs="Courier New"/>
          <w:sz w:val="32"/>
          <w:szCs w:val="32"/>
        </w:rPr>
        <w:t>主要原因是：</w:t>
      </w:r>
      <w:r>
        <w:rPr>
          <w:rFonts w:hint="eastAsia" w:ascii="仿宋_GB2312" w:eastAsia="仿宋_GB2312" w:cs="Courier New"/>
          <w:sz w:val="32"/>
          <w:szCs w:val="32"/>
          <w:lang w:eastAsia="zh-CN"/>
        </w:rPr>
        <w:t>人员调整及办公费减少</w:t>
      </w:r>
      <w:r>
        <w:rPr>
          <w:rFonts w:hint="eastAsia" w:ascii="仿宋" w:hAnsi="仿宋" w:eastAsia="仿宋" w:cs="Courier New"/>
          <w:sz w:val="32"/>
          <w:szCs w:val="32"/>
        </w:rPr>
        <w:t>。</w:t>
      </w:r>
    </w:p>
    <w:p>
      <w:pPr>
        <w:adjustRightInd w:val="0"/>
        <w:snapToGrid w:val="0"/>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w:t>
      </w:r>
      <w:r>
        <w:rPr>
          <w:rFonts w:hint="eastAsia" w:ascii="黑体" w:hAnsi="黑体" w:eastAsia="黑体" w:cs="仿宋_GB2312"/>
          <w:color w:val="000000"/>
          <w:sz w:val="32"/>
          <w:szCs w:val="32"/>
        </w:rPr>
        <w:t>五、一般公共预算支出预算情况说明</w:t>
      </w:r>
    </w:p>
    <w:p>
      <w:pPr>
        <w:spacing w:line="574"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我单位</w:t>
      </w:r>
      <w:r>
        <w:rPr>
          <w:rFonts w:hint="eastAsia" w:ascii="仿宋_GB2312" w:hAnsi="仿宋_GB2312" w:eastAsia="仿宋_GB2312" w:cs="仿宋_GB2312"/>
          <w:sz w:val="32"/>
          <w:szCs w:val="32"/>
          <w:highlight w:val="none"/>
        </w:rPr>
        <w:t>2020年一般公共预算支出年初预算为</w:t>
      </w:r>
      <w:r>
        <w:rPr>
          <w:rFonts w:hint="eastAsia" w:ascii="仿宋_GB2312" w:hAnsi="仿宋_GB2312" w:eastAsia="仿宋_GB2312" w:cs="仿宋_GB2312"/>
          <w:color w:val="000000" w:themeColor="text1"/>
          <w:sz w:val="32"/>
          <w:szCs w:val="32"/>
          <w:highlight w:val="none"/>
          <w:lang w:val="en-US" w:eastAsia="zh-CN"/>
        </w:rPr>
        <w:t>3403.3</w:t>
      </w:r>
      <w:r>
        <w:rPr>
          <w:rFonts w:hint="eastAsia" w:ascii="仿宋_GB2312" w:hAnsi="仿宋_GB2312" w:eastAsia="仿宋_GB2312" w:cs="仿宋_GB2312"/>
          <w:sz w:val="32"/>
          <w:szCs w:val="32"/>
          <w:highlight w:val="none"/>
        </w:rPr>
        <w:t>万元。主要用于以下方面：一般公共服务(类)支出</w:t>
      </w:r>
      <w:r>
        <w:rPr>
          <w:rFonts w:hint="eastAsia" w:ascii="仿宋_GB2312" w:hAnsi="仿宋_GB2312" w:eastAsia="仿宋_GB2312" w:cs="仿宋_GB2312"/>
          <w:sz w:val="32"/>
          <w:szCs w:val="32"/>
          <w:highlight w:val="none"/>
          <w:lang w:val="en-US" w:eastAsia="zh-CN"/>
        </w:rPr>
        <w:t>1453.38</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en-US" w:eastAsia="zh-CN"/>
        </w:rPr>
        <w:t>42.7</w:t>
      </w:r>
      <w:r>
        <w:rPr>
          <w:rFonts w:hint="eastAsia" w:ascii="仿宋_GB2312" w:hAnsi="仿宋_GB2312" w:eastAsia="仿宋_GB2312" w:cs="仿宋_GB2312"/>
          <w:sz w:val="32"/>
          <w:szCs w:val="32"/>
          <w:highlight w:val="none"/>
        </w:rPr>
        <w:t>%；其中：一般公共服务（类）</w:t>
      </w:r>
      <w:r>
        <w:rPr>
          <w:rFonts w:hint="eastAsia" w:ascii="仿宋_GB2312" w:hAnsi="仿宋_GB2312" w:eastAsia="仿宋_GB2312" w:cs="仿宋_GB2312"/>
          <w:sz w:val="32"/>
          <w:szCs w:val="32"/>
          <w:highlight w:val="none"/>
          <w:lang w:eastAsia="zh-CN"/>
        </w:rPr>
        <w:t>组织事务</w:t>
      </w:r>
      <w:r>
        <w:rPr>
          <w:rFonts w:hint="eastAsia" w:ascii="仿宋_GB2312" w:hAnsi="仿宋_GB2312" w:eastAsia="仿宋_GB2312" w:cs="仿宋_GB2312"/>
          <w:sz w:val="32"/>
          <w:szCs w:val="32"/>
          <w:highlight w:val="none"/>
        </w:rPr>
        <w:t>（款）行政运行（项）科目代码</w:t>
      </w:r>
      <w:r>
        <w:rPr>
          <w:rFonts w:hint="eastAsia" w:ascii="仿宋_GB2312" w:hAnsi="仿宋_GB2312" w:eastAsia="仿宋_GB2312" w:cs="仿宋_GB2312"/>
          <w:sz w:val="32"/>
          <w:szCs w:val="32"/>
          <w:highlight w:val="none"/>
          <w:lang w:val="en-US" w:eastAsia="zh-CN"/>
        </w:rPr>
        <w:t>2013201</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423.98</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一般公共服务（类）</w:t>
      </w:r>
      <w:r>
        <w:rPr>
          <w:rFonts w:hint="eastAsia" w:ascii="仿宋_GB2312" w:hAnsi="仿宋_GB2312" w:eastAsia="仿宋_GB2312" w:cs="仿宋_GB2312"/>
          <w:sz w:val="32"/>
          <w:szCs w:val="32"/>
          <w:highlight w:val="none"/>
          <w:lang w:eastAsia="zh-CN"/>
        </w:rPr>
        <w:t>组织事务</w:t>
      </w:r>
      <w:r>
        <w:rPr>
          <w:rFonts w:hint="eastAsia" w:ascii="仿宋_GB2312" w:hAnsi="仿宋_GB2312" w:eastAsia="仿宋_GB2312" w:cs="仿宋_GB2312"/>
          <w:sz w:val="32"/>
          <w:szCs w:val="32"/>
          <w:highlight w:val="none"/>
        </w:rPr>
        <w:t>（款）一般行政管理事务（项）科目代码</w:t>
      </w:r>
      <w:r>
        <w:rPr>
          <w:rFonts w:hint="eastAsia" w:ascii="仿宋_GB2312" w:hAnsi="仿宋_GB2312" w:eastAsia="仿宋_GB2312" w:cs="仿宋_GB2312"/>
          <w:sz w:val="32"/>
          <w:szCs w:val="32"/>
          <w:highlight w:val="none"/>
          <w:lang w:val="en-US" w:eastAsia="zh-CN"/>
        </w:rPr>
        <w:t>2013202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1029.4</w:t>
      </w:r>
      <w:r>
        <w:rPr>
          <w:rFonts w:hint="eastAsia" w:ascii="仿宋_GB2312" w:hAnsi="仿宋_GB2312" w:eastAsia="仿宋_GB2312" w:cs="仿宋_GB2312"/>
          <w:sz w:val="32"/>
          <w:szCs w:val="32"/>
          <w:highlight w:val="none"/>
        </w:rPr>
        <w:t>万元</w:t>
      </w:r>
      <w:r>
        <w:rPr>
          <w:rFonts w:hint="eastAsia" w:ascii="仿宋_GB2312" w:hAnsi="仿宋_GB2312" w:eastAsia="仿宋_GB2312" w:cs="仿宋_GB2312"/>
          <w:sz w:val="32"/>
          <w:szCs w:val="32"/>
          <w:highlight w:val="none"/>
          <w:lang w:eastAsia="zh-CN"/>
        </w:rPr>
        <w:t>；行政事业单位养老支出</w:t>
      </w:r>
      <w:r>
        <w:rPr>
          <w:rFonts w:hint="eastAsia" w:ascii="仿宋_GB2312" w:hAnsi="仿宋_GB2312" w:eastAsia="仿宋_GB2312" w:cs="仿宋_GB2312"/>
          <w:sz w:val="32"/>
          <w:szCs w:val="32"/>
          <w:highlight w:val="none"/>
          <w:lang w:val="en-US" w:eastAsia="zh-CN"/>
        </w:rPr>
        <w:t>166.85万元，占4.9%</w:t>
      </w:r>
      <w:r>
        <w:rPr>
          <w:rFonts w:hint="eastAsia" w:ascii="仿宋_GB2312" w:hAnsi="仿宋_GB2312" w:eastAsia="仿宋_GB2312" w:cs="仿宋_GB2312"/>
          <w:sz w:val="32"/>
          <w:szCs w:val="32"/>
          <w:highlight w:val="none"/>
          <w:lang w:eastAsia="zh-CN"/>
        </w:rPr>
        <w:t>其中：社会保障和就业（类）行政事业养老保险支出（款）机关事业养老保险支出（</w:t>
      </w:r>
      <w:r>
        <w:rPr>
          <w:rFonts w:hint="eastAsia" w:ascii="仿宋_GB2312" w:hAnsi="仿宋_GB2312" w:eastAsia="仿宋_GB2312" w:cs="仿宋_GB2312"/>
          <w:sz w:val="32"/>
          <w:szCs w:val="32"/>
          <w:highlight w:val="none"/>
          <w:lang w:val="en-US" w:eastAsia="zh-CN"/>
        </w:rPr>
        <w:t>2080501</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88.53万元；</w:t>
      </w:r>
      <w:r>
        <w:rPr>
          <w:rFonts w:hint="eastAsia" w:ascii="仿宋_GB2312" w:hAnsi="仿宋_GB2312" w:eastAsia="仿宋_GB2312" w:cs="仿宋_GB2312"/>
          <w:sz w:val="32"/>
          <w:szCs w:val="32"/>
          <w:highlight w:val="none"/>
          <w:lang w:eastAsia="zh-CN"/>
        </w:rPr>
        <w:t>社会保障和就业（类）行政事业养老保险支出（款）机关事业养老保险支出（</w:t>
      </w:r>
      <w:r>
        <w:rPr>
          <w:rFonts w:hint="eastAsia" w:ascii="仿宋_GB2312" w:hAnsi="仿宋_GB2312" w:eastAsia="仿宋_GB2312" w:cs="仿宋_GB2312"/>
          <w:sz w:val="32"/>
          <w:szCs w:val="32"/>
          <w:highlight w:val="none"/>
          <w:lang w:val="en-US" w:eastAsia="zh-CN"/>
        </w:rPr>
        <w:t>2080505</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47.01万元；</w:t>
      </w:r>
      <w:r>
        <w:rPr>
          <w:rFonts w:hint="eastAsia" w:ascii="仿宋_GB2312" w:hAnsi="仿宋_GB2312" w:eastAsia="仿宋_GB2312" w:cs="仿宋_GB2312"/>
          <w:sz w:val="32"/>
          <w:szCs w:val="32"/>
          <w:highlight w:val="none"/>
          <w:lang w:eastAsia="zh-CN"/>
        </w:rPr>
        <w:t>社会保障和就业支出（类）抚恤（款）死亡抚恤（项）项目代码</w:t>
      </w:r>
      <w:r>
        <w:rPr>
          <w:rFonts w:hint="eastAsia" w:ascii="仿宋_GB2312" w:hAnsi="仿宋_GB2312" w:eastAsia="仿宋_GB2312" w:cs="仿宋_GB2312"/>
          <w:sz w:val="32"/>
          <w:szCs w:val="32"/>
          <w:highlight w:val="none"/>
          <w:lang w:val="en-US" w:eastAsia="zh-CN"/>
        </w:rPr>
        <w:t>2080801:24.09万元；</w:t>
      </w:r>
      <w:r>
        <w:rPr>
          <w:rFonts w:hint="eastAsia" w:ascii="仿宋_GB2312" w:hAnsi="仿宋_GB2312" w:eastAsia="仿宋_GB2312" w:cs="仿宋_GB2312"/>
          <w:sz w:val="32"/>
          <w:szCs w:val="32"/>
          <w:highlight w:val="none"/>
          <w:lang w:eastAsia="zh-CN"/>
        </w:rPr>
        <w:t>社会保障和就业支出（类）抚恤（款）其他优抚支出（项）科目代码</w:t>
      </w:r>
      <w:r>
        <w:rPr>
          <w:rFonts w:hint="eastAsia" w:ascii="仿宋_GB2312" w:hAnsi="仿宋_GB2312" w:eastAsia="仿宋_GB2312" w:cs="仿宋_GB2312"/>
          <w:sz w:val="32"/>
          <w:szCs w:val="32"/>
          <w:highlight w:val="none"/>
          <w:lang w:val="en-US" w:eastAsia="zh-CN"/>
        </w:rPr>
        <w:t>2080899：4.79万元；</w:t>
      </w:r>
      <w:r>
        <w:rPr>
          <w:rFonts w:hint="eastAsia" w:ascii="仿宋_GB2312" w:hAnsi="仿宋_GB2312" w:eastAsia="仿宋_GB2312" w:cs="仿宋_GB2312"/>
          <w:sz w:val="32"/>
          <w:szCs w:val="32"/>
          <w:highlight w:val="none"/>
          <w:lang w:eastAsia="zh-CN"/>
        </w:rPr>
        <w:t>社会保障和就业支出（类）其他社会保障和就业支出（款）其他社会保障和就业支出（项）科目代码</w:t>
      </w:r>
      <w:r>
        <w:rPr>
          <w:rFonts w:hint="eastAsia" w:ascii="仿宋_GB2312" w:hAnsi="仿宋_GB2312" w:eastAsia="仿宋_GB2312" w:cs="仿宋_GB2312"/>
          <w:sz w:val="32"/>
          <w:szCs w:val="32"/>
          <w:highlight w:val="none"/>
          <w:lang w:val="en-US" w:eastAsia="zh-CN"/>
        </w:rPr>
        <w:t>2089901:2.43万元；卫生健康支出17.63万元，占0.51%，其中：卫生健康支出（类）行政事业单位医疗（款）医疗保险（项）2101101：17.63万元；住房保障支出26.44万元，占0.78%，其中住房保障支出（类）住房改革支出（款）住房公积金（项）2210201：26.44万元；农林水支出1739，占51.1%，其中：农林水支出（类）农村综合改革（款）对村民委员会和村党支部的补助（项）2130705：1739万元。</w:t>
      </w:r>
    </w:p>
    <w:p>
      <w:pPr>
        <w:spacing w:line="574" w:lineRule="exact"/>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我单位年初预算中无专项转移支付。</w:t>
      </w:r>
    </w:p>
    <w:p>
      <w:pPr>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六、一般公共预算基本支出预算情况说明</w:t>
      </w:r>
    </w:p>
    <w:p>
      <w:pPr>
        <w:widowControl/>
        <w:spacing w:line="360" w:lineRule="auto"/>
        <w:ind w:firstLine="640" w:firstLineChars="200"/>
        <w:jc w:val="left"/>
        <w:rPr>
          <w:rFonts w:hint="eastAsia" w:ascii="仿宋_GB2312" w:hAnsi="仿宋_GB2312" w:eastAsia="仿宋_GB2312" w:cs="仿宋_GB2312"/>
          <w:color w:val="000000"/>
          <w:kern w:val="0"/>
          <w:sz w:val="32"/>
          <w:szCs w:val="32"/>
          <w:highlight w:val="none"/>
        </w:rPr>
      </w:pPr>
      <w:r>
        <w:rPr>
          <w:rFonts w:hint="eastAsia" w:ascii="仿宋_GB2312" w:hAnsi="仿宋_GB2312" w:eastAsia="仿宋_GB2312" w:cs="仿宋_GB2312"/>
          <w:color w:val="000000"/>
          <w:kern w:val="0"/>
          <w:sz w:val="32"/>
          <w:szCs w:val="32"/>
          <w:highlight w:val="none"/>
        </w:rPr>
        <w:t>按照《财政部关于印发&lt;支出经济分类科目改革方案&gt;的通知》（财预〔2017〕98 号）要求，从 2018 年起全面实施支出经济分类科目改革，根据政府预算管理和部门预算管理的不同特点，分设部门预算支出经济分类科目和政府预算支出经济分类科目，两套科目之间保持对应关系。我单位《支出经济分类汇总表》, 按两套经济分类科目分别反映不同资金来源的全部预算支出。</w:t>
      </w:r>
    </w:p>
    <w:p>
      <w:pPr>
        <w:pStyle w:val="5"/>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highlight w:val="none"/>
        </w:rPr>
        <w:t>我单位2020年一般公共预算基本支出</w:t>
      </w:r>
      <w:r>
        <w:rPr>
          <w:rFonts w:hint="eastAsia" w:ascii="仿宋_GB2312" w:hAnsi="仿宋_GB2312" w:eastAsia="仿宋_GB2312" w:cs="仿宋_GB2312"/>
          <w:color w:val="000000"/>
          <w:sz w:val="32"/>
          <w:szCs w:val="32"/>
          <w:highlight w:val="none"/>
          <w:lang w:val="en-US" w:eastAsia="zh-CN"/>
        </w:rPr>
        <w:t>630.11</w:t>
      </w:r>
      <w:r>
        <w:rPr>
          <w:rFonts w:hint="eastAsia" w:ascii="仿宋_GB2312" w:hAnsi="仿宋_GB2312" w:eastAsia="仿宋_GB2312" w:cs="仿宋_GB2312"/>
          <w:color w:val="000000"/>
          <w:sz w:val="32"/>
          <w:szCs w:val="32"/>
          <w:highlight w:val="none"/>
        </w:rPr>
        <w:t>万元，</w:t>
      </w:r>
      <w:r>
        <w:rPr>
          <w:rFonts w:hint="eastAsia" w:ascii="仿宋_GB2312" w:hAnsi="仿宋_GB2312" w:eastAsia="仿宋_GB2312" w:cs="仿宋_GB2312"/>
          <w:color w:val="000000"/>
          <w:sz w:val="32"/>
          <w:szCs w:val="32"/>
        </w:rPr>
        <w:t>其中：</w:t>
      </w:r>
      <w:r>
        <w:rPr>
          <w:rFonts w:hint="eastAsia" w:ascii="仿宋_GB2312" w:hAnsi="仿宋_GB2312" w:eastAsia="仿宋_GB2312" w:cs="仿宋_GB2312"/>
          <w:color w:val="000000"/>
          <w:spacing w:val="-1"/>
          <w:sz w:val="32"/>
          <w:szCs w:val="32"/>
        </w:rPr>
        <w:t>工资福利支出</w:t>
      </w:r>
      <w:r>
        <w:rPr>
          <w:rFonts w:hint="eastAsia" w:ascii="仿宋_GB2312" w:hAnsi="仿宋_GB2312" w:eastAsia="仿宋_GB2312" w:cs="仿宋_GB2312"/>
          <w:color w:val="000000"/>
          <w:spacing w:val="-1"/>
          <w:sz w:val="32"/>
          <w:szCs w:val="32"/>
          <w:lang w:val="en-US" w:eastAsia="zh-CN"/>
        </w:rPr>
        <w:t>570.05</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color w:val="000000"/>
          <w:spacing w:val="-1"/>
          <w:sz w:val="32"/>
          <w:szCs w:val="32"/>
        </w:rPr>
        <w:t>；</w:t>
      </w:r>
      <w:r>
        <w:rPr>
          <w:rFonts w:hint="eastAsia" w:ascii="仿宋_GB2312" w:hAnsi="仿宋_GB2312" w:eastAsia="仿宋_GB2312" w:cs="仿宋_GB2312"/>
          <w:color w:val="000000"/>
          <w:sz w:val="32"/>
          <w:szCs w:val="32"/>
        </w:rPr>
        <w:t>主要包括：基本工资、津贴补贴、奖金、社会保障缴费、绩效工资、其他工资福利支出、离休费、退休费、抚恤金、生活补助、医疗费、住房公积金、其他对个人和家庭的补助支出；公用经费</w:t>
      </w:r>
      <w:r>
        <w:rPr>
          <w:rFonts w:hint="eastAsia" w:ascii="仿宋_GB2312" w:hAnsi="仿宋_GB2312" w:eastAsia="仿宋_GB2312" w:cs="仿宋_GB2312"/>
          <w:color w:val="000000"/>
          <w:sz w:val="32"/>
          <w:szCs w:val="32"/>
          <w:lang w:val="en-US" w:eastAsia="zh-CN"/>
        </w:rPr>
        <w:t>60.06</w:t>
      </w:r>
      <w:r>
        <w:rPr>
          <w:rFonts w:hint="eastAsia" w:ascii="仿宋_GB2312" w:hAnsi="仿宋_GB2312" w:eastAsia="仿宋_GB2312" w:cs="仿宋_GB2312"/>
          <w:color w:val="000000"/>
          <w:sz w:val="32"/>
          <w:szCs w:val="32"/>
        </w:rPr>
        <w:t>万元，主要包括：办公费、印刷费、咨询费、手续费、水费、电费、邮电费、取暖费、物业管理费、差旅费、因公出国(境)费、维修(护)费、租赁费、会议费、培训费、公务接待费、专用材料费、劳务费、委托业务费、工会经费、福利费、公务用车运行维护费、其他交通费用、税金及附加费用、其他商品和服务支出、办公设备购置、专用设备购置、大型修缮、信息网络及软件购置更新、其他资本性支出。</w:t>
      </w:r>
    </w:p>
    <w:p>
      <w:pPr>
        <w:spacing w:line="574" w:lineRule="exact"/>
        <w:ind w:firstLine="640" w:firstLineChars="200"/>
        <w:rPr>
          <w:rFonts w:ascii="仿宋_GB2312" w:eastAsia="仿宋_GB2312"/>
          <w:color w:val="000000"/>
          <w:sz w:val="32"/>
          <w:szCs w:val="32"/>
        </w:rPr>
      </w:pPr>
      <w:r>
        <w:rPr>
          <w:rFonts w:hint="eastAsia" w:ascii="黑体" w:hAnsi="黑体" w:eastAsia="黑体" w:cs="仿宋_GB2312"/>
          <w:color w:val="000000"/>
          <w:sz w:val="32"/>
          <w:szCs w:val="32"/>
        </w:rPr>
        <w:t>七、一般公共预算项目支出预算情况</w:t>
      </w:r>
      <w:r>
        <w:rPr>
          <w:rFonts w:hint="eastAsia" w:ascii="黑体" w:hAnsi="Times New Roman" w:eastAsia="黑体" w:cs="黑体"/>
          <w:color w:val="000000"/>
          <w:sz w:val="32"/>
          <w:szCs w:val="32"/>
        </w:rPr>
        <w:t>说明</w:t>
      </w:r>
    </w:p>
    <w:p>
      <w:pPr>
        <w:spacing w:line="574" w:lineRule="exact"/>
        <w:ind w:firstLine="636" w:firstLineChars="200"/>
        <w:rPr>
          <w:rFonts w:ascii="仿宋_GB2312" w:hAnsi="仿宋_GB2312" w:eastAsia="仿宋_GB2312" w:cs="仿宋_GB2312"/>
          <w:color w:val="000000"/>
          <w:sz w:val="32"/>
          <w:szCs w:val="32"/>
        </w:rPr>
      </w:pPr>
      <w:bookmarkStart w:id="0" w:name="_Hlk2003437"/>
      <w:r>
        <w:rPr>
          <w:rFonts w:hint="eastAsia" w:ascii="仿宋_GB2312" w:hAnsi="Times New Roman" w:eastAsia="仿宋_GB2312" w:cs="仿宋_GB2312"/>
          <w:color w:val="000000"/>
          <w:spacing w:val="-1"/>
          <w:sz w:val="32"/>
          <w:szCs w:val="32"/>
        </w:rPr>
        <w:t>中共新乡县委组织部</w:t>
      </w:r>
      <w:r>
        <w:rPr>
          <w:rFonts w:hint="eastAsia" w:ascii="仿宋_GB2312" w:hAnsi="仿宋_GB2312" w:eastAsia="仿宋_GB2312" w:cs="仿宋_GB2312"/>
          <w:color w:val="000000"/>
          <w:sz w:val="32"/>
          <w:szCs w:val="32"/>
        </w:rPr>
        <w:t>2020年一般公共预算安排项目支出预算2773.19万元，全部纳入项目绩效目标管理。其中：运转类项目2163.19万元、专项资金610万元。主要预算支出项目如下：</w:t>
      </w:r>
      <w:bookmarkEnd w:id="0"/>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1、综合业务费10万元；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2、人才奖7万元；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3、培训经费10万元；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4、考核经费10万元；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5、党建工作站人员经费220万元；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6、优秀村支书工资11万元；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7、村级运转经费1739万元；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8、新乡县史来贺干部学院经费110万；</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9、史来贺干部学院教学点大型修缮500万；</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10、老党员生活补助4.79万元；</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11、老干部活动经费40万；</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12</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驻村慰问经费10万；</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13</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五星党支部55万；</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14</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心连心社区工资42万；</w:t>
      </w:r>
    </w:p>
    <w:p>
      <w:pPr>
        <w:spacing w:line="574" w:lineRule="exact"/>
        <w:ind w:firstLine="640" w:firstLineChars="200"/>
        <w:rPr>
          <w:rFonts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15、远程教育网络维护5.4万。</w:t>
      </w:r>
    </w:p>
    <w:p>
      <w:pPr>
        <w:spacing w:line="574" w:lineRule="exact"/>
        <w:ind w:firstLine="640" w:firstLineChars="200"/>
        <w:rPr>
          <w:rFonts w:ascii="黑体" w:hAnsi="Times New Roman" w:eastAsia="黑体" w:cs="黑体"/>
          <w:color w:val="000000"/>
          <w:sz w:val="32"/>
          <w:szCs w:val="32"/>
        </w:rPr>
      </w:pPr>
      <w:r>
        <w:rPr>
          <w:rFonts w:hint="eastAsia" w:ascii="黑体" w:hAnsi="黑体" w:eastAsia="黑体" w:cs="Courier New"/>
          <w:color w:val="000000"/>
          <w:sz w:val="32"/>
          <w:szCs w:val="32"/>
        </w:rPr>
        <w:t>八、</w:t>
      </w:r>
      <w:r>
        <w:rPr>
          <w:rFonts w:hint="eastAsia" w:ascii="黑体" w:hAnsi="Times New Roman" w:eastAsia="黑体" w:cs="黑体"/>
          <w:color w:val="000000"/>
          <w:sz w:val="32"/>
          <w:szCs w:val="32"/>
        </w:rPr>
        <w:t>一般公共预算“三公”经费支出预算情况说明</w:t>
      </w:r>
    </w:p>
    <w:p>
      <w:pPr>
        <w:spacing w:line="574" w:lineRule="exact"/>
        <w:ind w:firstLine="636" w:firstLineChars="200"/>
        <w:rPr>
          <w:rFonts w:ascii="仿宋_GB2312" w:eastAsia="仿宋_GB2312" w:cs="Courier New"/>
          <w:color w:val="000000"/>
          <w:sz w:val="32"/>
          <w:szCs w:val="32"/>
        </w:rPr>
      </w:pPr>
      <w:r>
        <w:rPr>
          <w:rFonts w:hint="eastAsia" w:ascii="仿宋_GB2312" w:hAnsi="Times New Roman" w:eastAsia="仿宋_GB2312" w:cs="仿宋_GB2312"/>
          <w:color w:val="000000"/>
          <w:spacing w:val="-1"/>
          <w:sz w:val="32"/>
          <w:szCs w:val="32"/>
        </w:rPr>
        <w:t>中共新乡县委组织部</w:t>
      </w:r>
      <w:r>
        <w:rPr>
          <w:rFonts w:hint="eastAsia" w:ascii="仿宋_GB2312" w:eastAsia="仿宋_GB2312" w:cs="Courier New"/>
          <w:color w:val="000000"/>
          <w:sz w:val="32"/>
          <w:szCs w:val="32"/>
        </w:rPr>
        <w:t>2020年“三公”经费预算为7.2万元。2020年“三公”经费支出预算数比2019年增加2.4万元。具体情况如下：</w:t>
      </w:r>
    </w:p>
    <w:p>
      <w:pPr>
        <w:kinsoku w:val="0"/>
        <w:overflowPunct w:val="0"/>
        <w:autoSpaceDE w:val="0"/>
        <w:autoSpaceDN w:val="0"/>
        <w:adjustRightInd w:val="0"/>
        <w:snapToGrid w:val="0"/>
        <w:spacing w:line="574" w:lineRule="exact"/>
        <w:ind w:firstLine="639" w:firstLineChars="200"/>
        <w:rPr>
          <w:rFonts w:ascii="仿宋_GB2312" w:eastAsia="仿宋_GB2312" w:cs="Courier New"/>
          <w:color w:val="000000"/>
          <w:sz w:val="32"/>
          <w:szCs w:val="32"/>
        </w:rPr>
      </w:pPr>
      <w:r>
        <w:rPr>
          <w:rFonts w:hint="eastAsia" w:ascii="仿宋_GB2312" w:hAnsi="Times New Roman" w:eastAsia="仿宋_GB2312" w:cs="仿宋_GB2312"/>
          <w:b/>
          <w:color w:val="000000"/>
          <w:spacing w:val="-1"/>
          <w:sz w:val="32"/>
          <w:szCs w:val="32"/>
        </w:rPr>
        <w:t>（一）因公出国（境）费</w:t>
      </w:r>
      <w:r>
        <w:rPr>
          <w:rFonts w:hint="eastAsia" w:ascii="仿宋_GB2312" w:eastAsia="仿宋_GB2312"/>
          <w:color w:val="000000"/>
          <w:sz w:val="32"/>
          <w:szCs w:val="32"/>
        </w:rPr>
        <w:t>0</w:t>
      </w:r>
      <w:r>
        <w:rPr>
          <w:rFonts w:hint="eastAsia" w:ascii="仿宋_GB2312" w:hAnsi="Times New Roman" w:eastAsia="仿宋_GB2312" w:cs="仿宋_GB2312"/>
          <w:color w:val="000000"/>
          <w:spacing w:val="-1"/>
          <w:sz w:val="32"/>
          <w:szCs w:val="32"/>
        </w:rPr>
        <w:t>万元</w:t>
      </w:r>
      <w:r>
        <w:rPr>
          <w:rFonts w:hint="eastAsia" w:ascii="仿宋_GB2312" w:eastAsia="仿宋_GB2312" w:cs="Courier New"/>
          <w:color w:val="000000"/>
          <w:sz w:val="32"/>
          <w:szCs w:val="32"/>
        </w:rPr>
        <w:t>。预算数与</w:t>
      </w:r>
      <w:r>
        <w:rPr>
          <w:rFonts w:ascii="仿宋_GB2312" w:eastAsia="仿宋_GB2312" w:cs="Courier New"/>
          <w:color w:val="000000"/>
          <w:sz w:val="32"/>
          <w:szCs w:val="32"/>
        </w:rPr>
        <w:t>201</w:t>
      </w:r>
      <w:r>
        <w:rPr>
          <w:rFonts w:hint="eastAsia" w:ascii="仿宋_GB2312" w:eastAsia="仿宋_GB2312" w:cs="Courier New"/>
          <w:color w:val="000000"/>
          <w:sz w:val="32"/>
          <w:szCs w:val="32"/>
        </w:rPr>
        <w:t>9年相同。</w:t>
      </w:r>
    </w:p>
    <w:p>
      <w:pPr>
        <w:kinsoku w:val="0"/>
        <w:overflowPunct w:val="0"/>
        <w:autoSpaceDE w:val="0"/>
        <w:autoSpaceDN w:val="0"/>
        <w:adjustRightInd w:val="0"/>
        <w:snapToGrid w:val="0"/>
        <w:spacing w:line="574" w:lineRule="exact"/>
        <w:ind w:firstLine="640"/>
        <w:rPr>
          <w:rFonts w:ascii="仿宋_GB2312" w:eastAsia="仿宋_GB2312"/>
          <w:color w:val="000000"/>
          <w:sz w:val="32"/>
          <w:szCs w:val="32"/>
        </w:rPr>
      </w:pPr>
      <w:r>
        <w:rPr>
          <w:rFonts w:hint="eastAsia" w:ascii="仿宋_GB2312" w:hAnsi="Times New Roman" w:eastAsia="仿宋_GB2312" w:cs="仿宋_GB2312"/>
          <w:b/>
          <w:color w:val="000000"/>
          <w:spacing w:val="-1"/>
          <w:sz w:val="32"/>
          <w:szCs w:val="32"/>
        </w:rPr>
        <w:t>（二）公务用车购置及运行费7.2</w:t>
      </w:r>
      <w:r>
        <w:rPr>
          <w:rFonts w:hint="eastAsia" w:ascii="仿宋_GB2312" w:hAnsi="Times New Roman" w:eastAsia="仿宋_GB2312" w:cs="仿宋_GB2312"/>
          <w:color w:val="000000"/>
          <w:sz w:val="32"/>
          <w:szCs w:val="32"/>
        </w:rPr>
        <w:t>万</w:t>
      </w:r>
      <w:r>
        <w:rPr>
          <w:rFonts w:hint="eastAsia" w:ascii="仿宋_GB2312" w:eastAsia="仿宋_GB2312" w:cs="Courier New"/>
          <w:color w:val="000000"/>
          <w:sz w:val="32"/>
          <w:szCs w:val="32"/>
        </w:rPr>
        <w:t>元，其中公务用车运行维护费7.2万元。主要原因：本单位三辆公务用车，比去年增加一辆车，按规定每辆公务车2.4万元</w:t>
      </w:r>
      <w:r>
        <w:rPr>
          <w:rFonts w:hint="eastAsia" w:ascii="仿宋_GB2312" w:eastAsia="仿宋_GB2312"/>
          <w:color w:val="000000"/>
          <w:sz w:val="32"/>
          <w:szCs w:val="32"/>
        </w:rPr>
        <w:t>。</w:t>
      </w:r>
    </w:p>
    <w:p>
      <w:pPr>
        <w:kinsoku w:val="0"/>
        <w:overflowPunct w:val="0"/>
        <w:autoSpaceDE w:val="0"/>
        <w:autoSpaceDN w:val="0"/>
        <w:adjustRightInd w:val="0"/>
        <w:snapToGrid w:val="0"/>
        <w:spacing w:line="574" w:lineRule="exact"/>
        <w:ind w:firstLine="640"/>
        <w:rPr>
          <w:rFonts w:ascii="仿宋_GB2312" w:eastAsia="仿宋_GB2312"/>
          <w:color w:val="000000"/>
          <w:sz w:val="32"/>
          <w:szCs w:val="32"/>
        </w:rPr>
      </w:pPr>
      <w:r>
        <w:rPr>
          <w:rFonts w:hint="eastAsia" w:ascii="仿宋" w:hAnsi="仿宋" w:eastAsia="仿宋" w:cs="仿宋_GB2312"/>
          <w:b/>
          <w:spacing w:val="-1"/>
          <w:sz w:val="32"/>
          <w:szCs w:val="32"/>
        </w:rPr>
        <w:t>(三）公务接待费</w:t>
      </w:r>
      <w:r>
        <w:rPr>
          <w:rFonts w:hint="eastAsia" w:ascii="仿宋_GB2312" w:hAnsi="仿宋_GB2312" w:eastAsia="仿宋_GB2312" w:cs="仿宋_GB2312"/>
          <w:color w:val="000000" w:themeColor="text1"/>
          <w:sz w:val="32"/>
          <w:szCs w:val="32"/>
        </w:rPr>
        <w:t>0</w:t>
      </w:r>
      <w:r>
        <w:rPr>
          <w:rFonts w:hint="eastAsia" w:ascii="仿宋_GB2312" w:hAnsi="仿宋_GB2312" w:eastAsia="仿宋_GB2312" w:cs="仿宋_GB2312"/>
          <w:sz w:val="32"/>
          <w:szCs w:val="32"/>
        </w:rPr>
        <w:t>万元，主要用于按规定开支的各类公务接待支出。预算数与2019年相同。</w:t>
      </w:r>
    </w:p>
    <w:p>
      <w:pPr>
        <w:spacing w:line="574" w:lineRule="exact"/>
        <w:ind w:firstLine="640" w:firstLineChars="200"/>
        <w:rPr>
          <w:rFonts w:ascii="仿宋_GB2312" w:eastAsia="仿宋_GB2312"/>
          <w:color w:val="000000"/>
          <w:sz w:val="32"/>
          <w:szCs w:val="32"/>
        </w:rPr>
      </w:pPr>
      <w:r>
        <w:rPr>
          <w:rFonts w:hint="eastAsia" w:ascii="黑体" w:hAnsi="Times New Roman" w:eastAsia="黑体" w:cs="黑体"/>
          <w:color w:val="000000"/>
          <w:sz w:val="32"/>
          <w:szCs w:val="32"/>
        </w:rPr>
        <w:t>九、政府性基金预算支出情况说明</w:t>
      </w:r>
    </w:p>
    <w:p>
      <w:pPr>
        <w:spacing w:line="360" w:lineRule="auto"/>
        <w:ind w:firstLine="640" w:firstLineChars="200"/>
        <w:rPr>
          <w:rFonts w:ascii="仿宋_GB2312" w:eastAsia="仿宋_GB2312" w:cs="Courier New"/>
          <w:color w:val="000000"/>
          <w:sz w:val="32"/>
          <w:szCs w:val="32"/>
        </w:rPr>
      </w:pPr>
      <w:r>
        <w:rPr>
          <w:rFonts w:hint="eastAsia" w:ascii="仿宋_GB2312" w:eastAsia="仿宋_GB2312"/>
          <w:color w:val="000000"/>
          <w:sz w:val="32"/>
          <w:szCs w:val="32"/>
        </w:rPr>
        <w:t>我部</w:t>
      </w:r>
      <w:r>
        <w:rPr>
          <w:rFonts w:hint="eastAsia" w:ascii="仿宋_GB2312" w:eastAsia="仿宋_GB2312" w:cs="Courier New"/>
          <w:color w:val="000000"/>
          <w:sz w:val="32"/>
          <w:szCs w:val="32"/>
        </w:rPr>
        <w:t>2020年没有使用政府性基金预算拨款安排的支出。</w:t>
      </w:r>
    </w:p>
    <w:p>
      <w:pPr>
        <w:spacing w:line="574" w:lineRule="exact"/>
        <w:ind w:firstLine="640" w:firstLineChars="200"/>
        <w:rPr>
          <w:rFonts w:ascii="黑体" w:hAnsi="Times New Roman" w:eastAsia="黑体" w:cs="黑体"/>
          <w:color w:val="000000"/>
          <w:sz w:val="32"/>
          <w:szCs w:val="32"/>
        </w:rPr>
      </w:pPr>
      <w:r>
        <w:rPr>
          <w:rFonts w:hint="eastAsia" w:ascii="黑体" w:hAnsi="Times New Roman" w:eastAsia="黑体" w:cs="黑体"/>
          <w:color w:val="000000"/>
          <w:sz w:val="32"/>
          <w:szCs w:val="32"/>
        </w:rPr>
        <w:t>十、政府性基金预算项目支出情况说明</w:t>
      </w:r>
    </w:p>
    <w:p>
      <w:pPr>
        <w:spacing w:line="360" w:lineRule="auto"/>
        <w:ind w:firstLine="636" w:firstLineChars="200"/>
        <w:rPr>
          <w:rFonts w:ascii="仿宋_GB2312" w:eastAsia="仿宋_GB2312" w:cs="Courier New"/>
          <w:color w:val="000000"/>
          <w:sz w:val="32"/>
          <w:szCs w:val="32"/>
        </w:rPr>
      </w:pPr>
      <w:r>
        <w:rPr>
          <w:rFonts w:hint="eastAsia" w:ascii="仿宋_GB2312" w:hAnsi="Times New Roman" w:eastAsia="仿宋_GB2312" w:cs="仿宋_GB2312"/>
          <w:color w:val="000000"/>
          <w:spacing w:val="-1"/>
          <w:sz w:val="32"/>
          <w:szCs w:val="32"/>
        </w:rPr>
        <w:t>我部</w:t>
      </w:r>
      <w:r>
        <w:rPr>
          <w:rFonts w:hint="eastAsia" w:ascii="仿宋_GB2312" w:eastAsia="仿宋_GB2312" w:cs="Courier New"/>
          <w:color w:val="000000"/>
          <w:sz w:val="32"/>
          <w:szCs w:val="32"/>
        </w:rPr>
        <w:t>2020年没有使用政府性基金预算拨款安排的项目支出。</w:t>
      </w:r>
    </w:p>
    <w:p>
      <w:pPr>
        <w:kinsoku w:val="0"/>
        <w:overflowPunct w:val="0"/>
        <w:autoSpaceDE w:val="0"/>
        <w:autoSpaceDN w:val="0"/>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十一、国有资本经营收支预算情况</w:t>
      </w:r>
    </w:p>
    <w:p>
      <w:pPr>
        <w:kinsoku w:val="0"/>
        <w:overflowPunct w:val="0"/>
        <w:autoSpaceDE w:val="0"/>
        <w:autoSpaceDN w:val="0"/>
        <w:adjustRightInd w:val="0"/>
        <w:snapToGrid w:val="0"/>
        <w:spacing w:line="574" w:lineRule="exact"/>
        <w:ind w:firstLine="640" w:firstLineChars="200"/>
        <w:rPr>
          <w:rFonts w:ascii="仿宋_GB2312" w:eastAsia="仿宋_GB2312" w:cs="Courier New"/>
          <w:color w:val="000000"/>
          <w:sz w:val="32"/>
          <w:szCs w:val="32"/>
        </w:rPr>
      </w:pPr>
      <w:r>
        <w:rPr>
          <w:rFonts w:hint="eastAsia" w:ascii="仿宋_GB2312" w:eastAsia="仿宋_GB2312" w:cs="Courier New"/>
          <w:color w:val="000000"/>
          <w:sz w:val="32"/>
          <w:szCs w:val="32"/>
        </w:rPr>
        <w:t>我单位无此项预算。</w:t>
      </w:r>
    </w:p>
    <w:p>
      <w:pPr>
        <w:kinsoku w:val="0"/>
        <w:overflowPunct w:val="0"/>
        <w:autoSpaceDE w:val="0"/>
        <w:autoSpaceDN w:val="0"/>
        <w:adjustRightInd w:val="0"/>
        <w:snapToGrid w:val="0"/>
        <w:spacing w:line="574" w:lineRule="exact"/>
        <w:ind w:firstLine="640" w:firstLineChars="200"/>
        <w:rPr>
          <w:rFonts w:ascii="黑体" w:hAnsi="黑体" w:eastAsia="黑体" w:cs="Courier New"/>
          <w:color w:val="000000"/>
          <w:sz w:val="32"/>
          <w:szCs w:val="32"/>
        </w:rPr>
      </w:pPr>
      <w:r>
        <w:rPr>
          <w:rFonts w:hint="eastAsia" w:ascii="黑体" w:hAnsi="黑体" w:eastAsia="黑体" w:cs="仿宋_GB2312"/>
          <w:color w:val="000000"/>
          <w:sz w:val="32"/>
          <w:szCs w:val="32"/>
        </w:rPr>
        <w:t>十二、机关运行经费支出情况</w:t>
      </w:r>
    </w:p>
    <w:p>
      <w:pPr>
        <w:kinsoku w:val="0"/>
        <w:overflowPunct w:val="0"/>
        <w:autoSpaceDE w:val="0"/>
        <w:autoSpaceDN w:val="0"/>
        <w:adjustRightInd w:val="0"/>
        <w:snapToGrid w:val="0"/>
        <w:spacing w:line="574" w:lineRule="exact"/>
        <w:ind w:firstLine="636" w:firstLineChars="200"/>
        <w:rPr>
          <w:rFonts w:ascii="仿宋_GB2312" w:eastAsia="仿宋_GB2312" w:cs="Courier New"/>
          <w:color w:val="000000"/>
          <w:sz w:val="32"/>
          <w:szCs w:val="32"/>
        </w:rPr>
      </w:pPr>
      <w:r>
        <w:rPr>
          <w:rFonts w:hint="eastAsia" w:ascii="仿宋_GB2312" w:hAnsi="Times New Roman" w:eastAsia="仿宋_GB2312" w:cs="仿宋_GB2312"/>
          <w:color w:val="000000"/>
          <w:spacing w:val="-1"/>
          <w:sz w:val="32"/>
          <w:szCs w:val="32"/>
        </w:rPr>
        <w:t>中共新乡县委组织部</w:t>
      </w:r>
      <w:r>
        <w:rPr>
          <w:rFonts w:hint="eastAsia" w:ascii="仿宋_GB2312" w:eastAsia="仿宋_GB2312" w:cs="Courier New"/>
          <w:color w:val="000000"/>
          <w:sz w:val="32"/>
          <w:szCs w:val="32"/>
        </w:rPr>
        <w:t>2020</w:t>
      </w:r>
      <w:r>
        <w:rPr>
          <w:rFonts w:ascii="仿宋_GB2312" w:eastAsia="仿宋_GB2312" w:cs="Courier New"/>
          <w:color w:val="000000"/>
          <w:sz w:val="32"/>
          <w:szCs w:val="32"/>
        </w:rPr>
        <w:t>年</w:t>
      </w:r>
      <w:r>
        <w:rPr>
          <w:rFonts w:hint="eastAsia" w:ascii="仿宋_GB2312" w:eastAsia="仿宋_GB2312" w:cs="Courier New"/>
          <w:color w:val="000000"/>
          <w:sz w:val="32"/>
          <w:szCs w:val="32"/>
        </w:rPr>
        <w:t>运行经费支出预算124.43万元，</w:t>
      </w:r>
      <w:r>
        <w:rPr>
          <w:rFonts w:hint="eastAsia" w:ascii="仿宋_GB2312" w:eastAsia="仿宋_GB2312"/>
          <w:color w:val="000000"/>
          <w:sz w:val="32"/>
          <w:szCs w:val="32"/>
        </w:rPr>
        <w:t>主要保障机构正常运转及正常履职需要</w:t>
      </w:r>
      <w:r>
        <w:rPr>
          <w:rFonts w:hint="eastAsia" w:ascii="仿宋_GB2312" w:eastAsia="仿宋_GB2312" w:cs="Courier New"/>
          <w:color w:val="000000"/>
          <w:sz w:val="32"/>
          <w:szCs w:val="32"/>
        </w:rPr>
        <w:t>。</w:t>
      </w:r>
    </w:p>
    <w:p>
      <w:pPr>
        <w:kinsoku w:val="0"/>
        <w:overflowPunct w:val="0"/>
        <w:autoSpaceDE w:val="0"/>
        <w:autoSpaceDN w:val="0"/>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十三、政府采购情况</w:t>
      </w:r>
    </w:p>
    <w:p>
      <w:pPr>
        <w:kinsoku w:val="0"/>
        <w:overflowPunct w:val="0"/>
        <w:autoSpaceDE w:val="0"/>
        <w:autoSpaceDN w:val="0"/>
        <w:adjustRightInd w:val="0"/>
        <w:snapToGrid w:val="0"/>
        <w:spacing w:line="574" w:lineRule="exact"/>
        <w:ind w:firstLine="640" w:firstLineChars="200"/>
        <w:rPr>
          <w:rFonts w:ascii="仿宋" w:hAnsi="仿宋" w:eastAsia="仿宋" w:cs="Courier New"/>
          <w:sz w:val="32"/>
          <w:szCs w:val="32"/>
          <w:highlight w:val="none"/>
        </w:rPr>
      </w:pPr>
      <w:r>
        <w:rPr>
          <w:rFonts w:hint="eastAsia" w:ascii="仿宋" w:hAnsi="仿宋" w:eastAsia="仿宋" w:cs="仿宋"/>
          <w:color w:val="000000"/>
          <w:sz w:val="32"/>
          <w:szCs w:val="32"/>
          <w:highlight w:val="none"/>
          <w:lang w:val="en-US" w:eastAsia="zh-CN"/>
        </w:rPr>
        <w:t>我</w:t>
      </w:r>
      <w:r>
        <w:rPr>
          <w:rFonts w:hint="eastAsia" w:ascii="仿宋" w:hAnsi="仿宋" w:eastAsia="仿宋" w:cs="仿宋"/>
          <w:color w:val="000000"/>
          <w:kern w:val="0"/>
          <w:sz w:val="32"/>
          <w:szCs w:val="32"/>
          <w:highlight w:val="none"/>
        </w:rPr>
        <w:t>单位2020年政府采购预算安排</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万元，其中：政府采购货物预算</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万元；政府采购工程预算</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kern w:val="0"/>
          <w:sz w:val="32"/>
          <w:szCs w:val="32"/>
          <w:highlight w:val="none"/>
          <w:lang w:eastAsia="zh-CN"/>
        </w:rPr>
        <w:t>；</w:t>
      </w:r>
      <w:r>
        <w:rPr>
          <w:rFonts w:hint="eastAsia" w:ascii="仿宋" w:hAnsi="仿宋" w:eastAsia="仿宋" w:cs="仿宋"/>
          <w:color w:val="000000"/>
          <w:kern w:val="0"/>
          <w:sz w:val="32"/>
          <w:szCs w:val="32"/>
          <w:highlight w:val="none"/>
        </w:rPr>
        <w:t>政府采购服务预算</w:t>
      </w:r>
      <w:r>
        <w:rPr>
          <w:rFonts w:hint="eastAsia" w:ascii="仿宋" w:hAnsi="仿宋" w:eastAsia="仿宋" w:cs="仿宋"/>
          <w:color w:val="000000"/>
          <w:kern w:val="0"/>
          <w:sz w:val="32"/>
          <w:szCs w:val="32"/>
          <w:highlight w:val="none"/>
          <w:lang w:val="en-US" w:eastAsia="zh-CN"/>
        </w:rPr>
        <w:t>0</w:t>
      </w:r>
      <w:r>
        <w:rPr>
          <w:rFonts w:hint="eastAsia" w:ascii="仿宋" w:hAnsi="仿宋" w:eastAsia="仿宋" w:cs="仿宋"/>
          <w:color w:val="000000"/>
          <w:kern w:val="0"/>
          <w:sz w:val="32"/>
          <w:szCs w:val="32"/>
          <w:highlight w:val="none"/>
        </w:rPr>
        <w:t>万元</w:t>
      </w:r>
      <w:r>
        <w:rPr>
          <w:rFonts w:hint="eastAsia" w:ascii="仿宋" w:hAnsi="仿宋" w:eastAsia="仿宋" w:cs="仿宋"/>
          <w:color w:val="000000"/>
          <w:sz w:val="32"/>
          <w:szCs w:val="32"/>
          <w:highlight w:val="none"/>
        </w:rPr>
        <w:t>。</w:t>
      </w:r>
      <w:r>
        <w:rPr>
          <w:rFonts w:hint="eastAsia" w:ascii="仿宋" w:hAnsi="仿宋" w:eastAsia="仿宋" w:cs="Courier New"/>
          <w:sz w:val="32"/>
          <w:szCs w:val="32"/>
          <w:highlight w:val="none"/>
        </w:rPr>
        <w:t xml:space="preserve"> </w:t>
      </w:r>
    </w:p>
    <w:p>
      <w:pPr>
        <w:numPr>
          <w:ilvl w:val="0"/>
          <w:numId w:val="3"/>
        </w:numPr>
        <w:kinsoku w:val="0"/>
        <w:overflowPunct w:val="0"/>
        <w:autoSpaceDE w:val="0"/>
        <w:autoSpaceDN w:val="0"/>
        <w:adjustRightInd w:val="0"/>
        <w:snapToGrid w:val="0"/>
        <w:spacing w:line="574" w:lineRule="exact"/>
        <w:ind w:firstLine="640" w:firstLineChars="200"/>
        <w:rPr>
          <w:rFonts w:ascii="黑体" w:hAnsi="黑体" w:eastAsia="黑体" w:cs="仿宋_GB2312"/>
          <w:color w:val="000000"/>
          <w:sz w:val="32"/>
          <w:szCs w:val="32"/>
        </w:rPr>
      </w:pPr>
      <w:r>
        <w:rPr>
          <w:rFonts w:hint="eastAsia" w:ascii="黑体" w:hAnsi="黑体" w:eastAsia="黑体" w:cs="仿宋_GB2312"/>
          <w:color w:val="000000"/>
          <w:sz w:val="32"/>
          <w:szCs w:val="32"/>
        </w:rPr>
        <w:t>预算绩效管理工作开展情况说明</w:t>
      </w:r>
    </w:p>
    <w:p>
      <w:pPr>
        <w:kinsoku w:val="0"/>
        <w:overflowPunct w:val="0"/>
        <w:autoSpaceDE w:val="0"/>
        <w:autoSpaceDN w:val="0"/>
        <w:adjustRightInd w:val="0"/>
        <w:snapToGrid w:val="0"/>
        <w:spacing w:line="574" w:lineRule="exact"/>
        <w:ind w:firstLine="640" w:firstLineChars="200"/>
        <w:rPr>
          <w:rFonts w:ascii="仿宋_GB2312" w:eastAsia="仿宋_GB2312" w:cs="Courier New"/>
          <w:color w:val="000000"/>
          <w:sz w:val="32"/>
          <w:szCs w:val="32"/>
        </w:rPr>
      </w:pPr>
      <w:r>
        <w:rPr>
          <w:rFonts w:hint="eastAsia" w:ascii="仿宋_GB2312" w:eastAsia="仿宋_GB2312" w:cs="Courier New"/>
          <w:color w:val="000000"/>
          <w:sz w:val="32"/>
          <w:szCs w:val="32"/>
        </w:rPr>
        <w:t>2019年，我单位对2018年所有项目进行绩效评价，涉及金额1697万元，主要项目结果：</w:t>
      </w:r>
    </w:p>
    <w:p>
      <w:pPr>
        <w:kinsoku w:val="0"/>
        <w:overflowPunct w:val="0"/>
        <w:autoSpaceDE w:val="0"/>
        <w:autoSpaceDN w:val="0"/>
        <w:adjustRightInd w:val="0"/>
        <w:snapToGrid w:val="0"/>
        <w:spacing w:line="574" w:lineRule="exact"/>
        <w:ind w:firstLine="640" w:firstLineChars="200"/>
        <w:rPr>
          <w:rFonts w:ascii="仿宋_GB2312" w:eastAsia="仿宋_GB2312" w:cs="Courier New"/>
          <w:color w:val="000000"/>
          <w:sz w:val="32"/>
          <w:szCs w:val="32"/>
        </w:rPr>
      </w:pPr>
      <w:r>
        <w:rPr>
          <w:rFonts w:hint="eastAsia" w:ascii="仿宋_GB2312" w:eastAsia="仿宋_GB2312" w:cs="Courier New"/>
          <w:color w:val="000000"/>
          <w:sz w:val="32"/>
          <w:szCs w:val="32"/>
        </w:rPr>
        <w:t>拔尖人才奖励金7万元，根据《新乡县拔尖人才选拔管理办法》的规定，每年根据拔尖人才完成的目标任务情况，发放奖金；干部教育培训经费5万元，根据《2013-2017年全国干部教育培训规定》的规定，每年举办科级干部轮训班、组工干部培训班、中青年干部培训班、省选调生培训班；县人大政府换届工作10万元，接待市委考核组对县级换届考察以及乡级换届考察工作；村级运转经费1675万元，现任村干部工作报酬、离任村党支部书记生活补贴及村级办公经费和服务群众支出。</w:t>
      </w:r>
    </w:p>
    <w:p>
      <w:pPr>
        <w:kinsoku w:val="0"/>
        <w:overflowPunct w:val="0"/>
        <w:autoSpaceDE w:val="0"/>
        <w:autoSpaceDN w:val="0"/>
        <w:adjustRightInd w:val="0"/>
        <w:snapToGrid w:val="0"/>
        <w:spacing w:line="574" w:lineRule="exact"/>
        <w:ind w:firstLine="640" w:firstLineChars="200"/>
        <w:rPr>
          <w:rFonts w:ascii="仿宋_GB2312" w:eastAsia="仿宋_GB2312" w:cs="Courier New"/>
          <w:color w:val="000000"/>
          <w:sz w:val="32"/>
          <w:szCs w:val="32"/>
        </w:rPr>
      </w:pPr>
      <w:r>
        <w:rPr>
          <w:rFonts w:hint="eastAsia" w:ascii="仿宋_GB2312" w:eastAsia="仿宋_GB2312" w:cs="Courier New"/>
          <w:color w:val="000000"/>
          <w:sz w:val="32"/>
          <w:szCs w:val="32"/>
        </w:rPr>
        <w:t>2020年拟对2019年所有项目进行绩效评价，涉及金额3120.81万元，主要工作思路是严格绩效考核细则，明确绩效工作思路。狠抓思想教育，提高干部职工工作效率。强化日常管理，突出绩效考评作用。</w:t>
      </w:r>
    </w:p>
    <w:p>
      <w:pPr>
        <w:kinsoku w:val="0"/>
        <w:overflowPunct w:val="0"/>
        <w:autoSpaceDE w:val="0"/>
        <w:autoSpaceDN w:val="0"/>
        <w:adjustRightInd w:val="0"/>
        <w:snapToGrid w:val="0"/>
        <w:spacing w:line="574" w:lineRule="exact"/>
        <w:ind w:firstLine="640" w:firstLineChars="200"/>
        <w:rPr>
          <w:rFonts w:ascii="黑体" w:hAnsi="黑体" w:eastAsia="黑体" w:cs="Courier New"/>
          <w:color w:val="000000"/>
          <w:sz w:val="32"/>
          <w:szCs w:val="32"/>
        </w:rPr>
      </w:pPr>
      <w:r>
        <w:rPr>
          <w:rFonts w:hint="eastAsia" w:ascii="黑体" w:hAnsi="黑体" w:eastAsia="黑体" w:cs="Courier New"/>
          <w:color w:val="000000"/>
          <w:sz w:val="32"/>
          <w:szCs w:val="32"/>
        </w:rPr>
        <w:t>十五、国有资产占用情况说明</w:t>
      </w:r>
    </w:p>
    <w:p>
      <w:pPr>
        <w:pStyle w:val="5"/>
        <w:spacing w:line="360" w:lineRule="auto"/>
        <w:ind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color w:val="000000"/>
          <w:sz w:val="32"/>
          <w:szCs w:val="32"/>
          <w:highlight w:val="none"/>
        </w:rPr>
        <w:t>2019年期末，我单位资产总额</w:t>
      </w:r>
      <w:r>
        <w:rPr>
          <w:rFonts w:hint="eastAsia" w:ascii="仿宋" w:hAnsi="仿宋" w:eastAsia="仿宋" w:cs="Courier New"/>
          <w:sz w:val="32"/>
          <w:szCs w:val="32"/>
          <w:highlight w:val="none"/>
          <w:lang w:val="en-US" w:eastAsia="zh-CN"/>
        </w:rPr>
        <w:t>61.87</w:t>
      </w:r>
      <w:r>
        <w:rPr>
          <w:rFonts w:hint="eastAsia" w:ascii="仿宋" w:hAnsi="仿宋" w:eastAsia="仿宋" w:cs="仿宋"/>
          <w:color w:val="000000"/>
          <w:sz w:val="32"/>
          <w:szCs w:val="32"/>
          <w:highlight w:val="none"/>
        </w:rPr>
        <w:t>万元，其中：固定资产</w:t>
      </w:r>
      <w:r>
        <w:rPr>
          <w:rFonts w:hint="eastAsia" w:ascii="仿宋" w:hAnsi="仿宋" w:eastAsia="仿宋" w:cs="Courier New"/>
          <w:sz w:val="32"/>
          <w:szCs w:val="32"/>
          <w:highlight w:val="none"/>
          <w:lang w:val="en-US" w:eastAsia="zh-CN"/>
        </w:rPr>
        <w:t>61.87</w:t>
      </w:r>
      <w:r>
        <w:rPr>
          <w:rFonts w:hint="eastAsia" w:ascii="仿宋" w:hAnsi="仿宋" w:eastAsia="仿宋" w:cs="仿宋"/>
          <w:color w:val="000000"/>
          <w:sz w:val="32"/>
          <w:szCs w:val="32"/>
          <w:highlight w:val="none"/>
        </w:rPr>
        <w:t>万元，房屋建筑物</w:t>
      </w:r>
      <w:r>
        <w:rPr>
          <w:rFonts w:hint="eastAsia" w:ascii="仿宋" w:hAnsi="仿宋" w:eastAsia="仿宋" w:cs="仿宋"/>
          <w:color w:val="000000"/>
          <w:sz w:val="32"/>
          <w:szCs w:val="32"/>
          <w:highlight w:val="none"/>
          <w:lang w:val="en-US" w:eastAsia="zh-CN"/>
        </w:rPr>
        <w:t>0万元</w:t>
      </w:r>
      <w:r>
        <w:rPr>
          <w:rFonts w:hint="eastAsia" w:ascii="仿宋" w:hAnsi="仿宋" w:eastAsia="仿宋" w:cs="仿宋"/>
          <w:color w:val="000000"/>
          <w:sz w:val="32"/>
          <w:szCs w:val="32"/>
          <w:highlight w:val="none"/>
        </w:rPr>
        <w:t>，车辆</w:t>
      </w:r>
      <w:r>
        <w:rPr>
          <w:rFonts w:hint="eastAsia" w:ascii="仿宋" w:hAnsi="仿宋" w:eastAsia="仿宋" w:cs="仿宋"/>
          <w:color w:val="000000"/>
          <w:sz w:val="32"/>
          <w:szCs w:val="32"/>
          <w:highlight w:val="none"/>
          <w:lang w:val="en-US" w:eastAsia="zh-CN"/>
        </w:rPr>
        <w:t>0</w:t>
      </w:r>
      <w:r>
        <w:rPr>
          <w:rFonts w:hint="eastAsia" w:ascii="仿宋" w:hAnsi="仿宋" w:eastAsia="仿宋" w:cs="仿宋"/>
          <w:color w:val="000000"/>
          <w:sz w:val="32"/>
          <w:szCs w:val="32"/>
          <w:highlight w:val="none"/>
        </w:rPr>
        <w:t>辆</w:t>
      </w:r>
      <w:r>
        <w:rPr>
          <w:rFonts w:hint="eastAsia" w:ascii="仿宋" w:hAnsi="仿宋" w:eastAsia="仿宋" w:cs="仿宋"/>
          <w:color w:val="000000"/>
          <w:sz w:val="32"/>
          <w:szCs w:val="32"/>
          <w:highlight w:val="none"/>
          <w:lang w:val="en-US" w:eastAsia="zh-CN"/>
        </w:rPr>
        <w:t>,</w:t>
      </w:r>
      <w:r>
        <w:rPr>
          <w:rFonts w:hint="eastAsia" w:ascii="仿宋" w:hAnsi="仿宋" w:eastAsia="仿宋" w:cs="仿宋"/>
          <w:color w:val="000000"/>
          <w:sz w:val="32"/>
          <w:szCs w:val="32"/>
          <w:highlight w:val="none"/>
        </w:rPr>
        <w:t>无形资产</w:t>
      </w:r>
      <w:r>
        <w:rPr>
          <w:rFonts w:hint="eastAsia" w:ascii="仿宋" w:hAnsi="仿宋" w:eastAsia="仿宋" w:cs="仿宋"/>
          <w:color w:val="000000"/>
          <w:sz w:val="32"/>
          <w:szCs w:val="32"/>
          <w:highlight w:val="none"/>
          <w:lang w:val="en-US" w:eastAsia="zh-CN"/>
        </w:rPr>
        <w:t>0</w:t>
      </w:r>
      <w:r>
        <w:rPr>
          <w:rFonts w:hint="eastAsia" w:ascii="仿宋" w:hAnsi="仿宋" w:eastAsia="仿宋" w:cs="仿宋"/>
          <w:color w:val="000000"/>
          <w:sz w:val="32"/>
          <w:szCs w:val="32"/>
          <w:highlight w:val="none"/>
        </w:rPr>
        <w:t>万元。</w:t>
      </w:r>
    </w:p>
    <w:p>
      <w:pPr>
        <w:kinsoku w:val="0"/>
        <w:overflowPunct w:val="0"/>
        <w:autoSpaceDE w:val="0"/>
        <w:autoSpaceDN w:val="0"/>
        <w:adjustRightInd w:val="0"/>
        <w:snapToGrid w:val="0"/>
        <w:spacing w:line="574" w:lineRule="exact"/>
        <w:ind w:firstLine="640" w:firstLineChars="200"/>
        <w:rPr>
          <w:rFonts w:hint="eastAsia" w:ascii="仿宋_GB2312" w:hAnsi="仿宋_GB2312" w:eastAsia="仿宋_GB2312" w:cs="仿宋_GB2312"/>
          <w:b w:val="0"/>
          <w:bCs w:val="0"/>
          <w:color w:val="000000" w:themeColor="text1"/>
          <w:sz w:val="32"/>
          <w:szCs w:val="32"/>
          <w:highlight w:val="none"/>
        </w:rPr>
      </w:pPr>
    </w:p>
    <w:p>
      <w:pPr>
        <w:adjustRightInd w:val="0"/>
        <w:snapToGrid w:val="0"/>
        <w:spacing w:line="574" w:lineRule="exact"/>
        <w:jc w:val="center"/>
        <w:rPr>
          <w:rFonts w:ascii="黑体" w:hAnsi="黑体" w:eastAsia="黑体"/>
          <w:color w:val="000000"/>
          <w:sz w:val="32"/>
          <w:szCs w:val="32"/>
        </w:rPr>
      </w:pPr>
    </w:p>
    <w:p>
      <w:pPr>
        <w:adjustRightInd w:val="0"/>
        <w:snapToGrid w:val="0"/>
        <w:spacing w:line="574" w:lineRule="exact"/>
        <w:jc w:val="center"/>
        <w:rPr>
          <w:rFonts w:ascii="黑体" w:hAnsi="黑体" w:eastAsia="黑体"/>
          <w:color w:val="000000"/>
          <w:sz w:val="32"/>
          <w:szCs w:val="32"/>
        </w:rPr>
      </w:pPr>
    </w:p>
    <w:p>
      <w:pPr>
        <w:adjustRightInd w:val="0"/>
        <w:snapToGrid w:val="0"/>
        <w:spacing w:line="574" w:lineRule="exact"/>
        <w:jc w:val="center"/>
        <w:rPr>
          <w:rFonts w:ascii="黑体" w:hAnsi="黑体" w:eastAsia="黑体"/>
          <w:color w:val="000000"/>
          <w:sz w:val="32"/>
          <w:szCs w:val="32"/>
        </w:rPr>
      </w:pPr>
    </w:p>
    <w:p>
      <w:pPr>
        <w:adjustRightInd w:val="0"/>
        <w:snapToGrid w:val="0"/>
        <w:spacing w:line="574" w:lineRule="exact"/>
        <w:jc w:val="center"/>
        <w:rPr>
          <w:rFonts w:hint="eastAsia" w:ascii="黑体" w:hAnsi="黑体" w:eastAsia="黑体"/>
          <w:color w:val="000000"/>
          <w:sz w:val="32"/>
          <w:szCs w:val="32"/>
        </w:rPr>
      </w:pPr>
      <w:bookmarkStart w:id="1" w:name="_GoBack"/>
      <w:bookmarkEnd w:id="1"/>
    </w:p>
    <w:p>
      <w:pPr>
        <w:adjustRightInd w:val="0"/>
        <w:snapToGrid w:val="0"/>
        <w:spacing w:line="574" w:lineRule="exact"/>
        <w:jc w:val="center"/>
        <w:rPr>
          <w:rFonts w:hint="eastAsia" w:ascii="黑体" w:hAnsi="黑体" w:eastAsia="黑体"/>
          <w:color w:val="000000"/>
          <w:sz w:val="32"/>
          <w:szCs w:val="32"/>
        </w:rPr>
      </w:pPr>
    </w:p>
    <w:p>
      <w:pPr>
        <w:adjustRightInd w:val="0"/>
        <w:snapToGrid w:val="0"/>
        <w:spacing w:line="574" w:lineRule="exact"/>
        <w:jc w:val="center"/>
        <w:rPr>
          <w:rFonts w:hint="eastAsia" w:ascii="黑体" w:hAnsi="黑体" w:eastAsia="黑体"/>
          <w:color w:val="000000"/>
          <w:sz w:val="32"/>
          <w:szCs w:val="32"/>
        </w:rPr>
      </w:pPr>
    </w:p>
    <w:p>
      <w:pPr>
        <w:adjustRightInd w:val="0"/>
        <w:snapToGrid w:val="0"/>
        <w:spacing w:line="574" w:lineRule="exact"/>
        <w:jc w:val="center"/>
        <w:rPr>
          <w:rFonts w:hint="eastAsia" w:ascii="黑体" w:hAnsi="黑体" w:eastAsia="黑体"/>
          <w:color w:val="000000"/>
          <w:sz w:val="32"/>
          <w:szCs w:val="32"/>
        </w:rPr>
      </w:pPr>
    </w:p>
    <w:p>
      <w:pPr>
        <w:adjustRightInd w:val="0"/>
        <w:snapToGrid w:val="0"/>
        <w:spacing w:line="574" w:lineRule="exact"/>
        <w:jc w:val="center"/>
        <w:rPr>
          <w:rFonts w:ascii="黑体" w:hAnsi="黑体" w:eastAsia="黑体"/>
          <w:color w:val="000000"/>
          <w:sz w:val="32"/>
          <w:szCs w:val="32"/>
        </w:rPr>
      </w:pPr>
      <w:r>
        <w:rPr>
          <w:rFonts w:hint="eastAsia" w:ascii="黑体" w:hAnsi="黑体" w:eastAsia="黑体"/>
          <w:color w:val="000000"/>
          <w:sz w:val="32"/>
          <w:szCs w:val="32"/>
        </w:rPr>
        <w:t>第三部分</w:t>
      </w:r>
    </w:p>
    <w:p>
      <w:pPr>
        <w:adjustRightInd w:val="0"/>
        <w:snapToGrid w:val="0"/>
        <w:spacing w:line="574" w:lineRule="exact"/>
        <w:jc w:val="center"/>
        <w:rPr>
          <w:rFonts w:ascii="黑体" w:hAnsi="黑体" w:eastAsia="黑体"/>
          <w:color w:val="000000"/>
          <w:sz w:val="32"/>
          <w:szCs w:val="32"/>
        </w:rPr>
      </w:pPr>
      <w:r>
        <w:rPr>
          <w:rFonts w:hint="eastAsia" w:ascii="黑体" w:hAnsi="黑体" w:eastAsia="黑体"/>
          <w:color w:val="000000"/>
          <w:sz w:val="32"/>
          <w:szCs w:val="32"/>
        </w:rPr>
        <w:t>名词解释</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一、财政拨款：</w:t>
      </w:r>
      <w:r>
        <w:rPr>
          <w:rFonts w:hint="eastAsia" w:ascii="仿宋_GB2312" w:eastAsia="仿宋_GB2312" w:cs="Courier New"/>
          <w:color w:val="000000"/>
          <w:sz w:val="32"/>
          <w:szCs w:val="32"/>
        </w:rPr>
        <w:t>是指县级财政当年拨付的纳入一般公共预算和政府性基金预算管理的资金。</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二、一般债务收入：</w:t>
      </w:r>
      <w:r>
        <w:rPr>
          <w:rFonts w:hint="eastAsia" w:ascii="仿宋_GB2312" w:eastAsia="仿宋_GB2312" w:cs="Courier New"/>
          <w:color w:val="000000"/>
          <w:sz w:val="32"/>
          <w:szCs w:val="32"/>
        </w:rPr>
        <w:t>指纳入一般公共预算管理的政府债务收入。</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三、盘活存量资金：</w:t>
      </w:r>
      <w:r>
        <w:rPr>
          <w:rFonts w:hint="eastAsia" w:ascii="仿宋_GB2312" w:eastAsia="仿宋_GB2312" w:cs="Courier New"/>
          <w:color w:val="000000"/>
          <w:sz w:val="32"/>
          <w:szCs w:val="32"/>
        </w:rPr>
        <w:t>指按照国家有关规定重新安排使用的以前年度的存量资金。</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四、纳入财政专户管理收费：</w:t>
      </w:r>
      <w:r>
        <w:rPr>
          <w:rFonts w:hint="eastAsia" w:ascii="仿宋_GB2312" w:eastAsia="仿宋_GB2312" w:cs="Courier New"/>
          <w:color w:val="000000"/>
          <w:sz w:val="32"/>
          <w:szCs w:val="32"/>
        </w:rPr>
        <w:t>指按照上级有关规定，教育部门收取的，暂不缴入国库，纳入财政专户管理的各项收费。</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五、单位其他收入：</w:t>
      </w:r>
      <w:r>
        <w:rPr>
          <w:rFonts w:hint="eastAsia" w:ascii="仿宋_GB2312" w:eastAsia="仿宋_GB2312" w:cs="Courier New"/>
          <w:color w:val="000000"/>
          <w:sz w:val="32"/>
          <w:szCs w:val="32"/>
        </w:rPr>
        <w:t>指未纳入一般公共预算、政府性基金预算、财政专户管理，</w:t>
      </w:r>
      <w:r>
        <w:rPr>
          <w:rFonts w:hint="eastAsia" w:ascii="仿宋" w:hAnsi="仿宋" w:eastAsia="仿宋" w:cs="仿宋_GB2312"/>
          <w:color w:val="000000"/>
          <w:spacing w:val="10"/>
          <w:sz w:val="32"/>
          <w:szCs w:val="32"/>
        </w:rPr>
        <w:t>不缴入国库、财政专户的单位事业收入、经营收入和其他收入。</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六、基本支出：</w:t>
      </w:r>
      <w:r>
        <w:rPr>
          <w:rFonts w:hint="eastAsia" w:ascii="仿宋_GB2312" w:eastAsia="仿宋_GB2312" w:cs="Courier New"/>
          <w:color w:val="000000"/>
          <w:sz w:val="32"/>
          <w:szCs w:val="32"/>
        </w:rPr>
        <w:t>是指为保障机构正常运转、完成日常工作任务所必需的、不能纳入项目绩效管理的开支。</w:t>
      </w:r>
    </w:p>
    <w:p>
      <w:pPr>
        <w:spacing w:line="574" w:lineRule="exact"/>
        <w:ind w:firstLine="643" w:firstLineChars="200"/>
        <w:rPr>
          <w:rFonts w:ascii="仿宋" w:hAnsi="仿宋" w:eastAsia="仿宋"/>
          <w:color w:val="000000"/>
          <w:spacing w:val="10"/>
          <w:sz w:val="32"/>
          <w:szCs w:val="32"/>
        </w:rPr>
      </w:pPr>
      <w:r>
        <w:rPr>
          <w:rFonts w:hint="eastAsia" w:ascii="仿宋_GB2312" w:eastAsia="仿宋_GB2312" w:cs="Courier New"/>
          <w:b/>
          <w:color w:val="000000"/>
          <w:sz w:val="32"/>
          <w:szCs w:val="32"/>
        </w:rPr>
        <w:t>七、项目支出：</w:t>
      </w:r>
      <w:r>
        <w:rPr>
          <w:rFonts w:hint="eastAsia" w:ascii="仿宋_GB2312" w:eastAsia="仿宋_GB2312" w:cs="Courier New"/>
          <w:color w:val="000000"/>
          <w:sz w:val="32"/>
          <w:szCs w:val="32"/>
        </w:rPr>
        <w:t>是指在基本支出之外，为完成特定的行政工作任务或事业发展目标所发生的能够纳入项目绩效管理的支出。</w:t>
      </w:r>
      <w:r>
        <w:rPr>
          <w:rFonts w:hint="eastAsia" w:ascii="仿宋" w:hAnsi="仿宋" w:eastAsia="仿宋"/>
          <w:color w:val="000000"/>
          <w:sz w:val="32"/>
          <w:szCs w:val="32"/>
        </w:rPr>
        <w:t>根据项目管理方式不同，依次选择“专项资金、投资类项目、运转类项目和其他项目”。</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八、“三公”经费：</w:t>
      </w:r>
      <w:r>
        <w:rPr>
          <w:rFonts w:hint="eastAsia" w:ascii="仿宋_GB2312" w:eastAsia="仿宋_GB2312" w:cs="Courier New"/>
          <w:color w:val="000000"/>
          <w:sz w:val="32"/>
          <w:szCs w:val="32"/>
        </w:rPr>
        <w:t>是指纳入县级财政预算管理，部门使用一般公共预算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574" w:lineRule="exact"/>
        <w:ind w:firstLine="643" w:firstLineChars="200"/>
        <w:rPr>
          <w:rFonts w:ascii="仿宋_GB2312" w:eastAsia="仿宋_GB2312" w:cs="Courier New"/>
          <w:color w:val="000000"/>
          <w:sz w:val="32"/>
          <w:szCs w:val="32"/>
        </w:rPr>
      </w:pPr>
      <w:r>
        <w:rPr>
          <w:rFonts w:hint="eastAsia" w:ascii="仿宋_GB2312" w:eastAsia="仿宋_GB2312" w:cs="Courier New"/>
          <w:b/>
          <w:color w:val="000000"/>
          <w:sz w:val="32"/>
          <w:szCs w:val="32"/>
        </w:rPr>
        <w:t>九、机关运行经费：</w:t>
      </w:r>
      <w:r>
        <w:rPr>
          <w:rFonts w:hint="eastAsia" w:ascii="仿宋_GB2312" w:eastAsia="仿宋_GB2312" w:cs="Courier New"/>
          <w:color w:val="000000"/>
          <w:sz w:val="32"/>
          <w:szCs w:val="32"/>
        </w:rPr>
        <w:t>是指为保障机关运行，从公用经费中安排的用于购买货物和服务的各项资金，包括办公及印刷费、邮电费、差旅费、会议费、福利费、日常维修费及一般设备购置费、办公用房水电费、办公用房取暖费、办公用房物业管理费、公务用车运行维护费以及其他费用。</w:t>
      </w:r>
    </w:p>
    <w:p>
      <w:pPr>
        <w:adjustRightInd w:val="0"/>
        <w:snapToGrid w:val="0"/>
        <w:spacing w:line="574" w:lineRule="exact"/>
        <w:rPr>
          <w:rFonts w:ascii="黑体" w:hAnsi="黑体" w:eastAsia="黑体"/>
          <w:color w:val="000000"/>
          <w:sz w:val="32"/>
          <w:szCs w:val="32"/>
        </w:rPr>
      </w:pPr>
    </w:p>
    <w:p>
      <w:pPr>
        <w:adjustRightInd w:val="0"/>
        <w:snapToGrid w:val="0"/>
        <w:spacing w:line="574" w:lineRule="exact"/>
        <w:rPr>
          <w:rFonts w:ascii="黑体" w:hAnsi="黑体" w:eastAsia="黑体"/>
          <w:color w:val="000000"/>
          <w:sz w:val="32"/>
          <w:szCs w:val="32"/>
        </w:rPr>
      </w:pPr>
    </w:p>
    <w:p>
      <w:pPr>
        <w:adjustRightInd w:val="0"/>
        <w:snapToGrid w:val="0"/>
        <w:spacing w:line="574" w:lineRule="exact"/>
        <w:ind w:firstLine="640" w:firstLineChars="200"/>
        <w:rPr>
          <w:rFonts w:ascii="黑体" w:hAnsi="黑体" w:eastAsia="黑体"/>
          <w:color w:val="000000"/>
          <w:sz w:val="32"/>
          <w:szCs w:val="32"/>
        </w:rPr>
      </w:pPr>
    </w:p>
    <w:p>
      <w:pPr>
        <w:ind w:firstLine="600" w:firstLineChars="200"/>
        <w:rPr>
          <w:rFonts w:ascii="仿宋_GB2312" w:eastAsia="仿宋_GB2312"/>
          <w:sz w:val="30"/>
          <w:szCs w:val="30"/>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微软雅黑"/>
    <w:panose1 w:val="02010601030101010101"/>
    <w:charset w:val="86"/>
    <w:family w:val="auto"/>
    <w:pitch w:val="default"/>
    <w:sig w:usb0="00000000" w:usb1="00000000" w:usb2="00000010" w:usb3="00000000" w:csb0="00040000" w:csb1="00000000"/>
  </w:font>
  <w:font w:name="楷体">
    <w:altName w:val="楷体_GB2312"/>
    <w:panose1 w:val="02010609060101010101"/>
    <w:charset w:val="86"/>
    <w:family w:val="modern"/>
    <w:pitch w:val="default"/>
    <w:sig w:usb0="00000000" w:usb1="00000000" w:usb2="00000016" w:usb3="00000000" w:csb0="00040001" w:csb1="00000000"/>
  </w:font>
  <w:font w:name="华文楷体">
    <w:altName w:val="宋体"/>
    <w:panose1 w:val="02010600040101010101"/>
    <w:charset w:val="86"/>
    <w:family w:val="auto"/>
    <w:pitch w:val="default"/>
    <w:sig w:usb0="00000000" w:usb1="00000000" w:usb2="00000010" w:usb3="00000000" w:csb0="0004009F" w:csb1="00000000"/>
  </w:font>
  <w:font w:name="仿宋_GB2312">
    <w:panose1 w:val="02010609030101010101"/>
    <w:charset w:val="86"/>
    <w:family w:val="auto"/>
    <w:pitch w:val="default"/>
    <w:sig w:usb0="00000001" w:usb1="080E0000" w:usb2="00000000" w:usb3="00000000" w:csb0="00040000" w:csb1="00000000"/>
  </w:font>
  <w:font w:name="仿宋">
    <w:altName w:val="微软雅黑"/>
    <w:panose1 w:val="02010609060101010101"/>
    <w:charset w:val="86"/>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8D40E"/>
    <w:multiLevelType w:val="singleLevel"/>
    <w:tmpl w:val="5C88D40E"/>
    <w:lvl w:ilvl="0" w:tentative="0">
      <w:start w:val="1"/>
      <w:numFmt w:val="chineseCounting"/>
      <w:suff w:val="nothing"/>
      <w:lvlText w:val="%1、"/>
      <w:lvlJc w:val="left"/>
    </w:lvl>
  </w:abstractNum>
  <w:abstractNum w:abstractNumId="1">
    <w:nsid w:val="5C88D614"/>
    <w:multiLevelType w:val="singleLevel"/>
    <w:tmpl w:val="5C88D614"/>
    <w:lvl w:ilvl="0" w:tentative="0">
      <w:start w:val="3"/>
      <w:numFmt w:val="chineseCounting"/>
      <w:suff w:val="nothing"/>
      <w:lvlText w:val="%1、"/>
      <w:lvlJc w:val="left"/>
    </w:lvl>
  </w:abstractNum>
  <w:abstractNum w:abstractNumId="2">
    <w:nsid w:val="6850232D"/>
    <w:multiLevelType w:val="singleLevel"/>
    <w:tmpl w:val="6850232D"/>
    <w:lvl w:ilvl="0" w:tentative="0">
      <w:start w:val="14"/>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2C343C5D"/>
    <w:rsid w:val="00242260"/>
    <w:rsid w:val="00315AC7"/>
    <w:rsid w:val="003662C6"/>
    <w:rsid w:val="003A0A77"/>
    <w:rsid w:val="00891615"/>
    <w:rsid w:val="008E32FC"/>
    <w:rsid w:val="00AB3272"/>
    <w:rsid w:val="00F56397"/>
    <w:rsid w:val="00F67DB1"/>
    <w:rsid w:val="074232A0"/>
    <w:rsid w:val="11C475C4"/>
    <w:rsid w:val="152B3468"/>
    <w:rsid w:val="20623FC8"/>
    <w:rsid w:val="251D2B27"/>
    <w:rsid w:val="2B895188"/>
    <w:rsid w:val="2C343C5D"/>
    <w:rsid w:val="4DA34DE1"/>
    <w:rsid w:val="5E0657C5"/>
    <w:rsid w:val="5E9A07B9"/>
    <w:rsid w:val="6CB74F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rPr>
      <w:rFonts w:ascii="宋体" w:hAnsi="宋体" w:eastAsia="宋体" w:cs="宋体"/>
      <w:sz w:val="24"/>
      <w:szCs w:val="24"/>
      <w:lang w:val="en-US" w:eastAsia="zh-CN" w:bidi="ar-SA"/>
    </w:rPr>
  </w:style>
  <w:style w:type="paragraph" w:styleId="2">
    <w:name w:val="heading 3"/>
    <w:basedOn w:val="1"/>
    <w:next w:val="1"/>
    <w:unhideWhenUsed/>
    <w:qFormat/>
    <w:uiPriority w:val="9"/>
    <w:pPr>
      <w:keepNext/>
      <w:keepLines/>
      <w:widowControl w:val="0"/>
      <w:ind w:firstLine="200" w:firstLineChars="200"/>
      <w:jc w:val="center"/>
      <w:outlineLvl w:val="2"/>
    </w:pPr>
    <w:rPr>
      <w:rFonts w:ascii="Calibri" w:hAnsi="Calibri" w:eastAsia="黑体" w:cs="Times New Roman"/>
      <w:kern w:val="2"/>
      <w:sz w:val="30"/>
      <w:szCs w:val="32"/>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pPr>
    <w:rPr>
      <w:sz w:val="18"/>
      <w:szCs w:val="18"/>
    </w:rPr>
  </w:style>
  <w:style w:type="paragraph" w:styleId="4">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page number"/>
    <w:basedOn w:val="7"/>
    <w:qFormat/>
    <w:uiPriority w:val="0"/>
  </w:style>
  <w:style w:type="character" w:styleId="9">
    <w:name w:val="Hyperlink"/>
    <w:qFormat/>
    <w:uiPriority w:val="0"/>
    <w:rPr>
      <w:color w:val="0000FF"/>
      <w:u w:val="single"/>
    </w:rPr>
  </w:style>
  <w:style w:type="character" w:customStyle="1" w:styleId="10">
    <w:name w:val="页眉 Char"/>
    <w:basedOn w:val="7"/>
    <w:link w:val="4"/>
    <w:qFormat/>
    <w:uiPriority w:val="0"/>
    <w:rPr>
      <w:rFonts w:ascii="宋体" w:hAnsi="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928</Words>
  <Characters>5290</Characters>
  <Lines>44</Lines>
  <Paragraphs>12</Paragraphs>
  <TotalTime>2</TotalTime>
  <ScaleCrop>false</ScaleCrop>
  <LinksUpToDate>false</LinksUpToDate>
  <CharactersWithSpaces>6206</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2020-07-08T01:07:00Z</dcterms:created>
  <dc:creator>程瑶敏</dc:creator>
  <cp:lastModifiedBy>程瑶敏</cp:lastModifiedBy>
  <dcterms:modified xsi:type="dcterms:W3CDTF">2020-12-11T03:55:49Z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