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38"/>
        <w:rPr>
          <w:rFonts w:ascii="Times New Roman" w:hAnsi="宋体" w:eastAsia="宋体" w:cs="Times New Roman"/>
          <w:b/>
          <w:bCs/>
          <w:sz w:val="28"/>
          <w:szCs w:val="28"/>
        </w:rPr>
      </w:pPr>
      <w:r>
        <w:rPr>
          <w:rFonts w:ascii="Times New Roman" w:hAnsi="宋体" w:eastAsia="宋体" w:cs="Times New Roman"/>
          <w:b/>
          <w:bCs/>
          <w:sz w:val="28"/>
          <w:szCs w:val="28"/>
        </w:rPr>
        <w:drawing>
          <wp:inline distT="0" distB="0" distL="114300" distR="114300">
            <wp:extent cx="6024245" cy="8500110"/>
            <wp:effectExtent l="0" t="0" r="14605" b="15240"/>
            <wp:docPr id="11" name="图片 11" descr="1606205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06205022(1)"/>
                    <pic:cNvPicPr>
                      <a:picLocks noChangeAspect="1"/>
                    </pic:cNvPicPr>
                  </pic:nvPicPr>
                  <pic:blipFill>
                    <a:blip r:embed="rId7"/>
                    <a:stretch>
                      <a:fillRect/>
                    </a:stretch>
                  </pic:blipFill>
                  <pic:spPr>
                    <a:xfrm>
                      <a:off x="0" y="0"/>
                      <a:ext cx="6024245" cy="8500110"/>
                    </a:xfrm>
                    <a:prstGeom prst="rect">
                      <a:avLst/>
                    </a:prstGeom>
                  </pic:spPr>
                </pic:pic>
              </a:graphicData>
            </a:graphic>
          </wp:inline>
        </w:drawing>
      </w:r>
      <w:r>
        <w:rPr>
          <w:rFonts w:ascii="Times New Roman" w:hAnsi="宋体" w:eastAsia="宋体" w:cs="Times New Roman"/>
          <w:b/>
          <w:bCs/>
          <w:sz w:val="28"/>
          <w:szCs w:val="28"/>
        </w:rPr>
        <w:drawing>
          <wp:inline distT="0" distB="0" distL="114300" distR="114300">
            <wp:extent cx="6034405" cy="8536305"/>
            <wp:effectExtent l="0" t="0" r="4445" b="17145"/>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8"/>
                    <a:stretch>
                      <a:fillRect/>
                    </a:stretch>
                  </pic:blipFill>
                  <pic:spPr>
                    <a:xfrm>
                      <a:off x="0" y="0"/>
                      <a:ext cx="6034405" cy="8536305"/>
                    </a:xfrm>
                    <a:prstGeom prst="rect">
                      <a:avLst/>
                    </a:prstGeom>
                  </pic:spPr>
                </pic:pic>
              </a:graphicData>
            </a:graphic>
          </wp:inline>
        </w:drawing>
      </w:r>
      <w:r>
        <w:rPr>
          <w:rFonts w:ascii="Times New Roman" w:hAnsi="宋体" w:eastAsia="宋体" w:cs="Times New Roman"/>
          <w:b/>
          <w:bCs/>
          <w:sz w:val="28"/>
          <w:szCs w:val="28"/>
        </w:rPr>
        <w:drawing>
          <wp:inline distT="0" distB="0" distL="114300" distR="114300">
            <wp:extent cx="6283960" cy="8888730"/>
            <wp:effectExtent l="0" t="0" r="2540" b="762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9"/>
                    <a:stretch>
                      <a:fillRect/>
                    </a:stretch>
                  </pic:blipFill>
                  <pic:spPr>
                    <a:xfrm>
                      <a:off x="0" y="0"/>
                      <a:ext cx="6283960" cy="8888730"/>
                    </a:xfrm>
                    <a:prstGeom prst="rect">
                      <a:avLst/>
                    </a:prstGeom>
                  </pic:spPr>
                </pic:pic>
              </a:graphicData>
            </a:graphic>
          </wp:inline>
        </w:drawing>
      </w:r>
      <w:r>
        <w:rPr>
          <w:rFonts w:ascii="Times New Roman" w:hAnsi="宋体" w:eastAsia="宋体" w:cs="Times New Roman"/>
          <w:b/>
          <w:bCs/>
          <w:sz w:val="28"/>
          <w:szCs w:val="28"/>
        </w:rPr>
        <w:drawing>
          <wp:inline distT="0" distB="0" distL="114300" distR="114300">
            <wp:extent cx="6136640" cy="8681085"/>
            <wp:effectExtent l="0" t="0" r="16510" b="571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0"/>
                    <a:stretch>
                      <a:fillRect/>
                    </a:stretch>
                  </pic:blipFill>
                  <pic:spPr>
                    <a:xfrm>
                      <a:off x="0" y="0"/>
                      <a:ext cx="6136640" cy="8681085"/>
                    </a:xfrm>
                    <a:prstGeom prst="rect">
                      <a:avLst/>
                    </a:prstGeom>
                  </pic:spPr>
                </pic:pic>
              </a:graphicData>
            </a:graphic>
          </wp:inline>
        </w:drawing>
      </w:r>
      <w:r>
        <w:rPr>
          <w:rFonts w:ascii="Times New Roman" w:hAnsi="宋体" w:eastAsia="宋体" w:cs="Times New Roman"/>
          <w:b/>
          <w:bCs/>
          <w:sz w:val="28"/>
          <w:szCs w:val="28"/>
        </w:rPr>
        <w:drawing>
          <wp:inline distT="0" distB="0" distL="114300" distR="114300">
            <wp:extent cx="6262370" cy="8839200"/>
            <wp:effectExtent l="0" t="0" r="5080" b="0"/>
            <wp:docPr id="3" name="图片 3" descr="1606108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6108945(1)"/>
                    <pic:cNvPicPr>
                      <a:picLocks noChangeAspect="1"/>
                    </pic:cNvPicPr>
                  </pic:nvPicPr>
                  <pic:blipFill>
                    <a:blip r:embed="rId11"/>
                    <a:stretch>
                      <a:fillRect/>
                    </a:stretch>
                  </pic:blipFill>
                  <pic:spPr>
                    <a:xfrm>
                      <a:off x="0" y="0"/>
                      <a:ext cx="6262370" cy="8839200"/>
                    </a:xfrm>
                    <a:prstGeom prst="rect">
                      <a:avLst/>
                    </a:prstGeom>
                  </pic:spPr>
                </pic:pic>
              </a:graphicData>
            </a:graphic>
          </wp:inline>
        </w:drawing>
      </w:r>
    </w:p>
    <w:p>
      <w:pPr>
        <w:pStyle w:val="38"/>
        <w:rPr>
          <w:rFonts w:ascii="Times New Roman" w:hAnsi="宋体" w:eastAsia="宋体" w:cs="Times New Roman"/>
          <w:b/>
          <w:bCs/>
          <w:sz w:val="28"/>
          <w:szCs w:val="28"/>
        </w:rPr>
      </w:pPr>
      <w:r>
        <w:drawing>
          <wp:inline distT="0" distB="0" distL="114300" distR="114300">
            <wp:extent cx="6093460" cy="8629015"/>
            <wp:effectExtent l="0" t="0" r="2540"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6093460" cy="8629015"/>
                    </a:xfrm>
                    <a:prstGeom prst="rect">
                      <a:avLst/>
                    </a:prstGeom>
                    <a:noFill/>
                    <a:ln>
                      <a:noFill/>
                    </a:ln>
                  </pic:spPr>
                </pic:pic>
              </a:graphicData>
            </a:graphic>
          </wp:inline>
        </w:drawing>
      </w:r>
    </w:p>
    <w:p>
      <w:pPr>
        <w:pStyle w:val="38"/>
        <w:rPr>
          <w:rFonts w:ascii="Times New Roman" w:hAnsi="宋体" w:eastAsia="宋体" w:cs="Times New Roman"/>
          <w:b/>
          <w:bCs/>
          <w:sz w:val="28"/>
          <w:szCs w:val="28"/>
        </w:rPr>
        <w:sectPr>
          <w:headerReference r:id="rId3" w:type="default"/>
          <w:footerReference r:id="rId4" w:type="default"/>
          <w:footerReference r:id="rId5" w:type="even"/>
          <w:pgSz w:w="11907" w:h="16840"/>
          <w:pgMar w:top="1134" w:right="1418" w:bottom="1134" w:left="1418" w:header="851" w:footer="992" w:gutter="0"/>
          <w:pgNumType w:start="1"/>
          <w:cols w:space="425" w:num="1"/>
          <w:docGrid w:type="lines" w:linePitch="312" w:charSpace="0"/>
        </w:sectPr>
      </w:pPr>
    </w:p>
    <w:p>
      <w:pPr>
        <w:pStyle w:val="38"/>
        <w:jc w:val="center"/>
        <w:rPr>
          <w:rFonts w:ascii="Times New Roman" w:hAnsi="宋体" w:eastAsia="宋体" w:cs="Times New Roman"/>
          <w:b/>
          <w:bCs/>
          <w:sz w:val="28"/>
          <w:szCs w:val="28"/>
        </w:rPr>
      </w:pPr>
      <w:r>
        <w:drawing>
          <wp:inline distT="0" distB="0" distL="114300" distR="114300">
            <wp:extent cx="8301355" cy="5794375"/>
            <wp:effectExtent l="0" t="0" r="4445" b="158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8301355" cy="5794375"/>
                    </a:xfrm>
                    <a:prstGeom prst="rect">
                      <a:avLst/>
                    </a:prstGeom>
                    <a:noFill/>
                    <a:ln>
                      <a:noFill/>
                    </a:ln>
                  </pic:spPr>
                </pic:pic>
              </a:graphicData>
            </a:graphic>
          </wp:inline>
        </w:drawing>
      </w:r>
    </w:p>
    <w:p>
      <w:pPr>
        <w:pStyle w:val="38"/>
        <w:rPr>
          <w:rFonts w:ascii="Times New Roman" w:hAnsi="宋体" w:eastAsia="宋体" w:cs="Times New Roman"/>
          <w:b/>
          <w:bCs/>
          <w:sz w:val="28"/>
          <w:szCs w:val="28"/>
        </w:rPr>
        <w:sectPr>
          <w:pgSz w:w="16840" w:h="11907" w:orient="landscape"/>
          <w:pgMar w:top="1417" w:right="1134" w:bottom="1417" w:left="1134" w:header="851" w:footer="992" w:gutter="0"/>
          <w:pgNumType w:start="1"/>
          <w:cols w:space="0" w:num="1"/>
          <w:rtlGutter w:val="0"/>
          <w:docGrid w:type="lines" w:linePitch="312" w:charSpace="0"/>
        </w:sectPr>
      </w:pPr>
    </w:p>
    <w:p>
      <w:pPr>
        <w:pStyle w:val="38"/>
        <w:rPr>
          <w:rFonts w:ascii="Times New Roman" w:eastAsia="宋体" w:cs="Times New Roman"/>
          <w:b/>
          <w:bCs/>
          <w:sz w:val="28"/>
          <w:szCs w:val="28"/>
        </w:rPr>
      </w:pPr>
      <w:r>
        <w:rPr>
          <w:rFonts w:ascii="Times New Roman" w:hAnsi="宋体" w:eastAsia="宋体" w:cs="Times New Roman"/>
          <w:b/>
          <w:bCs/>
          <w:sz w:val="28"/>
          <w:szCs w:val="28"/>
        </w:rPr>
        <w:t>建设项目基本情况</w:t>
      </w:r>
    </w:p>
    <w:tbl>
      <w:tblPr>
        <w:tblStyle w:val="30"/>
        <w:tblW w:w="95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536"/>
        <w:gridCol w:w="1673"/>
        <w:gridCol w:w="1253"/>
        <w:gridCol w:w="2895"/>
        <w:gridCol w:w="10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项目名称</w:t>
            </w:r>
          </w:p>
        </w:tc>
        <w:tc>
          <w:tcPr>
            <w:tcW w:w="0" w:type="auto"/>
            <w:gridSpan w:val="5"/>
            <w:tcBorders>
              <w:tl2br w:val="nil"/>
              <w:tr2bl w:val="nil"/>
            </w:tcBorders>
            <w:vAlign w:val="center"/>
          </w:tcPr>
          <w:p>
            <w:pPr>
              <w:adjustRightInd w:val="0"/>
              <w:snapToGrid w:val="0"/>
              <w:jc w:val="center"/>
              <w:rPr>
                <w:rFonts w:eastAsiaTheme="minorEastAsia"/>
                <w:sz w:val="24"/>
              </w:rPr>
            </w:pPr>
            <w:r>
              <w:rPr>
                <w:rFonts w:eastAsiaTheme="minorEastAsia"/>
                <w:sz w:val="24"/>
              </w:rPr>
              <w:t>新乡县合河乡紫晨游乐设备厂年产20套游乐设备项目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建设单位</w:t>
            </w:r>
          </w:p>
        </w:tc>
        <w:tc>
          <w:tcPr>
            <w:tcW w:w="0" w:type="auto"/>
            <w:gridSpan w:val="5"/>
            <w:tcBorders>
              <w:tl2br w:val="nil"/>
              <w:tr2bl w:val="nil"/>
            </w:tcBorders>
            <w:vAlign w:val="center"/>
          </w:tcPr>
          <w:p>
            <w:pPr>
              <w:adjustRightInd w:val="0"/>
              <w:snapToGrid w:val="0"/>
              <w:jc w:val="center"/>
              <w:rPr>
                <w:rFonts w:eastAsiaTheme="minorEastAsia"/>
                <w:sz w:val="24"/>
              </w:rPr>
            </w:pPr>
            <w:r>
              <w:rPr>
                <w:rFonts w:eastAsiaTheme="minorEastAsia"/>
                <w:sz w:val="24"/>
              </w:rPr>
              <w:t>新乡市县合河乡紫晨游乐设备厂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法人代表</w:t>
            </w:r>
          </w:p>
        </w:tc>
        <w:tc>
          <w:tcPr>
            <w:tcW w:w="0" w:type="auto"/>
            <w:gridSpan w:val="2"/>
            <w:tcBorders>
              <w:tl2br w:val="nil"/>
              <w:tr2bl w:val="nil"/>
            </w:tcBorders>
            <w:vAlign w:val="center"/>
          </w:tcPr>
          <w:p>
            <w:pPr>
              <w:adjustRightInd w:val="0"/>
              <w:snapToGrid w:val="0"/>
              <w:jc w:val="center"/>
              <w:rPr>
                <w:rFonts w:eastAsiaTheme="minorEastAsia"/>
                <w:sz w:val="24"/>
              </w:rPr>
            </w:pPr>
            <w:r>
              <w:rPr>
                <w:rFonts w:eastAsiaTheme="minorEastAsia"/>
                <w:sz w:val="24"/>
              </w:rPr>
              <w:t>朱性志</w:t>
            </w:r>
          </w:p>
        </w:tc>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联系人</w:t>
            </w:r>
          </w:p>
        </w:tc>
        <w:tc>
          <w:tcPr>
            <w:tcW w:w="0" w:type="auto"/>
            <w:gridSpan w:val="2"/>
            <w:tcBorders>
              <w:tl2br w:val="nil"/>
              <w:tr2bl w:val="nil"/>
            </w:tcBorders>
            <w:vAlign w:val="center"/>
          </w:tcPr>
          <w:p>
            <w:pPr>
              <w:adjustRightInd w:val="0"/>
              <w:snapToGrid w:val="0"/>
              <w:jc w:val="center"/>
              <w:rPr>
                <w:rFonts w:eastAsiaTheme="minorEastAsia"/>
                <w:color w:val="FF0000"/>
                <w:sz w:val="24"/>
              </w:rPr>
            </w:pPr>
            <w:r>
              <w:rPr>
                <w:rFonts w:eastAsiaTheme="minorEastAsia"/>
                <w:color w:val="000000" w:themeColor="text1"/>
                <w:sz w:val="24"/>
              </w:rPr>
              <w:t>朱性志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通讯地址</w:t>
            </w:r>
          </w:p>
        </w:tc>
        <w:tc>
          <w:tcPr>
            <w:tcW w:w="0" w:type="auto"/>
            <w:gridSpan w:val="5"/>
            <w:tcBorders>
              <w:tl2br w:val="nil"/>
              <w:tr2bl w:val="nil"/>
            </w:tcBorders>
            <w:vAlign w:val="center"/>
          </w:tcPr>
          <w:p>
            <w:pPr>
              <w:adjustRightInd w:val="0"/>
              <w:snapToGrid w:val="0"/>
              <w:jc w:val="center"/>
              <w:rPr>
                <w:rFonts w:eastAsiaTheme="minorEastAsia"/>
                <w:color w:val="000000"/>
                <w:sz w:val="24"/>
              </w:rPr>
            </w:pPr>
            <w:r>
              <w:rPr>
                <w:rFonts w:eastAsiaTheme="minorEastAsia"/>
                <w:color w:val="000000"/>
                <w:sz w:val="24"/>
              </w:rPr>
              <w:t>河南省新乡市新乡县合河乡西河村老纸厂旧址院内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联系电话</w:t>
            </w:r>
          </w:p>
        </w:tc>
        <w:tc>
          <w:tcPr>
            <w:tcW w:w="0" w:type="auto"/>
            <w:tcBorders>
              <w:tl2br w:val="nil"/>
              <w:tr2bl w:val="nil"/>
            </w:tcBorders>
            <w:vAlign w:val="center"/>
          </w:tcPr>
          <w:p>
            <w:pPr>
              <w:adjustRightInd w:val="0"/>
              <w:snapToGrid w:val="0"/>
              <w:jc w:val="center"/>
              <w:rPr>
                <w:rFonts w:eastAsiaTheme="minorEastAsia"/>
                <w:color w:val="000000" w:themeColor="text1"/>
                <w:sz w:val="24"/>
              </w:rPr>
            </w:pPr>
            <w:r>
              <w:rPr>
                <w:rFonts w:eastAsiaTheme="minorEastAsia"/>
                <w:color w:val="000000" w:themeColor="text1"/>
                <w:sz w:val="24"/>
              </w:rPr>
              <w:t>13937318441</w:t>
            </w:r>
          </w:p>
        </w:tc>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传真</w:t>
            </w:r>
          </w:p>
        </w:tc>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w:t>
            </w:r>
          </w:p>
        </w:tc>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邮政编码</w:t>
            </w:r>
          </w:p>
        </w:tc>
        <w:tc>
          <w:tcPr>
            <w:tcW w:w="0" w:type="auto"/>
            <w:tcBorders>
              <w:tl2br w:val="nil"/>
              <w:tr2bl w:val="nil"/>
            </w:tcBorders>
            <w:vAlign w:val="center"/>
          </w:tcPr>
          <w:p>
            <w:pPr>
              <w:adjustRightInd w:val="0"/>
              <w:snapToGrid w:val="0"/>
              <w:jc w:val="center"/>
              <w:rPr>
                <w:rFonts w:eastAsiaTheme="minorEastAsia"/>
                <w:sz w:val="24"/>
              </w:rPr>
            </w:pPr>
            <w:r>
              <w:rPr>
                <w:rFonts w:eastAsiaTheme="minorEastAsia"/>
                <w:color w:val="000000"/>
                <w:sz w:val="24"/>
              </w:rPr>
              <w:t>453000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建设地点</w:t>
            </w:r>
          </w:p>
        </w:tc>
        <w:tc>
          <w:tcPr>
            <w:tcW w:w="0" w:type="auto"/>
            <w:gridSpan w:val="5"/>
            <w:tcBorders>
              <w:tl2br w:val="nil"/>
              <w:tr2bl w:val="nil"/>
            </w:tcBorders>
            <w:vAlign w:val="center"/>
          </w:tcPr>
          <w:p>
            <w:pPr>
              <w:adjustRightInd w:val="0"/>
              <w:snapToGrid w:val="0"/>
              <w:jc w:val="center"/>
              <w:rPr>
                <w:rFonts w:eastAsiaTheme="minorEastAsia"/>
                <w:sz w:val="24"/>
              </w:rPr>
            </w:pPr>
            <w:r>
              <w:rPr>
                <w:rFonts w:eastAsiaTheme="minorEastAsia"/>
                <w:color w:val="000000"/>
                <w:sz w:val="24"/>
              </w:rPr>
              <w:t>河南省新乡市新乡县合河乡西河村老纸厂旧址院内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立项审批部门</w:t>
            </w:r>
          </w:p>
        </w:tc>
        <w:tc>
          <w:tcPr>
            <w:tcW w:w="0" w:type="auto"/>
            <w:gridSpan w:val="2"/>
            <w:tcBorders>
              <w:tl2br w:val="nil"/>
              <w:tr2bl w:val="nil"/>
            </w:tcBorders>
            <w:vAlign w:val="center"/>
          </w:tcPr>
          <w:p>
            <w:pPr>
              <w:adjustRightInd w:val="0"/>
              <w:snapToGrid w:val="0"/>
              <w:jc w:val="center"/>
              <w:rPr>
                <w:rFonts w:eastAsiaTheme="minorEastAsia"/>
                <w:sz w:val="24"/>
              </w:rPr>
            </w:pPr>
            <w:r>
              <w:rPr>
                <w:rFonts w:eastAsiaTheme="minorEastAsia"/>
                <w:sz w:val="24"/>
              </w:rPr>
              <w:t>新乡县发展和改革委员会</w:t>
            </w:r>
          </w:p>
        </w:tc>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项目代码</w:t>
            </w:r>
          </w:p>
        </w:tc>
        <w:tc>
          <w:tcPr>
            <w:tcW w:w="0" w:type="auto"/>
            <w:gridSpan w:val="2"/>
            <w:tcBorders>
              <w:tl2br w:val="nil"/>
              <w:tr2bl w:val="nil"/>
            </w:tcBorders>
            <w:tcMar>
              <w:left w:w="0" w:type="dxa"/>
              <w:right w:w="0" w:type="dxa"/>
            </w:tcMar>
            <w:vAlign w:val="center"/>
          </w:tcPr>
          <w:p>
            <w:pPr>
              <w:adjustRightInd w:val="0"/>
              <w:snapToGrid w:val="0"/>
              <w:jc w:val="center"/>
              <w:rPr>
                <w:rFonts w:eastAsiaTheme="minorEastAsia"/>
                <w:spacing w:val="-10"/>
                <w:sz w:val="24"/>
              </w:rPr>
            </w:pPr>
            <w:r>
              <w:rPr>
                <w:rFonts w:eastAsiaTheme="minorEastAsia"/>
                <w:spacing w:val="-10"/>
                <w:sz w:val="24"/>
              </w:rPr>
              <w:t>2020-410721-41-03-002413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建设性质</w:t>
            </w:r>
          </w:p>
        </w:tc>
        <w:tc>
          <w:tcPr>
            <w:tcW w:w="0" w:type="auto"/>
            <w:gridSpan w:val="2"/>
            <w:tcBorders>
              <w:tl2br w:val="nil"/>
              <w:tr2bl w:val="nil"/>
            </w:tcBorders>
            <w:vAlign w:val="center"/>
          </w:tcPr>
          <w:p>
            <w:pPr>
              <w:adjustRightInd w:val="0"/>
              <w:snapToGrid w:val="0"/>
              <w:ind w:firstLine="120" w:firstLineChars="50"/>
              <w:jc w:val="center"/>
              <w:rPr>
                <w:rFonts w:eastAsiaTheme="minorEastAsia"/>
                <w:i/>
                <w:sz w:val="24"/>
              </w:rPr>
            </w:pPr>
            <w:r>
              <w:rPr>
                <w:rFonts w:eastAsiaTheme="minorEastAsia"/>
                <w:sz w:val="24"/>
              </w:rPr>
              <w:t>新建√  改扩建  技改</w:t>
            </w:r>
          </w:p>
        </w:tc>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行业类别及代码</w:t>
            </w:r>
          </w:p>
        </w:tc>
        <w:tc>
          <w:tcPr>
            <w:tcW w:w="0" w:type="auto"/>
            <w:gridSpan w:val="2"/>
            <w:tcBorders>
              <w:tl2br w:val="nil"/>
              <w:tr2bl w:val="nil"/>
            </w:tcBorders>
            <w:vAlign w:val="center"/>
          </w:tcPr>
          <w:p>
            <w:pPr>
              <w:adjustRightInd w:val="0"/>
              <w:snapToGrid w:val="0"/>
              <w:jc w:val="center"/>
              <w:rPr>
                <w:rFonts w:eastAsiaTheme="minorEastAsia"/>
                <w:color w:val="000000"/>
                <w:sz w:val="24"/>
              </w:rPr>
            </w:pPr>
            <w:r>
              <w:rPr>
                <w:rFonts w:eastAsiaTheme="minorEastAsia"/>
                <w:color w:val="000000"/>
                <w:sz w:val="24"/>
              </w:rPr>
              <w:t>C2462游艺用品及室内游艺器材制造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占地面积</w:t>
            </w:r>
          </w:p>
          <w:p>
            <w:pPr>
              <w:adjustRightInd w:val="0"/>
              <w:snapToGrid w:val="0"/>
              <w:jc w:val="center"/>
              <w:rPr>
                <w:rFonts w:eastAsiaTheme="minorEastAsia"/>
                <w:sz w:val="24"/>
              </w:rPr>
            </w:pPr>
            <w:r>
              <w:rPr>
                <w:rFonts w:eastAsiaTheme="minorEastAsia"/>
                <w:sz w:val="24"/>
              </w:rPr>
              <w:t>(平方米)</w:t>
            </w:r>
          </w:p>
        </w:tc>
        <w:tc>
          <w:tcPr>
            <w:tcW w:w="0" w:type="auto"/>
            <w:gridSpan w:val="2"/>
            <w:tcBorders>
              <w:tl2br w:val="nil"/>
              <w:tr2bl w:val="nil"/>
            </w:tcBorders>
            <w:vAlign w:val="center"/>
          </w:tcPr>
          <w:p>
            <w:pPr>
              <w:adjustRightInd w:val="0"/>
              <w:snapToGrid w:val="0"/>
              <w:jc w:val="center"/>
              <w:rPr>
                <w:rFonts w:eastAsiaTheme="minorEastAsia"/>
                <w:color w:val="000000"/>
                <w:sz w:val="24"/>
              </w:rPr>
            </w:pPr>
            <w:r>
              <w:rPr>
                <w:rFonts w:eastAsiaTheme="minorEastAsia"/>
                <w:color w:val="000000"/>
                <w:sz w:val="24"/>
              </w:rPr>
              <w:t>1400</w:t>
            </w:r>
          </w:p>
        </w:tc>
        <w:tc>
          <w:tcPr>
            <w:tcW w:w="0" w:type="auto"/>
            <w:tcBorders>
              <w:tl2br w:val="nil"/>
              <w:tr2bl w:val="nil"/>
            </w:tcBorders>
            <w:vAlign w:val="center"/>
          </w:tcPr>
          <w:p>
            <w:pPr>
              <w:adjustRightInd w:val="0"/>
              <w:snapToGrid w:val="0"/>
              <w:jc w:val="center"/>
              <w:rPr>
                <w:rFonts w:eastAsiaTheme="minorEastAsia"/>
                <w:color w:val="000000"/>
                <w:sz w:val="24"/>
              </w:rPr>
            </w:pPr>
            <w:r>
              <w:rPr>
                <w:rFonts w:eastAsiaTheme="minorEastAsia"/>
                <w:color w:val="000000"/>
                <w:sz w:val="24"/>
              </w:rPr>
              <w:t>绿化面积</w:t>
            </w:r>
          </w:p>
          <w:p>
            <w:pPr>
              <w:adjustRightInd w:val="0"/>
              <w:snapToGrid w:val="0"/>
              <w:jc w:val="center"/>
              <w:rPr>
                <w:rFonts w:eastAsiaTheme="minorEastAsia"/>
                <w:color w:val="000000"/>
                <w:sz w:val="24"/>
              </w:rPr>
            </w:pPr>
            <w:r>
              <w:rPr>
                <w:rFonts w:eastAsiaTheme="minorEastAsia"/>
                <w:color w:val="000000"/>
                <w:sz w:val="24"/>
              </w:rPr>
              <w:t>(平方米)</w:t>
            </w:r>
          </w:p>
        </w:tc>
        <w:tc>
          <w:tcPr>
            <w:tcW w:w="0" w:type="auto"/>
            <w:gridSpan w:val="2"/>
            <w:tcBorders>
              <w:tl2br w:val="nil"/>
              <w:tr2bl w:val="nil"/>
            </w:tcBorders>
            <w:vAlign w:val="center"/>
          </w:tcPr>
          <w:p>
            <w:pPr>
              <w:adjustRightInd w:val="0"/>
              <w:snapToGrid w:val="0"/>
              <w:jc w:val="center"/>
              <w:rPr>
                <w:rFonts w:eastAsiaTheme="minorEastAsia"/>
                <w:color w:val="000000"/>
                <w:sz w:val="24"/>
              </w:rPr>
            </w:pPr>
            <w:r>
              <w:rPr>
                <w:rFonts w:eastAsiaTheme="minor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总投资</w:t>
            </w:r>
          </w:p>
          <w:p>
            <w:pPr>
              <w:adjustRightInd w:val="0"/>
              <w:snapToGrid w:val="0"/>
              <w:jc w:val="center"/>
              <w:rPr>
                <w:rFonts w:eastAsiaTheme="minorEastAsia"/>
                <w:sz w:val="24"/>
              </w:rPr>
            </w:pPr>
            <w:r>
              <w:rPr>
                <w:rFonts w:eastAsiaTheme="minorEastAsia"/>
                <w:sz w:val="24"/>
              </w:rPr>
              <w:t>（万元）</w:t>
            </w:r>
          </w:p>
        </w:tc>
        <w:tc>
          <w:tcPr>
            <w:tcW w:w="0" w:type="auto"/>
            <w:tcBorders>
              <w:tl2br w:val="nil"/>
              <w:tr2bl w:val="nil"/>
            </w:tcBorders>
            <w:vAlign w:val="center"/>
          </w:tcPr>
          <w:p>
            <w:pPr>
              <w:adjustRightInd w:val="0"/>
              <w:snapToGrid w:val="0"/>
              <w:jc w:val="center"/>
              <w:rPr>
                <w:rFonts w:eastAsiaTheme="minorEastAsia"/>
                <w:color w:val="000000"/>
                <w:sz w:val="24"/>
              </w:rPr>
            </w:pPr>
            <w:r>
              <w:rPr>
                <w:rFonts w:eastAsiaTheme="minorEastAsia"/>
                <w:sz w:val="24"/>
              </w:rPr>
              <w:t>50</w:t>
            </w:r>
          </w:p>
        </w:tc>
        <w:tc>
          <w:tcPr>
            <w:tcW w:w="0" w:type="auto"/>
            <w:tcBorders>
              <w:tl2br w:val="nil"/>
              <w:tr2bl w:val="nil"/>
            </w:tcBorders>
            <w:vAlign w:val="center"/>
          </w:tcPr>
          <w:p>
            <w:pPr>
              <w:adjustRightInd w:val="0"/>
              <w:snapToGrid w:val="0"/>
              <w:jc w:val="center"/>
              <w:rPr>
                <w:rFonts w:eastAsiaTheme="minorEastAsia"/>
                <w:color w:val="000000"/>
                <w:sz w:val="24"/>
              </w:rPr>
            </w:pPr>
            <w:r>
              <w:rPr>
                <w:rFonts w:eastAsiaTheme="minorEastAsia"/>
                <w:color w:val="000000"/>
                <w:sz w:val="24"/>
              </w:rPr>
              <w:t>其中环保投资（万元）</w:t>
            </w:r>
          </w:p>
        </w:tc>
        <w:tc>
          <w:tcPr>
            <w:tcW w:w="0" w:type="auto"/>
            <w:tcBorders>
              <w:tl2br w:val="nil"/>
              <w:tr2bl w:val="nil"/>
            </w:tcBorders>
            <w:vAlign w:val="center"/>
          </w:tcPr>
          <w:p>
            <w:pPr>
              <w:adjustRightInd w:val="0"/>
              <w:snapToGrid w:val="0"/>
              <w:jc w:val="center"/>
              <w:rPr>
                <w:rFonts w:eastAsiaTheme="minorEastAsia"/>
                <w:color w:val="000000"/>
                <w:sz w:val="24"/>
              </w:rPr>
            </w:pPr>
            <w:r>
              <w:rPr>
                <w:rFonts w:hint="eastAsia" w:eastAsiaTheme="minorEastAsia"/>
                <w:color w:val="000000"/>
                <w:sz w:val="24"/>
              </w:rPr>
              <w:t>8</w:t>
            </w:r>
          </w:p>
        </w:tc>
        <w:tc>
          <w:tcPr>
            <w:tcW w:w="0" w:type="auto"/>
            <w:tcBorders>
              <w:tl2br w:val="nil"/>
              <w:tr2bl w:val="nil"/>
            </w:tcBorders>
            <w:vAlign w:val="center"/>
          </w:tcPr>
          <w:p>
            <w:pPr>
              <w:adjustRightInd w:val="0"/>
              <w:snapToGrid w:val="0"/>
              <w:jc w:val="center"/>
              <w:rPr>
                <w:rFonts w:eastAsiaTheme="minorEastAsia"/>
                <w:color w:val="000000"/>
                <w:sz w:val="24"/>
              </w:rPr>
            </w:pPr>
            <w:r>
              <w:rPr>
                <w:rFonts w:eastAsiaTheme="minorEastAsia"/>
                <w:color w:val="000000"/>
                <w:sz w:val="24"/>
              </w:rPr>
              <w:t>环保投资占总投资比例</w:t>
            </w:r>
          </w:p>
        </w:tc>
        <w:tc>
          <w:tcPr>
            <w:tcW w:w="0" w:type="auto"/>
            <w:tcBorders>
              <w:tl2br w:val="nil"/>
              <w:tr2bl w:val="nil"/>
            </w:tcBorders>
            <w:vAlign w:val="center"/>
          </w:tcPr>
          <w:p>
            <w:pPr>
              <w:adjustRightInd w:val="0"/>
              <w:snapToGrid w:val="0"/>
              <w:jc w:val="center"/>
              <w:rPr>
                <w:rFonts w:eastAsiaTheme="minorEastAsia"/>
                <w:color w:val="000000"/>
                <w:sz w:val="24"/>
              </w:rPr>
            </w:pPr>
            <w:r>
              <w:rPr>
                <w:rFonts w:eastAsiaTheme="minorEastAsia"/>
                <w:color w:val="000000"/>
                <w:sz w:val="24"/>
              </w:rPr>
              <w:t>1</w:t>
            </w:r>
            <w:r>
              <w:rPr>
                <w:rFonts w:hint="eastAsia" w:eastAsiaTheme="minorEastAsia"/>
                <w:color w:val="000000"/>
                <w:sz w:val="24"/>
              </w:rPr>
              <w:t>6</w:t>
            </w:r>
            <w:r>
              <w:rPr>
                <w:rFonts w:eastAsiaTheme="minorEastAsia"/>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评价经费</w:t>
            </w:r>
          </w:p>
          <w:p>
            <w:pPr>
              <w:adjustRightInd w:val="0"/>
              <w:snapToGrid w:val="0"/>
              <w:jc w:val="center"/>
              <w:rPr>
                <w:rFonts w:eastAsiaTheme="minorEastAsia"/>
                <w:sz w:val="24"/>
              </w:rPr>
            </w:pPr>
            <w:r>
              <w:rPr>
                <w:rFonts w:eastAsiaTheme="minorEastAsia"/>
                <w:sz w:val="24"/>
              </w:rPr>
              <w:t>（万元）</w:t>
            </w:r>
          </w:p>
        </w:tc>
        <w:tc>
          <w:tcPr>
            <w:tcW w:w="0" w:type="auto"/>
            <w:tcBorders>
              <w:tl2br w:val="nil"/>
              <w:tr2bl w:val="nil"/>
            </w:tcBorders>
            <w:vAlign w:val="center"/>
          </w:tcPr>
          <w:p>
            <w:pPr>
              <w:adjustRightInd w:val="0"/>
              <w:snapToGrid w:val="0"/>
              <w:jc w:val="center"/>
              <w:rPr>
                <w:rFonts w:eastAsiaTheme="minorEastAsia"/>
                <w:sz w:val="24"/>
                <w:lang w:val="en-GB"/>
              </w:rPr>
            </w:pPr>
            <w:r>
              <w:rPr>
                <w:rFonts w:eastAsiaTheme="minorEastAsia"/>
                <w:sz w:val="24"/>
                <w:lang w:val="en-GB"/>
              </w:rPr>
              <w:t>/</w:t>
            </w:r>
          </w:p>
        </w:tc>
        <w:tc>
          <w:tcPr>
            <w:tcW w:w="0" w:type="auto"/>
            <w:tcBorders>
              <w:tl2br w:val="nil"/>
              <w:tr2bl w:val="nil"/>
            </w:tcBorders>
            <w:vAlign w:val="center"/>
          </w:tcPr>
          <w:p>
            <w:pPr>
              <w:adjustRightInd w:val="0"/>
              <w:snapToGrid w:val="0"/>
              <w:jc w:val="center"/>
              <w:rPr>
                <w:rFonts w:eastAsiaTheme="minorEastAsia"/>
                <w:sz w:val="24"/>
              </w:rPr>
            </w:pPr>
            <w:r>
              <w:rPr>
                <w:rFonts w:eastAsiaTheme="minorEastAsia"/>
                <w:sz w:val="24"/>
              </w:rPr>
              <w:t>预期投产日期</w:t>
            </w:r>
          </w:p>
        </w:tc>
        <w:tc>
          <w:tcPr>
            <w:tcW w:w="0" w:type="auto"/>
            <w:gridSpan w:val="3"/>
            <w:tcBorders>
              <w:tl2br w:val="nil"/>
              <w:tr2bl w:val="nil"/>
            </w:tcBorders>
            <w:vAlign w:val="center"/>
          </w:tcPr>
          <w:p>
            <w:pPr>
              <w:adjustRightInd w:val="0"/>
              <w:snapToGrid w:val="0"/>
              <w:jc w:val="center"/>
              <w:rPr>
                <w:rFonts w:eastAsiaTheme="minorEastAsia"/>
                <w:color w:val="000000"/>
                <w:sz w:val="24"/>
              </w:rPr>
            </w:pPr>
            <w:r>
              <w:rPr>
                <w:rFonts w:eastAsiaTheme="minorEastAsia"/>
                <w:color w:val="000000"/>
                <w:sz w:val="24"/>
              </w:rPr>
              <w:t>202</w:t>
            </w:r>
            <w:r>
              <w:rPr>
                <w:rFonts w:hint="eastAsia" w:eastAsiaTheme="minorEastAsia"/>
                <w:color w:val="000000"/>
                <w:sz w:val="24"/>
                <w:lang w:val="en-US" w:eastAsia="zh-CN"/>
              </w:rPr>
              <w:t>1</w:t>
            </w:r>
            <w:r>
              <w:rPr>
                <w:rFonts w:eastAsiaTheme="minorEastAsia"/>
                <w:color w:val="000000"/>
                <w:sz w:val="24"/>
              </w:rPr>
              <w:t>年</w:t>
            </w:r>
            <w:r>
              <w:rPr>
                <w:rFonts w:hint="eastAsia" w:eastAsiaTheme="minorEastAsia"/>
                <w:color w:val="000000"/>
                <w:sz w:val="24"/>
              </w:rPr>
              <w:t>1</w:t>
            </w:r>
            <w:r>
              <w:rPr>
                <w:rFonts w:eastAsiaTheme="minorEastAsia"/>
                <w:color w:val="000000"/>
                <w:sz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0" w:hRule="atLeast"/>
          <w:jc w:val="center"/>
        </w:trPr>
        <w:tc>
          <w:tcPr>
            <w:tcW w:w="0" w:type="auto"/>
            <w:gridSpan w:val="6"/>
            <w:tcBorders>
              <w:tl2br w:val="nil"/>
              <w:tr2bl w:val="nil"/>
            </w:tcBorders>
          </w:tcPr>
          <w:p>
            <w:pPr>
              <w:numPr>
                <w:ilvl w:val="0"/>
                <w:numId w:val="1"/>
              </w:numPr>
              <w:adjustRightInd w:val="0"/>
              <w:snapToGrid w:val="0"/>
              <w:spacing w:line="440" w:lineRule="exact"/>
              <w:ind w:firstLine="482" w:firstLineChars="200"/>
              <w:rPr>
                <w:rFonts w:eastAsiaTheme="minorEastAsia"/>
                <w:b/>
                <w:bCs/>
                <w:sz w:val="24"/>
              </w:rPr>
            </w:pPr>
            <w:r>
              <w:rPr>
                <w:rFonts w:eastAsiaTheme="minorEastAsia"/>
                <w:b/>
                <w:bCs/>
                <w:sz w:val="24"/>
              </w:rPr>
              <w:t>项目由来</w:t>
            </w:r>
          </w:p>
          <w:p>
            <w:pPr>
              <w:adjustRightInd w:val="0"/>
              <w:snapToGrid w:val="0"/>
              <w:spacing w:line="440" w:lineRule="exact"/>
              <w:ind w:firstLine="480" w:firstLineChars="200"/>
              <w:rPr>
                <w:bCs/>
                <w:color w:val="000000"/>
                <w:sz w:val="24"/>
              </w:rPr>
            </w:pPr>
            <w:r>
              <w:rPr>
                <w:rFonts w:eastAsiaTheme="minorEastAsia"/>
                <w:sz w:val="24"/>
              </w:rPr>
              <w:t>新乡县合河乡紫晨游乐设备厂投资50万元建设年产20套游乐设备项目，项目选址位于河南省新乡市新乡县合河乡西河村老纸厂旧址院内，</w:t>
            </w:r>
            <w:r>
              <w:rPr>
                <w:rFonts w:hint="eastAsia" w:eastAsiaTheme="minorEastAsia"/>
                <w:sz w:val="24"/>
                <w:lang w:eastAsia="zh-CN"/>
              </w:rPr>
              <w:t>企业租赁纸厂空置厂房进行生产，</w:t>
            </w:r>
            <w:r>
              <w:rPr>
                <w:rFonts w:hAnsi="宋体"/>
                <w:bCs/>
                <w:color w:val="000000"/>
                <w:sz w:val="24"/>
              </w:rPr>
              <w:t>不新增占地，不办理土地手续。</w:t>
            </w:r>
            <w:r>
              <w:rPr>
                <w:rFonts w:hAnsi="宋体"/>
                <w:sz w:val="24"/>
              </w:rPr>
              <w:t>根据</w:t>
            </w:r>
            <w:r>
              <w:rPr>
                <w:rFonts w:hint="eastAsia" w:hAnsi="宋体"/>
                <w:sz w:val="24"/>
              </w:rPr>
              <w:t>《</w:t>
            </w:r>
            <w:r>
              <w:rPr>
                <w:rFonts w:hAnsi="宋体"/>
                <w:sz w:val="24"/>
              </w:rPr>
              <w:t>新乡县土地利用总体规划（</w:t>
            </w:r>
            <w:r>
              <w:rPr>
                <w:sz w:val="24"/>
              </w:rPr>
              <w:t>2010-2020</w:t>
            </w:r>
            <w:r>
              <w:rPr>
                <w:rFonts w:hAnsi="宋体"/>
                <w:sz w:val="24"/>
              </w:rPr>
              <w:t>年）调整方案》（</w:t>
            </w:r>
            <w:r>
              <w:rPr>
                <w:sz w:val="24"/>
              </w:rPr>
              <w:t>2017</w:t>
            </w:r>
            <w:r>
              <w:rPr>
                <w:rFonts w:hAnsi="宋体"/>
                <w:sz w:val="24"/>
              </w:rPr>
              <w:t>年修改）及</w:t>
            </w:r>
            <w:r>
              <w:rPr>
                <w:rFonts w:hint="eastAsia" w:hAnsi="宋体"/>
                <w:sz w:val="24"/>
              </w:rPr>
              <w:t>《</w:t>
            </w:r>
            <w:r>
              <w:rPr>
                <w:rFonts w:hAnsi="宋体"/>
                <w:sz w:val="24"/>
              </w:rPr>
              <w:t>合河乡土地利用规划图（</w:t>
            </w:r>
            <w:r>
              <w:rPr>
                <w:sz w:val="24"/>
              </w:rPr>
              <w:t>2010-2020</w:t>
            </w:r>
            <w:r>
              <w:rPr>
                <w:rFonts w:hAnsi="宋体"/>
                <w:sz w:val="24"/>
              </w:rPr>
              <w:t>年）</w:t>
            </w:r>
            <w:r>
              <w:rPr>
                <w:rFonts w:hint="eastAsia" w:hAnsi="宋体"/>
                <w:sz w:val="24"/>
              </w:rPr>
              <w:t>》</w:t>
            </w:r>
            <w:r>
              <w:rPr>
                <w:rFonts w:hAnsi="宋体"/>
                <w:sz w:val="24"/>
              </w:rPr>
              <w:t>（</w:t>
            </w:r>
            <w:r>
              <w:rPr>
                <w:sz w:val="24"/>
              </w:rPr>
              <w:t>2017</w:t>
            </w:r>
            <w:r>
              <w:rPr>
                <w:rFonts w:hAnsi="宋体"/>
                <w:sz w:val="24"/>
              </w:rPr>
              <w:t>年修改），本项目用地性质为建设用地，选址符合新乡县合河乡土地利用总体规划（见附图</w:t>
            </w:r>
            <w:r>
              <w:rPr>
                <w:sz w:val="24"/>
              </w:rPr>
              <w:t>2</w:t>
            </w:r>
            <w:r>
              <w:rPr>
                <w:rFonts w:hAnsi="宋体"/>
                <w:sz w:val="24"/>
              </w:rPr>
              <w:t>）；</w:t>
            </w:r>
            <w:r>
              <w:rPr>
                <w:rFonts w:hAnsi="宋体"/>
                <w:color w:val="000000"/>
                <w:sz w:val="24"/>
              </w:rPr>
              <w:t>根据新乡县合河乡人民政府出具的证明，</w:t>
            </w:r>
            <w:r>
              <w:rPr>
                <w:rFonts w:hAnsi="宋体"/>
                <w:sz w:val="24"/>
              </w:rPr>
              <w:t>本项目符合合河乡</w:t>
            </w:r>
            <w:r>
              <w:rPr>
                <w:rFonts w:hint="eastAsia" w:hAnsi="宋体"/>
                <w:sz w:val="24"/>
                <w:lang w:eastAsia="zh-CN"/>
              </w:rPr>
              <w:t>总体发展规划、</w:t>
            </w:r>
            <w:r>
              <w:rPr>
                <w:rFonts w:hAnsi="宋体"/>
                <w:sz w:val="24"/>
              </w:rPr>
              <w:t>土地利用</w:t>
            </w:r>
            <w:r>
              <w:rPr>
                <w:rFonts w:hint="eastAsia" w:hAnsi="宋体"/>
                <w:sz w:val="24"/>
              </w:rPr>
              <w:t>总体</w:t>
            </w:r>
            <w:r>
              <w:rPr>
                <w:rFonts w:hAnsi="宋体"/>
                <w:color w:val="000000"/>
                <w:sz w:val="24"/>
              </w:rPr>
              <w:t>规划和产业发展规划要求（见附件</w:t>
            </w:r>
            <w:r>
              <w:rPr>
                <w:rFonts w:hint="eastAsia"/>
                <w:color w:val="000000"/>
                <w:sz w:val="24"/>
                <w:lang w:val="en-US" w:eastAsia="zh-CN"/>
              </w:rPr>
              <w:t>4</w:t>
            </w:r>
            <w:r>
              <w:rPr>
                <w:rFonts w:hAnsi="宋体"/>
                <w:color w:val="000000"/>
                <w:sz w:val="24"/>
              </w:rPr>
              <w:t>）。经现场勘察，</w:t>
            </w:r>
            <w:r>
              <w:rPr>
                <w:rFonts w:hint="eastAsia" w:hAnsi="宋体"/>
                <w:color w:val="000000"/>
                <w:sz w:val="24"/>
              </w:rPr>
              <w:t>本项目</w:t>
            </w:r>
            <w:r>
              <w:rPr>
                <w:rFonts w:hAnsi="宋体"/>
                <w:bCs/>
                <w:color w:val="000000"/>
                <w:sz w:val="24"/>
              </w:rPr>
              <w:t>设备未安装，不具备生产能力，</w:t>
            </w:r>
            <w:r>
              <w:rPr>
                <w:rFonts w:hAnsi="宋体"/>
                <w:color w:val="000000"/>
                <w:kern w:val="0"/>
                <w:sz w:val="24"/>
              </w:rPr>
              <w:t>不属于未批先建。</w:t>
            </w:r>
          </w:p>
          <w:p>
            <w:pPr>
              <w:adjustRightInd w:val="0"/>
              <w:snapToGrid w:val="0"/>
              <w:spacing w:line="440" w:lineRule="exact"/>
              <w:ind w:firstLine="480" w:firstLineChars="200"/>
              <w:rPr>
                <w:rFonts w:eastAsiaTheme="minorEastAsia"/>
                <w:sz w:val="24"/>
              </w:rPr>
            </w:pPr>
            <w:r>
              <w:rPr>
                <w:rFonts w:eastAsiaTheme="minorEastAsia"/>
                <w:sz w:val="24"/>
              </w:rPr>
              <w:t>依据《建设项目环境影响评价分类管理名录》（环境保护部部令44号及2018.4.28生态环境部部令第1号修正），本项目属于名录中十三</w:t>
            </w:r>
            <w:r>
              <w:rPr>
                <w:rFonts w:hint="eastAsia" w:eastAsiaTheme="minorEastAsia"/>
                <w:sz w:val="24"/>
              </w:rPr>
              <w:t>“</w:t>
            </w:r>
            <w:r>
              <w:rPr>
                <w:rFonts w:eastAsiaTheme="minorEastAsia"/>
                <w:sz w:val="24"/>
              </w:rPr>
              <w:t>文教、工美、体育和娱乐用品制造业</w:t>
            </w:r>
            <w:r>
              <w:rPr>
                <w:rFonts w:hint="eastAsia" w:eastAsiaTheme="minorEastAsia"/>
                <w:sz w:val="24"/>
              </w:rPr>
              <w:t>”</w:t>
            </w:r>
            <w:r>
              <w:rPr>
                <w:rFonts w:eastAsiaTheme="minorEastAsia"/>
                <w:sz w:val="24"/>
              </w:rPr>
              <w:t>中第31条</w:t>
            </w:r>
            <w:r>
              <w:rPr>
                <w:rFonts w:hint="eastAsia" w:eastAsiaTheme="minorEastAsia"/>
                <w:sz w:val="24"/>
              </w:rPr>
              <w:t>“</w:t>
            </w:r>
            <w:r>
              <w:rPr>
                <w:rFonts w:eastAsiaTheme="minorEastAsia"/>
                <w:sz w:val="24"/>
              </w:rPr>
              <w:t>文教、体育、娱乐用品制造</w:t>
            </w:r>
            <w:r>
              <w:rPr>
                <w:rFonts w:hint="eastAsia" w:eastAsiaTheme="minorEastAsia"/>
                <w:sz w:val="24"/>
              </w:rPr>
              <w:t>”</w:t>
            </w:r>
            <w:r>
              <w:rPr>
                <w:rFonts w:eastAsiaTheme="minorEastAsia"/>
                <w:sz w:val="24"/>
              </w:rPr>
              <w:t>，该条款规定全部编制环境影响报告表。本项目应编制环境影响评价报告表。</w:t>
            </w:r>
            <w:r>
              <w:rPr>
                <w:rFonts w:hint="eastAsia"/>
                <w:color w:val="000000"/>
                <w:sz w:val="24"/>
              </w:rPr>
              <w:t>根据《河南省生态环境厅办公室关于深化环评“放管服”改革及实施环评审批正面清单的通知》（豫环办</w:t>
            </w:r>
            <w:r>
              <w:rPr>
                <w:color w:val="000000"/>
                <w:sz w:val="24"/>
              </w:rPr>
              <w:t>[2020]22</w:t>
            </w:r>
            <w:r>
              <w:rPr>
                <w:rFonts w:hint="eastAsia"/>
                <w:color w:val="000000"/>
                <w:sz w:val="24"/>
              </w:rPr>
              <w:t>号），本项目属于环评告知承诺制审批适用范围中第</w:t>
            </w:r>
            <w:r>
              <w:rPr>
                <w:color w:val="000000"/>
                <w:sz w:val="24"/>
              </w:rPr>
              <w:t>1</w:t>
            </w:r>
            <w:r>
              <w:rPr>
                <w:rFonts w:hint="eastAsia"/>
                <w:color w:val="000000"/>
                <w:sz w:val="24"/>
              </w:rPr>
              <w:t>项（16：文教、体育、娱乐用品制造），因此本项目按环评告知承诺制进行审批。</w:t>
            </w:r>
          </w:p>
          <w:p>
            <w:pPr>
              <w:adjustRightInd w:val="0"/>
              <w:snapToGrid w:val="0"/>
              <w:spacing w:line="440" w:lineRule="exact"/>
              <w:ind w:firstLine="480" w:firstLineChars="200"/>
              <w:rPr>
                <w:rFonts w:eastAsiaTheme="minorEastAsia"/>
                <w:sz w:val="24"/>
              </w:rPr>
            </w:pPr>
            <w:r>
              <w:rPr>
                <w:rFonts w:eastAsiaTheme="minorEastAsia"/>
                <w:sz w:val="24"/>
              </w:rPr>
              <w:t>受新乡县合河乡紫晨游乐设备厂委托，我公司承担了本项目的环境影响评价工作，通过现场勘察和资料收集，依据《环境影响评价技术导则》的要求，结合工程规模和生产工艺，在收集和查阅相关资料基础上，本着</w:t>
            </w:r>
            <w:r>
              <w:rPr>
                <w:rFonts w:hint="eastAsia" w:eastAsiaTheme="minorEastAsia"/>
                <w:sz w:val="24"/>
              </w:rPr>
              <w:t>“</w:t>
            </w:r>
            <w:r>
              <w:rPr>
                <w:rFonts w:eastAsiaTheme="minorEastAsia"/>
                <w:sz w:val="24"/>
              </w:rPr>
              <w:t>科学、公正、客观</w:t>
            </w:r>
            <w:r>
              <w:rPr>
                <w:rFonts w:hint="eastAsia" w:eastAsiaTheme="minorEastAsia"/>
                <w:sz w:val="24"/>
              </w:rPr>
              <w:t>”</w:t>
            </w:r>
            <w:r>
              <w:rPr>
                <w:rFonts w:eastAsiaTheme="minorEastAsia"/>
                <w:sz w:val="24"/>
              </w:rPr>
              <w:t>的态度，编制完成了本项目的环境影响报告表。</w:t>
            </w:r>
          </w:p>
          <w:p>
            <w:pPr>
              <w:adjustRightInd w:val="0"/>
              <w:snapToGrid w:val="0"/>
              <w:spacing w:line="440" w:lineRule="exact"/>
              <w:ind w:firstLine="482" w:firstLineChars="200"/>
              <w:rPr>
                <w:rFonts w:eastAsiaTheme="minorEastAsia"/>
                <w:b/>
                <w:bCs/>
                <w:sz w:val="24"/>
              </w:rPr>
            </w:pPr>
            <w:r>
              <w:rPr>
                <w:rFonts w:hAnsiTheme="minorEastAsia" w:eastAsiaTheme="minorEastAsia"/>
                <w:b/>
                <w:bCs/>
                <w:sz w:val="24"/>
              </w:rPr>
              <w:t>二、项目建设地点及周围环境</w:t>
            </w:r>
          </w:p>
          <w:p>
            <w:pPr>
              <w:adjustRightInd w:val="0"/>
              <w:snapToGrid w:val="0"/>
              <w:spacing w:line="440" w:lineRule="exact"/>
              <w:ind w:firstLine="480" w:firstLineChars="200"/>
              <w:rPr>
                <w:rFonts w:eastAsiaTheme="minorEastAsia"/>
                <w:sz w:val="24"/>
              </w:rPr>
            </w:pPr>
            <w:r>
              <w:rPr>
                <w:rFonts w:hAnsiTheme="minorEastAsia" w:eastAsiaTheme="minorEastAsia"/>
                <w:sz w:val="24"/>
              </w:rPr>
              <w:t>新乡县合河乡紫晨游乐设备厂位于新乡市新乡县合河乡西河村老纸厂旧址院内。四周环境如下：本项目南临废弃机加工厂，东</w:t>
            </w:r>
            <w:r>
              <w:rPr>
                <w:rFonts w:hint="eastAsia" w:hAnsiTheme="minorEastAsia" w:eastAsiaTheme="minorEastAsia"/>
                <w:sz w:val="24"/>
              </w:rPr>
              <w:t>、</w:t>
            </w:r>
            <w:r>
              <w:rPr>
                <w:rFonts w:hAnsiTheme="minorEastAsia" w:eastAsiaTheme="minorEastAsia"/>
                <w:sz w:val="24"/>
              </w:rPr>
              <w:t>西</w:t>
            </w:r>
            <w:r>
              <w:rPr>
                <w:rFonts w:hint="eastAsia" w:hAnsiTheme="minorEastAsia" w:eastAsiaTheme="minorEastAsia"/>
                <w:sz w:val="24"/>
              </w:rPr>
              <w:t>均临</w:t>
            </w:r>
            <w:r>
              <w:rPr>
                <w:rFonts w:hAnsiTheme="minorEastAsia" w:eastAsiaTheme="minorEastAsia"/>
                <w:sz w:val="24"/>
              </w:rPr>
              <w:t>空</w:t>
            </w:r>
            <w:r>
              <w:rPr>
                <w:rFonts w:hint="eastAsia" w:hAnsiTheme="minorEastAsia" w:eastAsiaTheme="minorEastAsia"/>
                <w:sz w:val="24"/>
              </w:rPr>
              <w:t>置</w:t>
            </w:r>
            <w:r>
              <w:rPr>
                <w:rFonts w:hAnsiTheme="minorEastAsia" w:eastAsiaTheme="minorEastAsia"/>
                <w:sz w:val="24"/>
              </w:rPr>
              <w:t>厂房，北临林场。项目周围敏感点有：</w:t>
            </w:r>
            <w:r>
              <w:rPr>
                <w:rFonts w:eastAsiaTheme="minorEastAsia"/>
                <w:sz w:val="24"/>
              </w:rPr>
              <w:t>北100m处的西河村，北700</w:t>
            </w:r>
            <w:r>
              <w:rPr>
                <w:rFonts w:eastAsiaTheme="minorEastAsia"/>
                <w:sz w:val="24"/>
                <w:lang w:val="en-GB"/>
              </w:rPr>
              <w:t>m</w:t>
            </w:r>
            <w:r>
              <w:rPr>
                <w:rFonts w:eastAsiaTheme="minorEastAsia"/>
                <w:sz w:val="24"/>
              </w:rPr>
              <w:t>处北陈庄村，东北650m处合河村，西900m处石村，南900</w:t>
            </w:r>
            <w:r>
              <w:rPr>
                <w:rFonts w:eastAsiaTheme="minorEastAsia"/>
                <w:sz w:val="24"/>
                <w:lang w:val="en-GB"/>
              </w:rPr>
              <w:t>m</w:t>
            </w:r>
            <w:r>
              <w:rPr>
                <w:rFonts w:eastAsiaTheme="minorEastAsia"/>
                <w:sz w:val="24"/>
              </w:rPr>
              <w:t>处东元封村。项目周边环境</w:t>
            </w:r>
            <w:r>
              <w:rPr>
                <w:rFonts w:hint="eastAsia" w:eastAsiaTheme="minorEastAsia"/>
                <w:sz w:val="24"/>
              </w:rPr>
              <w:t>见</w:t>
            </w:r>
            <w:r>
              <w:rPr>
                <w:rFonts w:eastAsiaTheme="minorEastAsia"/>
                <w:sz w:val="24"/>
              </w:rPr>
              <w:t>图1：</w:t>
            </w:r>
          </w:p>
          <w:p>
            <w:pPr>
              <w:adjustRightInd w:val="0"/>
              <w:snapToGrid w:val="0"/>
              <w:spacing w:line="440" w:lineRule="exact"/>
              <w:ind w:firstLine="2160" w:firstLineChars="900"/>
              <w:rPr>
                <w:rFonts w:eastAsia="黑体"/>
                <w:sz w:val="24"/>
              </w:rPr>
            </w:pPr>
            <w:r>
              <w:rPr>
                <w:rFonts w:eastAsia="黑体"/>
                <w:sz w:val="24"/>
              </w:rPr>
              <w:drawing>
                <wp:anchor distT="0" distB="0" distL="114300" distR="114300" simplePos="0" relativeHeight="251637760" behindDoc="0" locked="0" layoutInCell="1" allowOverlap="1">
                  <wp:simplePos x="0" y="0"/>
                  <wp:positionH relativeFrom="column">
                    <wp:posOffset>6350</wp:posOffset>
                  </wp:positionH>
                  <wp:positionV relativeFrom="paragraph">
                    <wp:posOffset>13970</wp:posOffset>
                  </wp:positionV>
                  <wp:extent cx="5753100" cy="4591050"/>
                  <wp:effectExtent l="19050" t="0" r="0" b="0"/>
                  <wp:wrapTopAndBottom/>
                  <wp:docPr id="4" name="图片 3" descr="紫晨敏感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紫晨敏感点.png"/>
                          <pic:cNvPicPr>
                            <a:picLocks noChangeAspect="1"/>
                          </pic:cNvPicPr>
                        </pic:nvPicPr>
                        <pic:blipFill>
                          <a:blip r:embed="rId14" cstate="print"/>
                          <a:stretch>
                            <a:fillRect/>
                          </a:stretch>
                        </pic:blipFill>
                        <pic:spPr>
                          <a:xfrm>
                            <a:off x="0" y="0"/>
                            <a:ext cx="5753100" cy="4591050"/>
                          </a:xfrm>
                          <a:prstGeom prst="rect">
                            <a:avLst/>
                          </a:prstGeom>
                        </pic:spPr>
                      </pic:pic>
                    </a:graphicData>
                  </a:graphic>
                </wp:anchor>
              </w:drawing>
            </w:r>
            <w:r>
              <w:rPr>
                <w:sz w:val="24"/>
              </w:rPr>
              <w:pict>
                <v:shape id="_x0000_s2087" o:spid="_x0000_s2087" o:spt="68" type="#_x0000_t68" style="position:absolute;left:0pt;margin-left:422.65pt;margin-top:7.65pt;height:35pt;width:12.55pt;z-index:251641856;mso-width-relative:page;mso-height-relative:page;" fillcolor="#FFFF00" filled="t" stroked="t" coordsize="21600,21600">
                  <v:path/>
                  <v:fill on="t" opacity="15728f" focussize="0,0"/>
                  <v:stroke color="#FFFF00" joinstyle="miter"/>
                  <v:imagedata o:title=""/>
                  <o:lock v:ext="edit"/>
                  <v:textbox>
                    <w:txbxContent>
                      <w:p/>
                    </w:txbxContent>
                  </v:textbox>
                </v:shape>
              </w:pict>
            </w:r>
            <w:r>
              <w:rPr>
                <w:sz w:val="24"/>
              </w:rPr>
              <w:pict>
                <v:shape id="_x0000_s2088" o:spid="_x0000_s2088" o:spt="202" type="#_x0000_t202" style="position:absolute;left:0pt;margin-left:433.65pt;margin-top:23.15pt;height:17.5pt;width:15.55pt;z-index:251642880;mso-width-relative:page;mso-height-relative:page;" filled="f" stroked="f" coordsize="21600,21600">
                  <v:path/>
                  <v:fill on="f" focussize="0,0"/>
                  <v:stroke on="f" joinstyle="miter"/>
                  <v:imagedata o:title=""/>
                  <o:lock v:ext="edit"/>
                  <v:textbox inset="0mm,0mm,0mm,0mm">
                    <w:txbxContent>
                      <w:p>
                        <w:pPr>
                          <w:rPr>
                            <w:b/>
                            <w:bCs/>
                            <w:color w:val="FFFF00"/>
                          </w:rPr>
                        </w:pPr>
                        <w:r>
                          <w:rPr>
                            <w:rFonts w:hint="eastAsia"/>
                            <w:b/>
                            <w:bCs/>
                            <w:color w:val="FFFF00"/>
                          </w:rPr>
                          <w:t>北</w:t>
                        </w:r>
                      </w:p>
                    </w:txbxContent>
                  </v:textbox>
                </v:shape>
              </w:pict>
            </w:r>
            <w:r>
              <w:rPr>
                <w:rFonts w:eastAsia="黑体"/>
                <w:sz w:val="24"/>
              </w:rPr>
              <w:pict>
                <v:shape id="_x0000_s2050" o:spid="_x0000_s2050" o:spt="61" type="#_x0000_t61" style="position:absolute;left:0pt;margin-left:170pt;margin-top:93.4pt;height:35.45pt;width:105.85pt;z-index:251646976;mso-width-relative:page;mso-height-relative:page;" filled="f" stroked="f" coordsize="21600,21600">
                  <v:path/>
                  <v:fill on="f" focussize="0,0"/>
                  <v:stroke on="f" joinstyle="miter"/>
                  <v:imagedata o:title=""/>
                  <o:lock v:ext="edit"/>
                  <v:textbox>
                    <w:txbxContent>
                      <w:p>
                        <w:pPr>
                          <w:rPr>
                            <w:b/>
                            <w:bCs/>
                            <w:color w:val="FFFF00"/>
                            <w:sz w:val="24"/>
                          </w:rPr>
                        </w:pPr>
                        <w:r>
                          <w:rPr>
                            <w:rFonts w:hint="eastAsia"/>
                            <w:b/>
                            <w:bCs/>
                            <w:color w:val="FFFF00"/>
                            <w:sz w:val="24"/>
                          </w:rPr>
                          <w:t>西河村100m</w:t>
                        </w:r>
                      </w:p>
                    </w:txbxContent>
                  </v:textbox>
                </v:shape>
              </w:pict>
            </w:r>
            <w:r>
              <w:rPr>
                <w:rFonts w:eastAsia="黑体"/>
                <w:sz w:val="24"/>
              </w:rPr>
              <w:pict>
                <v:shape id="_x0000_s2051" o:spid="_x0000_s2051" o:spt="61" type="#_x0000_t61" style="position:absolute;left:0pt;margin-left:314.7pt;margin-top:30.05pt;height:36.05pt;width:97.45pt;z-index:251675648;mso-width-relative:page;mso-height-relative:page;" filled="f" stroked="f" coordsize="21600,21600">
                  <v:path/>
                  <v:fill on="f" focussize="0,0"/>
                  <v:stroke on="f" joinstyle="miter"/>
                  <v:imagedata o:title=""/>
                  <o:lock v:ext="edit"/>
                  <v:textbox>
                    <w:txbxContent>
                      <w:p>
                        <w:pPr>
                          <w:rPr>
                            <w:b/>
                            <w:bCs/>
                            <w:color w:val="FFFF00"/>
                            <w:sz w:val="24"/>
                            <w:lang w:val="en-GB"/>
                          </w:rPr>
                        </w:pPr>
                        <w:r>
                          <w:rPr>
                            <w:rFonts w:hint="eastAsia"/>
                            <w:b/>
                            <w:bCs/>
                            <w:color w:val="FFFF00"/>
                            <w:sz w:val="24"/>
                          </w:rPr>
                          <w:t>合河村650</w:t>
                        </w:r>
                        <w:r>
                          <w:rPr>
                            <w:b/>
                            <w:bCs/>
                            <w:color w:val="FFFF00"/>
                            <w:sz w:val="24"/>
                            <w:lang w:val="en-GB"/>
                          </w:rPr>
                          <w:t>m</w:t>
                        </w:r>
                      </w:p>
                    </w:txbxContent>
                  </v:textbox>
                </v:shape>
              </w:pict>
            </w:r>
            <w:r>
              <w:rPr>
                <w:rFonts w:eastAsia="黑体"/>
                <w:sz w:val="24"/>
              </w:rPr>
              <w:pict>
                <v:shape id="_x0000_s2052" o:spid="_x0000_s2052" o:spt="61" type="#_x0000_t61" style="position:absolute;left:0pt;margin-left:268.9pt;margin-top:113.2pt;height:26.85pt;width:79.35pt;z-index:251643904;mso-width-relative:page;mso-height-relative:page;" filled="f" stroked="t" coordsize="21600,21600" adj="-7213,45251">
                  <v:path/>
                  <v:fill on="f" focussize="0,0"/>
                  <v:stroke weight="1.5pt" color="#FF0000" joinstyle="miter"/>
                  <v:imagedata o:title=""/>
                  <o:lock v:ext="edit"/>
                  <v:textbox>
                    <w:txbxContent>
                      <w:p>
                        <w:pPr>
                          <w:rPr>
                            <w:sz w:val="24"/>
                          </w:rPr>
                        </w:pPr>
                        <w:r>
                          <w:rPr>
                            <w:rFonts w:hint="eastAsia"/>
                            <w:b/>
                            <w:bCs/>
                            <w:color w:val="FFFF00"/>
                            <w:sz w:val="24"/>
                          </w:rPr>
                          <w:t>本项目选址</w:t>
                        </w:r>
                      </w:p>
                    </w:txbxContent>
                  </v:textbox>
                </v:shape>
              </w:pict>
            </w:r>
            <w:r>
              <w:rPr>
                <w:rFonts w:eastAsia="黑体"/>
                <w:sz w:val="24"/>
              </w:rPr>
              <w:pict>
                <v:shape id="_x0000_s2053" o:spid="_x0000_s2053" o:spt="61" type="#_x0000_t61" style="position:absolute;left:0pt;margin-left:313.5pt;margin-top:24.8pt;height:24.85pt;width:87.15pt;z-index:251650048;mso-width-relative:page;mso-height-relative:page;" filled="f" stroked="f" coordsize="21600,21600">
                  <v:path/>
                  <v:fill on="f" focussize="0,0"/>
                  <v:stroke on="f" joinstyle="miter"/>
                  <v:imagedata o:title=""/>
                  <o:lock v:ext="edit"/>
                  <v:textbox>
                    <w:txbxContent>
                      <w:p/>
                    </w:txbxContent>
                  </v:textbox>
                </v:shape>
              </w:pict>
            </w:r>
            <w:r>
              <w:rPr>
                <w:rFonts w:eastAsia="黑体"/>
                <w:sz w:val="24"/>
              </w:rPr>
              <w:pict>
                <v:shape id="_x0000_s2054" o:spid="_x0000_s2054" o:spt="61" type="#_x0000_t61" style="position:absolute;left:0pt;margin-left:21.95pt;margin-top:139.95pt;height:28.5pt;width:88.75pt;z-index:251651072;mso-width-relative:page;mso-height-relative:page;" filled="f" stroked="f" coordsize="21600,21600">
                  <v:path/>
                  <v:fill on="f" focussize="0,0"/>
                  <v:stroke on="f" joinstyle="miter"/>
                  <v:imagedata o:title=""/>
                  <o:lock v:ext="edit"/>
                  <v:textbox>
                    <w:txbxContent>
                      <w:p>
                        <w:pPr>
                          <w:rPr>
                            <w:b/>
                            <w:bCs/>
                            <w:color w:val="FFFF00"/>
                            <w:sz w:val="24"/>
                          </w:rPr>
                        </w:pPr>
                        <w:r>
                          <w:rPr>
                            <w:rFonts w:hint="eastAsia"/>
                            <w:b/>
                            <w:bCs/>
                            <w:color w:val="FFFF00"/>
                            <w:sz w:val="24"/>
                          </w:rPr>
                          <w:t>石村900m</w:t>
                        </w:r>
                      </w:p>
                    </w:txbxContent>
                  </v:textbox>
                </v:shape>
              </w:pict>
            </w:r>
            <w:r>
              <w:rPr>
                <w:rFonts w:eastAsia="黑体"/>
                <w:sz w:val="24"/>
              </w:rPr>
              <w:pict>
                <v:shape id="_x0000_s2055" o:spid="_x0000_s2055" o:spt="61" type="#_x0000_t61" style="position:absolute;left:0pt;margin-left:132.45pt;margin-top:19.1pt;height:43.8pt;width:85pt;z-index:251649024;mso-width-relative:page;mso-height-relative:page;" filled="f" stroked="f" coordsize="21600,21600">
                  <v:path/>
                  <v:fill on="f" focussize="0,0"/>
                  <v:stroke on="f" joinstyle="miter"/>
                  <v:imagedata o:title=""/>
                  <o:lock v:ext="edit"/>
                  <v:textbox>
                    <w:txbxContent>
                      <w:p>
                        <w:pPr>
                          <w:spacing w:line="360" w:lineRule="exact"/>
                          <w:jc w:val="center"/>
                          <w:rPr>
                            <w:b/>
                            <w:bCs/>
                            <w:color w:val="FFFF00"/>
                            <w:sz w:val="28"/>
                            <w:szCs w:val="28"/>
                            <w:lang w:val="en-GB"/>
                          </w:rPr>
                        </w:pPr>
                        <w:r>
                          <w:rPr>
                            <w:rFonts w:hint="eastAsia"/>
                            <w:b/>
                            <w:bCs/>
                            <w:color w:val="FFFF00"/>
                            <w:sz w:val="24"/>
                          </w:rPr>
                          <w:t>北陈庄村</w:t>
                        </w:r>
                        <w:r>
                          <w:rPr>
                            <w:rFonts w:hint="eastAsia"/>
                            <w:b/>
                            <w:bCs/>
                            <w:color w:val="FFFF00"/>
                            <w:sz w:val="28"/>
                            <w:szCs w:val="28"/>
                          </w:rPr>
                          <w:t>700</w:t>
                        </w:r>
                        <w:r>
                          <w:rPr>
                            <w:b/>
                            <w:bCs/>
                            <w:color w:val="FFFF00"/>
                            <w:sz w:val="28"/>
                            <w:szCs w:val="28"/>
                            <w:lang w:val="en-GB"/>
                          </w:rPr>
                          <w:t>m</w:t>
                        </w:r>
                      </w:p>
                    </w:txbxContent>
                  </v:textbox>
                </v:shape>
              </w:pict>
            </w:r>
            <w:r>
              <w:rPr>
                <w:rFonts w:eastAsia="黑体"/>
                <w:sz w:val="24"/>
              </w:rPr>
              <w:pict>
                <v:rect id="_x0000_s2056" o:spid="_x0000_s2056" o:spt="1" style="position:absolute;left:0pt;margin-left:233.2pt;margin-top:167.6pt;height:6pt;width:8.1pt;z-index:251644928;mso-width-relative:page;mso-height-relative:page;" filled="f" stroked="t" coordsize="21600,21600">
                  <v:path/>
                  <v:fill on="f" focussize="0,0"/>
                  <v:stroke color="#FF0000"/>
                  <v:imagedata o:title=""/>
                  <o:lock v:ext="edit"/>
                  <v:textbox>
                    <w:txbxContent>
                      <w:p/>
                    </w:txbxContent>
                  </v:textbox>
                </v:rect>
              </w:pict>
            </w:r>
            <w:r>
              <w:rPr>
                <w:rFonts w:eastAsia="黑体"/>
                <w:sz w:val="24"/>
              </w:rPr>
              <w:pict>
                <v:shape id="自选图形 49" o:spid="_x0000_s2057" o:spt="61" type="#_x0000_t61" style="position:absolute;left:0pt;margin-left:236.05pt;margin-top:318.8pt;height:34.45pt;width:98.75pt;z-index:251674624;mso-width-relative:page;mso-height-relative:page;" filled="f" stroked="f" coordsize="21600,21600" o:gfxdata="UEsDBAoAAAAAAIdO4kAAAAAAAAAAAAAAAAAEAAAAZHJzL1BLAwQUAAAACACHTuJAuNx0UtgAAAAL&#10;AQAADwAAAGRycy9kb3ducmV2LnhtbE2PS0/DMBCE70j8B2uRuLVOIvJQiNMD4nFEtFx6c+OtHdWP&#10;KHbb9N+znOA4O6PZb7rN4iy74BzH4AXk6wwY+iGo0WsB37u3VQMsJumVtMGjgBtG2PT3d51sVbj6&#10;L7xsk2ZU4mMrBZiUppbzOBh0Mq7DhJ68Y5idTCRnzdUsr1TuLC+yrOJOjp4+GDnhi8HhtD07AXv5&#10;nj4+d/uwGF6HW201L161EI8PefYMLOGS/sLwi0/o0BPTIZy9iswKeCpL2pIErJq6AkaJqixKYAe6&#10;5E0NvO/4/w39D1BLAwQUAAAACACHTuJAPNviP8MBAABZAwAADgAAAGRycy9lMm9Eb2MueG1srVPN&#10;btQwEL4j9R0s37vZbJMWos320Kq9IKgofQCvfxJX/pPt3WRv3BDPwI0j7wBvUwneomM3bBe4IQ6Z&#10;zIwnn+f7ZrI8H7VCW+6DtKbF5WyOETfUMmm6Ft+9vzp+iVGIxDCirOEt3vGAz1dHL5aDa/jC9lYx&#10;7hGAmNAMrsV9jK4pikB7rkmYWccNHArrNYkQ+q5gngyArlWxmM9Pi8F65rylPATIXj4d4lXGF4LT&#10;+FaIwCNSLYbeYrY+23WyxWpJms4T10s6tUH+oQtNpIFL91CXJBK08fIvKC2pt8GKOKNWF1YISXnm&#10;AGzK+R9sbnvieOYC4gS3lyn8P1j6ZnvjkWQwuwojQzTM6MfHrz8/fHr4/P3h2xdUvUoaDS40UHrr&#10;bvwUBXAT4VF4nd5ABY1Z191eVz5GRCFZLuoKHowonFUnZ3VZJ9Di+WvnQ7zmVqPktHjgrOPvYHgX&#10;RCm7iVlasn0dYtaYTY0Sdl9iJLSCkW2JQscnZVmeTjM9KFocFp3VdZVr4PoJErxfDSR8Y6+kUnkz&#10;lPktAYUpUyQ5ngRIXhzX46TK2rId6LlxXnY9ECkzz1QE88uMp11LC3IYZ9DnP2L1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jcdFLYAAAACwEAAA8AAAAAAAAAAQAgAAAAIgAAAGRycy9kb3ducmV2&#10;LnhtbFBLAQIUABQAAAAIAIdO4kA82+I/wwEAAFkDAAAOAAAAAAAAAAEAIAAAACcBAABkcnMvZTJv&#10;RG9jLnhtbFBLBQYAAAAABgAGAFkBAABcBQAAAAA=&#10;">
                  <v:path/>
                  <v:fill on="f" focussize="0,0"/>
                  <v:stroke on="f" joinstyle="miter"/>
                  <v:imagedata o:title=""/>
                  <o:lock v:ext="edit"/>
                  <v:textbox>
                    <w:txbxContent>
                      <w:p>
                        <w:pPr>
                          <w:rPr>
                            <w:b/>
                            <w:color w:val="FFFF00"/>
                            <w:sz w:val="24"/>
                          </w:rPr>
                        </w:pPr>
                        <w:r>
                          <w:rPr>
                            <w:b/>
                            <w:color w:val="FFFF00"/>
                            <w:sz w:val="24"/>
                          </w:rPr>
                          <w:t>东元封村</w:t>
                        </w:r>
                        <w:r>
                          <w:rPr>
                            <w:rFonts w:hint="eastAsia"/>
                            <w:b/>
                            <w:color w:val="FFFF00"/>
                            <w:sz w:val="24"/>
                          </w:rPr>
                          <w:t>900m</w:t>
                        </w:r>
                      </w:p>
                    </w:txbxContent>
                  </v:textbox>
                </v:shape>
              </w:pict>
            </w:r>
            <w:r>
              <w:rPr>
                <w:rFonts w:eastAsia="黑体"/>
                <w:sz w:val="24"/>
              </w:rPr>
              <w:pict>
                <v:shape id="自选图形 42" o:spid="_x0000_s2058" o:spt="61" type="#_x0000_t61" style="position:absolute;left:0pt;margin-left:265.8pt;margin-top:-254.5pt;height:24pt;width:77.35pt;z-index:251669504;mso-width-relative:page;mso-height-relative:page;" filled="f" stroked="t" coordsize="21600,21600" o:gfxdata="UEsDBAoAAAAAAIdO4kAAAAAAAAAAAAAAAAAEAAAAZHJzL1BLAwQUAAAACACHTuJAD0p+OtsAAAAN&#10;AQAADwAAAGRycy9kb3ducmV2LnhtbE2PwU7DMAyG70i8Q2QkblvSjUajNN1hCAnGYVAQ57QxTUWT&#10;VE26jbfHnOBo+9Pv7y+3ZzewI06xD15BthTA0LfB9L5T8P72sNgAi0l7o4fgUcE3RthWlxelLkw4&#10;+Vc81qljFOJjoRXYlMaC89hadDouw4iebp9hcjrROHXcTPpE4W7gKyEkd7r39MHqEXcW2696dgqa&#10;54/H+4Ozc5vvVzsnzL5+epFKXV9l4g5YwnP6g+FXn9ShIqcmzN5ENijI15kkVMEiF7fUihC5kWtg&#10;Da1uZCaAVyX/36L6AVBLAwQUAAAACACHTuJA7gAlih8CAAAYBAAADgAAAGRycy9lMm9Eb2MueG1s&#10;rVNLjhMxEN0jcQfL+0l3ehImaaUziwlhg2DEwAEcf7qN/JPtpDs7dogzsGPJHeA2I8EtKDshE2CD&#10;EL1wl13lV69elRfXg1Zox32Q1jR4PCox4oZaJk3b4Dev1xczjEIkhhFlDW/wngd8vXz8aNG7mle2&#10;s4pxjwDEhLp3De5idHVRBNpxTcLIOm7AKazXJMLWtwXzpAd0rYqqLJ8UvfXMeUt5CHC6OjjxMuML&#10;wWl8KUTgEakGA7eYV5/XTVqL5YLUrSeuk/RIg/wDC02kgaQnqBWJBG29/ANKS+ptsCKOqNWFFUJS&#10;nmuAasblb9XcdcTxXAuIE9xJpvD/YOmL3a1HkjV4jpEhGlr07f3n7+8+3H/8ev/lE5pUSaLehRoi&#10;79ytP+4CmKneQXid/lAJGrKs+5OsfIiIwuF8Vl1OphhRcF2Wk1mZZS8eLjsf4jNuNUpGg3vOWv4K&#10;WndDlLLbmIUlu+chZoXZkSdhb8cYCa2gYTui0MXVvJplutCGs6DqPGh8dTU95T9iApOfDFICY9dS&#10;qTwYyqAepnpeTmF2KIH5FIpEMLUDxYJpM7VglWTpTrodfLu5UR4Bowav1yV8SUHI8UtYSrgioTvE&#10;ZddhFrWMPIlM6o4T9tQwFPcOumLg+eDERnOGkeLw2pKVIyOR6m8igYQywCW189DAZMVhMwBMMjeW&#10;7WEcts7LtoNOjDP15IHxy0Ucn0qa7/N9Bn140M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0p+&#10;OtsAAAANAQAADwAAAAAAAAABACAAAAAiAAAAZHJzL2Rvd25yZXYueG1sUEsBAhQAFAAAAAgAh07i&#10;QO4AJYofAgAAGAQAAA4AAAAAAAAAAQAgAAAAKgEAAGRycy9lMm9Eb2MueG1sUEsFBgAAAAAGAAYA&#10;WQEAALsFAAAAAA==&#10;" adj="-6325,49140">
                  <v:path/>
                  <v:fill on="f" focussize="0,0"/>
                  <v:stroke weight="1.5pt" color="#FF0000" joinstyle="miter"/>
                  <v:imagedata o:title=""/>
                  <o:lock v:ext="edit"/>
                  <v:textbox>
                    <w:txbxContent>
                      <w:p>
                        <w:pPr>
                          <w:ind w:left="723" w:hanging="723" w:hangingChars="300"/>
                          <w:rPr>
                            <w:b/>
                            <w:color w:val="FFFF00"/>
                            <w:sz w:val="24"/>
                          </w:rPr>
                        </w:pPr>
                        <w:r>
                          <w:rPr>
                            <w:b/>
                            <w:color w:val="FFFF00"/>
                            <w:sz w:val="24"/>
                          </w:rPr>
                          <w:t>本项目选址</w:t>
                        </w:r>
                      </w:p>
                    </w:txbxContent>
                  </v:textbox>
                </v:shape>
              </w:pict>
            </w:r>
            <w:r>
              <w:rPr>
                <w:rFonts w:eastAsia="黑体"/>
                <w:sz w:val="24"/>
              </w:rPr>
              <w:pict>
                <v:shape id="自选图形 40" o:spid="_x0000_s2059" o:spt="109" type="#_x0000_t109" style="position:absolute;left:0pt;margin-left:236.05pt;margin-top:-199.75pt;height:3.55pt;width:8.25pt;z-index:251668480;mso-width-relative:page;mso-height-relative:page;" filled="f" stroked="t" coordsize="21600,21600" o:gfxdata="UEsDBAoAAAAAAIdO4kAAAAAAAAAAAAAAAAAEAAAAZHJzL1BLAwQUAAAACACHTuJAl6m4T9wAAAAN&#10;AQAADwAAAGRycy9kb3ducmV2LnhtbE2Py26DMBBF95XyD9ZE6i4xEEqBYqKqahZd5dFI2Tp4Cih4&#10;TLET0r+vm02znJmjO+cWy6vu2AUH2xoSEM4DYEiVUS3VAvafq1kKzDpJSnaGUMAPWliWk4dC5sqM&#10;tMXLztXMh5DNpYDGuT7n3FYNamnnpkfyty8zaOn8ONRcDXL04brjURAkXMuW/IdG9vjWYHXanbWA&#10;xB5Wp83ru10nHxs9Lr7dWo2ZEI/TMHgB5vDq/mH40/fqUHqnozmTsqwTED9HoUcFzBZZ9gTMI3Ga&#10;JsCOt1UUAy8Lft+i/AVQSwMEFAAAAAgAh07iQO2PyfnuAQAAuQMAAA4AAABkcnMvZTJvRG9jLnht&#10;bK1TzY4TMQy+I/EOUe50pquWXUad7mFLuSCotPAAbn5mIuVPSbbT3rghnoEbR94B3mal5S1wMqXl&#10;54IQc/A4sf3Z/uwsrvdGk50IUTnb0umkpkRY5riyXUvfvlk/uaIkJrActLOipQcR6fXy8aPF4Btx&#10;4XqnuQgEQWxsBt/SPiXfVFVkvTAQJ84Li0bpgoGEx9BVPMCA6EZXF3X9tBpc4D44JmLE29VopMuC&#10;L6Vg6bWUUSSiW4q1pSJDkdssq+UCmi6A7xU7lgH/UIUBZTHpCWoFCchdUH9AGcWCi06mCXOmclIq&#10;JkoP2M20/q2b2x68KL0gOdGfaIr/D5a92m0CUbylOCgLBkf08P7zt3cf7j9+vf/yicwKRYOPDXre&#10;+k1AwvIpopr73ctg8h87IftC6+FEq9gnwvByWs8uL+eUMDTN5vXVPLNenWN9iOmFcIZkpaVSu+Gm&#10;h5A241gLr7B7GdMY9sM9p7VurbQuQ9SWDJjrWT3HOTPAXZIaEqrGY3fRdgUnOq14jsnRMXTbGx3I&#10;DnA71usav2Npv7jlhCuI/ehXTOPeGJVEJgSaXgB/bjlJB48MWlx1mqsxglOiBb6MrBXPBEr/jSfy&#10;oy3SdCY7a1vHDzivOx9U1yNX01JvtuB+FFKPu5wX8OdzQTq/uO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6m4T9wAAAANAQAADwAAAAAAAAABACAAAAAiAAAAZHJzL2Rvd25yZXYueG1sUEsBAhQA&#10;FAAAAAgAh07iQO2PyfnuAQAAuQMAAA4AAAAAAAAAAQAgAAAAKwEAAGRycy9lMm9Eb2MueG1sUEsF&#10;BgAAAAAGAAYAWQEAAIsFAAAAAA==&#10;">
                  <v:path/>
                  <v:fill on="f" focussize="0,0"/>
                  <v:stroke weight="1.5pt" color="#FF0000" joinstyle="miter"/>
                  <v:imagedata o:title=""/>
                  <o:lock v:ext="edit"/>
                </v:shape>
              </w:pict>
            </w:r>
            <w:r>
              <w:rPr>
                <w:rFonts w:eastAsia="黑体"/>
                <w:sz w:val="24"/>
              </w:rPr>
              <w:pict>
                <v:shape id="自选图形 46" o:spid="_x0000_s2060" o:spt="61" type="#_x0000_t61" style="position:absolute;left:0pt;margin-left:319.15pt;margin-top:-345.3pt;height:24.3pt;width:85.55pt;z-index:251671552;mso-width-relative:page;mso-height-relative:page;" filled="f" stroked="f" coordsize="21600,21600" o:gfxdata="UEsDBAoAAAAAAIdO4kAAAAAAAAAAAAAAAAAEAAAAZHJzL1BLAwQUAAAACACHTuJA3XsFZdoAAAAN&#10;AQAADwAAAGRycy9kb3ducmV2LnhtbE2PQU7DMBBF90jcwRokdq3dpqRpGqdCSEgsEBKFAzjxJI6w&#10;xyF22nJ73BUsZ+bpz/vV4eIsO+EUBk8SVksBDKn1eqBewufH86IAFqIirawnlPCDAQ717U2lSu3P&#10;9I6nY+xZCqFQKgkmxrHkPLQGnQpLPyKlW+cnp2Iap57rSZ1TuLN8LUTOnRoofTBqxCeD7ddxdhK+&#10;m+6hpYK328e3F9e9ZrM1I0p5f7cSe2ARL/EPhqt+Uoc6OTV+Jh2YlZBnRZZQCYt8J3JgCSnEbgOs&#10;ua42awG8rvj/FvUvUEsDBBQAAAAIAIdO4kAHp05PwgEAAFkDAAAOAAAAZHJzL2Uyb0RvYy54bWyt&#10;U8uO0zAU3SPxD5b30yRtKJ2o6SwYDRsEI4b5ANePxMgv2W6T7tghvoEdS/4B/mYk+AuuPZlOgR1i&#10;49x7fXN8zrn2+mLUCu25D9KaFlezEiNuqGXSdC2+fXd1tsIoRGIYUdbwFh94wBebp0/Wg2v43PZW&#10;Me4RgJjQDK7FfYyuKYpAe65JmFnHDWwK6zWJkPquYJ4MgK5VMS/LZTFYz5y3lIcA1cv7TbzJ+EJw&#10;Gt8IEXhEqsXALebV53Wb1mKzJk3nieslnWiQf2ChiTRw6BHqkkSCdl7+BaUl9TZYEWfU6sIKISnP&#10;GkBNVf6h5qYnjmctYE5wR5vC/4Olr/fXHkkGs6swMkTDjH58/Przw6e7z9/vvn1B9TJ5NLjQQOuN&#10;u/ZTFiBMgkfhdfqCFDRmXw9HX/kYEYViVa6W9eoZRhT2FpBU2fji8W/nQ3zJrUYpaPHAWcffwvBe&#10;EKXsLmZryf5ViNljNhEl7D2QFlrByPZEobP6eb2oppmeNM1PmxaL8/o89cDxEyREDwQSvrFXUql8&#10;M5T5rQCNqVIkO+4NSFEct+PkytayA/i5c152PQjJZHI7zC8fOd21dEFO8wz6+CI2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ewVl2gAAAA0BAAAPAAAAAAAAAAEAIAAAACIAAABkcnMvZG93bnJl&#10;di54bWxQSwECFAAUAAAACACHTuJAB6dOT8IBAABZAwAADgAAAAAAAAABACAAAAApAQAAZHJzL2Uy&#10;b0RvYy54bWxQSwUGAAAAAAYABgBZAQAAXQUAAAAA&#10;" adj="555,18133">
                  <v:path/>
                  <v:fill on="f" focussize="0,0"/>
                  <v:stroke on="f" joinstyle="miter"/>
                  <v:imagedata o:title=""/>
                  <o:lock v:ext="edit"/>
                  <v:textbox>
                    <w:txbxContent>
                      <w:p>
                        <w:pPr>
                          <w:rPr>
                            <w:b/>
                            <w:color w:val="FFFF00"/>
                            <w:sz w:val="24"/>
                          </w:rPr>
                        </w:pPr>
                        <w:r>
                          <w:rPr>
                            <w:b/>
                            <w:color w:val="FFFF00"/>
                            <w:sz w:val="24"/>
                          </w:rPr>
                          <w:t>合河村</w:t>
                        </w:r>
                        <w:r>
                          <w:rPr>
                            <w:rFonts w:hint="eastAsia"/>
                            <w:b/>
                            <w:color w:val="FFFF00"/>
                            <w:sz w:val="24"/>
                          </w:rPr>
                          <w:t>650m</w:t>
                        </w:r>
                      </w:p>
                    </w:txbxContent>
                  </v:textbox>
                </v:shape>
              </w:pict>
            </w:r>
            <w:r>
              <w:rPr>
                <w:rFonts w:eastAsia="黑体"/>
                <w:sz w:val="24"/>
              </w:rPr>
              <w:pict>
                <v:shape id="自选图形 47" o:spid="_x0000_s2061" o:spt="61" type="#_x0000_t61" style="position:absolute;left:0pt;margin-left:174.45pt;margin-top:-265.2pt;height:22.45pt;width:85.1pt;z-index:251672576;mso-width-relative:page;mso-height-relative:page;" filled="f" stroked="f" coordsize="21600,21600" o:gfxdata="UEsDBAoAAAAAAIdO4kAAAAAAAAAAAAAAAAAEAAAAZHJzL1BLAwQUAAAACACHTuJAX7n/PtwAAAAN&#10;AQAADwAAAGRycy9kb3ducmV2LnhtbE2PwU7DMAyG70i8Q2QkLmhLSlvWlaY7MNAkJA6M7Z41oalo&#10;nKpJu/H2mBMcbX/6/f3V5uJ6NpsxdB4lJEsBzGDjdYethMPHy6IAFqJCrXqPRsK3CbCpr68qVWp/&#10;xncz72PLKARDqSTYGIeS89BY41RY+sEg3T796FSkcWy5HtWZwl3P74V44E51SB+sGsyTNc3XfnIS&#10;nrO7XbFKt/yNH1/tIdnyaYezlLc3iXgEFs0l/sHwq0/qUJPTyU+oA+slpFmxJlTCIk9FBoyQPFkn&#10;wE60yoo8B15X/H+L+gdQSwMEFAAAAAgAh07iQHfsc5/CAQAAWQMAAA4AAABkcnMvZTJvRG9jLnht&#10;bK1TS47UMBDdI3EHy/vpfOihQ9TpWTAaNghGDBzA7U9i5J9sdye9Y4c4AzuW3GG4zUhwC8qe0D3A&#10;DrGpuD55Ve+Vvb6YtEJ77oO0psPVosSIG2qZNH2H3729OmswCpEYRpQ1vMMHHvDF5vGj9ehaXtvB&#10;KsY9AhAT2tF1eIjRtUUR6MA1CQvruIGksF6TCK7vC+bJCOhaFXVZPi1G65nzlvIQIHp5n8SbjC8E&#10;p/G1EIFHpDoMs8VsfbbbZIvNmrS9J26QdB6D/MMUmkgDTY9QlyQStPPyLygtqbfBirigVhdWCEl5&#10;5gBsqvIPNjcDcTxzAXGCO8oU/h8sfbW/9kgy2F2NkSEadvT949cfHz7dff52d/sFLVdJo9GFFkpv&#10;3LWfvQDHRHgSXqcvUEFT1vVw1JVPEVEIVmVTrlYgP4Vc3ZxX1XkCLU5/Ox/iC241SocOj5z1/A0s&#10;7zlRyu5ilpbsX4aYNWbzoIS9rzASWsHK9kShs+VquarnnT4oAmanorp58qyZ28+QMMivARK+sVdS&#10;qXwzlPktAIUpUiQ57gVIpzhtp1mVrWUH0HPnvOwHIFLlRqkI9pcZz3ctXZCHfgY9vYj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5/z7cAAAADQEAAA8AAAAAAAAAAQAgAAAAIgAAAGRycy9kb3du&#10;cmV2LnhtbFBLAQIUABQAAAAIAIdO4kB37HOfwgEAAFkDAAAOAAAAAAAAAAEAIAAAACsBAABkcnMv&#10;ZTJvRG9jLnhtbFBLBQYAAAAABgAGAFkBAABfBQAAAAA=&#10;" adj="546,16934">
                  <v:path/>
                  <v:fill on="f" focussize="0,0"/>
                  <v:stroke on="f" joinstyle="miter"/>
                  <v:imagedata o:title=""/>
                  <o:lock v:ext="edit"/>
                  <v:textbox>
                    <w:txbxContent>
                      <w:p>
                        <w:pPr>
                          <w:rPr>
                            <w:b/>
                            <w:color w:val="FFFF00"/>
                            <w:sz w:val="24"/>
                          </w:rPr>
                        </w:pPr>
                        <w:r>
                          <w:rPr>
                            <w:b/>
                            <w:color w:val="FFFF00"/>
                            <w:sz w:val="24"/>
                          </w:rPr>
                          <w:t>西河村</w:t>
                        </w:r>
                        <w:r>
                          <w:rPr>
                            <w:rFonts w:hint="eastAsia"/>
                            <w:b/>
                            <w:color w:val="FFFF00"/>
                            <w:sz w:val="24"/>
                          </w:rPr>
                          <w:t>100m</w:t>
                        </w:r>
                      </w:p>
                    </w:txbxContent>
                  </v:textbox>
                </v:shape>
              </w:pict>
            </w:r>
            <w:r>
              <w:rPr>
                <w:rFonts w:eastAsia="黑体"/>
                <w:sz w:val="24"/>
              </w:rPr>
              <w:pict>
                <v:shape id="自选图形 48" o:spid="_x0000_s2062" o:spt="61" type="#_x0000_t61" style="position:absolute;left:0pt;margin-left:128.1pt;margin-top:-348.05pt;height:27.05pt;width:95.05pt;z-index:251673600;mso-width-relative:page;mso-height-relative:page;" filled="f" stroked="f" coordsize="21600,21600" o:gfxdata="UEsDBAoAAAAAAIdO4kAAAAAAAAAAAAAAAAAEAAAAZHJzL1BLAwQUAAAACACHTuJA+XkQBtsAAAAN&#10;AQAADwAAAGRycy9kb3ducmV2LnhtbE2PsU7DMBCGdyTewTokttaOSawS4nRA6lRViLRLNzc+4ojY&#10;TmO3KW+PO8F4d5/++/5qfbMDueIUeu8kZEsGBF3rde86CYf9ZrECEqJyWg3eoYQfDLCuHx8qVWo/&#10;u0+8NrEjKcSFUkkwMY4lpaE1aFVY+hFdun35yaqYxqmjelJzCrcD5YwJalXv0gejRnw32H43Fyuh&#10;aM8fndnvjttdU2zn/Mw3E1opn58y9gYk4i3+wXDXT+pQJ6eTvzgdyCCBF4InVMJCvIoMSELyXLwA&#10;Od1XOWdA64r+b1H/AlBLAwQUAAAACACHTuJAr7bfocIBAABZAwAADgAAAGRycy9lMm9Eb2MueG1s&#10;rVPNbhMxEL4j8Q6W783+JCXRKpseqMoFQUXhARz/7Br5T7aT3dy4IZ6BG0feAd6mErwFY3ebpuWG&#10;uMyOZ2Y/z/fNeH0xaoX23AdpTYurWYkRN9QyaboWf3h/dbbCKERiGFHW8BYfeMAXm+fP1oNreG17&#10;qxj3CEBMaAbX4j5G1xRFoD3XJMys4waSwnpNIhx9VzBPBkDXqqjL8kUxWM+ct5SHANHLuyTeZHwh&#10;OI1vhQg8ItVi6C1m67PdJlts1qTpPHG9pFMb5B+60EQauPQIdUkiQTsv/4LSknobrIgzanVhhZCU&#10;Zw7ApiqfsLnpieOZC4gT3FGm8P9g6Zv9tUeSwezmGBmiYUa/Pn///enL7deftz++ocUqaTS40EDp&#10;jbv20ymAmwiPwuv0BSpozLoejrryMSIKwaoul9X8HCMKuflifg4+wBQPfzsf4ituNUpOiwfOOv4O&#10;hveSKGV3MUtL9q9DzBqzqVHCPlYYCa1gZHui0NliWZb3Mz0pqk+LqmW9qqfrJ0ho5L6BhG/slVQq&#10;b4YyjwJQmCJFkuNOgOTFcTtOqmwtO4CeO+dl1wORKl+UimB+mfG0a2lBTs8Z9OFFb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kQBtsAAAANAQAADwAAAAAAAAABACAAAAAiAAAAZHJzL2Rvd25y&#10;ZXYueG1sUEsBAhQAFAAAAAgAh07iQK+236HCAQAAWQMAAA4AAAAAAAAAAQAgAAAAKgEAAGRycy9l&#10;Mm9Eb2MueG1sUEsFBgAAAAAGAAYAWQEAAF4FAAAAAA==&#10;" adj="648,14533">
                  <v:path/>
                  <v:fill on="f" focussize="0,0"/>
                  <v:stroke on="f" joinstyle="miter"/>
                  <v:imagedata o:title=""/>
                  <o:lock v:ext="edit"/>
                  <v:textbox>
                    <w:txbxContent>
                      <w:p>
                        <w:pPr>
                          <w:rPr>
                            <w:b/>
                            <w:color w:val="FFFF00"/>
                            <w:sz w:val="24"/>
                          </w:rPr>
                        </w:pPr>
                        <w:r>
                          <w:rPr>
                            <w:b/>
                            <w:color w:val="FFFF00"/>
                            <w:sz w:val="24"/>
                          </w:rPr>
                          <w:t>北陈庄村</w:t>
                        </w:r>
                        <w:r>
                          <w:rPr>
                            <w:rFonts w:hint="eastAsia"/>
                            <w:b/>
                            <w:color w:val="FFFF00"/>
                            <w:sz w:val="24"/>
                          </w:rPr>
                          <w:t>700m</w:t>
                        </w:r>
                      </w:p>
                    </w:txbxContent>
                  </v:textbox>
                </v:shape>
              </w:pict>
            </w:r>
            <w:r>
              <w:rPr>
                <w:rFonts w:eastAsia="黑体"/>
                <w:sz w:val="24"/>
              </w:rPr>
              <w:pict>
                <v:shape id="自选图形 45" o:spid="_x0000_s2063" o:spt="61" type="#_x0000_t61" style="position:absolute;left:0pt;margin-left:18.25pt;margin-top:-230.5pt;height:30.75pt;width:78.65pt;z-index:251670528;mso-width-relative:page;mso-height-relative:page;" filled="f" stroked="f" coordsize="21600,21600" o:gfxdata="UEsDBAoAAAAAAIdO4kAAAAAAAAAAAAAAAAAEAAAAZHJzL1BLAwQUAAAACACHTuJAjfGQw9oAAAAM&#10;AQAADwAAAGRycy9kb3ducmV2LnhtbE2PTU/DMAyG70j8h8hI3La0dAtrabpDJbQTh20Iccwa05Y1&#10;TtVkH/x7vBMcbT96/bzl+uoGccYp9J40pPMEBFLjbU+thvf962wFIkRD1gyeUMMPBlhX93elKay/&#10;0BbPu9gKDqFQGA1djGMhZWg6dCbM/YjEty8/ORN5nFppJ3PhcDfIpyRR0pme+ENnRqw7bI67k9Pw&#10;/VwvJvW5ecO+dpvx+KG2q9po/fiQJi8gIl7jHww3fVaHip0O/kQ2iEFDppZMapgtVMqlbkSecZkD&#10;r7I8X4KsSvm/RPULUEsDBBQAAAAIAIdO4kBdumvDwgEAAFgDAAAOAAAAZHJzL2Uyb0RvYy54bWyt&#10;U0uOEzEQ3SNxB8v7SX+GDkkrnVkwGjYIRgxzAMeftJF/sp10Z8cOcQZ2LLkD3GYkuAVlT08mwA6x&#10;cZerql/Ve1VeXYxaoT33QVrT4WpWYsQNtUyabYdv312dLTAKkRhGlDW8wwce8MX66ZPV4Fpe294q&#10;xj0CEBPawXW4j9G1RRFozzUJM+u4gaCwXpMIV78tmCcDoGtV1GU5LwbrmfOW8hDAe3kfxOuMLwSn&#10;8Y0QgUekOgy9xXz6fG7SWaxXpN164npJpzbIP3ShiTRQ9Ah1SSJBOy//gtKSehusiDNqdWGFkJRn&#10;DsCmKv9gc9MTxzMXECe4o0zh/8HS1/trjySD2YE8hmiY0Y+PX39++HT3+fvdty/oWZM0GlxoIfXG&#10;XfvpFsBMhEfhdfoCFTRmXQ9HXfkYEQXncrlYNA1GFELny7KpM2bx+LPzIb7kVqNkdHjgbMvfwuxe&#10;EKXsLmZlyf5ViFliNvVJ2PsKI6EVTGxPFDqrz5tmPo30JKk+TZpXz8tFyoHyEyRYDw0kfGOvpFJ5&#10;MZT5zQGJyVMkNe75JyuOm3ESZWPZAeTcOS+3PRCpcqGUBOPLJadVS/txes+gjw9i/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N8ZDD2gAAAAwBAAAPAAAAAAAAAAEAIAAAACIAAABkcnMvZG93bnJl&#10;di54bWxQSwECFAAUAAAACACHTuJAXbprw8IBAABYAwAADgAAAAAAAAABACAAAAApAQAAZHJzL2Uy&#10;b0RvYy54bWxQSwUGAAAAAAYABgBZAQAAXQUAAAAA&#10;" adj="5712,24129">
                  <v:path/>
                  <v:fill on="f" focussize="0,0"/>
                  <v:stroke on="f" joinstyle="miter"/>
                  <v:imagedata o:title=""/>
                  <o:lock v:ext="edit"/>
                  <v:textbox>
                    <w:txbxContent>
                      <w:p>
                        <w:pPr>
                          <w:rPr>
                            <w:b/>
                            <w:color w:val="FFFF00"/>
                            <w:sz w:val="24"/>
                          </w:rPr>
                        </w:pPr>
                        <w:r>
                          <w:rPr>
                            <w:b/>
                            <w:color w:val="FFFF00"/>
                            <w:sz w:val="24"/>
                          </w:rPr>
                          <w:t>石村</w:t>
                        </w:r>
                        <w:r>
                          <w:rPr>
                            <w:rFonts w:hint="eastAsia"/>
                            <w:b/>
                            <w:color w:val="FFFF00"/>
                            <w:sz w:val="24"/>
                          </w:rPr>
                          <w:t>900m</w:t>
                        </w:r>
                      </w:p>
                    </w:txbxContent>
                  </v:textbox>
                </v:shape>
              </w:pict>
            </w:r>
            <w:r>
              <w:rPr>
                <w:rFonts w:eastAsia="黑体"/>
                <w:sz w:val="24"/>
              </w:rPr>
              <w:drawing>
                <wp:anchor distT="0" distB="0" distL="114300" distR="114300" simplePos="0" relativeHeight="251638784" behindDoc="0" locked="0" layoutInCell="1" allowOverlap="1">
                  <wp:simplePos x="0" y="0"/>
                  <wp:positionH relativeFrom="column">
                    <wp:posOffset>134620</wp:posOffset>
                  </wp:positionH>
                  <wp:positionV relativeFrom="paragraph">
                    <wp:posOffset>-4584065</wp:posOffset>
                  </wp:positionV>
                  <wp:extent cx="621030" cy="714375"/>
                  <wp:effectExtent l="19050" t="0" r="7620" b="0"/>
                  <wp:wrapNone/>
                  <wp:docPr id="1"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42"/>
                          <pic:cNvPicPr>
                            <a:picLocks noChangeAspect="1" noChangeArrowheads="1"/>
                          </pic:cNvPicPr>
                        </pic:nvPicPr>
                        <pic:blipFill>
                          <a:blip r:embed="rId15" cstate="print">
                            <a:lum bright="2000"/>
                          </a:blip>
                          <a:srcRect/>
                          <a:stretch>
                            <a:fillRect/>
                          </a:stretch>
                        </pic:blipFill>
                        <pic:spPr>
                          <a:xfrm>
                            <a:off x="0" y="0"/>
                            <a:ext cx="621030" cy="714375"/>
                          </a:xfrm>
                          <a:prstGeom prst="rect">
                            <a:avLst/>
                          </a:prstGeom>
                          <a:solidFill>
                            <a:schemeClr val="bg1"/>
                          </a:solidFill>
                        </pic:spPr>
                      </pic:pic>
                    </a:graphicData>
                  </a:graphic>
                </wp:anchor>
              </w:drawing>
            </w:r>
            <w:r>
              <w:rPr>
                <w:rFonts w:eastAsia="黑体"/>
                <w:sz w:val="24"/>
              </w:rPr>
              <w:pict>
                <v:shape id="文本框 1714" o:spid="_x0000_s2064" o:spt="202" type="#_x0000_t202" style="position:absolute;left:0pt;margin-left:414.6pt;margin-top:304.95pt;height:26.5pt;width:36pt;z-index:251663360;mso-width-relative:page;mso-height-relative:page;" filled="f" stroked="f" coordsize="21600,21600" o:gfxdata="UEsDBAoAAAAAAIdO4kAAAAAAAAAAAAAAAAAEAAAAZHJzL1BLAwQUAAAACACHTuJAqR/OMNgAAAAL&#10;AQAADwAAAGRycy9kb3ducmV2LnhtbE2PTU/DMAyG70j8h8hI3FjSIpWmNJ20SXDggERh96x1P0Tj&#10;VE22df8ec4KjXz96/bjcrm4SZ1zC6MlAslEgkBrfjtQb+Pp8echBhGiptZMnNHDFANvq9qa0Resv&#10;9IHnOvaCSygU1sAQ41xIGZoBnQ0bPyPxrvOLs5HHpZftYi9c7iaZKpVJZ0fiC4OdcT9g812fnIEd&#10;vubx8Pa47t67p7jv8kN9HRNj7u8S9Qwi4hr/YPjVZ3Wo2OnoT9QGMRnIU50yaiBTWoNgQquEkyMn&#10;WapBVqX8/0P1A1BLAwQUAAAACACHTuJAYuHCG7sBAABPAwAADgAAAGRycy9lMm9Eb2MueG1srVNL&#10;btswEN0XyB0I7mtatpWPYDlAESQoULQFkhyApkiLAMkhSMaSL9DeoKtuuu+5fI4MGccx2l3RDTU/&#10;Pr43M1pej9aQrQxRg2tpNZlSIp2ATrtNSx8fbt9fUhITdx034GRLdzLS69XZu+XgGzmDHkwnA0EQ&#10;F5vBt7RPyTeMRdFLy+MEvHSYVBAsT+iGDesCHxDdGjabTs/ZAKHzAYSMEaM3L0m6KvhKSZG+KBVl&#10;IqalyC2VM5RznU+2WvJmE7jvtTjQ4P/AwnLt8NEj1A1PnDwF/ReU1SJABJUmAiwDpbSQRQOqqaZ/&#10;qLnvuZdFCzYn+mOb4v+DFZ+3XwPRXUtnc0octzij/Y/v+5+/97++keqiWuQWDT42WHnvsTaNH2DE&#10;Ub/GIwaz8lEFm7+oiWAem707NliOiQgMLuoLHBolAlPz+XldlwGwt8s+xHQnwZJstDTg/Epb+fZT&#10;TEgES19L8lsObrUxZYbGkaGlV/WsLheOGbxhXK6VZRsOMFnQC/FspXE9HlSuoduhSPPRYZOvqsUi&#10;L01xsp25h9PUujhFFiVPPuhNj7RLb1hGxqkV0ocNy2tx6qN9+h+sn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H84w2AAAAAsBAAAPAAAAAAAAAAEAIAAAACIAAABkcnMvZG93bnJldi54bWxQSwEC&#10;FAAUAAAACACHTuJAYuHCG7sBAABPAwAADgAAAAAAAAABACAAAAAnAQAAZHJzL2Uyb0RvYy54bWxQ&#10;SwUGAAAAAAYABgBZAQAAVAUAAAAA&#10;">
                  <v:path/>
                  <v:fill on="f" focussize="0,0"/>
                  <v:stroke on="f" joinstyle="miter"/>
                  <v:imagedata o:title=""/>
                  <o:lock v:ext="edit"/>
                  <v:textbox inset="2.54mm,4mm,2.54mm,1.27mm">
                    <w:txbxContent>
                      <w:p>
                        <w:pPr>
                          <w:snapToGrid w:val="0"/>
                          <w:jc w:val="center"/>
                        </w:pPr>
                      </w:p>
                    </w:txbxContent>
                  </v:textbox>
                </v:shape>
              </w:pict>
            </w:r>
            <w:r>
              <w:rPr>
                <w:rFonts w:hAnsi="黑体" w:eastAsia="黑体"/>
                <w:sz w:val="24"/>
                <w:lang w:val="pt-BR"/>
              </w:rPr>
              <w:t>图</w:t>
            </w:r>
            <w:r>
              <w:rPr>
                <w:rFonts w:eastAsia="黑体"/>
                <w:sz w:val="24"/>
                <w:lang w:val="pt-BR"/>
              </w:rPr>
              <w:t xml:space="preserve">1  </w:t>
            </w:r>
            <w:r>
              <w:rPr>
                <w:rFonts w:eastAsia="黑体"/>
                <w:sz w:val="24"/>
              </w:rPr>
              <w:t xml:space="preserve">     </w:t>
            </w:r>
            <w:r>
              <w:rPr>
                <w:rFonts w:eastAsia="黑体"/>
                <w:sz w:val="24"/>
                <w:lang w:val="pt-BR"/>
              </w:rPr>
              <w:t xml:space="preserve">  </w:t>
            </w:r>
            <w:r>
              <w:rPr>
                <w:rFonts w:hAnsi="黑体" w:eastAsia="黑体"/>
                <w:sz w:val="24"/>
                <w:lang w:val="pt-BR"/>
              </w:rPr>
              <w:t>项目周边环境示意图</w:t>
            </w:r>
          </w:p>
          <w:p>
            <w:pPr>
              <w:adjustRightInd w:val="0"/>
              <w:snapToGrid w:val="0"/>
              <w:spacing w:line="440" w:lineRule="exact"/>
              <w:ind w:firstLine="482" w:firstLineChars="200"/>
              <w:rPr>
                <w:b/>
                <w:bCs/>
                <w:sz w:val="24"/>
                <w:lang w:val="pt-BR"/>
              </w:rPr>
            </w:pPr>
            <w:r>
              <w:rPr>
                <w:b/>
                <w:bCs/>
                <w:sz w:val="24"/>
              </w:rPr>
              <w:t>三、工程内容</w:t>
            </w:r>
          </w:p>
          <w:p>
            <w:pPr>
              <w:adjustRightInd w:val="0"/>
              <w:snapToGrid w:val="0"/>
              <w:spacing w:line="440" w:lineRule="exact"/>
              <w:ind w:firstLine="482" w:firstLineChars="200"/>
              <w:rPr>
                <w:b/>
                <w:bCs/>
                <w:sz w:val="24"/>
              </w:rPr>
            </w:pPr>
            <w:r>
              <w:rPr>
                <w:b/>
                <w:bCs/>
                <w:sz w:val="24"/>
              </w:rPr>
              <w:t>1、项目概况</w:t>
            </w:r>
          </w:p>
          <w:p>
            <w:pPr>
              <w:adjustRightInd w:val="0"/>
              <w:snapToGrid w:val="0"/>
              <w:spacing w:line="440" w:lineRule="exact"/>
              <w:ind w:firstLine="480" w:firstLineChars="200"/>
              <w:rPr>
                <w:sz w:val="24"/>
              </w:rPr>
            </w:pPr>
            <w:r>
              <w:rPr>
                <w:sz w:val="24"/>
              </w:rPr>
              <w:t>项目的基本情况见</w:t>
            </w:r>
            <w:r>
              <w:rPr>
                <w:rFonts w:hint="eastAsia"/>
                <w:sz w:val="24"/>
              </w:rPr>
              <w:t>下</w:t>
            </w:r>
            <w:r>
              <w:rPr>
                <w:sz w:val="24"/>
              </w:rPr>
              <w:t>表：</w:t>
            </w:r>
          </w:p>
          <w:p>
            <w:pPr>
              <w:adjustRightInd w:val="0"/>
              <w:snapToGrid w:val="0"/>
              <w:spacing w:line="440" w:lineRule="exact"/>
              <w:ind w:firstLine="480" w:firstLineChars="200"/>
              <w:rPr>
                <w:rFonts w:eastAsia="黑体"/>
                <w:sz w:val="24"/>
                <w:lang w:val="pt-BR"/>
              </w:rPr>
            </w:pPr>
            <w:r>
              <w:rPr>
                <w:rFonts w:eastAsia="黑体"/>
                <w:sz w:val="24"/>
                <w:lang w:val="pt-BR"/>
              </w:rPr>
              <w:t>表1                        项目概况一览表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2927"/>
              <w:gridCol w:w="543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cantSplit/>
                <w:trHeight w:val="397" w:hRule="atLeast"/>
                <w:jc w:val="center"/>
              </w:trPr>
              <w:tc>
                <w:tcPr>
                  <w:tcW w:w="639" w:type="pct"/>
                  <w:tcBorders>
                    <w:top w:val="single" w:color="auto" w:sz="8" w:space="0"/>
                    <w:bottom w:val="single" w:color="auto" w:sz="8" w:space="0"/>
                  </w:tcBorders>
                  <w:shd w:val="clear" w:color="auto" w:fill="auto"/>
                  <w:vAlign w:val="center"/>
                </w:tcPr>
                <w:p>
                  <w:pPr>
                    <w:adjustRightInd w:val="0"/>
                    <w:snapToGrid w:val="0"/>
                    <w:jc w:val="center"/>
                    <w:rPr>
                      <w:b/>
                      <w:bCs/>
                      <w:szCs w:val="21"/>
                    </w:rPr>
                  </w:pPr>
                  <w:r>
                    <w:rPr>
                      <w:b/>
                      <w:bCs/>
                      <w:szCs w:val="21"/>
                    </w:rPr>
                    <w:t>序号</w:t>
                  </w:r>
                </w:p>
              </w:tc>
              <w:tc>
                <w:tcPr>
                  <w:tcW w:w="1526" w:type="pct"/>
                  <w:tcBorders>
                    <w:top w:val="single" w:color="auto" w:sz="8" w:space="0"/>
                    <w:bottom w:val="single" w:color="auto" w:sz="8" w:space="0"/>
                  </w:tcBorders>
                  <w:shd w:val="clear" w:color="auto" w:fill="auto"/>
                  <w:vAlign w:val="center"/>
                </w:tcPr>
                <w:p>
                  <w:pPr>
                    <w:adjustRightInd w:val="0"/>
                    <w:snapToGrid w:val="0"/>
                    <w:jc w:val="center"/>
                    <w:rPr>
                      <w:b/>
                      <w:bCs/>
                      <w:szCs w:val="21"/>
                    </w:rPr>
                  </w:pPr>
                  <w:r>
                    <w:rPr>
                      <w:b/>
                      <w:bCs/>
                      <w:szCs w:val="21"/>
                    </w:rPr>
                    <w:t>项</w:t>
                  </w:r>
                  <w:r>
                    <w:rPr>
                      <w:b/>
                      <w:bCs/>
                      <w:szCs w:val="21"/>
                      <w:lang w:val="en-GB"/>
                    </w:rPr>
                    <w:t xml:space="preserve"> </w:t>
                  </w:r>
                  <w:r>
                    <w:rPr>
                      <w:b/>
                      <w:bCs/>
                      <w:szCs w:val="21"/>
                    </w:rPr>
                    <w:t xml:space="preserve"> 目</w:t>
                  </w:r>
                </w:p>
              </w:tc>
              <w:tc>
                <w:tcPr>
                  <w:tcW w:w="2834" w:type="pct"/>
                  <w:tcBorders>
                    <w:top w:val="single" w:color="auto" w:sz="8" w:space="0"/>
                    <w:bottom w:val="single" w:color="auto" w:sz="8" w:space="0"/>
                  </w:tcBorders>
                  <w:shd w:val="clear" w:color="auto" w:fill="auto"/>
                  <w:vAlign w:val="center"/>
                </w:tcPr>
                <w:p>
                  <w:pPr>
                    <w:adjustRightInd w:val="0"/>
                    <w:snapToGrid w:val="0"/>
                    <w:jc w:val="center"/>
                    <w:rPr>
                      <w:b/>
                      <w:bCs/>
                      <w:szCs w:val="21"/>
                    </w:rPr>
                  </w:pPr>
                  <w:r>
                    <w:rPr>
                      <w:b/>
                      <w:bCs/>
                      <w:szCs w:val="21"/>
                    </w:rPr>
                    <w:t xml:space="preserve">内 </w:t>
                  </w:r>
                  <w:r>
                    <w:rPr>
                      <w:b/>
                      <w:bCs/>
                      <w:szCs w:val="21"/>
                      <w:lang w:val="en-GB"/>
                    </w:rPr>
                    <w:t xml:space="preserve"> </w:t>
                  </w:r>
                  <w:r>
                    <w:rPr>
                      <w:b/>
                      <w:bCs/>
                      <w:szCs w:val="21"/>
                    </w:rPr>
                    <w:t>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9" w:type="pct"/>
                  <w:tcBorders>
                    <w:top w:val="single" w:color="auto" w:sz="8" w:space="0"/>
                  </w:tcBorders>
                  <w:shd w:val="clear" w:color="auto" w:fill="auto"/>
                  <w:vAlign w:val="center"/>
                </w:tcPr>
                <w:p>
                  <w:pPr>
                    <w:adjustRightInd w:val="0"/>
                    <w:snapToGrid w:val="0"/>
                    <w:jc w:val="center"/>
                    <w:rPr>
                      <w:szCs w:val="21"/>
                    </w:rPr>
                  </w:pPr>
                  <w:r>
                    <w:rPr>
                      <w:szCs w:val="21"/>
                    </w:rPr>
                    <w:t>1</w:t>
                  </w:r>
                </w:p>
              </w:tc>
              <w:tc>
                <w:tcPr>
                  <w:tcW w:w="1526" w:type="pct"/>
                  <w:tcBorders>
                    <w:top w:val="single" w:color="auto" w:sz="8" w:space="0"/>
                  </w:tcBorders>
                  <w:shd w:val="clear" w:color="auto" w:fill="auto"/>
                  <w:vAlign w:val="center"/>
                </w:tcPr>
                <w:p>
                  <w:pPr>
                    <w:adjustRightInd w:val="0"/>
                    <w:snapToGrid w:val="0"/>
                    <w:jc w:val="center"/>
                    <w:rPr>
                      <w:szCs w:val="21"/>
                    </w:rPr>
                  </w:pPr>
                  <w:r>
                    <w:rPr>
                      <w:szCs w:val="21"/>
                    </w:rPr>
                    <w:t>项目名称</w:t>
                  </w:r>
                </w:p>
              </w:tc>
              <w:tc>
                <w:tcPr>
                  <w:tcW w:w="2834" w:type="pct"/>
                  <w:tcBorders>
                    <w:top w:val="single" w:color="auto" w:sz="8" w:space="0"/>
                  </w:tcBorders>
                  <w:shd w:val="clear" w:color="auto" w:fill="auto"/>
                  <w:vAlign w:val="center"/>
                </w:tcPr>
                <w:p>
                  <w:pPr>
                    <w:adjustRightInd w:val="0"/>
                    <w:snapToGrid w:val="0"/>
                    <w:jc w:val="center"/>
                    <w:rPr>
                      <w:szCs w:val="21"/>
                    </w:rPr>
                  </w:pPr>
                  <w:r>
                    <w:rPr>
                      <w:szCs w:val="21"/>
                    </w:rPr>
                    <w:t>年产20套游乐设备项目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9" w:type="pct"/>
                  <w:shd w:val="clear" w:color="auto" w:fill="auto"/>
                  <w:vAlign w:val="center"/>
                </w:tcPr>
                <w:p>
                  <w:pPr>
                    <w:adjustRightInd w:val="0"/>
                    <w:snapToGrid w:val="0"/>
                    <w:jc w:val="center"/>
                    <w:rPr>
                      <w:szCs w:val="21"/>
                    </w:rPr>
                  </w:pPr>
                  <w:r>
                    <w:rPr>
                      <w:szCs w:val="21"/>
                    </w:rPr>
                    <w:t>2</w:t>
                  </w:r>
                </w:p>
              </w:tc>
              <w:tc>
                <w:tcPr>
                  <w:tcW w:w="1526" w:type="pct"/>
                  <w:shd w:val="clear" w:color="auto" w:fill="auto"/>
                  <w:vAlign w:val="center"/>
                </w:tcPr>
                <w:p>
                  <w:pPr>
                    <w:adjustRightInd w:val="0"/>
                    <w:snapToGrid w:val="0"/>
                    <w:jc w:val="center"/>
                    <w:rPr>
                      <w:szCs w:val="21"/>
                    </w:rPr>
                  </w:pPr>
                  <w:r>
                    <w:rPr>
                      <w:szCs w:val="21"/>
                    </w:rPr>
                    <w:t>总投资</w:t>
                  </w:r>
                </w:p>
              </w:tc>
              <w:tc>
                <w:tcPr>
                  <w:tcW w:w="2834" w:type="pct"/>
                  <w:shd w:val="clear" w:color="auto" w:fill="auto"/>
                  <w:vAlign w:val="center"/>
                </w:tcPr>
                <w:p>
                  <w:pPr>
                    <w:adjustRightInd w:val="0"/>
                    <w:snapToGrid w:val="0"/>
                    <w:jc w:val="center"/>
                    <w:rPr>
                      <w:szCs w:val="21"/>
                    </w:rPr>
                  </w:pPr>
                  <w:r>
                    <w:rPr>
                      <w:szCs w:val="21"/>
                    </w:rPr>
                    <w:t>50万元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9" w:type="pct"/>
                  <w:shd w:val="clear" w:color="auto" w:fill="auto"/>
                  <w:vAlign w:val="center"/>
                </w:tcPr>
                <w:p>
                  <w:pPr>
                    <w:adjustRightInd w:val="0"/>
                    <w:snapToGrid w:val="0"/>
                    <w:jc w:val="center"/>
                    <w:rPr>
                      <w:szCs w:val="21"/>
                    </w:rPr>
                  </w:pPr>
                  <w:r>
                    <w:rPr>
                      <w:szCs w:val="21"/>
                    </w:rPr>
                    <w:t>3</w:t>
                  </w:r>
                </w:p>
              </w:tc>
              <w:tc>
                <w:tcPr>
                  <w:tcW w:w="1526" w:type="pct"/>
                  <w:shd w:val="clear" w:color="auto" w:fill="auto"/>
                  <w:vAlign w:val="center"/>
                </w:tcPr>
                <w:p>
                  <w:pPr>
                    <w:adjustRightInd w:val="0"/>
                    <w:snapToGrid w:val="0"/>
                    <w:jc w:val="center"/>
                    <w:rPr>
                      <w:szCs w:val="21"/>
                    </w:rPr>
                  </w:pPr>
                  <w:r>
                    <w:rPr>
                      <w:szCs w:val="21"/>
                    </w:rPr>
                    <w:t>建设单位</w:t>
                  </w:r>
                </w:p>
              </w:tc>
              <w:tc>
                <w:tcPr>
                  <w:tcW w:w="2834" w:type="pct"/>
                  <w:shd w:val="clear" w:color="auto" w:fill="auto"/>
                  <w:vAlign w:val="center"/>
                </w:tcPr>
                <w:p>
                  <w:pPr>
                    <w:adjustRightInd w:val="0"/>
                    <w:snapToGrid w:val="0"/>
                    <w:jc w:val="center"/>
                    <w:rPr>
                      <w:szCs w:val="21"/>
                    </w:rPr>
                  </w:pPr>
                  <w:r>
                    <w:rPr>
                      <w:szCs w:val="21"/>
                    </w:rPr>
                    <w:t>新乡县合河乡紫晨游乐设备厂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9" w:type="pct"/>
                  <w:shd w:val="clear" w:color="auto" w:fill="auto"/>
                  <w:vAlign w:val="center"/>
                </w:tcPr>
                <w:p>
                  <w:pPr>
                    <w:adjustRightInd w:val="0"/>
                    <w:snapToGrid w:val="0"/>
                    <w:jc w:val="center"/>
                    <w:rPr>
                      <w:szCs w:val="21"/>
                    </w:rPr>
                  </w:pPr>
                  <w:r>
                    <w:rPr>
                      <w:szCs w:val="21"/>
                    </w:rPr>
                    <w:t>4</w:t>
                  </w:r>
                </w:p>
              </w:tc>
              <w:tc>
                <w:tcPr>
                  <w:tcW w:w="1526" w:type="pct"/>
                  <w:shd w:val="clear" w:color="auto" w:fill="auto"/>
                  <w:vAlign w:val="center"/>
                </w:tcPr>
                <w:p>
                  <w:pPr>
                    <w:adjustRightInd w:val="0"/>
                    <w:snapToGrid w:val="0"/>
                    <w:jc w:val="center"/>
                    <w:rPr>
                      <w:szCs w:val="21"/>
                    </w:rPr>
                  </w:pPr>
                  <w:r>
                    <w:rPr>
                      <w:szCs w:val="21"/>
                    </w:rPr>
                    <w:t>项目选址</w:t>
                  </w:r>
                </w:p>
              </w:tc>
              <w:tc>
                <w:tcPr>
                  <w:tcW w:w="2834" w:type="pct"/>
                  <w:shd w:val="clear" w:color="auto" w:fill="auto"/>
                  <w:vAlign w:val="center"/>
                </w:tcPr>
                <w:p>
                  <w:pPr>
                    <w:adjustRightInd w:val="0"/>
                    <w:snapToGrid w:val="0"/>
                    <w:jc w:val="center"/>
                    <w:rPr>
                      <w:szCs w:val="21"/>
                    </w:rPr>
                  </w:pPr>
                  <w:r>
                    <w:rPr>
                      <w:szCs w:val="21"/>
                    </w:rPr>
                    <w:t>新乡县合河乡西河村老纸厂旧址院内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9" w:type="pct"/>
                  <w:shd w:val="clear" w:color="auto" w:fill="auto"/>
                  <w:vAlign w:val="center"/>
                </w:tcPr>
                <w:p>
                  <w:pPr>
                    <w:adjustRightInd w:val="0"/>
                    <w:snapToGrid w:val="0"/>
                    <w:jc w:val="center"/>
                    <w:rPr>
                      <w:szCs w:val="21"/>
                    </w:rPr>
                  </w:pPr>
                  <w:r>
                    <w:rPr>
                      <w:szCs w:val="21"/>
                    </w:rPr>
                    <w:t>5</w:t>
                  </w:r>
                </w:p>
              </w:tc>
              <w:tc>
                <w:tcPr>
                  <w:tcW w:w="1526" w:type="pct"/>
                  <w:shd w:val="clear" w:color="auto" w:fill="auto"/>
                  <w:vAlign w:val="center"/>
                </w:tcPr>
                <w:p>
                  <w:pPr>
                    <w:adjustRightInd w:val="0"/>
                    <w:snapToGrid w:val="0"/>
                    <w:jc w:val="center"/>
                    <w:rPr>
                      <w:szCs w:val="21"/>
                    </w:rPr>
                  </w:pPr>
                  <w:r>
                    <w:rPr>
                      <w:szCs w:val="21"/>
                    </w:rPr>
                    <w:t>占地面积</w:t>
                  </w:r>
                </w:p>
              </w:tc>
              <w:tc>
                <w:tcPr>
                  <w:tcW w:w="2834" w:type="pct"/>
                  <w:shd w:val="clear" w:color="auto" w:fill="auto"/>
                  <w:vAlign w:val="center"/>
                </w:tcPr>
                <w:p>
                  <w:pPr>
                    <w:adjustRightInd w:val="0"/>
                    <w:snapToGrid w:val="0"/>
                    <w:jc w:val="center"/>
                    <w:rPr>
                      <w:szCs w:val="21"/>
                    </w:rPr>
                  </w:pPr>
                  <w:r>
                    <w:rPr>
                      <w:szCs w:val="21"/>
                    </w:rPr>
                    <w:t>1400m</w:t>
                  </w:r>
                  <w:r>
                    <w:rPr>
                      <w:szCs w:val="21"/>
                      <w:vertAlign w:val="superscript"/>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39" w:type="pct"/>
                  <w:shd w:val="clear" w:color="auto" w:fill="auto"/>
                  <w:vAlign w:val="center"/>
                </w:tcPr>
                <w:p>
                  <w:pPr>
                    <w:adjustRightInd w:val="0"/>
                    <w:snapToGrid w:val="0"/>
                    <w:jc w:val="center"/>
                    <w:rPr>
                      <w:szCs w:val="21"/>
                    </w:rPr>
                  </w:pPr>
                  <w:r>
                    <w:rPr>
                      <w:szCs w:val="21"/>
                    </w:rPr>
                    <w:t>6</w:t>
                  </w:r>
                </w:p>
              </w:tc>
              <w:tc>
                <w:tcPr>
                  <w:tcW w:w="1526" w:type="pct"/>
                  <w:shd w:val="clear" w:color="auto" w:fill="auto"/>
                  <w:vAlign w:val="center"/>
                </w:tcPr>
                <w:p>
                  <w:pPr>
                    <w:adjustRightInd w:val="0"/>
                    <w:snapToGrid w:val="0"/>
                    <w:jc w:val="center"/>
                    <w:rPr>
                      <w:szCs w:val="21"/>
                    </w:rPr>
                  </w:pPr>
                  <w:r>
                    <w:rPr>
                      <w:szCs w:val="21"/>
                    </w:rPr>
                    <w:t>劳动定员与制度</w:t>
                  </w:r>
                </w:p>
              </w:tc>
              <w:tc>
                <w:tcPr>
                  <w:tcW w:w="2834" w:type="pct"/>
                  <w:shd w:val="clear" w:color="auto" w:fill="auto"/>
                  <w:vAlign w:val="center"/>
                </w:tcPr>
                <w:p>
                  <w:pPr>
                    <w:adjustRightInd w:val="0"/>
                    <w:snapToGrid w:val="0"/>
                    <w:jc w:val="center"/>
                    <w:rPr>
                      <w:szCs w:val="21"/>
                    </w:rPr>
                  </w:pPr>
                  <w:r>
                    <w:rPr>
                      <w:szCs w:val="21"/>
                    </w:rPr>
                    <w:t>职工13人，单班制，8小时/班，年工作2</w:t>
                  </w:r>
                  <w:r>
                    <w:rPr>
                      <w:rFonts w:hint="eastAsia"/>
                      <w:szCs w:val="21"/>
                    </w:rPr>
                    <w:t>0</w:t>
                  </w:r>
                  <w:r>
                    <w:rPr>
                      <w:szCs w:val="21"/>
                    </w:rPr>
                    <w:t>0天</w:t>
                  </w:r>
                </w:p>
              </w:tc>
            </w:tr>
          </w:tbl>
          <w:p>
            <w:pPr>
              <w:adjustRightInd w:val="0"/>
              <w:snapToGrid w:val="0"/>
              <w:spacing w:line="440" w:lineRule="exact"/>
              <w:ind w:firstLine="482" w:firstLineChars="200"/>
              <w:rPr>
                <w:rFonts w:eastAsiaTheme="minorEastAsia"/>
                <w:b/>
                <w:bCs/>
                <w:sz w:val="24"/>
              </w:rPr>
            </w:pPr>
          </w:p>
          <w:p>
            <w:pPr>
              <w:adjustRightInd w:val="0"/>
              <w:snapToGrid w:val="0"/>
              <w:spacing w:line="440" w:lineRule="exact"/>
              <w:ind w:firstLine="482" w:firstLineChars="200"/>
              <w:rPr>
                <w:rFonts w:eastAsiaTheme="minorEastAsia"/>
                <w:b/>
                <w:bCs/>
                <w:sz w:val="24"/>
              </w:rPr>
            </w:pPr>
            <w:r>
              <w:rPr>
                <w:rFonts w:eastAsiaTheme="minorEastAsia"/>
                <w:b/>
                <w:bCs/>
                <w:sz w:val="24"/>
              </w:rPr>
              <w:t>2、项目组成及建设情况</w:t>
            </w:r>
          </w:p>
          <w:p>
            <w:pPr>
              <w:adjustRightInd w:val="0"/>
              <w:snapToGrid w:val="0"/>
              <w:spacing w:line="440" w:lineRule="exact"/>
              <w:ind w:firstLine="480" w:firstLineChars="200"/>
              <w:rPr>
                <w:rFonts w:eastAsiaTheme="minorEastAsia"/>
                <w:sz w:val="24"/>
              </w:rPr>
            </w:pPr>
            <w:r>
              <w:rPr>
                <w:rFonts w:eastAsiaTheme="minorEastAsia"/>
                <w:sz w:val="24"/>
              </w:rPr>
              <w:t>根据现场调查，本项目租赁现有厂房进行生产，未安装生产设备，不具备生产能力。厂区现状照片如下图：</w:t>
            </w:r>
          </w:p>
          <w:p>
            <w:pPr>
              <w:adjustRightInd w:val="0"/>
              <w:snapToGrid w:val="0"/>
              <w:spacing w:line="440" w:lineRule="exact"/>
              <w:jc w:val="center"/>
              <w:rPr>
                <w:rFonts w:eastAsia="黑体"/>
                <w:sz w:val="24"/>
              </w:rPr>
            </w:pPr>
            <w:r>
              <w:rPr>
                <w:rFonts w:eastAsia="黑体"/>
                <w:sz w:val="24"/>
              </w:rPr>
              <w:drawing>
                <wp:anchor distT="0" distB="0" distL="114300" distR="114300" simplePos="0" relativeHeight="251640832" behindDoc="0" locked="0" layoutInCell="1" allowOverlap="1">
                  <wp:simplePos x="0" y="0"/>
                  <wp:positionH relativeFrom="column">
                    <wp:posOffset>91440</wp:posOffset>
                  </wp:positionH>
                  <wp:positionV relativeFrom="paragraph">
                    <wp:posOffset>212090</wp:posOffset>
                  </wp:positionV>
                  <wp:extent cx="5759450" cy="4321810"/>
                  <wp:effectExtent l="0" t="0" r="12700" b="2540"/>
                  <wp:wrapSquare wrapText="bothSides"/>
                  <wp:docPr id="5" name="图片 4" descr="紫晨厂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紫晨厂房.jpg"/>
                          <pic:cNvPicPr>
                            <a:picLocks noChangeAspect="1"/>
                          </pic:cNvPicPr>
                        </pic:nvPicPr>
                        <pic:blipFill>
                          <a:blip r:embed="rId16" cstate="print"/>
                          <a:stretch>
                            <a:fillRect/>
                          </a:stretch>
                        </pic:blipFill>
                        <pic:spPr>
                          <a:xfrm>
                            <a:off x="0" y="0"/>
                            <a:ext cx="5759450" cy="4321810"/>
                          </a:xfrm>
                          <a:prstGeom prst="rect">
                            <a:avLst/>
                          </a:prstGeom>
                        </pic:spPr>
                      </pic:pic>
                    </a:graphicData>
                  </a:graphic>
                </wp:anchor>
              </w:drawing>
            </w:r>
            <w:r>
              <w:rPr>
                <w:rFonts w:eastAsia="黑体"/>
                <w:sz w:val="24"/>
              </w:rPr>
              <w:t>图2  项目车间现状图</w:t>
            </w:r>
          </w:p>
          <w:p>
            <w:pPr>
              <w:adjustRightInd w:val="0"/>
              <w:snapToGrid w:val="0"/>
              <w:spacing w:line="440" w:lineRule="exact"/>
              <w:ind w:firstLine="480" w:firstLineChars="200"/>
              <w:rPr>
                <w:rFonts w:eastAsiaTheme="minorEastAsia"/>
                <w:sz w:val="24"/>
              </w:rPr>
            </w:pPr>
            <w:bookmarkStart w:id="0" w:name="_Ref306954230"/>
            <w:r>
              <w:rPr>
                <w:rFonts w:eastAsiaTheme="minorEastAsia"/>
                <w:sz w:val="24"/>
              </w:rPr>
              <w:t>本项目主要建设内容见下表：</w:t>
            </w:r>
          </w:p>
          <w:p>
            <w:pPr>
              <w:adjustRightInd w:val="0"/>
              <w:snapToGrid w:val="0"/>
              <w:spacing w:line="440" w:lineRule="exact"/>
              <w:ind w:firstLine="480" w:firstLineChars="200"/>
              <w:rPr>
                <w:rFonts w:eastAsia="黑体"/>
                <w:sz w:val="24"/>
                <w:lang w:val="pt-BR"/>
              </w:rPr>
            </w:pPr>
            <w:r>
              <w:rPr>
                <w:rFonts w:eastAsia="黑体"/>
                <w:sz w:val="24"/>
                <w:lang w:val="pt-BR"/>
              </w:rPr>
              <w:t>表2</w:t>
            </w:r>
            <w:bookmarkEnd w:id="0"/>
            <w:r>
              <w:rPr>
                <w:rFonts w:eastAsia="黑体"/>
                <w:sz w:val="24"/>
                <w:lang w:val="pt-BR"/>
              </w:rPr>
              <w:t xml:space="preserve">                            本项目组成情况</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940"/>
              <w:gridCol w:w="1186"/>
              <w:gridCol w:w="4917"/>
              <w:gridCol w:w="186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8" w:type="pct"/>
                  <w:tcBorders>
                    <w:top w:val="single" w:color="auto" w:sz="8" w:space="0"/>
                    <w:bottom w:val="single" w:color="auto" w:sz="8" w:space="0"/>
                  </w:tcBorders>
                  <w:shd w:val="clear" w:color="auto" w:fill="auto"/>
                  <w:vAlign w:val="center"/>
                </w:tcPr>
                <w:p>
                  <w:pPr>
                    <w:adjustRightInd w:val="0"/>
                    <w:snapToGrid w:val="0"/>
                    <w:jc w:val="center"/>
                    <w:rPr>
                      <w:b/>
                      <w:bCs/>
                    </w:rPr>
                  </w:pPr>
                  <w:r>
                    <w:rPr>
                      <w:b/>
                      <w:bCs/>
                    </w:rPr>
                    <w:t>序号</w:t>
                  </w:r>
                </w:p>
              </w:tc>
              <w:tc>
                <w:tcPr>
                  <w:tcW w:w="490" w:type="pct"/>
                  <w:tcBorders>
                    <w:top w:val="single" w:color="auto" w:sz="8" w:space="0"/>
                    <w:bottom w:val="single" w:color="auto" w:sz="8" w:space="0"/>
                  </w:tcBorders>
                  <w:shd w:val="clear" w:color="auto" w:fill="auto"/>
                  <w:vAlign w:val="center"/>
                </w:tcPr>
                <w:p>
                  <w:pPr>
                    <w:adjustRightInd w:val="0"/>
                    <w:snapToGrid w:val="0"/>
                    <w:jc w:val="center"/>
                    <w:rPr>
                      <w:b/>
                      <w:bCs/>
                    </w:rPr>
                  </w:pPr>
                  <w:r>
                    <w:rPr>
                      <w:b/>
                      <w:bCs/>
                    </w:rPr>
                    <w:t>项目</w:t>
                  </w:r>
                </w:p>
              </w:tc>
              <w:tc>
                <w:tcPr>
                  <w:tcW w:w="618" w:type="pct"/>
                  <w:tcBorders>
                    <w:top w:val="single" w:color="auto" w:sz="8" w:space="0"/>
                    <w:bottom w:val="single" w:color="auto" w:sz="8" w:space="0"/>
                  </w:tcBorders>
                  <w:shd w:val="clear" w:color="auto" w:fill="auto"/>
                  <w:vAlign w:val="center"/>
                </w:tcPr>
                <w:p>
                  <w:pPr>
                    <w:adjustRightInd w:val="0"/>
                    <w:snapToGrid w:val="0"/>
                    <w:jc w:val="center"/>
                    <w:rPr>
                      <w:b/>
                      <w:bCs/>
                    </w:rPr>
                  </w:pPr>
                  <w:r>
                    <w:rPr>
                      <w:b/>
                      <w:bCs/>
                    </w:rPr>
                    <w:t>建设内容</w:t>
                  </w:r>
                </w:p>
              </w:tc>
              <w:tc>
                <w:tcPr>
                  <w:tcW w:w="2563" w:type="pct"/>
                  <w:tcBorders>
                    <w:top w:val="single" w:color="auto" w:sz="8" w:space="0"/>
                    <w:bottom w:val="single" w:color="auto" w:sz="8" w:space="0"/>
                  </w:tcBorders>
                  <w:shd w:val="clear" w:color="auto" w:fill="auto"/>
                  <w:vAlign w:val="center"/>
                </w:tcPr>
                <w:p>
                  <w:pPr>
                    <w:adjustRightInd w:val="0"/>
                    <w:snapToGrid w:val="0"/>
                    <w:jc w:val="center"/>
                    <w:rPr>
                      <w:b/>
                      <w:bCs/>
                    </w:rPr>
                  </w:pPr>
                  <w:r>
                    <w:rPr>
                      <w:b/>
                      <w:bCs/>
                    </w:rPr>
                    <w:t>数量、规模或要求</w:t>
                  </w:r>
                </w:p>
              </w:tc>
              <w:tc>
                <w:tcPr>
                  <w:tcW w:w="970" w:type="pct"/>
                  <w:tcBorders>
                    <w:top w:val="single" w:color="auto" w:sz="8" w:space="0"/>
                    <w:bottom w:val="single" w:color="auto" w:sz="8" w:space="0"/>
                  </w:tcBorders>
                  <w:vAlign w:val="center"/>
                </w:tcPr>
                <w:p>
                  <w:pPr>
                    <w:adjustRightInd w:val="0"/>
                    <w:snapToGrid w:val="0"/>
                    <w:jc w:val="center"/>
                    <w:rPr>
                      <w:b/>
                      <w:bCs/>
                    </w:rPr>
                  </w:pPr>
                  <w:r>
                    <w:rPr>
                      <w:b/>
                      <w:bCs/>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8" w:type="pct"/>
                  <w:tcBorders>
                    <w:top w:val="single" w:color="auto" w:sz="8" w:space="0"/>
                    <w:bottom w:val="single" w:color="auto" w:sz="4" w:space="0"/>
                  </w:tcBorders>
                  <w:shd w:val="clear" w:color="auto" w:fill="auto"/>
                  <w:vAlign w:val="center"/>
                </w:tcPr>
                <w:p>
                  <w:pPr>
                    <w:adjustRightInd w:val="0"/>
                    <w:snapToGrid w:val="0"/>
                    <w:jc w:val="center"/>
                  </w:pPr>
                  <w:r>
                    <w:t>1</w:t>
                  </w:r>
                </w:p>
              </w:tc>
              <w:tc>
                <w:tcPr>
                  <w:tcW w:w="490" w:type="pct"/>
                  <w:tcBorders>
                    <w:top w:val="single" w:color="auto" w:sz="8" w:space="0"/>
                    <w:bottom w:val="single" w:color="auto" w:sz="4" w:space="0"/>
                  </w:tcBorders>
                  <w:shd w:val="clear" w:color="auto" w:fill="auto"/>
                  <w:vAlign w:val="center"/>
                </w:tcPr>
                <w:p>
                  <w:pPr>
                    <w:adjustRightInd w:val="0"/>
                    <w:snapToGrid w:val="0"/>
                    <w:jc w:val="center"/>
                  </w:pPr>
                  <w:r>
                    <w:t>主体</w:t>
                  </w:r>
                </w:p>
                <w:p>
                  <w:pPr>
                    <w:adjustRightInd w:val="0"/>
                    <w:snapToGrid w:val="0"/>
                    <w:jc w:val="center"/>
                  </w:pPr>
                  <w:r>
                    <w:t>工程</w:t>
                  </w:r>
                </w:p>
              </w:tc>
              <w:tc>
                <w:tcPr>
                  <w:tcW w:w="618" w:type="pct"/>
                  <w:tcBorders>
                    <w:top w:val="single" w:color="auto" w:sz="8" w:space="0"/>
                    <w:bottom w:val="single" w:color="auto" w:sz="4" w:space="0"/>
                  </w:tcBorders>
                  <w:shd w:val="clear" w:color="auto" w:fill="auto"/>
                  <w:vAlign w:val="center"/>
                </w:tcPr>
                <w:p>
                  <w:pPr>
                    <w:adjustRightInd w:val="0"/>
                    <w:snapToGrid w:val="0"/>
                    <w:jc w:val="center"/>
                  </w:pPr>
                  <w:r>
                    <w:t>生产车间</w:t>
                  </w:r>
                </w:p>
              </w:tc>
              <w:tc>
                <w:tcPr>
                  <w:tcW w:w="2563" w:type="pct"/>
                  <w:tcBorders>
                    <w:top w:val="single" w:color="auto" w:sz="8" w:space="0"/>
                    <w:bottom w:val="single" w:color="auto" w:sz="4" w:space="0"/>
                  </w:tcBorders>
                  <w:shd w:val="clear" w:color="auto" w:fill="auto"/>
                  <w:vAlign w:val="center"/>
                </w:tcPr>
                <w:p>
                  <w:pPr>
                    <w:adjustRightInd w:val="0"/>
                    <w:snapToGrid w:val="0"/>
                    <w:jc w:val="center"/>
                    <w:rPr>
                      <w:highlight w:val="red"/>
                    </w:rPr>
                  </w:pPr>
                  <w:r>
                    <w:rPr>
                      <w:rFonts w:hint="eastAsia"/>
                    </w:rPr>
                    <w:t>693</w:t>
                  </w:r>
                  <w:r>
                    <w:t>m</w:t>
                  </w:r>
                  <w:r>
                    <w:rPr>
                      <w:vertAlign w:val="superscript"/>
                    </w:rPr>
                    <w:t>2</w:t>
                  </w:r>
                </w:p>
              </w:tc>
              <w:tc>
                <w:tcPr>
                  <w:tcW w:w="970" w:type="pct"/>
                  <w:tcBorders>
                    <w:top w:val="single" w:color="auto" w:sz="8" w:space="0"/>
                    <w:bottom w:val="single" w:color="auto" w:sz="4" w:space="0"/>
                  </w:tcBorders>
                  <w:vAlign w:val="center"/>
                </w:tcPr>
                <w:p>
                  <w:pPr>
                    <w:adjustRightInd w:val="0"/>
                    <w:snapToGrid w:val="0"/>
                    <w:jc w:val="center"/>
                    <w:rPr>
                      <w:lang w:val="pt-BR"/>
                    </w:rPr>
                  </w:pPr>
                  <w:r>
                    <w:rPr>
                      <w:lang w:val="pt-BR"/>
                    </w:rPr>
                    <w:t>租赁现有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8" w:type="pct"/>
                  <w:tcBorders>
                    <w:top w:val="single" w:color="auto" w:sz="4" w:space="0"/>
                  </w:tcBorders>
                  <w:shd w:val="clear" w:color="auto" w:fill="auto"/>
                  <w:vAlign w:val="center"/>
                </w:tcPr>
                <w:p>
                  <w:pPr>
                    <w:adjustRightInd w:val="0"/>
                    <w:snapToGrid w:val="0"/>
                    <w:jc w:val="center"/>
                  </w:pPr>
                  <w:r>
                    <w:t>2</w:t>
                  </w:r>
                </w:p>
              </w:tc>
              <w:tc>
                <w:tcPr>
                  <w:tcW w:w="490" w:type="pct"/>
                  <w:tcBorders>
                    <w:top w:val="single" w:color="auto" w:sz="4" w:space="0"/>
                  </w:tcBorders>
                  <w:shd w:val="clear" w:color="auto" w:fill="auto"/>
                  <w:vAlign w:val="center"/>
                </w:tcPr>
                <w:p>
                  <w:pPr>
                    <w:adjustRightInd w:val="0"/>
                    <w:snapToGrid w:val="0"/>
                    <w:jc w:val="center"/>
                    <w:rPr>
                      <w:lang w:val="pt-BR"/>
                    </w:rPr>
                  </w:pPr>
                  <w:r>
                    <w:rPr>
                      <w:lang w:val="pt-BR"/>
                    </w:rPr>
                    <w:t>辅助</w:t>
                  </w:r>
                </w:p>
                <w:p>
                  <w:pPr>
                    <w:adjustRightInd w:val="0"/>
                    <w:snapToGrid w:val="0"/>
                    <w:jc w:val="center"/>
                  </w:pPr>
                  <w:r>
                    <w:rPr>
                      <w:lang w:val="pt-BR"/>
                    </w:rPr>
                    <w:t>工程</w:t>
                  </w:r>
                </w:p>
              </w:tc>
              <w:tc>
                <w:tcPr>
                  <w:tcW w:w="618" w:type="pct"/>
                  <w:tcBorders>
                    <w:top w:val="single" w:color="auto" w:sz="4" w:space="0"/>
                  </w:tcBorders>
                  <w:shd w:val="clear" w:color="auto" w:fill="auto"/>
                  <w:vAlign w:val="center"/>
                </w:tcPr>
                <w:p>
                  <w:pPr>
                    <w:adjustRightInd w:val="0"/>
                    <w:snapToGrid w:val="0"/>
                    <w:jc w:val="center"/>
                  </w:pPr>
                  <w:r>
                    <w:t>配套辅助设施</w:t>
                  </w:r>
                </w:p>
              </w:tc>
              <w:tc>
                <w:tcPr>
                  <w:tcW w:w="2563" w:type="pct"/>
                  <w:tcBorders>
                    <w:top w:val="single" w:color="auto" w:sz="4" w:space="0"/>
                    <w:bottom w:val="single" w:color="auto" w:sz="4" w:space="0"/>
                  </w:tcBorders>
                  <w:shd w:val="clear" w:color="auto" w:fill="auto"/>
                  <w:vAlign w:val="center"/>
                </w:tcPr>
                <w:p>
                  <w:pPr>
                    <w:adjustRightInd w:val="0"/>
                    <w:snapToGrid w:val="0"/>
                    <w:jc w:val="center"/>
                  </w:pPr>
                  <w:r>
                    <w:t>办公室4</w:t>
                  </w:r>
                  <w:r>
                    <w:rPr>
                      <w:rFonts w:hint="eastAsia"/>
                    </w:rPr>
                    <w:t>间</w:t>
                  </w:r>
                  <w:r>
                    <w:t>、仓库4</w:t>
                  </w:r>
                  <w:r>
                    <w:rPr>
                      <w:rFonts w:hint="eastAsia"/>
                    </w:rPr>
                    <w:t>间</w:t>
                  </w:r>
                </w:p>
              </w:tc>
              <w:tc>
                <w:tcPr>
                  <w:tcW w:w="970" w:type="pct"/>
                  <w:tcBorders>
                    <w:top w:val="single" w:color="auto" w:sz="4" w:space="0"/>
                    <w:bottom w:val="single" w:color="auto" w:sz="4" w:space="0"/>
                  </w:tcBorders>
                  <w:vAlign w:val="center"/>
                </w:tcPr>
                <w:p>
                  <w:pPr>
                    <w:adjustRightInd w:val="0"/>
                    <w:snapToGrid w:val="0"/>
                    <w:jc w:val="center"/>
                    <w:rPr>
                      <w:lang w:val="pt-BR"/>
                    </w:rPr>
                  </w:pPr>
                  <w:r>
                    <w:rPr>
                      <w:lang w:val="pt-BR"/>
                    </w:rPr>
                    <w:t>租赁现有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8" w:type="pct"/>
                  <w:vMerge w:val="restart"/>
                  <w:shd w:val="clear" w:color="auto" w:fill="auto"/>
                  <w:vAlign w:val="center"/>
                </w:tcPr>
                <w:p>
                  <w:pPr>
                    <w:adjustRightInd w:val="0"/>
                    <w:snapToGrid w:val="0"/>
                    <w:jc w:val="center"/>
                  </w:pPr>
                  <w:r>
                    <w:t>3</w:t>
                  </w:r>
                </w:p>
              </w:tc>
              <w:tc>
                <w:tcPr>
                  <w:tcW w:w="490" w:type="pct"/>
                  <w:vMerge w:val="restart"/>
                  <w:shd w:val="clear" w:color="auto" w:fill="auto"/>
                  <w:vAlign w:val="center"/>
                </w:tcPr>
                <w:p>
                  <w:pPr>
                    <w:adjustRightInd w:val="0"/>
                    <w:snapToGrid w:val="0"/>
                    <w:jc w:val="center"/>
                  </w:pPr>
                  <w:r>
                    <w:t>公用</w:t>
                  </w:r>
                </w:p>
                <w:p>
                  <w:pPr>
                    <w:adjustRightInd w:val="0"/>
                    <w:snapToGrid w:val="0"/>
                    <w:jc w:val="center"/>
                  </w:pPr>
                  <w:r>
                    <w:t>工程</w:t>
                  </w:r>
                </w:p>
              </w:tc>
              <w:tc>
                <w:tcPr>
                  <w:tcW w:w="618" w:type="pct"/>
                  <w:shd w:val="clear" w:color="auto" w:fill="auto"/>
                  <w:vAlign w:val="center"/>
                </w:tcPr>
                <w:p>
                  <w:pPr>
                    <w:adjustRightInd w:val="0"/>
                    <w:snapToGrid w:val="0"/>
                    <w:jc w:val="center"/>
                  </w:pPr>
                  <w:r>
                    <w:t>供水</w:t>
                  </w:r>
                </w:p>
              </w:tc>
              <w:tc>
                <w:tcPr>
                  <w:tcW w:w="3533" w:type="pct"/>
                  <w:gridSpan w:val="2"/>
                  <w:shd w:val="clear" w:color="auto" w:fill="auto"/>
                  <w:vAlign w:val="center"/>
                </w:tcPr>
                <w:p>
                  <w:pPr>
                    <w:adjustRightInd w:val="0"/>
                    <w:snapToGrid w:val="0"/>
                    <w:jc w:val="center"/>
                  </w:pPr>
                  <w:r>
                    <w:t>市政供水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8" w:type="pct"/>
                  <w:vMerge w:val="continue"/>
                  <w:shd w:val="clear" w:color="auto" w:fill="auto"/>
                  <w:vAlign w:val="center"/>
                </w:tcPr>
                <w:p>
                  <w:pPr>
                    <w:adjustRightInd w:val="0"/>
                    <w:snapToGrid w:val="0"/>
                    <w:jc w:val="center"/>
                  </w:pPr>
                </w:p>
              </w:tc>
              <w:tc>
                <w:tcPr>
                  <w:tcW w:w="490" w:type="pct"/>
                  <w:vMerge w:val="continue"/>
                  <w:shd w:val="clear" w:color="auto" w:fill="auto"/>
                  <w:vAlign w:val="center"/>
                </w:tcPr>
                <w:p>
                  <w:pPr>
                    <w:adjustRightInd w:val="0"/>
                    <w:snapToGrid w:val="0"/>
                    <w:jc w:val="center"/>
                  </w:pPr>
                </w:p>
              </w:tc>
              <w:tc>
                <w:tcPr>
                  <w:tcW w:w="618" w:type="pct"/>
                  <w:shd w:val="clear" w:color="auto" w:fill="auto"/>
                  <w:vAlign w:val="center"/>
                </w:tcPr>
                <w:p>
                  <w:pPr>
                    <w:adjustRightInd w:val="0"/>
                    <w:snapToGrid w:val="0"/>
                    <w:jc w:val="center"/>
                  </w:pPr>
                  <w:r>
                    <w:t>供电</w:t>
                  </w:r>
                </w:p>
              </w:tc>
              <w:tc>
                <w:tcPr>
                  <w:tcW w:w="3533" w:type="pct"/>
                  <w:gridSpan w:val="2"/>
                  <w:shd w:val="clear" w:color="auto" w:fill="auto"/>
                  <w:vAlign w:val="center"/>
                </w:tcPr>
                <w:p>
                  <w:pPr>
                    <w:adjustRightInd w:val="0"/>
                    <w:snapToGrid w:val="0"/>
                    <w:jc w:val="center"/>
                  </w:pPr>
                  <w:r>
                    <w:t>电网统一供电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8" w:type="pct"/>
                  <w:vMerge w:val="continue"/>
                  <w:shd w:val="clear" w:color="auto" w:fill="auto"/>
                  <w:vAlign w:val="center"/>
                </w:tcPr>
                <w:p>
                  <w:pPr>
                    <w:adjustRightInd w:val="0"/>
                    <w:snapToGrid w:val="0"/>
                    <w:jc w:val="center"/>
                  </w:pPr>
                </w:p>
              </w:tc>
              <w:tc>
                <w:tcPr>
                  <w:tcW w:w="490" w:type="pct"/>
                  <w:vMerge w:val="restart"/>
                  <w:shd w:val="clear" w:color="auto" w:fill="auto"/>
                  <w:vAlign w:val="center"/>
                </w:tcPr>
                <w:p>
                  <w:pPr>
                    <w:adjustRightInd w:val="0"/>
                    <w:snapToGrid w:val="0"/>
                    <w:jc w:val="center"/>
                  </w:pPr>
                  <w:r>
                    <w:t>环保</w:t>
                  </w:r>
                </w:p>
                <w:p>
                  <w:pPr>
                    <w:adjustRightInd w:val="0"/>
                    <w:snapToGrid w:val="0"/>
                    <w:jc w:val="center"/>
                  </w:pPr>
                  <w:r>
                    <w:t>工程</w:t>
                  </w:r>
                </w:p>
              </w:tc>
              <w:tc>
                <w:tcPr>
                  <w:tcW w:w="618" w:type="pct"/>
                  <w:shd w:val="clear" w:color="auto" w:fill="auto"/>
                  <w:vAlign w:val="center"/>
                </w:tcPr>
                <w:p>
                  <w:pPr>
                    <w:adjustRightInd w:val="0"/>
                    <w:snapToGrid w:val="0"/>
                    <w:jc w:val="center"/>
                  </w:pPr>
                  <w:r>
                    <w:t>废气</w:t>
                  </w:r>
                </w:p>
              </w:tc>
              <w:tc>
                <w:tcPr>
                  <w:tcW w:w="2563" w:type="pct"/>
                  <w:shd w:val="clear" w:color="auto" w:fill="auto"/>
                  <w:vAlign w:val="center"/>
                </w:tcPr>
                <w:p>
                  <w:pPr>
                    <w:adjustRightInd w:val="0"/>
                    <w:snapToGrid w:val="0"/>
                  </w:pPr>
                  <w:r>
                    <w:t>设置固定的焊接和切割工位，</w:t>
                  </w:r>
                  <w:r>
                    <w:rPr>
                      <w:rFonts w:hint="eastAsia"/>
                    </w:rPr>
                    <w:t>集气罩</w:t>
                  </w:r>
                  <w:r>
                    <w:t>收集后引至袋式除尘器治理，尾气经15m排气筒排放。</w:t>
                  </w:r>
                </w:p>
              </w:tc>
              <w:tc>
                <w:tcPr>
                  <w:tcW w:w="970" w:type="pct"/>
                  <w:shd w:val="clear" w:color="auto" w:fill="auto"/>
                  <w:vAlign w:val="center"/>
                </w:tcPr>
                <w:p>
                  <w:pPr>
                    <w:adjustRightInd w:val="0"/>
                    <w:snapToGrid w:val="0"/>
                    <w:jc w:val="center"/>
                  </w:pPr>
                  <w: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8" w:type="pct"/>
                  <w:vMerge w:val="continue"/>
                  <w:shd w:val="clear" w:color="auto" w:fill="auto"/>
                  <w:vAlign w:val="center"/>
                </w:tcPr>
                <w:p>
                  <w:pPr>
                    <w:adjustRightInd w:val="0"/>
                    <w:snapToGrid w:val="0"/>
                    <w:jc w:val="center"/>
                  </w:pPr>
                </w:p>
              </w:tc>
              <w:tc>
                <w:tcPr>
                  <w:tcW w:w="490" w:type="pct"/>
                  <w:vMerge w:val="continue"/>
                  <w:shd w:val="clear" w:color="auto" w:fill="auto"/>
                  <w:vAlign w:val="center"/>
                </w:tcPr>
                <w:p>
                  <w:pPr>
                    <w:adjustRightInd w:val="0"/>
                    <w:snapToGrid w:val="0"/>
                    <w:jc w:val="center"/>
                  </w:pPr>
                </w:p>
              </w:tc>
              <w:tc>
                <w:tcPr>
                  <w:tcW w:w="618" w:type="pct"/>
                  <w:shd w:val="clear" w:color="auto" w:fill="auto"/>
                  <w:vAlign w:val="center"/>
                </w:tcPr>
                <w:p>
                  <w:pPr>
                    <w:adjustRightInd w:val="0"/>
                    <w:snapToGrid w:val="0"/>
                    <w:jc w:val="center"/>
                  </w:pPr>
                  <w:r>
                    <w:t>废水</w:t>
                  </w:r>
                </w:p>
              </w:tc>
              <w:tc>
                <w:tcPr>
                  <w:tcW w:w="2563" w:type="pct"/>
                  <w:shd w:val="clear" w:color="auto" w:fill="auto"/>
                  <w:vAlign w:val="center"/>
                </w:tcPr>
                <w:p>
                  <w:pPr>
                    <w:adjustRightInd w:val="0"/>
                    <w:snapToGrid w:val="0"/>
                    <w:jc w:val="center"/>
                  </w:pPr>
                  <w:r>
                    <w:t>生活污水经化粪池处理后定期清运</w:t>
                  </w:r>
                </w:p>
              </w:tc>
              <w:tc>
                <w:tcPr>
                  <w:tcW w:w="970" w:type="pct"/>
                  <w:shd w:val="clear" w:color="auto" w:fill="auto"/>
                  <w:vAlign w:val="center"/>
                </w:tcPr>
                <w:p>
                  <w:pPr>
                    <w:adjustRightInd w:val="0"/>
                    <w:snapToGrid w:val="0"/>
                    <w:jc w:val="center"/>
                  </w:pPr>
                  <w:r>
                    <w:t>依托现有化粪池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8" w:type="pct"/>
                  <w:vMerge w:val="continue"/>
                  <w:shd w:val="clear" w:color="auto" w:fill="auto"/>
                  <w:vAlign w:val="center"/>
                </w:tcPr>
                <w:p>
                  <w:pPr>
                    <w:adjustRightInd w:val="0"/>
                    <w:snapToGrid w:val="0"/>
                    <w:jc w:val="center"/>
                  </w:pPr>
                </w:p>
              </w:tc>
              <w:tc>
                <w:tcPr>
                  <w:tcW w:w="490" w:type="pct"/>
                  <w:vMerge w:val="continue"/>
                  <w:shd w:val="clear" w:color="auto" w:fill="auto"/>
                  <w:vAlign w:val="center"/>
                </w:tcPr>
                <w:p>
                  <w:pPr>
                    <w:adjustRightInd w:val="0"/>
                    <w:snapToGrid w:val="0"/>
                    <w:jc w:val="center"/>
                  </w:pPr>
                </w:p>
              </w:tc>
              <w:tc>
                <w:tcPr>
                  <w:tcW w:w="618" w:type="pct"/>
                  <w:shd w:val="clear" w:color="auto" w:fill="auto"/>
                  <w:vAlign w:val="center"/>
                </w:tcPr>
                <w:p>
                  <w:pPr>
                    <w:adjustRightInd w:val="0"/>
                    <w:snapToGrid w:val="0"/>
                    <w:jc w:val="center"/>
                  </w:pPr>
                  <w:r>
                    <w:t>固废</w:t>
                  </w:r>
                </w:p>
              </w:tc>
              <w:tc>
                <w:tcPr>
                  <w:tcW w:w="2563" w:type="pct"/>
                  <w:shd w:val="clear" w:color="auto" w:fill="auto"/>
                  <w:vAlign w:val="center"/>
                </w:tcPr>
                <w:p>
                  <w:pPr>
                    <w:adjustRightInd w:val="0"/>
                    <w:snapToGrid w:val="0"/>
                    <w:jc w:val="center"/>
                  </w:pPr>
                  <w:r>
                    <w:t>1座一般固废暂存间，面积14m</w:t>
                  </w:r>
                  <w:r>
                    <w:rPr>
                      <w:vertAlign w:val="superscript"/>
                    </w:rPr>
                    <w:t>2</w:t>
                  </w:r>
                </w:p>
              </w:tc>
              <w:tc>
                <w:tcPr>
                  <w:tcW w:w="970" w:type="pct"/>
                  <w:vAlign w:val="center"/>
                </w:tcPr>
                <w:p>
                  <w:pPr>
                    <w:adjustRightInd w:val="0"/>
                    <w:snapToGrid w:val="0"/>
                    <w:jc w:val="center"/>
                  </w:pPr>
                  <w: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8" w:type="pct"/>
                  <w:vMerge w:val="continue"/>
                  <w:shd w:val="clear" w:color="auto" w:fill="auto"/>
                  <w:vAlign w:val="center"/>
                </w:tcPr>
                <w:p>
                  <w:pPr>
                    <w:adjustRightInd w:val="0"/>
                    <w:snapToGrid w:val="0"/>
                    <w:jc w:val="center"/>
                  </w:pPr>
                </w:p>
              </w:tc>
              <w:tc>
                <w:tcPr>
                  <w:tcW w:w="490" w:type="pct"/>
                  <w:vMerge w:val="continue"/>
                  <w:shd w:val="clear" w:color="auto" w:fill="auto"/>
                  <w:vAlign w:val="center"/>
                </w:tcPr>
                <w:p>
                  <w:pPr>
                    <w:adjustRightInd w:val="0"/>
                    <w:snapToGrid w:val="0"/>
                    <w:jc w:val="center"/>
                  </w:pPr>
                </w:p>
              </w:tc>
              <w:tc>
                <w:tcPr>
                  <w:tcW w:w="618" w:type="pct"/>
                  <w:shd w:val="clear" w:color="auto" w:fill="auto"/>
                  <w:vAlign w:val="center"/>
                </w:tcPr>
                <w:p>
                  <w:pPr>
                    <w:adjustRightInd w:val="0"/>
                    <w:snapToGrid w:val="0"/>
                    <w:jc w:val="center"/>
                  </w:pPr>
                  <w:r>
                    <w:t>噪声</w:t>
                  </w:r>
                </w:p>
              </w:tc>
              <w:tc>
                <w:tcPr>
                  <w:tcW w:w="2563" w:type="pct"/>
                  <w:shd w:val="clear" w:color="auto" w:fill="auto"/>
                  <w:vAlign w:val="center"/>
                </w:tcPr>
                <w:p>
                  <w:pPr>
                    <w:adjustRightInd w:val="0"/>
                    <w:snapToGrid w:val="0"/>
                    <w:jc w:val="center"/>
                  </w:pPr>
                  <w:r>
                    <w:t>厂房密闭隔音等措施</w:t>
                  </w:r>
                </w:p>
              </w:tc>
              <w:tc>
                <w:tcPr>
                  <w:tcW w:w="970" w:type="pct"/>
                  <w:vAlign w:val="center"/>
                </w:tcPr>
                <w:p>
                  <w:pPr>
                    <w:adjustRightInd w:val="0"/>
                    <w:snapToGrid w:val="0"/>
                    <w:jc w:val="center"/>
                  </w:pPr>
                  <w:r>
                    <w:t>/</w:t>
                  </w:r>
                </w:p>
              </w:tc>
            </w:tr>
          </w:tbl>
          <w:p>
            <w:pPr>
              <w:adjustRightInd w:val="0"/>
              <w:snapToGrid w:val="0"/>
              <w:spacing w:line="440" w:lineRule="exact"/>
              <w:ind w:firstLine="482" w:firstLineChars="200"/>
              <w:rPr>
                <w:rFonts w:eastAsiaTheme="minorEastAsia"/>
                <w:b/>
                <w:bCs/>
                <w:sz w:val="24"/>
              </w:rPr>
            </w:pPr>
          </w:p>
          <w:p>
            <w:pPr>
              <w:adjustRightInd w:val="0"/>
              <w:snapToGrid w:val="0"/>
              <w:spacing w:line="440" w:lineRule="exact"/>
              <w:ind w:firstLine="482" w:firstLineChars="200"/>
              <w:rPr>
                <w:rFonts w:eastAsiaTheme="minorEastAsia"/>
                <w:b/>
                <w:bCs/>
                <w:sz w:val="24"/>
              </w:rPr>
            </w:pPr>
            <w:r>
              <w:rPr>
                <w:rFonts w:eastAsiaTheme="minorEastAsia"/>
                <w:b/>
                <w:bCs/>
                <w:sz w:val="24"/>
              </w:rPr>
              <w:t>3、主要生产设备</w:t>
            </w:r>
          </w:p>
          <w:p>
            <w:pPr>
              <w:adjustRightInd w:val="0"/>
              <w:snapToGrid w:val="0"/>
              <w:spacing w:line="440" w:lineRule="exact"/>
              <w:ind w:firstLine="480" w:firstLineChars="200"/>
              <w:rPr>
                <w:rFonts w:eastAsiaTheme="minorEastAsia"/>
                <w:sz w:val="24"/>
              </w:rPr>
            </w:pPr>
            <w:r>
              <w:rPr>
                <w:rFonts w:eastAsiaTheme="minorEastAsia"/>
                <w:sz w:val="24"/>
              </w:rPr>
              <w:t>本项目主要生产设备见下表：</w:t>
            </w:r>
          </w:p>
          <w:p>
            <w:pPr>
              <w:adjustRightInd w:val="0"/>
              <w:snapToGrid w:val="0"/>
              <w:spacing w:line="440" w:lineRule="exact"/>
              <w:ind w:firstLine="480" w:firstLineChars="200"/>
              <w:rPr>
                <w:rFonts w:eastAsia="黑体"/>
                <w:sz w:val="24"/>
                <w:lang w:val="pt-BR"/>
              </w:rPr>
            </w:pPr>
            <w:r>
              <w:rPr>
                <w:rFonts w:eastAsia="黑体"/>
                <w:sz w:val="24"/>
                <w:lang w:val="pt-BR"/>
              </w:rPr>
              <w:t xml:space="preserve">表3                     </w:t>
            </w:r>
            <w:r>
              <w:rPr>
                <w:rFonts w:hint="eastAsia" w:eastAsia="黑体"/>
                <w:sz w:val="24"/>
              </w:rPr>
              <w:t xml:space="preserve"> </w:t>
            </w:r>
            <w:r>
              <w:rPr>
                <w:rFonts w:eastAsia="黑体"/>
                <w:sz w:val="24"/>
                <w:lang w:val="pt-BR"/>
              </w:rPr>
              <w:t xml:space="preserve"> 主要生产设备一览表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1916"/>
              <w:gridCol w:w="1916"/>
              <w:gridCol w:w="1916"/>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pct"/>
                  <w:tcBorders>
                    <w:top w:val="single" w:color="000000" w:sz="8" w:space="0"/>
                    <w:left w:val="nil"/>
                    <w:bottom w:val="single" w:color="000000" w:sz="8" w:space="0"/>
                    <w:tl2br w:val="nil"/>
                    <w:tr2bl w:val="nil"/>
                  </w:tcBorders>
                  <w:vAlign w:val="center"/>
                </w:tcPr>
                <w:p>
                  <w:pPr>
                    <w:adjustRightInd w:val="0"/>
                    <w:snapToGrid w:val="0"/>
                    <w:jc w:val="center"/>
                    <w:rPr>
                      <w:b/>
                      <w:bCs/>
                    </w:rPr>
                  </w:pPr>
                  <w:r>
                    <w:rPr>
                      <w:b/>
                      <w:bCs/>
                    </w:rPr>
                    <w:t>序号</w:t>
                  </w:r>
                </w:p>
              </w:tc>
              <w:tc>
                <w:tcPr>
                  <w:tcW w:w="800" w:type="pct"/>
                  <w:tcBorders>
                    <w:top w:val="single" w:color="000000" w:sz="8" w:space="0"/>
                    <w:bottom w:val="single" w:color="000000" w:sz="8" w:space="0"/>
                    <w:tl2br w:val="nil"/>
                    <w:tr2bl w:val="nil"/>
                  </w:tcBorders>
                  <w:vAlign w:val="center"/>
                </w:tcPr>
                <w:p>
                  <w:pPr>
                    <w:adjustRightInd w:val="0"/>
                    <w:snapToGrid w:val="0"/>
                    <w:jc w:val="center"/>
                    <w:rPr>
                      <w:b/>
                      <w:bCs/>
                    </w:rPr>
                  </w:pPr>
                  <w:r>
                    <w:rPr>
                      <w:b/>
                      <w:bCs/>
                    </w:rPr>
                    <w:t>名   称</w:t>
                  </w:r>
                </w:p>
              </w:tc>
              <w:tc>
                <w:tcPr>
                  <w:tcW w:w="800" w:type="pct"/>
                  <w:tcBorders>
                    <w:top w:val="single" w:color="000000" w:sz="8" w:space="0"/>
                    <w:bottom w:val="single" w:color="000000" w:sz="8" w:space="0"/>
                    <w:tl2br w:val="nil"/>
                    <w:tr2bl w:val="nil"/>
                  </w:tcBorders>
                  <w:vAlign w:val="center"/>
                </w:tcPr>
                <w:p>
                  <w:pPr>
                    <w:adjustRightInd w:val="0"/>
                    <w:snapToGrid w:val="0"/>
                    <w:jc w:val="center"/>
                    <w:rPr>
                      <w:b/>
                      <w:bCs/>
                    </w:rPr>
                  </w:pPr>
                  <w:r>
                    <w:rPr>
                      <w:b/>
                      <w:bCs/>
                    </w:rPr>
                    <w:t>型  号</w:t>
                  </w:r>
                </w:p>
              </w:tc>
              <w:tc>
                <w:tcPr>
                  <w:tcW w:w="800" w:type="pct"/>
                  <w:tcBorders>
                    <w:top w:val="single" w:color="000000" w:sz="8" w:space="0"/>
                    <w:bottom w:val="single" w:color="000000" w:sz="8" w:space="0"/>
                    <w:tl2br w:val="nil"/>
                    <w:tr2bl w:val="nil"/>
                  </w:tcBorders>
                  <w:vAlign w:val="center"/>
                </w:tcPr>
                <w:p>
                  <w:pPr>
                    <w:adjustRightInd w:val="0"/>
                    <w:snapToGrid w:val="0"/>
                    <w:jc w:val="center"/>
                    <w:rPr>
                      <w:b/>
                      <w:bCs/>
                    </w:rPr>
                  </w:pPr>
                  <w:r>
                    <w:rPr>
                      <w:b/>
                      <w:bCs/>
                    </w:rPr>
                    <w:t>数量</w:t>
                  </w:r>
                </w:p>
              </w:tc>
              <w:tc>
                <w:tcPr>
                  <w:tcW w:w="800" w:type="pct"/>
                  <w:tcBorders>
                    <w:top w:val="single" w:color="000000" w:sz="8" w:space="0"/>
                    <w:bottom w:val="single" w:color="000000" w:sz="8" w:space="0"/>
                    <w:right w:val="nil"/>
                    <w:tl2br w:val="nil"/>
                    <w:tr2bl w:val="nil"/>
                  </w:tcBorders>
                  <w:vAlign w:val="center"/>
                </w:tcPr>
                <w:p>
                  <w:pPr>
                    <w:adjustRightInd w:val="0"/>
                    <w:snapToGrid w:val="0"/>
                    <w:jc w:val="center"/>
                    <w:rPr>
                      <w:b/>
                      <w:bCs/>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pct"/>
                  <w:tcBorders>
                    <w:top w:val="single" w:color="000000" w:sz="8" w:space="0"/>
                    <w:left w:val="nil"/>
                    <w:tl2br w:val="nil"/>
                    <w:tr2bl w:val="nil"/>
                  </w:tcBorders>
                  <w:vAlign w:val="center"/>
                </w:tcPr>
                <w:p>
                  <w:pPr>
                    <w:adjustRightInd w:val="0"/>
                    <w:snapToGrid w:val="0"/>
                    <w:jc w:val="center"/>
                  </w:pPr>
                  <w:r>
                    <w:t>1</w:t>
                  </w:r>
                </w:p>
              </w:tc>
              <w:tc>
                <w:tcPr>
                  <w:tcW w:w="800" w:type="pct"/>
                  <w:tcBorders>
                    <w:top w:val="single" w:color="000000" w:sz="8" w:space="0"/>
                    <w:tl2br w:val="nil"/>
                    <w:tr2bl w:val="nil"/>
                  </w:tcBorders>
                  <w:vAlign w:val="center"/>
                </w:tcPr>
                <w:p>
                  <w:pPr>
                    <w:adjustRightInd w:val="0"/>
                    <w:snapToGrid w:val="0"/>
                    <w:jc w:val="center"/>
                  </w:pPr>
                  <w:r>
                    <w:t>台式电焊机</w:t>
                  </w:r>
                </w:p>
              </w:tc>
              <w:tc>
                <w:tcPr>
                  <w:tcW w:w="800" w:type="pct"/>
                  <w:tcBorders>
                    <w:top w:val="single" w:color="000000" w:sz="8" w:space="0"/>
                    <w:tl2br w:val="nil"/>
                    <w:tr2bl w:val="nil"/>
                  </w:tcBorders>
                  <w:vAlign w:val="center"/>
                </w:tcPr>
                <w:p>
                  <w:pPr>
                    <w:adjustRightInd w:val="0"/>
                    <w:snapToGrid w:val="0"/>
                    <w:jc w:val="center"/>
                  </w:pPr>
                  <w:r>
                    <w:t>WS-250A</w:t>
                  </w:r>
                </w:p>
              </w:tc>
              <w:tc>
                <w:tcPr>
                  <w:tcW w:w="800" w:type="pct"/>
                  <w:tcBorders>
                    <w:top w:val="single" w:color="000000" w:sz="8" w:space="0"/>
                    <w:tl2br w:val="nil"/>
                    <w:tr2bl w:val="nil"/>
                  </w:tcBorders>
                  <w:vAlign w:val="center"/>
                </w:tcPr>
                <w:p>
                  <w:pPr>
                    <w:adjustRightInd w:val="0"/>
                    <w:snapToGrid w:val="0"/>
                    <w:jc w:val="center"/>
                  </w:pPr>
                  <w:r>
                    <w:t>1台</w:t>
                  </w:r>
                </w:p>
              </w:tc>
              <w:tc>
                <w:tcPr>
                  <w:tcW w:w="800" w:type="pct"/>
                  <w:tcBorders>
                    <w:top w:val="single" w:color="000000" w:sz="8" w:space="0"/>
                    <w:right w:val="nil"/>
                    <w:tl2br w:val="nil"/>
                    <w:tr2bl w:val="nil"/>
                  </w:tcBorders>
                  <w:vAlign w:val="center"/>
                </w:tcPr>
                <w:p>
                  <w:pPr>
                    <w:adjustRightInd w:val="0"/>
                    <w:snapToGrid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pct"/>
                  <w:tcBorders>
                    <w:left w:val="nil"/>
                    <w:tl2br w:val="nil"/>
                    <w:tr2bl w:val="nil"/>
                  </w:tcBorders>
                  <w:vAlign w:val="center"/>
                </w:tcPr>
                <w:p>
                  <w:pPr>
                    <w:adjustRightInd w:val="0"/>
                    <w:snapToGrid w:val="0"/>
                    <w:jc w:val="center"/>
                  </w:pPr>
                  <w:r>
                    <w:t>2</w:t>
                  </w:r>
                </w:p>
              </w:tc>
              <w:tc>
                <w:tcPr>
                  <w:tcW w:w="800" w:type="pct"/>
                  <w:tcBorders>
                    <w:tl2br w:val="nil"/>
                    <w:tr2bl w:val="nil"/>
                  </w:tcBorders>
                  <w:vAlign w:val="center"/>
                </w:tcPr>
                <w:p>
                  <w:pPr>
                    <w:adjustRightInd w:val="0"/>
                    <w:snapToGrid w:val="0"/>
                    <w:jc w:val="center"/>
                  </w:pPr>
                  <w:r>
                    <w:t>切割机</w:t>
                  </w:r>
                </w:p>
              </w:tc>
              <w:tc>
                <w:tcPr>
                  <w:tcW w:w="800" w:type="pct"/>
                  <w:tcBorders>
                    <w:tl2br w:val="nil"/>
                    <w:tr2bl w:val="nil"/>
                  </w:tcBorders>
                  <w:vAlign w:val="center"/>
                </w:tcPr>
                <w:p>
                  <w:pPr>
                    <w:adjustRightInd w:val="0"/>
                    <w:snapToGrid w:val="0"/>
                    <w:jc w:val="center"/>
                  </w:pPr>
                  <w:r>
                    <w:t>MC-315B</w:t>
                  </w:r>
                </w:p>
              </w:tc>
              <w:tc>
                <w:tcPr>
                  <w:tcW w:w="800" w:type="pct"/>
                  <w:tcBorders>
                    <w:tl2br w:val="nil"/>
                    <w:tr2bl w:val="nil"/>
                  </w:tcBorders>
                  <w:vAlign w:val="center"/>
                </w:tcPr>
                <w:p>
                  <w:pPr>
                    <w:adjustRightInd w:val="0"/>
                    <w:snapToGrid w:val="0"/>
                    <w:jc w:val="center"/>
                  </w:pPr>
                  <w:r>
                    <w:t>2台</w:t>
                  </w:r>
                </w:p>
              </w:tc>
              <w:tc>
                <w:tcPr>
                  <w:tcW w:w="800" w:type="pct"/>
                  <w:tcBorders>
                    <w:right w:val="nil"/>
                    <w:tl2br w:val="nil"/>
                    <w:tr2bl w:val="nil"/>
                  </w:tcBorders>
                  <w:vAlign w:val="center"/>
                </w:tcPr>
                <w:p>
                  <w:pPr>
                    <w:adjustRightInd w:val="0"/>
                    <w:snapToGrid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pct"/>
                  <w:tcBorders>
                    <w:left w:val="nil"/>
                    <w:tl2br w:val="nil"/>
                    <w:tr2bl w:val="nil"/>
                  </w:tcBorders>
                  <w:vAlign w:val="center"/>
                </w:tcPr>
                <w:p>
                  <w:pPr>
                    <w:adjustRightInd w:val="0"/>
                    <w:snapToGrid w:val="0"/>
                    <w:jc w:val="center"/>
                  </w:pPr>
                  <w:r>
                    <w:t>3</w:t>
                  </w:r>
                </w:p>
              </w:tc>
              <w:tc>
                <w:tcPr>
                  <w:tcW w:w="800" w:type="pct"/>
                  <w:tcBorders>
                    <w:tl2br w:val="nil"/>
                    <w:tr2bl w:val="nil"/>
                  </w:tcBorders>
                  <w:vAlign w:val="center"/>
                </w:tcPr>
                <w:p>
                  <w:pPr>
                    <w:adjustRightInd w:val="0"/>
                    <w:snapToGrid w:val="0"/>
                    <w:jc w:val="center"/>
                  </w:pPr>
                  <w:r>
                    <w:t>折弯机</w:t>
                  </w:r>
                </w:p>
              </w:tc>
              <w:tc>
                <w:tcPr>
                  <w:tcW w:w="800" w:type="pct"/>
                  <w:tcBorders>
                    <w:tl2br w:val="nil"/>
                    <w:tr2bl w:val="nil"/>
                  </w:tcBorders>
                  <w:vAlign w:val="center"/>
                </w:tcPr>
                <w:p>
                  <w:pPr>
                    <w:adjustRightInd w:val="0"/>
                    <w:snapToGrid w:val="0"/>
                    <w:jc w:val="center"/>
                  </w:pPr>
                  <w:r>
                    <w:t>WG-51</w:t>
                  </w:r>
                </w:p>
              </w:tc>
              <w:tc>
                <w:tcPr>
                  <w:tcW w:w="800" w:type="pct"/>
                  <w:tcBorders>
                    <w:tl2br w:val="nil"/>
                    <w:tr2bl w:val="nil"/>
                  </w:tcBorders>
                  <w:vAlign w:val="center"/>
                </w:tcPr>
                <w:p>
                  <w:pPr>
                    <w:adjustRightInd w:val="0"/>
                    <w:snapToGrid w:val="0"/>
                    <w:jc w:val="center"/>
                  </w:pPr>
                  <w:r>
                    <w:t>1台</w:t>
                  </w:r>
                </w:p>
              </w:tc>
              <w:tc>
                <w:tcPr>
                  <w:tcW w:w="800" w:type="pct"/>
                  <w:tcBorders>
                    <w:right w:val="nil"/>
                    <w:tl2br w:val="nil"/>
                    <w:tr2bl w:val="nil"/>
                  </w:tcBorders>
                  <w:vAlign w:val="center"/>
                </w:tcPr>
                <w:p>
                  <w:pPr>
                    <w:adjustRightInd w:val="0"/>
                    <w:snapToGrid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pct"/>
                  <w:tcBorders>
                    <w:left w:val="nil"/>
                    <w:tl2br w:val="nil"/>
                    <w:tr2bl w:val="nil"/>
                  </w:tcBorders>
                  <w:vAlign w:val="center"/>
                </w:tcPr>
                <w:p>
                  <w:pPr>
                    <w:adjustRightInd w:val="0"/>
                    <w:snapToGrid w:val="0"/>
                    <w:jc w:val="center"/>
                  </w:pPr>
                  <w:r>
                    <w:t>4</w:t>
                  </w:r>
                </w:p>
              </w:tc>
              <w:tc>
                <w:tcPr>
                  <w:tcW w:w="800" w:type="pct"/>
                  <w:tcBorders>
                    <w:tl2br w:val="nil"/>
                    <w:tr2bl w:val="nil"/>
                  </w:tcBorders>
                  <w:vAlign w:val="center"/>
                </w:tcPr>
                <w:p>
                  <w:pPr>
                    <w:adjustRightInd w:val="0"/>
                    <w:snapToGrid w:val="0"/>
                    <w:jc w:val="center"/>
                  </w:pPr>
                  <w:r>
                    <w:t>二保焊</w:t>
                  </w:r>
                </w:p>
              </w:tc>
              <w:tc>
                <w:tcPr>
                  <w:tcW w:w="800" w:type="pct"/>
                  <w:tcBorders>
                    <w:tl2br w:val="nil"/>
                    <w:tr2bl w:val="nil"/>
                  </w:tcBorders>
                  <w:vAlign w:val="center"/>
                </w:tcPr>
                <w:p>
                  <w:pPr>
                    <w:adjustRightInd w:val="0"/>
                    <w:snapToGrid w:val="0"/>
                    <w:jc w:val="center"/>
                  </w:pPr>
                  <w:r>
                    <w:t>NBC-350</w:t>
                  </w:r>
                </w:p>
              </w:tc>
              <w:tc>
                <w:tcPr>
                  <w:tcW w:w="800" w:type="pct"/>
                  <w:tcBorders>
                    <w:tl2br w:val="nil"/>
                    <w:tr2bl w:val="nil"/>
                  </w:tcBorders>
                  <w:vAlign w:val="center"/>
                </w:tcPr>
                <w:p>
                  <w:pPr>
                    <w:adjustRightInd w:val="0"/>
                    <w:snapToGrid w:val="0"/>
                    <w:jc w:val="center"/>
                  </w:pPr>
                  <w:r>
                    <w:t>2台</w:t>
                  </w:r>
                </w:p>
              </w:tc>
              <w:tc>
                <w:tcPr>
                  <w:tcW w:w="800" w:type="pct"/>
                  <w:tcBorders>
                    <w:right w:val="nil"/>
                    <w:tl2br w:val="nil"/>
                    <w:tr2bl w:val="nil"/>
                  </w:tcBorders>
                  <w:vAlign w:val="center"/>
                </w:tcPr>
                <w:p>
                  <w:pPr>
                    <w:adjustRightInd w:val="0"/>
                    <w:snapToGrid w:val="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pct"/>
                  <w:tcBorders>
                    <w:left w:val="nil"/>
                    <w:bottom w:val="single" w:color="auto" w:sz="8" w:space="0"/>
                    <w:tl2br w:val="nil"/>
                    <w:tr2bl w:val="nil"/>
                  </w:tcBorders>
                  <w:vAlign w:val="center"/>
                </w:tcPr>
                <w:p>
                  <w:pPr>
                    <w:adjustRightInd w:val="0"/>
                    <w:snapToGrid w:val="0"/>
                    <w:jc w:val="center"/>
                  </w:pPr>
                  <w:r>
                    <w:t>5</w:t>
                  </w:r>
                </w:p>
              </w:tc>
              <w:tc>
                <w:tcPr>
                  <w:tcW w:w="800" w:type="pct"/>
                  <w:tcBorders>
                    <w:bottom w:val="single" w:color="auto" w:sz="8" w:space="0"/>
                    <w:tl2br w:val="nil"/>
                    <w:tr2bl w:val="nil"/>
                  </w:tcBorders>
                  <w:vAlign w:val="center"/>
                </w:tcPr>
                <w:p>
                  <w:pPr>
                    <w:adjustRightInd w:val="0"/>
                    <w:snapToGrid w:val="0"/>
                    <w:jc w:val="center"/>
                  </w:pPr>
                  <w:r>
                    <w:t>电锯</w:t>
                  </w:r>
                </w:p>
              </w:tc>
              <w:tc>
                <w:tcPr>
                  <w:tcW w:w="800" w:type="pct"/>
                  <w:tcBorders>
                    <w:bottom w:val="single" w:color="auto" w:sz="8" w:space="0"/>
                    <w:tl2br w:val="nil"/>
                    <w:tr2bl w:val="nil"/>
                  </w:tcBorders>
                  <w:vAlign w:val="center"/>
                </w:tcPr>
                <w:p>
                  <w:pPr>
                    <w:adjustRightInd w:val="0"/>
                    <w:snapToGrid w:val="0"/>
                    <w:jc w:val="center"/>
                  </w:pPr>
                  <w:r>
                    <w:t>MIY-HL03-2235</w:t>
                  </w:r>
                </w:p>
              </w:tc>
              <w:tc>
                <w:tcPr>
                  <w:tcW w:w="800" w:type="pct"/>
                  <w:tcBorders>
                    <w:bottom w:val="single" w:color="auto" w:sz="8" w:space="0"/>
                    <w:tl2br w:val="nil"/>
                    <w:tr2bl w:val="nil"/>
                  </w:tcBorders>
                  <w:vAlign w:val="center"/>
                </w:tcPr>
                <w:p>
                  <w:pPr>
                    <w:adjustRightInd w:val="0"/>
                    <w:snapToGrid w:val="0"/>
                    <w:jc w:val="center"/>
                  </w:pPr>
                  <w:r>
                    <w:t>1台</w:t>
                  </w:r>
                </w:p>
              </w:tc>
              <w:tc>
                <w:tcPr>
                  <w:tcW w:w="800" w:type="pct"/>
                  <w:tcBorders>
                    <w:bottom w:val="single" w:color="auto" w:sz="8" w:space="0"/>
                    <w:right w:val="nil"/>
                    <w:tl2br w:val="nil"/>
                    <w:tr2bl w:val="nil"/>
                  </w:tcBorders>
                  <w:vAlign w:val="center"/>
                </w:tcPr>
                <w:p>
                  <w:pPr>
                    <w:adjustRightInd w:val="0"/>
                    <w:snapToGrid w:val="0"/>
                    <w:jc w:val="center"/>
                  </w:pPr>
                  <w:r>
                    <w:t>/</w:t>
                  </w:r>
                </w:p>
              </w:tc>
            </w:tr>
          </w:tbl>
          <w:p>
            <w:pPr>
              <w:adjustRightInd w:val="0"/>
              <w:snapToGrid w:val="0"/>
              <w:spacing w:line="440" w:lineRule="exact"/>
              <w:ind w:firstLine="482" w:firstLineChars="200"/>
              <w:rPr>
                <w:b/>
                <w:bCs/>
                <w:sz w:val="24"/>
                <w:lang w:val="pt-BR"/>
              </w:rPr>
            </w:pPr>
            <w:r>
              <w:rPr>
                <w:b/>
                <w:bCs/>
                <w:sz w:val="24"/>
              </w:rPr>
              <w:t>4、本项目主要原辅材料消耗量</w:t>
            </w:r>
          </w:p>
          <w:p>
            <w:pPr>
              <w:pStyle w:val="102"/>
              <w:widowControl w:val="0"/>
              <w:adjustRightInd w:val="0"/>
              <w:snapToGrid w:val="0"/>
              <w:spacing w:before="0" w:beforeAutospacing="0" w:after="0" w:afterAutospacing="0" w:line="440" w:lineRule="exact"/>
              <w:ind w:firstLine="480" w:firstLineChars="200"/>
              <w:jc w:val="both"/>
              <w:rPr>
                <w:rFonts w:ascii="Times New Roman" w:hAnsi="Times New Roman" w:cs="Times New Roman"/>
              </w:rPr>
            </w:pPr>
            <w:r>
              <w:rPr>
                <w:rFonts w:ascii="Times New Roman" w:hAnsi="Times New Roman" w:cs="Times New Roman"/>
              </w:rPr>
              <w:t>本项目主要原辅材料消耗量见下表：</w:t>
            </w:r>
          </w:p>
          <w:p>
            <w:pPr>
              <w:adjustRightInd w:val="0"/>
              <w:snapToGrid w:val="0"/>
              <w:spacing w:line="440" w:lineRule="exact"/>
              <w:ind w:firstLine="480" w:firstLineChars="200"/>
              <w:rPr>
                <w:rFonts w:eastAsia="黑体"/>
                <w:sz w:val="24"/>
                <w:lang w:val="pt-BR"/>
              </w:rPr>
            </w:pPr>
            <w:r>
              <w:rPr>
                <w:rFonts w:eastAsia="黑体"/>
                <w:sz w:val="24"/>
                <w:lang w:val="pt-BR"/>
              </w:rPr>
              <w:t xml:space="preserve">表4              </w:t>
            </w:r>
            <w:r>
              <w:rPr>
                <w:rFonts w:hint="eastAsia" w:eastAsia="黑体"/>
                <w:sz w:val="24"/>
              </w:rPr>
              <w:t xml:space="preserve"> </w:t>
            </w:r>
            <w:r>
              <w:rPr>
                <w:rFonts w:eastAsia="黑体"/>
                <w:sz w:val="24"/>
                <w:lang w:val="pt-BR"/>
              </w:rPr>
              <w:t xml:space="preserve">  本项目主要原辅材料消耗量一览表</w:t>
            </w:r>
          </w:p>
          <w:tbl>
            <w:tblPr>
              <w:tblStyle w:val="30"/>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1950"/>
              <w:gridCol w:w="1680"/>
              <w:gridCol w:w="2192"/>
              <w:gridCol w:w="24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tcBorders>
                    <w:top w:val="single" w:color="auto" w:sz="8" w:space="0"/>
                    <w:bottom w:val="single" w:color="auto" w:sz="8" w:space="0"/>
                  </w:tcBorders>
                  <w:vAlign w:val="center"/>
                </w:tcPr>
                <w:p>
                  <w:pPr>
                    <w:adjustRightInd w:val="0"/>
                    <w:snapToGrid w:val="0"/>
                    <w:jc w:val="center"/>
                    <w:rPr>
                      <w:b/>
                      <w:bCs/>
                    </w:rPr>
                  </w:pPr>
                  <w:r>
                    <w:rPr>
                      <w:b/>
                      <w:bCs/>
                    </w:rPr>
                    <w:t>序号</w:t>
                  </w:r>
                </w:p>
              </w:tc>
              <w:tc>
                <w:tcPr>
                  <w:tcW w:w="1017" w:type="pct"/>
                  <w:tcBorders>
                    <w:top w:val="single" w:color="auto" w:sz="8" w:space="0"/>
                    <w:bottom w:val="single" w:color="auto" w:sz="8" w:space="0"/>
                  </w:tcBorders>
                  <w:vAlign w:val="center"/>
                </w:tcPr>
                <w:p>
                  <w:pPr>
                    <w:adjustRightInd w:val="0"/>
                    <w:snapToGrid w:val="0"/>
                    <w:jc w:val="center"/>
                    <w:rPr>
                      <w:b/>
                      <w:bCs/>
                    </w:rPr>
                  </w:pPr>
                  <w:r>
                    <w:rPr>
                      <w:b/>
                      <w:bCs/>
                    </w:rPr>
                    <w:t>原料名称</w:t>
                  </w:r>
                </w:p>
              </w:tc>
              <w:tc>
                <w:tcPr>
                  <w:tcW w:w="876" w:type="pct"/>
                  <w:tcBorders>
                    <w:top w:val="single" w:color="auto" w:sz="8" w:space="0"/>
                    <w:bottom w:val="single" w:color="auto" w:sz="8" w:space="0"/>
                  </w:tcBorders>
                  <w:vAlign w:val="center"/>
                </w:tcPr>
                <w:p>
                  <w:pPr>
                    <w:adjustRightInd w:val="0"/>
                    <w:snapToGrid w:val="0"/>
                    <w:jc w:val="center"/>
                    <w:rPr>
                      <w:b/>
                      <w:bCs/>
                    </w:rPr>
                  </w:pPr>
                  <w:r>
                    <w:rPr>
                      <w:b/>
                      <w:bCs/>
                    </w:rPr>
                    <w:t>年用量</w:t>
                  </w:r>
                </w:p>
              </w:tc>
              <w:tc>
                <w:tcPr>
                  <w:tcW w:w="1143" w:type="pct"/>
                  <w:tcBorders>
                    <w:top w:val="single" w:color="auto" w:sz="8" w:space="0"/>
                    <w:bottom w:val="single" w:color="auto" w:sz="8" w:space="0"/>
                  </w:tcBorders>
                  <w:vAlign w:val="center"/>
                </w:tcPr>
                <w:p>
                  <w:pPr>
                    <w:adjustRightInd w:val="0"/>
                    <w:snapToGrid w:val="0"/>
                    <w:jc w:val="center"/>
                    <w:rPr>
                      <w:b/>
                      <w:bCs/>
                    </w:rPr>
                  </w:pPr>
                  <w:r>
                    <w:rPr>
                      <w:b/>
                      <w:bCs/>
                    </w:rPr>
                    <w:t>包装及储存方式</w:t>
                  </w:r>
                </w:p>
              </w:tc>
              <w:tc>
                <w:tcPr>
                  <w:tcW w:w="1259" w:type="pct"/>
                  <w:tcBorders>
                    <w:top w:val="single" w:color="auto" w:sz="8" w:space="0"/>
                    <w:bottom w:val="single" w:color="auto" w:sz="8" w:space="0"/>
                  </w:tcBorders>
                  <w:vAlign w:val="center"/>
                </w:tcPr>
                <w:p>
                  <w:pPr>
                    <w:adjustRightInd w:val="0"/>
                    <w:snapToGrid w:val="0"/>
                    <w:jc w:val="center"/>
                    <w:rPr>
                      <w:b/>
                      <w:bCs/>
                    </w:rPr>
                  </w:pPr>
                  <w:r>
                    <w:rPr>
                      <w:b/>
                      <w:bCs/>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tcBorders>
                    <w:top w:val="single" w:color="auto" w:sz="8" w:space="0"/>
                    <w:bottom w:val="single" w:color="auto" w:sz="4" w:space="0"/>
                  </w:tcBorders>
                  <w:vAlign w:val="center"/>
                </w:tcPr>
                <w:p>
                  <w:pPr>
                    <w:adjustRightInd w:val="0"/>
                    <w:snapToGrid w:val="0"/>
                    <w:jc w:val="center"/>
                  </w:pPr>
                  <w:r>
                    <w:t>1</w:t>
                  </w:r>
                </w:p>
              </w:tc>
              <w:tc>
                <w:tcPr>
                  <w:tcW w:w="1017" w:type="pct"/>
                  <w:tcBorders>
                    <w:top w:val="single" w:color="auto" w:sz="8" w:space="0"/>
                    <w:bottom w:val="single" w:color="auto" w:sz="4" w:space="0"/>
                  </w:tcBorders>
                  <w:vAlign w:val="center"/>
                </w:tcPr>
                <w:p>
                  <w:pPr>
                    <w:adjustRightInd w:val="0"/>
                    <w:snapToGrid w:val="0"/>
                    <w:jc w:val="center"/>
                  </w:pPr>
                  <w:r>
                    <w:t>3×5镀锌方管</w:t>
                  </w:r>
                </w:p>
              </w:tc>
              <w:tc>
                <w:tcPr>
                  <w:tcW w:w="876" w:type="pct"/>
                  <w:tcBorders>
                    <w:top w:val="single" w:color="auto" w:sz="8" w:space="0"/>
                  </w:tcBorders>
                  <w:vAlign w:val="center"/>
                </w:tcPr>
                <w:p>
                  <w:pPr>
                    <w:adjustRightInd w:val="0"/>
                    <w:snapToGrid w:val="0"/>
                    <w:jc w:val="center"/>
                  </w:pPr>
                  <w:r>
                    <w:t>5</w:t>
                  </w:r>
                  <w:r>
                    <w:rPr>
                      <w:rFonts w:hint="eastAsia"/>
                    </w:rPr>
                    <w:t>0</w:t>
                  </w:r>
                  <w:r>
                    <w:t>t</w:t>
                  </w:r>
                </w:p>
              </w:tc>
              <w:tc>
                <w:tcPr>
                  <w:tcW w:w="1143" w:type="pct"/>
                  <w:tcBorders>
                    <w:top w:val="single" w:color="auto" w:sz="8" w:space="0"/>
                  </w:tcBorders>
                  <w:shd w:val="clear" w:color="auto" w:fill="auto"/>
                  <w:vAlign w:val="center"/>
                </w:tcPr>
                <w:p>
                  <w:pPr>
                    <w:adjustRightInd w:val="0"/>
                    <w:snapToGrid w:val="0"/>
                    <w:jc w:val="center"/>
                  </w:pPr>
                  <w:r>
                    <w:t>/</w:t>
                  </w:r>
                </w:p>
              </w:tc>
              <w:tc>
                <w:tcPr>
                  <w:tcW w:w="1259" w:type="pct"/>
                  <w:tcBorders>
                    <w:top w:val="single" w:color="auto" w:sz="8" w:space="0"/>
                  </w:tcBorders>
                  <w:shd w:val="clear" w:color="auto" w:fill="auto"/>
                  <w:vAlign w:val="center"/>
                </w:tcPr>
                <w:p>
                  <w:pPr>
                    <w:adjustRightInd w:val="0"/>
                    <w:snapToGrid w:val="0"/>
                    <w:jc w:val="center"/>
                  </w:pPr>
                  <w: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vAlign w:val="center"/>
                </w:tcPr>
                <w:p>
                  <w:pPr>
                    <w:adjustRightInd w:val="0"/>
                    <w:snapToGrid w:val="0"/>
                    <w:jc w:val="center"/>
                  </w:pPr>
                  <w:r>
                    <w:t>2</w:t>
                  </w:r>
                </w:p>
              </w:tc>
              <w:tc>
                <w:tcPr>
                  <w:tcW w:w="1017" w:type="pct"/>
                  <w:vAlign w:val="center"/>
                </w:tcPr>
                <w:p>
                  <w:pPr>
                    <w:adjustRightInd w:val="0"/>
                    <w:snapToGrid w:val="0"/>
                    <w:jc w:val="center"/>
                  </w:pPr>
                  <w:r>
                    <w:t>3×3镀锌方管</w:t>
                  </w:r>
                </w:p>
              </w:tc>
              <w:tc>
                <w:tcPr>
                  <w:tcW w:w="876" w:type="pct"/>
                  <w:vAlign w:val="center"/>
                </w:tcPr>
                <w:p>
                  <w:pPr>
                    <w:adjustRightInd w:val="0"/>
                    <w:snapToGrid w:val="0"/>
                    <w:jc w:val="center"/>
                  </w:pPr>
                  <w:r>
                    <w:rPr>
                      <w:rFonts w:hint="eastAsia"/>
                    </w:rPr>
                    <w:t>3</w:t>
                  </w:r>
                  <w:r>
                    <w:t>5t</w:t>
                  </w:r>
                </w:p>
              </w:tc>
              <w:tc>
                <w:tcPr>
                  <w:tcW w:w="1143" w:type="pct"/>
                  <w:shd w:val="clear" w:color="auto" w:fill="auto"/>
                  <w:vAlign w:val="center"/>
                </w:tcPr>
                <w:p>
                  <w:pPr>
                    <w:adjustRightInd w:val="0"/>
                    <w:snapToGrid w:val="0"/>
                    <w:jc w:val="center"/>
                  </w:pPr>
                  <w:r>
                    <w:t>/</w:t>
                  </w:r>
                </w:p>
              </w:tc>
              <w:tc>
                <w:tcPr>
                  <w:tcW w:w="1259" w:type="pct"/>
                  <w:shd w:val="clear" w:color="auto" w:fill="auto"/>
                  <w:vAlign w:val="center"/>
                </w:tcPr>
                <w:p>
                  <w:pPr>
                    <w:adjustRightInd w:val="0"/>
                    <w:snapToGrid w:val="0"/>
                    <w:jc w:val="center"/>
                  </w:pPr>
                  <w: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vAlign w:val="center"/>
                </w:tcPr>
                <w:p>
                  <w:pPr>
                    <w:adjustRightInd w:val="0"/>
                    <w:snapToGrid w:val="0"/>
                    <w:jc w:val="center"/>
                  </w:pPr>
                  <w:r>
                    <w:t>3</w:t>
                  </w:r>
                </w:p>
              </w:tc>
              <w:tc>
                <w:tcPr>
                  <w:tcW w:w="1017" w:type="pct"/>
                  <w:vAlign w:val="center"/>
                </w:tcPr>
                <w:p>
                  <w:pPr>
                    <w:adjustRightInd w:val="0"/>
                    <w:snapToGrid w:val="0"/>
                    <w:jc w:val="center"/>
                  </w:pPr>
                  <w:r>
                    <w:t>玻璃</w:t>
                  </w:r>
                </w:p>
              </w:tc>
              <w:tc>
                <w:tcPr>
                  <w:tcW w:w="876" w:type="pct"/>
                  <w:vAlign w:val="center"/>
                </w:tcPr>
                <w:p>
                  <w:pPr>
                    <w:adjustRightInd w:val="0"/>
                    <w:snapToGrid w:val="0"/>
                    <w:jc w:val="center"/>
                  </w:pPr>
                  <w:r>
                    <w:t>3000m</w:t>
                  </w:r>
                  <w:r>
                    <w:rPr>
                      <w:vertAlign w:val="superscript"/>
                    </w:rPr>
                    <w:t>2</w:t>
                  </w:r>
                </w:p>
              </w:tc>
              <w:tc>
                <w:tcPr>
                  <w:tcW w:w="1143" w:type="pct"/>
                  <w:shd w:val="clear" w:color="auto" w:fill="auto"/>
                  <w:vAlign w:val="center"/>
                </w:tcPr>
                <w:p>
                  <w:pPr>
                    <w:adjustRightInd w:val="0"/>
                    <w:snapToGrid w:val="0"/>
                    <w:jc w:val="center"/>
                  </w:pPr>
                  <w:r>
                    <w:t>/</w:t>
                  </w:r>
                </w:p>
              </w:tc>
              <w:tc>
                <w:tcPr>
                  <w:tcW w:w="1259" w:type="pct"/>
                  <w:shd w:val="clear" w:color="auto" w:fill="auto"/>
                  <w:vAlign w:val="center"/>
                </w:tcPr>
                <w:p>
                  <w:pPr>
                    <w:adjustRightInd w:val="0"/>
                    <w:snapToGrid w:val="0"/>
                    <w:jc w:val="center"/>
                  </w:pPr>
                  <w: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vAlign w:val="center"/>
                </w:tcPr>
                <w:p>
                  <w:pPr>
                    <w:adjustRightInd w:val="0"/>
                    <w:snapToGrid w:val="0"/>
                    <w:jc w:val="center"/>
                  </w:pPr>
                  <w:r>
                    <w:t>4</w:t>
                  </w:r>
                </w:p>
              </w:tc>
              <w:tc>
                <w:tcPr>
                  <w:tcW w:w="1017" w:type="pct"/>
                  <w:vAlign w:val="center"/>
                </w:tcPr>
                <w:p>
                  <w:pPr>
                    <w:adjustRightInd w:val="0"/>
                    <w:snapToGrid w:val="0"/>
                    <w:jc w:val="center"/>
                  </w:pPr>
                  <w:r>
                    <w:t>焊条</w:t>
                  </w:r>
                </w:p>
              </w:tc>
              <w:tc>
                <w:tcPr>
                  <w:tcW w:w="876" w:type="pct"/>
                  <w:vAlign w:val="center"/>
                </w:tcPr>
                <w:p>
                  <w:pPr>
                    <w:adjustRightInd w:val="0"/>
                    <w:snapToGrid w:val="0"/>
                    <w:jc w:val="center"/>
                  </w:pPr>
                  <w:r>
                    <w:t>0.</w:t>
                  </w:r>
                  <w:r>
                    <w:rPr>
                      <w:rFonts w:hint="eastAsia"/>
                    </w:rPr>
                    <w:t>7</w:t>
                  </w:r>
                  <w:r>
                    <w:t>t</w:t>
                  </w:r>
                </w:p>
              </w:tc>
              <w:tc>
                <w:tcPr>
                  <w:tcW w:w="1143" w:type="pct"/>
                  <w:shd w:val="clear" w:color="auto" w:fill="auto"/>
                  <w:vAlign w:val="center"/>
                </w:tcPr>
                <w:p>
                  <w:pPr>
                    <w:adjustRightInd w:val="0"/>
                    <w:snapToGrid w:val="0"/>
                    <w:jc w:val="center"/>
                  </w:pPr>
                  <w:r>
                    <w:rPr>
                      <w:rFonts w:hint="eastAsia"/>
                    </w:rPr>
                    <w:t>/</w:t>
                  </w:r>
                </w:p>
              </w:tc>
              <w:tc>
                <w:tcPr>
                  <w:tcW w:w="1259" w:type="pct"/>
                  <w:shd w:val="clear" w:color="auto" w:fill="auto"/>
                  <w:vAlign w:val="center"/>
                </w:tcPr>
                <w:p>
                  <w:pPr>
                    <w:adjustRightInd w:val="0"/>
                    <w:snapToGrid w:val="0"/>
                    <w:jc w:val="center"/>
                  </w:pPr>
                  <w: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vAlign w:val="center"/>
                </w:tcPr>
                <w:p>
                  <w:pPr>
                    <w:adjustRightInd w:val="0"/>
                    <w:snapToGrid w:val="0"/>
                    <w:jc w:val="center"/>
                  </w:pPr>
                  <w:r>
                    <w:t>5</w:t>
                  </w:r>
                </w:p>
              </w:tc>
              <w:tc>
                <w:tcPr>
                  <w:tcW w:w="1017" w:type="pct"/>
                  <w:vAlign w:val="center"/>
                </w:tcPr>
                <w:p>
                  <w:pPr>
                    <w:adjustRightInd w:val="0"/>
                    <w:snapToGrid w:val="0"/>
                    <w:jc w:val="center"/>
                  </w:pPr>
                  <w:r>
                    <w:t>焊丝</w:t>
                  </w:r>
                </w:p>
              </w:tc>
              <w:tc>
                <w:tcPr>
                  <w:tcW w:w="876" w:type="pct"/>
                  <w:vAlign w:val="center"/>
                </w:tcPr>
                <w:p>
                  <w:pPr>
                    <w:adjustRightInd w:val="0"/>
                    <w:snapToGrid w:val="0"/>
                    <w:jc w:val="center"/>
                  </w:pPr>
                  <w:r>
                    <w:t>0</w:t>
                  </w:r>
                  <w:r>
                    <w:rPr>
                      <w:rFonts w:hint="eastAsia"/>
                    </w:rPr>
                    <w:t>.35</w:t>
                  </w:r>
                  <w:r>
                    <w:t>t</w:t>
                  </w:r>
                </w:p>
              </w:tc>
              <w:tc>
                <w:tcPr>
                  <w:tcW w:w="1143" w:type="pct"/>
                  <w:shd w:val="clear" w:color="auto" w:fill="auto"/>
                  <w:vAlign w:val="center"/>
                </w:tcPr>
                <w:p>
                  <w:pPr>
                    <w:adjustRightInd w:val="0"/>
                    <w:snapToGrid w:val="0"/>
                    <w:jc w:val="center"/>
                  </w:pPr>
                  <w:r>
                    <w:rPr>
                      <w:rFonts w:hint="eastAsia"/>
                    </w:rPr>
                    <w:t>/</w:t>
                  </w:r>
                </w:p>
              </w:tc>
              <w:tc>
                <w:tcPr>
                  <w:tcW w:w="1259" w:type="pct"/>
                  <w:shd w:val="clear" w:color="auto" w:fill="auto"/>
                  <w:vAlign w:val="center"/>
                </w:tcPr>
                <w:p>
                  <w:pPr>
                    <w:adjustRightInd w:val="0"/>
                    <w:snapToGrid w:val="0"/>
                    <w:jc w:val="center"/>
                  </w:pPr>
                  <w: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vAlign w:val="center"/>
                </w:tcPr>
                <w:p>
                  <w:pPr>
                    <w:adjustRightInd w:val="0"/>
                    <w:snapToGrid w:val="0"/>
                    <w:jc w:val="center"/>
                  </w:pPr>
                  <w:r>
                    <w:t>6</w:t>
                  </w:r>
                </w:p>
              </w:tc>
              <w:tc>
                <w:tcPr>
                  <w:tcW w:w="1017" w:type="pct"/>
                  <w:vAlign w:val="center"/>
                </w:tcPr>
                <w:p>
                  <w:pPr>
                    <w:adjustRightInd w:val="0"/>
                    <w:snapToGrid w:val="0"/>
                    <w:jc w:val="center"/>
                  </w:pPr>
                  <w:r>
                    <w:t>木板</w:t>
                  </w:r>
                </w:p>
              </w:tc>
              <w:tc>
                <w:tcPr>
                  <w:tcW w:w="876" w:type="pct"/>
                  <w:vAlign w:val="center"/>
                </w:tcPr>
                <w:p>
                  <w:pPr>
                    <w:adjustRightInd w:val="0"/>
                    <w:snapToGrid w:val="0"/>
                    <w:jc w:val="center"/>
                  </w:pPr>
                  <w:r>
                    <w:t>约1500块</w:t>
                  </w:r>
                </w:p>
              </w:tc>
              <w:tc>
                <w:tcPr>
                  <w:tcW w:w="1143" w:type="pct"/>
                  <w:shd w:val="clear" w:color="auto" w:fill="auto"/>
                  <w:vAlign w:val="center"/>
                </w:tcPr>
                <w:p>
                  <w:pPr>
                    <w:adjustRightInd w:val="0"/>
                    <w:snapToGrid w:val="0"/>
                    <w:jc w:val="center"/>
                  </w:pPr>
                  <w:r>
                    <w:t>/</w:t>
                  </w:r>
                </w:p>
              </w:tc>
              <w:tc>
                <w:tcPr>
                  <w:tcW w:w="1259" w:type="pct"/>
                  <w:shd w:val="clear" w:color="auto" w:fill="auto"/>
                  <w:vAlign w:val="center"/>
                </w:tcPr>
                <w:p>
                  <w:pPr>
                    <w:adjustRightInd w:val="0"/>
                    <w:snapToGrid w:val="0"/>
                    <w:jc w:val="center"/>
                  </w:pPr>
                  <w: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vAlign w:val="center"/>
                </w:tcPr>
                <w:p>
                  <w:pPr>
                    <w:adjustRightInd w:val="0"/>
                    <w:snapToGrid w:val="0"/>
                    <w:jc w:val="center"/>
                  </w:pPr>
                  <w:r>
                    <w:t>7</w:t>
                  </w:r>
                </w:p>
              </w:tc>
              <w:tc>
                <w:tcPr>
                  <w:tcW w:w="1017" w:type="pct"/>
                  <w:vAlign w:val="center"/>
                </w:tcPr>
                <w:p>
                  <w:pPr>
                    <w:adjustRightInd w:val="0"/>
                    <w:snapToGrid w:val="0"/>
                    <w:jc w:val="center"/>
                  </w:pPr>
                  <w:r>
                    <w:t xml:space="preserve">铝合金立柱 </w:t>
                  </w:r>
                </w:p>
              </w:tc>
              <w:tc>
                <w:tcPr>
                  <w:tcW w:w="876" w:type="pct"/>
                  <w:vAlign w:val="center"/>
                </w:tcPr>
                <w:p>
                  <w:pPr>
                    <w:adjustRightInd w:val="0"/>
                    <w:snapToGrid w:val="0"/>
                    <w:jc w:val="center"/>
                  </w:pPr>
                  <w:r>
                    <w:rPr>
                      <w:rFonts w:hint="eastAsia"/>
                    </w:rPr>
                    <w:t>20</w:t>
                  </w:r>
                  <w:r>
                    <w:t>t</w:t>
                  </w:r>
                </w:p>
              </w:tc>
              <w:tc>
                <w:tcPr>
                  <w:tcW w:w="1143" w:type="pct"/>
                  <w:shd w:val="clear" w:color="auto" w:fill="auto"/>
                  <w:vAlign w:val="center"/>
                </w:tcPr>
                <w:p>
                  <w:pPr>
                    <w:adjustRightInd w:val="0"/>
                    <w:snapToGrid w:val="0"/>
                    <w:jc w:val="center"/>
                  </w:pPr>
                  <w:r>
                    <w:t>/</w:t>
                  </w:r>
                </w:p>
              </w:tc>
              <w:tc>
                <w:tcPr>
                  <w:tcW w:w="1259" w:type="pct"/>
                  <w:shd w:val="clear" w:color="auto" w:fill="auto"/>
                  <w:vAlign w:val="center"/>
                </w:tcPr>
                <w:p>
                  <w:pPr>
                    <w:adjustRightInd w:val="0"/>
                    <w:snapToGrid w:val="0"/>
                    <w:jc w:val="center"/>
                  </w:pPr>
                  <w: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vAlign w:val="center"/>
                </w:tcPr>
                <w:p>
                  <w:pPr>
                    <w:adjustRightInd w:val="0"/>
                    <w:snapToGrid w:val="0"/>
                    <w:jc w:val="center"/>
                  </w:pPr>
                  <w:r>
                    <w:t>8</w:t>
                  </w:r>
                </w:p>
              </w:tc>
              <w:tc>
                <w:tcPr>
                  <w:tcW w:w="1017" w:type="pct"/>
                  <w:vAlign w:val="center"/>
                </w:tcPr>
                <w:p>
                  <w:pPr>
                    <w:adjustRightInd w:val="0"/>
                    <w:snapToGrid w:val="0"/>
                    <w:jc w:val="center"/>
                  </w:pPr>
                  <w:r>
                    <w:t>电</w:t>
                  </w:r>
                </w:p>
              </w:tc>
              <w:tc>
                <w:tcPr>
                  <w:tcW w:w="876" w:type="pct"/>
                  <w:vAlign w:val="center"/>
                </w:tcPr>
                <w:p>
                  <w:pPr>
                    <w:adjustRightInd w:val="0"/>
                    <w:snapToGrid w:val="0"/>
                    <w:jc w:val="center"/>
                  </w:pPr>
                  <w:r>
                    <w:t>1.5kW·h/a</w:t>
                  </w:r>
                </w:p>
              </w:tc>
              <w:tc>
                <w:tcPr>
                  <w:tcW w:w="1143" w:type="pct"/>
                  <w:shd w:val="clear" w:color="auto" w:fill="auto"/>
                  <w:vAlign w:val="center"/>
                </w:tcPr>
                <w:p>
                  <w:pPr>
                    <w:adjustRightInd w:val="0"/>
                    <w:snapToGrid w:val="0"/>
                    <w:jc w:val="center"/>
                  </w:pPr>
                  <w:r>
                    <w:t>/</w:t>
                  </w:r>
                </w:p>
              </w:tc>
              <w:tc>
                <w:tcPr>
                  <w:tcW w:w="1259" w:type="pct"/>
                  <w:shd w:val="clear" w:color="auto" w:fill="auto"/>
                  <w:vAlign w:val="center"/>
                </w:tcPr>
                <w:p>
                  <w:pPr>
                    <w:adjustRightInd w:val="0"/>
                    <w:snapToGrid w:val="0"/>
                    <w:jc w:val="center"/>
                  </w:pPr>
                  <w:r>
                    <w:t>合河乡供电所统一供给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pct"/>
                  <w:tcBorders>
                    <w:bottom w:val="single" w:color="000000" w:sz="8" w:space="0"/>
                  </w:tcBorders>
                  <w:vAlign w:val="center"/>
                </w:tcPr>
                <w:p>
                  <w:pPr>
                    <w:adjustRightInd w:val="0"/>
                    <w:snapToGrid w:val="0"/>
                    <w:jc w:val="center"/>
                  </w:pPr>
                  <w:r>
                    <w:t>9</w:t>
                  </w:r>
                </w:p>
              </w:tc>
              <w:tc>
                <w:tcPr>
                  <w:tcW w:w="1017" w:type="pct"/>
                  <w:tcBorders>
                    <w:bottom w:val="single" w:color="000000" w:sz="8" w:space="0"/>
                  </w:tcBorders>
                  <w:vAlign w:val="center"/>
                </w:tcPr>
                <w:p>
                  <w:pPr>
                    <w:adjustRightInd w:val="0"/>
                    <w:snapToGrid w:val="0"/>
                    <w:jc w:val="center"/>
                  </w:pPr>
                  <w:r>
                    <w:t>水</w:t>
                  </w:r>
                </w:p>
              </w:tc>
              <w:tc>
                <w:tcPr>
                  <w:tcW w:w="876" w:type="pct"/>
                  <w:tcBorders>
                    <w:bottom w:val="single" w:color="000000" w:sz="8" w:space="0"/>
                  </w:tcBorders>
                  <w:vAlign w:val="center"/>
                </w:tcPr>
                <w:p>
                  <w:pPr>
                    <w:adjustRightInd w:val="0"/>
                    <w:snapToGrid w:val="0"/>
                    <w:jc w:val="center"/>
                  </w:pPr>
                  <w:r>
                    <w:t>111t/a</w:t>
                  </w:r>
                </w:p>
              </w:tc>
              <w:tc>
                <w:tcPr>
                  <w:tcW w:w="1143" w:type="pct"/>
                  <w:tcBorders>
                    <w:bottom w:val="single" w:color="000000" w:sz="8" w:space="0"/>
                  </w:tcBorders>
                  <w:shd w:val="clear" w:color="auto" w:fill="auto"/>
                  <w:vAlign w:val="center"/>
                </w:tcPr>
                <w:p>
                  <w:pPr>
                    <w:adjustRightInd w:val="0"/>
                    <w:snapToGrid w:val="0"/>
                    <w:jc w:val="center"/>
                  </w:pPr>
                  <w:r>
                    <w:t>/</w:t>
                  </w:r>
                </w:p>
              </w:tc>
              <w:tc>
                <w:tcPr>
                  <w:tcW w:w="1259" w:type="pct"/>
                  <w:tcBorders>
                    <w:bottom w:val="single" w:color="000000" w:sz="8" w:space="0"/>
                  </w:tcBorders>
                  <w:shd w:val="clear" w:color="auto" w:fill="auto"/>
                  <w:vAlign w:val="center"/>
                </w:tcPr>
                <w:p>
                  <w:pPr>
                    <w:adjustRightInd w:val="0"/>
                    <w:snapToGrid w:val="0"/>
                    <w:jc w:val="center"/>
                  </w:pPr>
                  <w:r>
                    <w:t>合河乡统一供应</w:t>
                  </w:r>
                </w:p>
              </w:tc>
            </w:tr>
          </w:tbl>
          <w:p>
            <w:pPr>
              <w:adjustRightInd w:val="0"/>
              <w:snapToGrid w:val="0"/>
              <w:spacing w:line="440" w:lineRule="exact"/>
              <w:ind w:firstLine="482" w:firstLineChars="200"/>
              <w:rPr>
                <w:rFonts w:eastAsiaTheme="minorEastAsia"/>
                <w:b/>
                <w:bCs/>
                <w:sz w:val="24"/>
                <w:lang w:val="pt-BR"/>
              </w:rPr>
            </w:pPr>
            <w:r>
              <w:rPr>
                <w:rFonts w:eastAsiaTheme="minorEastAsia"/>
                <w:b/>
                <w:bCs/>
                <w:sz w:val="24"/>
                <w:lang w:val="pt-BR"/>
              </w:rPr>
              <w:t>5</w:t>
            </w:r>
            <w:r>
              <w:rPr>
                <w:rFonts w:hAnsiTheme="minorEastAsia" w:eastAsiaTheme="minorEastAsia"/>
                <w:b/>
                <w:bCs/>
                <w:sz w:val="24"/>
                <w:lang w:val="pt-BR"/>
              </w:rPr>
              <w:t>、项目建设与产业政策相符性分析</w:t>
            </w:r>
          </w:p>
          <w:p>
            <w:pPr>
              <w:adjustRightInd w:val="0"/>
              <w:snapToGrid w:val="0"/>
              <w:spacing w:line="440" w:lineRule="exact"/>
              <w:ind w:firstLine="480" w:firstLineChars="200"/>
              <w:rPr>
                <w:rFonts w:eastAsia="黑体"/>
                <w:sz w:val="24"/>
                <w:lang w:val="pt-BR"/>
              </w:rPr>
            </w:pPr>
            <w:r>
              <w:rPr>
                <w:rFonts w:eastAsiaTheme="minorEastAsia"/>
                <w:sz w:val="24"/>
              </w:rPr>
              <w:t>本项目属于金属制品加工制造，已在新乡县发展和改革委员会备案，项目代码为2020-410721-41-03-002413，对比《产业结构调整指导目录（2019年本）》（发改委令（2019）第29号），本项目不属于国家产业结构调整指导目录中鼓励类、限制类和淘汰类，为允许类，符合国家产业政策要求。本项目情况与产业政策一致性分析见</w:t>
            </w:r>
            <w:r>
              <w:rPr>
                <w:rFonts w:hint="eastAsia" w:eastAsiaTheme="minorEastAsia"/>
                <w:sz w:val="24"/>
              </w:rPr>
              <w:t>下</w:t>
            </w:r>
            <w:r>
              <w:rPr>
                <w:rFonts w:eastAsiaTheme="minorEastAsia"/>
                <w:sz w:val="24"/>
              </w:rPr>
              <w:t>表：</w:t>
            </w:r>
          </w:p>
          <w:p>
            <w:pPr>
              <w:adjustRightInd w:val="0"/>
              <w:snapToGrid w:val="0"/>
              <w:spacing w:line="440" w:lineRule="exact"/>
              <w:ind w:firstLine="480" w:firstLineChars="200"/>
              <w:rPr>
                <w:rFonts w:eastAsia="黑体"/>
                <w:sz w:val="24"/>
                <w:lang w:val="pt-BR"/>
              </w:rPr>
            </w:pPr>
            <w:r>
              <w:rPr>
                <w:rFonts w:eastAsia="黑体"/>
                <w:sz w:val="24"/>
                <w:lang w:val="pt-BR"/>
              </w:rPr>
              <w:t>表5                   项目与产业政策一致性分析</w:t>
            </w:r>
          </w:p>
          <w:tbl>
            <w:tblPr>
              <w:tblStyle w:val="30"/>
              <w:tblW w:w="4995" w:type="pct"/>
              <w:jc w:val="center"/>
              <w:tblLayout w:type="autofit"/>
              <w:tblCellMar>
                <w:top w:w="0" w:type="dxa"/>
                <w:left w:w="108" w:type="dxa"/>
                <w:bottom w:w="0" w:type="dxa"/>
                <w:right w:w="108" w:type="dxa"/>
              </w:tblCellMar>
            </w:tblPr>
            <w:tblGrid>
              <w:gridCol w:w="1500"/>
              <w:gridCol w:w="3289"/>
              <w:gridCol w:w="3326"/>
              <w:gridCol w:w="1469"/>
            </w:tblGrid>
            <w:tr>
              <w:tblPrEx>
                <w:tblCellMar>
                  <w:top w:w="0" w:type="dxa"/>
                  <w:left w:w="108" w:type="dxa"/>
                  <w:bottom w:w="0" w:type="dxa"/>
                  <w:right w:w="108" w:type="dxa"/>
                </w:tblCellMar>
              </w:tblPrEx>
              <w:trPr>
                <w:trHeight w:val="397" w:hRule="atLeast"/>
                <w:jc w:val="center"/>
              </w:trPr>
              <w:tc>
                <w:tcPr>
                  <w:tcW w:w="782" w:type="pct"/>
                  <w:tcBorders>
                    <w:top w:val="single" w:color="auto" w:sz="8" w:space="0"/>
                    <w:bottom w:val="single" w:color="auto" w:sz="8" w:space="0"/>
                    <w:right w:val="single" w:color="auto" w:sz="4" w:space="0"/>
                  </w:tcBorders>
                  <w:vAlign w:val="center"/>
                </w:tcPr>
                <w:p>
                  <w:pPr>
                    <w:adjustRightInd w:val="0"/>
                    <w:snapToGrid w:val="0"/>
                    <w:jc w:val="center"/>
                    <w:rPr>
                      <w:b/>
                      <w:bCs/>
                    </w:rPr>
                  </w:pPr>
                  <w:r>
                    <w:rPr>
                      <w:b/>
                      <w:bCs/>
                    </w:rPr>
                    <w:t>类别</w:t>
                  </w:r>
                </w:p>
              </w:tc>
              <w:tc>
                <w:tcPr>
                  <w:tcW w:w="1715"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rPr>
                  </w:pPr>
                  <w:r>
                    <w:rPr>
                      <w:b/>
                      <w:bCs/>
                    </w:rPr>
                    <w:t>内 容</w:t>
                  </w:r>
                </w:p>
              </w:tc>
              <w:tc>
                <w:tcPr>
                  <w:tcW w:w="1734"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rPr>
                  </w:pPr>
                  <w:r>
                    <w:rPr>
                      <w:b/>
                      <w:bCs/>
                    </w:rPr>
                    <w:t>本项目情况</w:t>
                  </w:r>
                </w:p>
              </w:tc>
              <w:tc>
                <w:tcPr>
                  <w:tcW w:w="766" w:type="pct"/>
                  <w:tcBorders>
                    <w:top w:val="single" w:color="auto" w:sz="8" w:space="0"/>
                    <w:left w:val="single" w:color="auto" w:sz="4" w:space="0"/>
                    <w:bottom w:val="single" w:color="auto" w:sz="8" w:space="0"/>
                  </w:tcBorders>
                  <w:vAlign w:val="center"/>
                </w:tcPr>
                <w:p>
                  <w:pPr>
                    <w:adjustRightInd w:val="0"/>
                    <w:snapToGrid w:val="0"/>
                    <w:jc w:val="center"/>
                    <w:rPr>
                      <w:b/>
                      <w:bCs/>
                    </w:rPr>
                  </w:pPr>
                  <w:r>
                    <w:rPr>
                      <w:b/>
                      <w:bCs/>
                    </w:rPr>
                    <w:t>相符性</w:t>
                  </w:r>
                </w:p>
              </w:tc>
            </w:tr>
            <w:tr>
              <w:tblPrEx>
                <w:tblCellMar>
                  <w:top w:w="0" w:type="dxa"/>
                  <w:left w:w="108" w:type="dxa"/>
                  <w:bottom w:w="0" w:type="dxa"/>
                  <w:right w:w="108" w:type="dxa"/>
                </w:tblCellMar>
              </w:tblPrEx>
              <w:trPr>
                <w:trHeight w:val="397" w:hRule="atLeast"/>
                <w:jc w:val="center"/>
              </w:trPr>
              <w:tc>
                <w:tcPr>
                  <w:tcW w:w="782" w:type="pct"/>
                  <w:tcBorders>
                    <w:top w:val="single" w:color="auto" w:sz="8" w:space="0"/>
                    <w:bottom w:val="single" w:color="auto" w:sz="4" w:space="0"/>
                    <w:right w:val="single" w:color="auto" w:sz="4" w:space="0"/>
                  </w:tcBorders>
                  <w:vAlign w:val="center"/>
                </w:tcPr>
                <w:p>
                  <w:pPr>
                    <w:adjustRightInd w:val="0"/>
                    <w:snapToGrid w:val="0"/>
                    <w:jc w:val="center"/>
                  </w:pPr>
                  <w:r>
                    <w:t>鼓励类</w:t>
                  </w:r>
                </w:p>
              </w:tc>
              <w:tc>
                <w:tcPr>
                  <w:tcW w:w="1715"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pPr>
                  <w:r>
                    <w:t>查无相关对应条款</w:t>
                  </w:r>
                </w:p>
              </w:tc>
              <w:tc>
                <w:tcPr>
                  <w:tcW w:w="1734" w:type="pct"/>
                  <w:vMerge w:val="restart"/>
                  <w:tcBorders>
                    <w:top w:val="single" w:color="auto" w:sz="8" w:space="0"/>
                    <w:left w:val="single" w:color="auto" w:sz="4" w:space="0"/>
                    <w:right w:val="single" w:color="auto" w:sz="4" w:space="0"/>
                  </w:tcBorders>
                  <w:vAlign w:val="center"/>
                </w:tcPr>
                <w:p>
                  <w:pPr>
                    <w:adjustRightInd w:val="0"/>
                    <w:snapToGrid w:val="0"/>
                    <w:jc w:val="center"/>
                  </w:pPr>
                  <w:r>
                    <w:t>本项目产品为钢结构及其配件，二保焊机、台式焊机属于动铁芯式交流弧焊机，其他生产设备不在淘汰类、限制类之列，符合国家产业政策。</w:t>
                  </w:r>
                </w:p>
              </w:tc>
              <w:tc>
                <w:tcPr>
                  <w:tcW w:w="766" w:type="pct"/>
                  <w:tcBorders>
                    <w:top w:val="single" w:color="auto" w:sz="8" w:space="0"/>
                    <w:left w:val="single" w:color="auto" w:sz="4" w:space="0"/>
                    <w:bottom w:val="single" w:color="auto" w:sz="4" w:space="0"/>
                  </w:tcBorders>
                  <w:vAlign w:val="center"/>
                </w:tcPr>
                <w:p>
                  <w:pPr>
                    <w:adjustRightInd w:val="0"/>
                    <w:snapToGrid w:val="0"/>
                    <w:jc w:val="center"/>
                  </w:pPr>
                  <w:r>
                    <w:t>不属于</w:t>
                  </w:r>
                </w:p>
              </w:tc>
            </w:tr>
            <w:tr>
              <w:tblPrEx>
                <w:tblCellMar>
                  <w:top w:w="0" w:type="dxa"/>
                  <w:left w:w="108" w:type="dxa"/>
                  <w:bottom w:w="0" w:type="dxa"/>
                  <w:right w:w="108" w:type="dxa"/>
                </w:tblCellMar>
              </w:tblPrEx>
              <w:trPr>
                <w:trHeight w:val="397" w:hRule="atLeast"/>
                <w:jc w:val="center"/>
              </w:trPr>
              <w:tc>
                <w:tcPr>
                  <w:tcW w:w="782" w:type="pct"/>
                  <w:tcBorders>
                    <w:top w:val="single" w:color="auto" w:sz="4" w:space="0"/>
                    <w:bottom w:val="single" w:color="auto" w:sz="4" w:space="0"/>
                    <w:right w:val="single" w:color="auto" w:sz="4" w:space="0"/>
                  </w:tcBorders>
                  <w:vAlign w:val="center"/>
                </w:tcPr>
                <w:p>
                  <w:pPr>
                    <w:adjustRightInd w:val="0"/>
                    <w:snapToGrid w:val="0"/>
                    <w:jc w:val="center"/>
                  </w:pPr>
                  <w:r>
                    <w:t>限制类</w:t>
                  </w:r>
                </w:p>
              </w:tc>
              <w:tc>
                <w:tcPr>
                  <w:tcW w:w="17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动圈式和抽头式手工焊条弧焊机</w:t>
                  </w:r>
                </w:p>
              </w:tc>
              <w:tc>
                <w:tcPr>
                  <w:tcW w:w="1734" w:type="pct"/>
                  <w:vMerge w:val="continue"/>
                  <w:tcBorders>
                    <w:left w:val="single" w:color="auto" w:sz="4" w:space="0"/>
                    <w:right w:val="single" w:color="auto" w:sz="4" w:space="0"/>
                  </w:tcBorders>
                  <w:vAlign w:val="center"/>
                </w:tcPr>
                <w:p>
                  <w:pPr>
                    <w:adjustRightInd w:val="0"/>
                    <w:snapToGrid w:val="0"/>
                    <w:jc w:val="center"/>
                  </w:pPr>
                </w:p>
              </w:tc>
              <w:tc>
                <w:tcPr>
                  <w:tcW w:w="766" w:type="pct"/>
                  <w:tcBorders>
                    <w:top w:val="single" w:color="auto" w:sz="4" w:space="0"/>
                    <w:left w:val="single" w:color="auto" w:sz="4" w:space="0"/>
                    <w:bottom w:val="single" w:color="auto" w:sz="4" w:space="0"/>
                  </w:tcBorders>
                  <w:vAlign w:val="center"/>
                </w:tcPr>
                <w:p>
                  <w:pPr>
                    <w:adjustRightInd w:val="0"/>
                    <w:snapToGrid w:val="0"/>
                    <w:jc w:val="center"/>
                  </w:pPr>
                  <w:r>
                    <w:t>不属于</w:t>
                  </w:r>
                </w:p>
              </w:tc>
            </w:tr>
            <w:tr>
              <w:tblPrEx>
                <w:tblCellMar>
                  <w:top w:w="0" w:type="dxa"/>
                  <w:left w:w="108" w:type="dxa"/>
                  <w:bottom w:w="0" w:type="dxa"/>
                  <w:right w:w="108" w:type="dxa"/>
                </w:tblCellMar>
              </w:tblPrEx>
              <w:trPr>
                <w:trHeight w:val="397" w:hRule="atLeast"/>
                <w:jc w:val="center"/>
              </w:trPr>
              <w:tc>
                <w:tcPr>
                  <w:tcW w:w="782" w:type="pct"/>
                  <w:tcBorders>
                    <w:top w:val="single" w:color="auto" w:sz="4" w:space="0"/>
                    <w:bottom w:val="single" w:color="auto" w:sz="8" w:space="0"/>
                    <w:right w:val="single" w:color="auto" w:sz="4" w:space="0"/>
                  </w:tcBorders>
                  <w:vAlign w:val="center"/>
                </w:tcPr>
                <w:p>
                  <w:pPr>
                    <w:adjustRightInd w:val="0"/>
                    <w:snapToGrid w:val="0"/>
                    <w:jc w:val="center"/>
                  </w:pPr>
                  <w:r>
                    <w:t>淘汰类</w:t>
                  </w:r>
                </w:p>
              </w:tc>
              <w:tc>
                <w:tcPr>
                  <w:tcW w:w="1715"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pPr>
                  <w:r>
                    <w:t>动圈式和抽头式硅整流弧焊机</w:t>
                  </w:r>
                </w:p>
              </w:tc>
              <w:tc>
                <w:tcPr>
                  <w:tcW w:w="1734" w:type="pct"/>
                  <w:vMerge w:val="continue"/>
                  <w:tcBorders>
                    <w:left w:val="single" w:color="auto" w:sz="4" w:space="0"/>
                    <w:bottom w:val="single" w:color="auto" w:sz="8" w:space="0"/>
                    <w:right w:val="single" w:color="auto" w:sz="4" w:space="0"/>
                  </w:tcBorders>
                  <w:vAlign w:val="center"/>
                </w:tcPr>
                <w:p>
                  <w:pPr>
                    <w:adjustRightInd w:val="0"/>
                    <w:snapToGrid w:val="0"/>
                    <w:jc w:val="center"/>
                  </w:pPr>
                </w:p>
              </w:tc>
              <w:tc>
                <w:tcPr>
                  <w:tcW w:w="766" w:type="pct"/>
                  <w:tcBorders>
                    <w:top w:val="single" w:color="auto" w:sz="4" w:space="0"/>
                    <w:left w:val="single" w:color="auto" w:sz="4" w:space="0"/>
                    <w:bottom w:val="single" w:color="auto" w:sz="8" w:space="0"/>
                  </w:tcBorders>
                  <w:vAlign w:val="center"/>
                </w:tcPr>
                <w:p>
                  <w:pPr>
                    <w:adjustRightInd w:val="0"/>
                    <w:snapToGrid w:val="0"/>
                    <w:jc w:val="center"/>
                  </w:pPr>
                  <w:r>
                    <w:t>不属于</w:t>
                  </w:r>
                </w:p>
              </w:tc>
            </w:tr>
          </w:tbl>
          <w:p>
            <w:pPr>
              <w:adjustRightInd w:val="0"/>
              <w:snapToGrid w:val="0"/>
              <w:spacing w:line="440" w:lineRule="exact"/>
              <w:ind w:firstLine="480" w:firstLineChars="200"/>
              <w:rPr>
                <w:rFonts w:eastAsiaTheme="minorEastAsia"/>
                <w:sz w:val="24"/>
              </w:rPr>
            </w:pPr>
            <w:r>
              <w:rPr>
                <w:rFonts w:eastAsiaTheme="minorEastAsia"/>
                <w:sz w:val="24"/>
              </w:rPr>
              <w:t>本项目产品为钢结构及配件，经查阅《产业结构调整指导目录（2019年本）》（发改委令（2019）第29号），本项目生产规模、设备工艺和产品等均不在</w:t>
            </w:r>
            <w:r>
              <w:rPr>
                <w:rFonts w:hint="eastAsia" w:eastAsiaTheme="minorEastAsia"/>
                <w:sz w:val="24"/>
              </w:rPr>
              <w:t>“</w:t>
            </w:r>
            <w:r>
              <w:rPr>
                <w:rFonts w:eastAsiaTheme="minorEastAsia"/>
                <w:sz w:val="24"/>
              </w:rPr>
              <w:t>限制类</w:t>
            </w:r>
            <w:r>
              <w:rPr>
                <w:rFonts w:hint="eastAsia" w:eastAsiaTheme="minorEastAsia"/>
                <w:sz w:val="24"/>
              </w:rPr>
              <w:t>”</w:t>
            </w:r>
            <w:r>
              <w:rPr>
                <w:rFonts w:eastAsiaTheme="minorEastAsia"/>
                <w:sz w:val="24"/>
              </w:rPr>
              <w:t>和</w:t>
            </w:r>
            <w:r>
              <w:rPr>
                <w:rFonts w:hint="eastAsia" w:eastAsiaTheme="minorEastAsia"/>
                <w:sz w:val="24"/>
              </w:rPr>
              <w:t>“</w:t>
            </w:r>
            <w:r>
              <w:rPr>
                <w:rFonts w:eastAsiaTheme="minorEastAsia"/>
                <w:sz w:val="24"/>
              </w:rPr>
              <w:t>淘汰类</w:t>
            </w:r>
            <w:r>
              <w:rPr>
                <w:rFonts w:hint="eastAsia" w:eastAsiaTheme="minorEastAsia"/>
                <w:sz w:val="24"/>
              </w:rPr>
              <w:t>”</w:t>
            </w:r>
            <w:r>
              <w:rPr>
                <w:rFonts w:eastAsiaTheme="minorEastAsia"/>
                <w:sz w:val="24"/>
              </w:rPr>
              <w:t>之列，为</w:t>
            </w:r>
            <w:r>
              <w:rPr>
                <w:rFonts w:hint="eastAsia" w:eastAsiaTheme="minorEastAsia"/>
                <w:sz w:val="24"/>
              </w:rPr>
              <w:t>“</w:t>
            </w:r>
            <w:r>
              <w:rPr>
                <w:rFonts w:eastAsiaTheme="minorEastAsia"/>
                <w:sz w:val="24"/>
              </w:rPr>
              <w:t>允许类</w:t>
            </w:r>
            <w:r>
              <w:rPr>
                <w:rFonts w:hint="eastAsia" w:eastAsiaTheme="minorEastAsia"/>
                <w:sz w:val="24"/>
              </w:rPr>
              <w:t>”</w:t>
            </w:r>
            <w:r>
              <w:rPr>
                <w:rFonts w:eastAsiaTheme="minorEastAsia"/>
                <w:sz w:val="24"/>
              </w:rPr>
              <w:t>，符合国家产业政策。本项目已在新乡县发展和改革委员会备案（备案见附件2），项目代码：2020-410721-41-03-002413。</w:t>
            </w:r>
          </w:p>
          <w:p>
            <w:pPr>
              <w:adjustRightInd w:val="0"/>
              <w:snapToGrid w:val="0"/>
              <w:spacing w:line="440" w:lineRule="exact"/>
              <w:ind w:firstLine="482" w:firstLineChars="200"/>
              <w:rPr>
                <w:rFonts w:eastAsiaTheme="minorEastAsia"/>
                <w:b/>
                <w:bCs/>
                <w:sz w:val="24"/>
              </w:rPr>
            </w:pPr>
            <w:r>
              <w:rPr>
                <w:rFonts w:eastAsiaTheme="minorEastAsia"/>
                <w:b/>
                <w:bCs/>
                <w:sz w:val="24"/>
                <w:lang w:val="pt-BR"/>
              </w:rPr>
              <w:t>6、项目建设与备案相符性分析</w:t>
            </w:r>
          </w:p>
          <w:p>
            <w:pPr>
              <w:adjustRightInd w:val="0"/>
              <w:snapToGrid w:val="0"/>
              <w:spacing w:line="440" w:lineRule="exact"/>
              <w:ind w:firstLine="480" w:firstLineChars="200"/>
              <w:rPr>
                <w:rFonts w:eastAsiaTheme="minorEastAsia"/>
                <w:sz w:val="24"/>
              </w:rPr>
            </w:pPr>
            <w:r>
              <w:rPr>
                <w:rFonts w:eastAsiaTheme="minorEastAsia"/>
                <w:sz w:val="24"/>
              </w:rPr>
              <w:t>本项目与备案一致性分析见</w:t>
            </w:r>
            <w:r>
              <w:rPr>
                <w:rFonts w:hint="eastAsia" w:eastAsiaTheme="minorEastAsia"/>
                <w:sz w:val="24"/>
              </w:rPr>
              <w:t>下</w:t>
            </w:r>
            <w:r>
              <w:rPr>
                <w:rFonts w:eastAsiaTheme="minorEastAsia"/>
                <w:sz w:val="24"/>
              </w:rPr>
              <w:t>表：</w:t>
            </w:r>
          </w:p>
          <w:p>
            <w:pPr>
              <w:adjustRightInd w:val="0"/>
              <w:snapToGrid w:val="0"/>
              <w:spacing w:line="440" w:lineRule="exact"/>
              <w:ind w:firstLine="480" w:firstLineChars="200"/>
              <w:rPr>
                <w:rFonts w:eastAsia="黑体"/>
                <w:sz w:val="24"/>
                <w:lang w:val="pt-BR"/>
              </w:rPr>
            </w:pPr>
            <w:r>
              <w:rPr>
                <w:rFonts w:eastAsia="黑体"/>
                <w:sz w:val="24"/>
                <w:lang w:val="pt-BR"/>
              </w:rPr>
              <w:t>表6                    本项目与备案一致性分析一览表</w:t>
            </w:r>
          </w:p>
          <w:tbl>
            <w:tblPr>
              <w:tblStyle w:val="30"/>
              <w:tblW w:w="4998" w:type="pct"/>
              <w:jc w:val="center"/>
              <w:tblLayout w:type="autofit"/>
              <w:tblCellMar>
                <w:top w:w="0" w:type="dxa"/>
                <w:left w:w="108" w:type="dxa"/>
                <w:bottom w:w="0" w:type="dxa"/>
                <w:right w:w="108" w:type="dxa"/>
              </w:tblCellMar>
            </w:tblPr>
            <w:tblGrid>
              <w:gridCol w:w="1176"/>
              <w:gridCol w:w="3619"/>
              <w:gridCol w:w="3630"/>
              <w:gridCol w:w="1165"/>
            </w:tblGrid>
            <w:tr>
              <w:tblPrEx>
                <w:tblCellMar>
                  <w:top w:w="0" w:type="dxa"/>
                  <w:left w:w="108" w:type="dxa"/>
                  <w:bottom w:w="0" w:type="dxa"/>
                  <w:right w:w="108" w:type="dxa"/>
                </w:tblCellMar>
              </w:tblPrEx>
              <w:trPr>
                <w:trHeight w:val="397" w:hRule="atLeast"/>
                <w:jc w:val="center"/>
              </w:trPr>
              <w:tc>
                <w:tcPr>
                  <w:tcW w:w="613" w:type="pct"/>
                  <w:tcBorders>
                    <w:top w:val="single" w:color="000000" w:sz="8" w:space="0"/>
                    <w:bottom w:val="single" w:color="000000" w:sz="8" w:space="0"/>
                    <w:right w:val="single" w:color="000000" w:sz="4" w:space="0"/>
                  </w:tcBorders>
                  <w:vAlign w:val="center"/>
                </w:tcPr>
                <w:p>
                  <w:pPr>
                    <w:adjustRightInd w:val="0"/>
                    <w:snapToGrid w:val="0"/>
                    <w:jc w:val="center"/>
                    <w:rPr>
                      <w:b/>
                      <w:bCs/>
                    </w:rPr>
                  </w:pPr>
                  <w:r>
                    <w:rPr>
                      <w:b/>
                      <w:bCs/>
                    </w:rPr>
                    <w:t>类别</w:t>
                  </w:r>
                </w:p>
              </w:tc>
              <w:tc>
                <w:tcPr>
                  <w:tcW w:w="1886" w:type="pct"/>
                  <w:tcBorders>
                    <w:top w:val="single" w:color="000000" w:sz="8" w:space="0"/>
                    <w:left w:val="single" w:color="000000" w:sz="4" w:space="0"/>
                    <w:bottom w:val="single" w:color="000000" w:sz="8" w:space="0"/>
                    <w:right w:val="single" w:color="000000" w:sz="4" w:space="0"/>
                  </w:tcBorders>
                  <w:vAlign w:val="center"/>
                </w:tcPr>
                <w:p>
                  <w:pPr>
                    <w:adjustRightInd w:val="0"/>
                    <w:snapToGrid w:val="0"/>
                    <w:jc w:val="center"/>
                    <w:rPr>
                      <w:b/>
                      <w:bCs/>
                    </w:rPr>
                  </w:pPr>
                  <w:r>
                    <w:rPr>
                      <w:b/>
                      <w:bCs/>
                    </w:rPr>
                    <w:t>项目备案</w:t>
                  </w:r>
                </w:p>
              </w:tc>
              <w:tc>
                <w:tcPr>
                  <w:tcW w:w="1892" w:type="pct"/>
                  <w:tcBorders>
                    <w:top w:val="single" w:color="000000" w:sz="8" w:space="0"/>
                    <w:left w:val="single" w:color="000000" w:sz="4" w:space="0"/>
                    <w:bottom w:val="single" w:color="000000" w:sz="8" w:space="0"/>
                    <w:right w:val="single" w:color="000000" w:sz="4" w:space="0"/>
                  </w:tcBorders>
                  <w:vAlign w:val="center"/>
                </w:tcPr>
                <w:p>
                  <w:pPr>
                    <w:adjustRightInd w:val="0"/>
                    <w:snapToGrid w:val="0"/>
                    <w:jc w:val="center"/>
                    <w:rPr>
                      <w:b/>
                      <w:bCs/>
                    </w:rPr>
                  </w:pPr>
                  <w:r>
                    <w:rPr>
                      <w:b/>
                      <w:bCs/>
                    </w:rPr>
                    <w:t>项目情况</w:t>
                  </w:r>
                </w:p>
              </w:tc>
              <w:tc>
                <w:tcPr>
                  <w:tcW w:w="607" w:type="pct"/>
                  <w:tcBorders>
                    <w:top w:val="single" w:color="000000" w:sz="8" w:space="0"/>
                    <w:left w:val="single" w:color="000000" w:sz="4" w:space="0"/>
                    <w:bottom w:val="single" w:color="000000" w:sz="8" w:space="0"/>
                  </w:tcBorders>
                  <w:vAlign w:val="center"/>
                </w:tcPr>
                <w:p>
                  <w:pPr>
                    <w:adjustRightInd w:val="0"/>
                    <w:snapToGrid w:val="0"/>
                    <w:jc w:val="center"/>
                    <w:rPr>
                      <w:b/>
                      <w:bCs/>
                    </w:rPr>
                  </w:pPr>
                  <w:r>
                    <w:rPr>
                      <w:b/>
                      <w:bCs/>
                    </w:rPr>
                    <w:t>相符性</w:t>
                  </w:r>
                </w:p>
              </w:tc>
            </w:tr>
            <w:tr>
              <w:tblPrEx>
                <w:tblCellMar>
                  <w:top w:w="0" w:type="dxa"/>
                  <w:left w:w="108" w:type="dxa"/>
                  <w:bottom w:w="0" w:type="dxa"/>
                  <w:right w:w="108" w:type="dxa"/>
                </w:tblCellMar>
              </w:tblPrEx>
              <w:trPr>
                <w:trHeight w:val="397" w:hRule="atLeast"/>
                <w:jc w:val="center"/>
              </w:trPr>
              <w:tc>
                <w:tcPr>
                  <w:tcW w:w="613" w:type="pct"/>
                  <w:tcBorders>
                    <w:top w:val="single" w:color="000000" w:sz="8" w:space="0"/>
                    <w:bottom w:val="single" w:color="000000" w:sz="4" w:space="0"/>
                    <w:right w:val="single" w:color="000000" w:sz="4" w:space="0"/>
                  </w:tcBorders>
                  <w:vAlign w:val="center"/>
                </w:tcPr>
                <w:p>
                  <w:pPr>
                    <w:adjustRightInd w:val="0"/>
                    <w:snapToGrid w:val="0"/>
                    <w:jc w:val="center"/>
                  </w:pPr>
                  <w:r>
                    <w:t>项目名称</w:t>
                  </w:r>
                </w:p>
              </w:tc>
              <w:tc>
                <w:tcPr>
                  <w:tcW w:w="1886" w:type="pct"/>
                  <w:tcBorders>
                    <w:top w:val="single" w:color="000000" w:sz="8" w:space="0"/>
                    <w:left w:val="single" w:color="000000" w:sz="4" w:space="0"/>
                    <w:bottom w:val="single" w:color="000000" w:sz="4" w:space="0"/>
                    <w:right w:val="single" w:color="000000" w:sz="4" w:space="0"/>
                  </w:tcBorders>
                  <w:vAlign w:val="center"/>
                </w:tcPr>
                <w:p>
                  <w:pPr>
                    <w:adjustRightInd w:val="0"/>
                    <w:snapToGrid w:val="0"/>
                    <w:jc w:val="center"/>
                  </w:pPr>
                  <w:r>
                    <w:t>新乡县合河乡紫晨游乐设备厂年产20套游乐设备</w:t>
                  </w:r>
                </w:p>
              </w:tc>
              <w:tc>
                <w:tcPr>
                  <w:tcW w:w="1892" w:type="pct"/>
                  <w:tcBorders>
                    <w:top w:val="single" w:color="000000" w:sz="8" w:space="0"/>
                    <w:left w:val="single" w:color="000000" w:sz="4" w:space="0"/>
                    <w:bottom w:val="single" w:color="000000" w:sz="4" w:space="0"/>
                    <w:right w:val="single" w:color="000000" w:sz="4" w:space="0"/>
                  </w:tcBorders>
                  <w:vAlign w:val="center"/>
                </w:tcPr>
                <w:p>
                  <w:pPr>
                    <w:adjustRightInd w:val="0"/>
                    <w:snapToGrid w:val="0"/>
                    <w:jc w:val="center"/>
                  </w:pPr>
                  <w:r>
                    <w:t>新乡县合河乡紫晨游乐设备厂年产20套游乐设备</w:t>
                  </w:r>
                </w:p>
              </w:tc>
              <w:tc>
                <w:tcPr>
                  <w:tcW w:w="607" w:type="pct"/>
                  <w:tcBorders>
                    <w:top w:val="single" w:color="000000" w:sz="8" w:space="0"/>
                    <w:left w:val="single" w:color="000000" w:sz="4" w:space="0"/>
                    <w:bottom w:val="single" w:color="000000" w:sz="4" w:space="0"/>
                  </w:tcBorders>
                  <w:vAlign w:val="center"/>
                </w:tcPr>
                <w:p>
                  <w:pPr>
                    <w:adjustRightInd w:val="0"/>
                    <w:snapToGrid w:val="0"/>
                    <w:jc w:val="center"/>
                  </w:pPr>
                  <w:r>
                    <w:t>相 符</w:t>
                  </w:r>
                </w:p>
              </w:tc>
            </w:tr>
            <w:tr>
              <w:tblPrEx>
                <w:tblCellMar>
                  <w:top w:w="0" w:type="dxa"/>
                  <w:left w:w="108" w:type="dxa"/>
                  <w:bottom w:w="0" w:type="dxa"/>
                  <w:right w:w="108" w:type="dxa"/>
                </w:tblCellMar>
              </w:tblPrEx>
              <w:trPr>
                <w:trHeight w:val="397" w:hRule="atLeast"/>
                <w:jc w:val="center"/>
              </w:trPr>
              <w:tc>
                <w:tcPr>
                  <w:tcW w:w="613" w:type="pct"/>
                  <w:tcBorders>
                    <w:top w:val="single" w:color="000000" w:sz="4" w:space="0"/>
                    <w:bottom w:val="single" w:color="000000" w:sz="4" w:space="0"/>
                    <w:right w:val="single" w:color="000000" w:sz="4" w:space="0"/>
                  </w:tcBorders>
                  <w:vAlign w:val="center"/>
                </w:tcPr>
                <w:p>
                  <w:pPr>
                    <w:adjustRightInd w:val="0"/>
                    <w:snapToGrid w:val="0"/>
                    <w:jc w:val="center"/>
                  </w:pPr>
                  <w:r>
                    <w:t>投资</w:t>
                  </w:r>
                </w:p>
              </w:tc>
              <w:tc>
                <w:tcPr>
                  <w:tcW w:w="188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t>50万元</w:t>
                  </w:r>
                </w:p>
              </w:tc>
              <w:tc>
                <w:tcPr>
                  <w:tcW w:w="18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t>50万元</w:t>
                  </w:r>
                </w:p>
              </w:tc>
              <w:tc>
                <w:tcPr>
                  <w:tcW w:w="607" w:type="pct"/>
                  <w:tcBorders>
                    <w:top w:val="single" w:color="000000" w:sz="4" w:space="0"/>
                    <w:left w:val="single" w:color="000000" w:sz="4" w:space="0"/>
                    <w:bottom w:val="single" w:color="000000" w:sz="4" w:space="0"/>
                  </w:tcBorders>
                  <w:vAlign w:val="center"/>
                </w:tcPr>
                <w:p>
                  <w:pPr>
                    <w:adjustRightInd w:val="0"/>
                    <w:snapToGrid w:val="0"/>
                    <w:jc w:val="center"/>
                  </w:pPr>
                  <w:r>
                    <w:t>相 符</w:t>
                  </w:r>
                </w:p>
              </w:tc>
            </w:tr>
            <w:tr>
              <w:tblPrEx>
                <w:tblCellMar>
                  <w:top w:w="0" w:type="dxa"/>
                  <w:left w:w="108" w:type="dxa"/>
                  <w:bottom w:w="0" w:type="dxa"/>
                  <w:right w:w="108" w:type="dxa"/>
                </w:tblCellMar>
              </w:tblPrEx>
              <w:trPr>
                <w:trHeight w:val="397" w:hRule="atLeast"/>
                <w:jc w:val="center"/>
              </w:trPr>
              <w:tc>
                <w:tcPr>
                  <w:tcW w:w="613" w:type="pct"/>
                  <w:tcBorders>
                    <w:top w:val="single" w:color="000000" w:sz="4" w:space="0"/>
                    <w:bottom w:val="single" w:color="000000" w:sz="4" w:space="0"/>
                    <w:right w:val="single" w:color="000000" w:sz="4" w:space="0"/>
                  </w:tcBorders>
                  <w:vAlign w:val="center"/>
                </w:tcPr>
                <w:p>
                  <w:pPr>
                    <w:adjustRightInd w:val="0"/>
                    <w:snapToGrid w:val="0"/>
                    <w:jc w:val="center"/>
                  </w:pPr>
                  <w:r>
                    <w:t>设备</w:t>
                  </w:r>
                </w:p>
              </w:tc>
              <w:tc>
                <w:tcPr>
                  <w:tcW w:w="188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t>电焊机WS-250A一台</w:t>
                  </w:r>
                  <w:r>
                    <w:rPr>
                      <w:rFonts w:hint="eastAsia"/>
                    </w:rPr>
                    <w:t>、</w:t>
                  </w:r>
                  <w:r>
                    <w:t>切割机MC-315B二台</w:t>
                  </w:r>
                  <w:r>
                    <w:rPr>
                      <w:rFonts w:hint="eastAsia"/>
                    </w:rPr>
                    <w:t>、</w:t>
                  </w:r>
                  <w:r>
                    <w:t>折弯机WG-51一台，二保焊NBC-350二台，电锯MIY-HL03-2235一台等</w:t>
                  </w:r>
                </w:p>
              </w:tc>
              <w:tc>
                <w:tcPr>
                  <w:tcW w:w="18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t>电焊机WS-250A一台，切割机MC-315B二台，折弯机WG-51一台，二保焊NBC-350二台，电锯MIY-HL03-2235一台等</w:t>
                  </w:r>
                </w:p>
              </w:tc>
              <w:tc>
                <w:tcPr>
                  <w:tcW w:w="607" w:type="pct"/>
                  <w:tcBorders>
                    <w:top w:val="single" w:color="000000" w:sz="4" w:space="0"/>
                    <w:left w:val="single" w:color="000000" w:sz="4" w:space="0"/>
                    <w:bottom w:val="single" w:color="000000" w:sz="4" w:space="0"/>
                  </w:tcBorders>
                  <w:vAlign w:val="center"/>
                </w:tcPr>
                <w:p>
                  <w:pPr>
                    <w:adjustRightInd w:val="0"/>
                    <w:snapToGrid w:val="0"/>
                    <w:jc w:val="center"/>
                  </w:pPr>
                  <w:r>
                    <w:t>相 符</w:t>
                  </w:r>
                </w:p>
              </w:tc>
            </w:tr>
            <w:tr>
              <w:tblPrEx>
                <w:tblCellMar>
                  <w:top w:w="0" w:type="dxa"/>
                  <w:left w:w="108" w:type="dxa"/>
                  <w:bottom w:w="0" w:type="dxa"/>
                  <w:right w:w="108" w:type="dxa"/>
                </w:tblCellMar>
              </w:tblPrEx>
              <w:trPr>
                <w:trHeight w:val="397" w:hRule="atLeast"/>
                <w:jc w:val="center"/>
              </w:trPr>
              <w:tc>
                <w:tcPr>
                  <w:tcW w:w="613" w:type="pct"/>
                  <w:tcBorders>
                    <w:top w:val="single" w:color="000000" w:sz="4" w:space="0"/>
                    <w:bottom w:val="single" w:color="000000" w:sz="4" w:space="0"/>
                    <w:right w:val="single" w:color="000000" w:sz="4" w:space="0"/>
                  </w:tcBorders>
                  <w:vAlign w:val="center"/>
                </w:tcPr>
                <w:p>
                  <w:pPr>
                    <w:adjustRightInd w:val="0"/>
                    <w:snapToGrid w:val="0"/>
                    <w:jc w:val="center"/>
                  </w:pPr>
                  <w:r>
                    <w:t>生产</w:t>
                  </w:r>
                </w:p>
                <w:p>
                  <w:pPr>
                    <w:adjustRightInd w:val="0"/>
                    <w:snapToGrid w:val="0"/>
                    <w:jc w:val="center"/>
                  </w:pPr>
                  <w:r>
                    <w:t>工艺</w:t>
                  </w:r>
                </w:p>
              </w:tc>
              <w:tc>
                <w:tcPr>
                  <w:tcW w:w="188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t>镀锌钢管</w:t>
                  </w:r>
                  <w:r>
                    <w:rPr>
                      <w:rFonts w:ascii="Arial" w:hAnsi="Arial" w:cs="Arial"/>
                    </w:rPr>
                    <w:t>→</w:t>
                  </w:r>
                  <w:r>
                    <w:t>切割</w:t>
                  </w:r>
                  <w:r>
                    <w:rPr>
                      <w:rFonts w:ascii="Arial" w:hAnsi="Arial" w:cs="Arial"/>
                    </w:rPr>
                    <w:t>→</w:t>
                  </w:r>
                  <w:r>
                    <w:t>焊接</w:t>
                  </w:r>
                  <w:r>
                    <w:rPr>
                      <w:rFonts w:ascii="Arial" w:hAnsi="Arial" w:cs="Arial"/>
                    </w:rPr>
                    <w:t>→</w:t>
                  </w:r>
                  <w:r>
                    <w:t>组装</w:t>
                  </w:r>
                </w:p>
              </w:tc>
              <w:tc>
                <w:tcPr>
                  <w:tcW w:w="18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t>镀锌钢管</w:t>
                  </w:r>
                  <w:r>
                    <w:rPr>
                      <w:rFonts w:ascii="Arial" w:hAnsi="Arial" w:cs="Arial"/>
                    </w:rPr>
                    <w:t>→</w:t>
                  </w:r>
                  <w:r>
                    <w:t>切割</w:t>
                  </w:r>
                  <w:r>
                    <w:rPr>
                      <w:rFonts w:ascii="Arial" w:hAnsi="Arial" w:cs="Arial"/>
                    </w:rPr>
                    <w:t>→</w:t>
                  </w:r>
                  <w:r>
                    <w:t>焊接</w:t>
                  </w:r>
                  <w:r>
                    <w:rPr>
                      <w:rFonts w:ascii="Arial" w:hAnsi="Arial" w:cs="Arial"/>
                    </w:rPr>
                    <w:t>→</w:t>
                  </w:r>
                  <w:r>
                    <w:t>组装</w:t>
                  </w:r>
                </w:p>
              </w:tc>
              <w:tc>
                <w:tcPr>
                  <w:tcW w:w="607" w:type="pct"/>
                  <w:tcBorders>
                    <w:top w:val="single" w:color="000000" w:sz="4" w:space="0"/>
                    <w:left w:val="single" w:color="000000" w:sz="4" w:space="0"/>
                    <w:bottom w:val="single" w:color="000000" w:sz="4" w:space="0"/>
                  </w:tcBorders>
                  <w:vAlign w:val="center"/>
                </w:tcPr>
                <w:p>
                  <w:pPr>
                    <w:adjustRightInd w:val="0"/>
                    <w:snapToGrid w:val="0"/>
                    <w:jc w:val="center"/>
                  </w:pPr>
                  <w:r>
                    <w:t>相 符</w:t>
                  </w:r>
                </w:p>
              </w:tc>
            </w:tr>
            <w:tr>
              <w:tblPrEx>
                <w:tblCellMar>
                  <w:top w:w="0" w:type="dxa"/>
                  <w:left w:w="108" w:type="dxa"/>
                  <w:bottom w:w="0" w:type="dxa"/>
                  <w:right w:w="108" w:type="dxa"/>
                </w:tblCellMar>
              </w:tblPrEx>
              <w:trPr>
                <w:trHeight w:val="397" w:hRule="atLeast"/>
                <w:jc w:val="center"/>
              </w:trPr>
              <w:tc>
                <w:tcPr>
                  <w:tcW w:w="613" w:type="pct"/>
                  <w:tcBorders>
                    <w:top w:val="single" w:color="000000" w:sz="4" w:space="0"/>
                    <w:bottom w:val="single" w:color="000000" w:sz="8" w:space="0"/>
                    <w:right w:val="single" w:color="000000" w:sz="4" w:space="0"/>
                  </w:tcBorders>
                  <w:vAlign w:val="center"/>
                </w:tcPr>
                <w:p>
                  <w:pPr>
                    <w:adjustRightInd w:val="0"/>
                    <w:snapToGrid w:val="0"/>
                    <w:jc w:val="center"/>
                  </w:pPr>
                  <w:r>
                    <w:t>建设</w:t>
                  </w:r>
                </w:p>
                <w:p>
                  <w:pPr>
                    <w:adjustRightInd w:val="0"/>
                    <w:snapToGrid w:val="0"/>
                    <w:jc w:val="center"/>
                  </w:pPr>
                  <w:r>
                    <w:t>地点</w:t>
                  </w:r>
                </w:p>
              </w:tc>
              <w:tc>
                <w:tcPr>
                  <w:tcW w:w="1886" w:type="pct"/>
                  <w:tcBorders>
                    <w:top w:val="single" w:color="000000" w:sz="4" w:space="0"/>
                    <w:left w:val="single" w:color="000000" w:sz="4" w:space="0"/>
                    <w:bottom w:val="single" w:color="000000" w:sz="8" w:space="0"/>
                    <w:right w:val="single" w:color="000000" w:sz="4" w:space="0"/>
                  </w:tcBorders>
                  <w:vAlign w:val="center"/>
                </w:tcPr>
                <w:p>
                  <w:pPr>
                    <w:adjustRightInd w:val="0"/>
                    <w:snapToGrid w:val="0"/>
                    <w:jc w:val="center"/>
                  </w:pPr>
                  <w:r>
                    <w:t>河南省新乡市新乡县合河乡西河村老纸厂旧址院内</w:t>
                  </w:r>
                </w:p>
              </w:tc>
              <w:tc>
                <w:tcPr>
                  <w:tcW w:w="1892" w:type="pct"/>
                  <w:tcBorders>
                    <w:top w:val="single" w:color="000000" w:sz="4" w:space="0"/>
                    <w:left w:val="single" w:color="000000" w:sz="4" w:space="0"/>
                    <w:bottom w:val="single" w:color="000000" w:sz="8" w:space="0"/>
                    <w:right w:val="single" w:color="000000" w:sz="4" w:space="0"/>
                  </w:tcBorders>
                  <w:vAlign w:val="center"/>
                </w:tcPr>
                <w:p>
                  <w:pPr>
                    <w:adjustRightInd w:val="0"/>
                    <w:snapToGrid w:val="0"/>
                    <w:jc w:val="center"/>
                  </w:pPr>
                  <w:r>
                    <w:t>河南省新乡市新乡县合河乡西河村老纸厂旧址院内</w:t>
                  </w:r>
                </w:p>
              </w:tc>
              <w:tc>
                <w:tcPr>
                  <w:tcW w:w="607" w:type="pct"/>
                  <w:tcBorders>
                    <w:top w:val="single" w:color="000000" w:sz="4" w:space="0"/>
                    <w:left w:val="single" w:color="000000" w:sz="4" w:space="0"/>
                    <w:bottom w:val="single" w:color="000000" w:sz="8" w:space="0"/>
                  </w:tcBorders>
                  <w:vAlign w:val="center"/>
                </w:tcPr>
                <w:p>
                  <w:pPr>
                    <w:adjustRightInd w:val="0"/>
                    <w:snapToGrid w:val="0"/>
                    <w:jc w:val="center"/>
                  </w:pPr>
                  <w:r>
                    <w:t>相 符</w:t>
                  </w:r>
                </w:p>
              </w:tc>
            </w:tr>
          </w:tbl>
          <w:p>
            <w:pPr>
              <w:adjustRightInd w:val="0"/>
              <w:snapToGrid w:val="0"/>
              <w:spacing w:line="400" w:lineRule="exact"/>
              <w:ind w:firstLine="480" w:firstLineChars="200"/>
              <w:rPr>
                <w:sz w:val="24"/>
              </w:rPr>
            </w:pPr>
            <w:r>
              <w:rPr>
                <w:sz w:val="24"/>
              </w:rPr>
              <w:t>由上表可知，本项目与备案一致。</w:t>
            </w:r>
          </w:p>
          <w:p>
            <w:pPr>
              <w:adjustRightInd w:val="0"/>
              <w:snapToGrid w:val="0"/>
              <w:spacing w:line="400" w:lineRule="exact"/>
              <w:ind w:firstLine="482" w:firstLineChars="200"/>
              <w:rPr>
                <w:b/>
                <w:bCs/>
                <w:sz w:val="24"/>
              </w:rPr>
            </w:pPr>
            <w:r>
              <w:rPr>
                <w:b/>
                <w:bCs/>
                <w:sz w:val="24"/>
              </w:rPr>
              <w:t>7</w:t>
            </w:r>
            <w:r>
              <w:rPr>
                <w:b/>
                <w:bCs/>
                <w:sz w:val="24"/>
                <w:lang w:val="pt-BR"/>
              </w:rPr>
              <w:t>、与新环</w:t>
            </w:r>
            <w:r>
              <w:rPr>
                <w:b/>
                <w:bCs/>
                <w:sz w:val="24"/>
              </w:rPr>
              <w:t>[2015]342号文的对照分析</w:t>
            </w:r>
          </w:p>
          <w:p>
            <w:pPr>
              <w:adjustRightInd w:val="0"/>
              <w:snapToGrid w:val="0"/>
              <w:spacing w:line="400" w:lineRule="exact"/>
              <w:ind w:firstLine="480" w:firstLineChars="200"/>
              <w:rPr>
                <w:sz w:val="24"/>
              </w:rPr>
            </w:pPr>
            <w:r>
              <w:rPr>
                <w:sz w:val="24"/>
              </w:rPr>
              <w:t>与《新乡市环境保护局关于印发深化建设项目环境影响评价审批制度改革实施细则的通知》（新环[2015]342号）对照分析见</w:t>
            </w:r>
            <w:r>
              <w:rPr>
                <w:rFonts w:hint="eastAsia"/>
                <w:sz w:val="24"/>
              </w:rPr>
              <w:t>下</w:t>
            </w:r>
            <w:r>
              <w:rPr>
                <w:sz w:val="24"/>
              </w:rPr>
              <w:t>表：</w:t>
            </w:r>
          </w:p>
          <w:p>
            <w:pPr>
              <w:adjustRightInd w:val="0"/>
              <w:snapToGrid w:val="0"/>
              <w:spacing w:line="440" w:lineRule="exact"/>
              <w:ind w:firstLine="480" w:firstLineChars="200"/>
              <w:rPr>
                <w:rFonts w:eastAsia="黑体"/>
                <w:sz w:val="24"/>
                <w:lang w:val="pt-BR"/>
              </w:rPr>
            </w:pPr>
            <w:r>
              <w:rPr>
                <w:rFonts w:eastAsia="黑体"/>
                <w:sz w:val="24"/>
                <w:lang w:val="pt-BR"/>
              </w:rPr>
              <w:t>表7                  与新环[2015]342号对比分析一览表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365"/>
              <w:gridCol w:w="3643"/>
              <w:gridCol w:w="1892"/>
              <w:gridCol w:w="116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93" w:type="pct"/>
                  <w:tcBorders>
                    <w:top w:val="single" w:color="auto" w:sz="8" w:space="0"/>
                    <w:left w:val="nil"/>
                    <w:bottom w:val="single" w:color="auto" w:sz="8" w:space="0"/>
                    <w:right w:val="single" w:color="auto" w:sz="4" w:space="0"/>
                  </w:tcBorders>
                  <w:vAlign w:val="center"/>
                </w:tcPr>
                <w:p>
                  <w:pPr>
                    <w:jc w:val="center"/>
                    <w:rPr>
                      <w:b/>
                      <w:szCs w:val="21"/>
                    </w:rPr>
                  </w:pPr>
                  <w:r>
                    <w:rPr>
                      <w:rFonts w:hint="eastAsia"/>
                      <w:b/>
                      <w:szCs w:val="21"/>
                    </w:rPr>
                    <w:t>项目</w:t>
                  </w:r>
                </w:p>
              </w:tc>
              <w:tc>
                <w:tcPr>
                  <w:tcW w:w="2609" w:type="pct"/>
                  <w:gridSpan w:val="2"/>
                  <w:tcBorders>
                    <w:top w:val="single" w:color="auto" w:sz="8" w:space="0"/>
                    <w:left w:val="single" w:color="auto" w:sz="4" w:space="0"/>
                    <w:bottom w:val="single" w:color="auto" w:sz="8" w:space="0"/>
                    <w:right w:val="single" w:color="auto" w:sz="4" w:space="0"/>
                  </w:tcBorders>
                  <w:vAlign w:val="center"/>
                </w:tcPr>
                <w:p>
                  <w:pPr>
                    <w:jc w:val="center"/>
                    <w:rPr>
                      <w:b/>
                      <w:szCs w:val="21"/>
                    </w:rPr>
                  </w:pPr>
                  <w:r>
                    <w:rPr>
                      <w:rFonts w:hint="eastAsia"/>
                      <w:b/>
                      <w:szCs w:val="21"/>
                    </w:rPr>
                    <w:t>与本项目相关条文</w:t>
                  </w:r>
                </w:p>
              </w:tc>
              <w:tc>
                <w:tcPr>
                  <w:tcW w:w="986" w:type="pct"/>
                  <w:tcBorders>
                    <w:top w:val="single" w:color="auto" w:sz="8" w:space="0"/>
                    <w:left w:val="single" w:color="auto" w:sz="4" w:space="0"/>
                    <w:bottom w:val="single" w:color="auto" w:sz="8" w:space="0"/>
                    <w:right w:val="single" w:color="auto" w:sz="4" w:space="0"/>
                  </w:tcBorders>
                  <w:vAlign w:val="center"/>
                </w:tcPr>
                <w:p>
                  <w:pPr>
                    <w:jc w:val="center"/>
                    <w:rPr>
                      <w:b/>
                      <w:szCs w:val="21"/>
                    </w:rPr>
                  </w:pPr>
                  <w:r>
                    <w:rPr>
                      <w:rFonts w:hint="eastAsia"/>
                      <w:b/>
                      <w:szCs w:val="21"/>
                    </w:rPr>
                    <w:t>本项目情况</w:t>
                  </w:r>
                </w:p>
              </w:tc>
              <w:tc>
                <w:tcPr>
                  <w:tcW w:w="609" w:type="pct"/>
                  <w:tcBorders>
                    <w:top w:val="single" w:color="auto" w:sz="8" w:space="0"/>
                    <w:left w:val="single" w:color="auto" w:sz="4" w:space="0"/>
                    <w:bottom w:val="single" w:color="auto" w:sz="8" w:space="0"/>
                    <w:right w:val="nil"/>
                  </w:tcBorders>
                  <w:vAlign w:val="center"/>
                </w:tcPr>
                <w:p>
                  <w:pPr>
                    <w:jc w:val="center"/>
                    <w:rPr>
                      <w:b/>
                      <w:szCs w:val="21"/>
                    </w:rPr>
                  </w:pPr>
                  <w:r>
                    <w:rPr>
                      <w:rFonts w:hint="eastAsia"/>
                      <w:b/>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93" w:type="pct"/>
                  <w:vMerge w:val="restart"/>
                  <w:tcBorders>
                    <w:top w:val="single" w:color="auto" w:sz="8" w:space="0"/>
                    <w:left w:val="nil"/>
                    <w:bottom w:val="single" w:color="auto" w:sz="4" w:space="0"/>
                    <w:right w:val="single" w:color="auto" w:sz="4" w:space="0"/>
                  </w:tcBorders>
                  <w:vAlign w:val="center"/>
                </w:tcPr>
                <w:p>
                  <w:pPr>
                    <w:jc w:val="center"/>
                    <w:rPr>
                      <w:szCs w:val="21"/>
                    </w:rPr>
                  </w:pPr>
                  <w:r>
                    <w:rPr>
                      <w:rFonts w:hint="eastAsia"/>
                      <w:szCs w:val="21"/>
                    </w:rPr>
                    <w:t>新乡市主体功能区分</w:t>
                  </w:r>
                </w:p>
              </w:tc>
              <w:tc>
                <w:tcPr>
                  <w:tcW w:w="711" w:type="pct"/>
                  <w:tcBorders>
                    <w:top w:val="single" w:color="auto" w:sz="8"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重点开发</w:t>
                  </w:r>
                </w:p>
                <w:p>
                  <w:pPr>
                    <w:jc w:val="center"/>
                    <w:rPr>
                      <w:color w:val="000000"/>
                      <w:szCs w:val="21"/>
                    </w:rPr>
                  </w:pPr>
                  <w:r>
                    <w:rPr>
                      <w:rFonts w:hint="eastAsia"/>
                      <w:color w:val="000000"/>
                      <w:szCs w:val="21"/>
                    </w:rPr>
                    <w:t>区域</w:t>
                  </w:r>
                </w:p>
              </w:tc>
              <w:tc>
                <w:tcPr>
                  <w:tcW w:w="1897" w:type="pct"/>
                  <w:tcBorders>
                    <w:top w:val="single" w:color="auto" w:sz="8" w:space="0"/>
                    <w:left w:val="single" w:color="auto" w:sz="4" w:space="0"/>
                    <w:bottom w:val="single" w:color="auto" w:sz="4" w:space="0"/>
                    <w:right w:val="single" w:color="auto" w:sz="4" w:space="0"/>
                  </w:tcBorders>
                  <w:vAlign w:val="center"/>
                </w:tcPr>
                <w:p>
                  <w:pPr>
                    <w:rPr>
                      <w:color w:val="333333"/>
                      <w:szCs w:val="21"/>
                    </w:rPr>
                  </w:pPr>
                  <w:r>
                    <w:rPr>
                      <w:color w:val="333333"/>
                      <w:szCs w:val="21"/>
                    </w:rPr>
                    <w:t>1</w:t>
                  </w:r>
                  <w:r>
                    <w:rPr>
                      <w:rFonts w:hint="eastAsia"/>
                      <w:color w:val="333333"/>
                      <w:szCs w:val="21"/>
                    </w:rPr>
                    <w:t>、新乡市市区（含平原城乡一体示范区）、新乡县、卫辉市。</w:t>
                  </w:r>
                </w:p>
                <w:p>
                  <w:pPr>
                    <w:rPr>
                      <w:color w:val="000000"/>
                      <w:szCs w:val="21"/>
                    </w:rPr>
                  </w:pPr>
                  <w:r>
                    <w:rPr>
                      <w:color w:val="333333"/>
                      <w:szCs w:val="21"/>
                    </w:rPr>
                    <w:t>2</w:t>
                  </w:r>
                  <w:r>
                    <w:rPr>
                      <w:rFonts w:hint="eastAsia"/>
                      <w:color w:val="333333"/>
                      <w:szCs w:val="21"/>
                    </w:rPr>
                    <w:t>、农产品主产区的县城关镇、少数建制镇以及产业集聚区。</w:t>
                  </w:r>
                </w:p>
              </w:tc>
              <w:tc>
                <w:tcPr>
                  <w:tcW w:w="986" w:type="pct"/>
                  <w:vMerge w:val="restart"/>
                  <w:tcBorders>
                    <w:top w:val="single" w:color="auto" w:sz="8" w:space="0"/>
                    <w:left w:val="single" w:color="auto" w:sz="4" w:space="0"/>
                    <w:bottom w:val="single" w:color="auto" w:sz="4" w:space="0"/>
                    <w:right w:val="single" w:color="auto" w:sz="4" w:space="0"/>
                  </w:tcBorders>
                  <w:vAlign w:val="center"/>
                </w:tcPr>
                <w:p>
                  <w:pPr>
                    <w:rPr>
                      <w:szCs w:val="21"/>
                    </w:rPr>
                  </w:pPr>
                  <w:r>
                    <w:t>本项目位于新乡县西河村老纸厂旧址院内，在新乡县范围内。</w:t>
                  </w:r>
                </w:p>
              </w:tc>
              <w:tc>
                <w:tcPr>
                  <w:tcW w:w="609" w:type="pct"/>
                  <w:tcBorders>
                    <w:top w:val="single" w:color="auto" w:sz="8" w:space="0"/>
                    <w:left w:val="single" w:color="auto" w:sz="4" w:space="0"/>
                    <w:bottom w:val="single" w:color="auto" w:sz="4" w:space="0"/>
                    <w:right w:val="nil"/>
                  </w:tcBorders>
                  <w:vAlign w:val="center"/>
                </w:tcPr>
                <w:p>
                  <w:pPr>
                    <w:jc w:val="center"/>
                    <w:rPr>
                      <w:szCs w:val="21"/>
                    </w:rPr>
                  </w:pPr>
                  <w:r>
                    <w:rPr>
                      <w:rFonts w:hint="eastAsia"/>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93" w:type="pct"/>
                  <w:vMerge w:val="continue"/>
                  <w:tcBorders>
                    <w:top w:val="single" w:color="auto" w:sz="8" w:space="0"/>
                    <w:left w:val="nil"/>
                    <w:bottom w:val="single" w:color="auto" w:sz="4" w:space="0"/>
                    <w:right w:val="single" w:color="auto" w:sz="4" w:space="0"/>
                  </w:tcBorders>
                  <w:vAlign w:val="center"/>
                </w:tcPr>
                <w:p>
                  <w:pPr>
                    <w:widowControl/>
                    <w:jc w:val="left"/>
                    <w:rPr>
                      <w:szCs w:val="21"/>
                    </w:rPr>
                  </w:pPr>
                </w:p>
              </w:tc>
              <w:tc>
                <w:tcPr>
                  <w:tcW w:w="711" w:type="pct"/>
                  <w:tcBorders>
                    <w:top w:val="single" w:color="auto" w:sz="4" w:space="0"/>
                    <w:left w:val="single" w:color="auto" w:sz="4" w:space="0"/>
                    <w:bottom w:val="single" w:color="auto" w:sz="4" w:space="0"/>
                    <w:right w:val="single" w:color="auto" w:sz="4" w:space="0"/>
                  </w:tcBorders>
                  <w:vAlign w:val="center"/>
                </w:tcPr>
                <w:p>
                  <w:pPr>
                    <w:rPr>
                      <w:color w:val="000000"/>
                      <w:szCs w:val="21"/>
                    </w:rPr>
                  </w:pPr>
                  <w:r>
                    <w:rPr>
                      <w:rFonts w:hint="eastAsia"/>
                      <w:color w:val="000000"/>
                      <w:szCs w:val="21"/>
                    </w:rPr>
                    <w:t>限制开发区</w:t>
                  </w:r>
                </w:p>
              </w:tc>
              <w:tc>
                <w:tcPr>
                  <w:tcW w:w="1897" w:type="pct"/>
                  <w:tcBorders>
                    <w:top w:val="single" w:color="auto" w:sz="4" w:space="0"/>
                    <w:left w:val="single" w:color="auto" w:sz="4" w:space="0"/>
                    <w:bottom w:val="single" w:color="auto" w:sz="4" w:space="0"/>
                    <w:right w:val="single" w:color="auto" w:sz="4" w:space="0"/>
                  </w:tcBorders>
                  <w:vAlign w:val="center"/>
                </w:tcPr>
                <w:p>
                  <w:pPr>
                    <w:rPr>
                      <w:color w:val="000000"/>
                      <w:szCs w:val="21"/>
                    </w:rPr>
                  </w:pPr>
                  <w:r>
                    <w:rPr>
                      <w:rFonts w:hint="eastAsia"/>
                      <w:color w:val="000000"/>
                      <w:szCs w:val="21"/>
                    </w:rPr>
                    <w:t>农产品主产区：辉县市、获嘉县、原阳县、延津县、封丘县。（不含产业集聚区、专业园区和县城建成区以及规划区中以居住、商贸、文教科研为主的区域）</w:t>
                  </w:r>
                </w:p>
              </w:tc>
              <w:tc>
                <w:tcPr>
                  <w:tcW w:w="986" w:type="pct"/>
                  <w:vMerge w:val="continue"/>
                  <w:tcBorders>
                    <w:top w:val="single" w:color="auto" w:sz="8" w:space="0"/>
                    <w:left w:val="single" w:color="auto" w:sz="4" w:space="0"/>
                    <w:bottom w:val="single" w:color="auto" w:sz="4" w:space="0"/>
                    <w:right w:val="single" w:color="auto" w:sz="4" w:space="0"/>
                  </w:tcBorders>
                  <w:vAlign w:val="center"/>
                </w:tcPr>
                <w:p>
                  <w:pPr>
                    <w:widowControl/>
                    <w:jc w:val="left"/>
                    <w:rPr>
                      <w:szCs w:val="21"/>
                    </w:rPr>
                  </w:pPr>
                </w:p>
              </w:tc>
              <w:tc>
                <w:tcPr>
                  <w:tcW w:w="609" w:type="pct"/>
                  <w:tcBorders>
                    <w:top w:val="single" w:color="auto" w:sz="4" w:space="0"/>
                    <w:left w:val="single" w:color="auto" w:sz="4" w:space="0"/>
                    <w:bottom w:val="single" w:color="auto" w:sz="4" w:space="0"/>
                    <w:right w:val="nil"/>
                  </w:tcBorders>
                  <w:vAlign w:val="center"/>
                </w:tcPr>
                <w:p>
                  <w:pPr>
                    <w:jc w:val="center"/>
                    <w:rPr>
                      <w:szCs w:val="21"/>
                    </w:rPr>
                  </w:pPr>
                  <w:r>
                    <w:rPr>
                      <w:rFonts w:hint="eastAsia"/>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793" w:type="pct"/>
                  <w:vMerge w:val="continue"/>
                  <w:tcBorders>
                    <w:top w:val="single" w:color="auto" w:sz="8" w:space="0"/>
                    <w:left w:val="nil"/>
                    <w:bottom w:val="single" w:color="auto" w:sz="4" w:space="0"/>
                    <w:right w:val="single" w:color="auto" w:sz="4" w:space="0"/>
                  </w:tcBorders>
                  <w:vAlign w:val="center"/>
                </w:tcPr>
                <w:p>
                  <w:pPr>
                    <w:widowControl/>
                    <w:jc w:val="left"/>
                    <w:rPr>
                      <w:szCs w:val="21"/>
                    </w:rPr>
                  </w:pPr>
                </w:p>
              </w:tc>
              <w:tc>
                <w:tcPr>
                  <w:tcW w:w="711"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禁止开发区</w:t>
                  </w:r>
                </w:p>
              </w:tc>
              <w:tc>
                <w:tcPr>
                  <w:tcW w:w="189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太行山猕猴自然保护区</w:t>
                  </w:r>
                </w:p>
              </w:tc>
              <w:tc>
                <w:tcPr>
                  <w:tcW w:w="986" w:type="pct"/>
                  <w:vMerge w:val="continue"/>
                  <w:tcBorders>
                    <w:top w:val="single" w:color="auto" w:sz="8" w:space="0"/>
                    <w:left w:val="single" w:color="auto" w:sz="4" w:space="0"/>
                    <w:bottom w:val="single" w:color="auto" w:sz="4" w:space="0"/>
                    <w:right w:val="single" w:color="auto" w:sz="4" w:space="0"/>
                  </w:tcBorders>
                  <w:vAlign w:val="center"/>
                </w:tcPr>
                <w:p>
                  <w:pPr>
                    <w:widowControl/>
                    <w:jc w:val="left"/>
                    <w:rPr>
                      <w:szCs w:val="21"/>
                    </w:rPr>
                  </w:pPr>
                </w:p>
              </w:tc>
              <w:tc>
                <w:tcPr>
                  <w:tcW w:w="609" w:type="pct"/>
                  <w:vMerge w:val="restart"/>
                  <w:tcBorders>
                    <w:top w:val="single" w:color="auto" w:sz="4" w:space="0"/>
                    <w:left w:val="single" w:color="auto" w:sz="4" w:space="0"/>
                    <w:bottom w:val="single" w:color="auto" w:sz="4" w:space="0"/>
                    <w:right w:val="nil"/>
                  </w:tcBorders>
                  <w:vAlign w:val="center"/>
                </w:tcPr>
                <w:p>
                  <w:pPr>
                    <w:jc w:val="center"/>
                    <w:rPr>
                      <w:szCs w:val="21"/>
                    </w:rPr>
                  </w:pPr>
                  <w:r>
                    <w:rPr>
                      <w:rFonts w:hint="eastAsia"/>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93" w:type="pct"/>
                  <w:vMerge w:val="continue"/>
                  <w:tcBorders>
                    <w:top w:val="single" w:color="auto" w:sz="8" w:space="0"/>
                    <w:left w:val="nil"/>
                    <w:bottom w:val="single" w:color="auto" w:sz="4" w:space="0"/>
                    <w:right w:val="single" w:color="auto" w:sz="4" w:space="0"/>
                  </w:tcBorders>
                  <w:vAlign w:val="center"/>
                </w:tcPr>
                <w:p>
                  <w:pPr>
                    <w:widowControl/>
                    <w:jc w:val="left"/>
                    <w:rPr>
                      <w:szCs w:val="21"/>
                    </w:rPr>
                  </w:pPr>
                </w:p>
              </w:tc>
              <w:tc>
                <w:tcPr>
                  <w:tcW w:w="71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189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河南新乡黄河湿地鸟类国家级自然保护区</w:t>
                  </w:r>
                </w:p>
              </w:tc>
              <w:tc>
                <w:tcPr>
                  <w:tcW w:w="986" w:type="pct"/>
                  <w:vMerge w:val="continue"/>
                  <w:tcBorders>
                    <w:top w:val="single" w:color="auto" w:sz="8" w:space="0"/>
                    <w:left w:val="single" w:color="auto" w:sz="4" w:space="0"/>
                    <w:bottom w:val="single" w:color="auto" w:sz="4" w:space="0"/>
                    <w:right w:val="single" w:color="auto" w:sz="4" w:space="0"/>
                  </w:tcBorders>
                  <w:vAlign w:val="center"/>
                </w:tcPr>
                <w:p>
                  <w:pPr>
                    <w:widowControl/>
                    <w:jc w:val="left"/>
                    <w:rPr>
                      <w:szCs w:val="21"/>
                    </w:rPr>
                  </w:pPr>
                </w:p>
              </w:tc>
              <w:tc>
                <w:tcPr>
                  <w:tcW w:w="609" w:type="pct"/>
                  <w:vMerge w:val="continue"/>
                  <w:tcBorders>
                    <w:top w:val="single" w:color="auto" w:sz="4" w:space="0"/>
                    <w:left w:val="single" w:color="auto" w:sz="4" w:space="0"/>
                    <w:bottom w:val="single" w:color="auto" w:sz="4" w:space="0"/>
                    <w:right w:val="nil"/>
                  </w:tcBorders>
                  <w:vAlign w:val="center"/>
                </w:tcPr>
                <w:p>
                  <w:pPr>
                    <w:widowControl/>
                    <w:jc w:val="left"/>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93" w:type="pct"/>
                  <w:vMerge w:val="continue"/>
                  <w:tcBorders>
                    <w:top w:val="single" w:color="auto" w:sz="8" w:space="0"/>
                    <w:left w:val="nil"/>
                    <w:bottom w:val="single" w:color="auto" w:sz="4" w:space="0"/>
                    <w:right w:val="single" w:color="auto" w:sz="4" w:space="0"/>
                  </w:tcBorders>
                  <w:vAlign w:val="center"/>
                </w:tcPr>
                <w:p>
                  <w:pPr>
                    <w:widowControl/>
                    <w:jc w:val="left"/>
                    <w:rPr>
                      <w:szCs w:val="21"/>
                    </w:rPr>
                  </w:pPr>
                </w:p>
              </w:tc>
              <w:tc>
                <w:tcPr>
                  <w:tcW w:w="71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189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博浪沙省级森林公园</w:t>
                  </w:r>
                </w:p>
              </w:tc>
              <w:tc>
                <w:tcPr>
                  <w:tcW w:w="986" w:type="pct"/>
                  <w:vMerge w:val="continue"/>
                  <w:tcBorders>
                    <w:top w:val="single" w:color="auto" w:sz="8" w:space="0"/>
                    <w:left w:val="single" w:color="auto" w:sz="4" w:space="0"/>
                    <w:bottom w:val="single" w:color="auto" w:sz="4" w:space="0"/>
                    <w:right w:val="single" w:color="auto" w:sz="4" w:space="0"/>
                  </w:tcBorders>
                  <w:vAlign w:val="center"/>
                </w:tcPr>
                <w:p>
                  <w:pPr>
                    <w:widowControl/>
                    <w:jc w:val="left"/>
                    <w:rPr>
                      <w:szCs w:val="21"/>
                    </w:rPr>
                  </w:pPr>
                </w:p>
              </w:tc>
              <w:tc>
                <w:tcPr>
                  <w:tcW w:w="609" w:type="pct"/>
                  <w:vMerge w:val="continue"/>
                  <w:tcBorders>
                    <w:top w:val="single" w:color="auto" w:sz="4" w:space="0"/>
                    <w:left w:val="single" w:color="auto" w:sz="4" w:space="0"/>
                    <w:bottom w:val="single" w:color="auto" w:sz="4" w:space="0"/>
                    <w:right w:val="nil"/>
                  </w:tcBorders>
                  <w:vAlign w:val="center"/>
                </w:tcPr>
                <w:p>
                  <w:pPr>
                    <w:widowControl/>
                    <w:jc w:val="left"/>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93" w:type="pct"/>
                  <w:tcBorders>
                    <w:top w:val="single" w:color="auto" w:sz="4" w:space="0"/>
                    <w:left w:val="nil"/>
                    <w:bottom w:val="single" w:color="auto" w:sz="4" w:space="0"/>
                    <w:right w:val="single" w:color="auto" w:sz="4" w:space="0"/>
                  </w:tcBorders>
                  <w:vAlign w:val="center"/>
                </w:tcPr>
                <w:p>
                  <w:pPr>
                    <w:adjustRightInd w:val="0"/>
                    <w:snapToGrid w:val="0"/>
                    <w:jc w:val="center"/>
                    <w:rPr>
                      <w:szCs w:val="21"/>
                    </w:rPr>
                  </w:pPr>
                  <w:r>
                    <w:rPr>
                      <w:rFonts w:hint="eastAsia"/>
                      <w:szCs w:val="21"/>
                    </w:rPr>
                    <w:t>新乡市集中水源地保护区</w:t>
                  </w:r>
                </w:p>
              </w:tc>
              <w:tc>
                <w:tcPr>
                  <w:tcW w:w="711"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rFonts w:hint="eastAsia"/>
                      <w:color w:val="000000"/>
                      <w:szCs w:val="21"/>
                    </w:rPr>
                    <w:t>获嘉县照镜镇水厂地下水井群(共2眼井)</w:t>
                  </w:r>
                </w:p>
              </w:tc>
              <w:tc>
                <w:tcPr>
                  <w:tcW w:w="1897" w:type="pct"/>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rPr>
                      <w:rFonts w:ascii="Times New Roman" w:hAnsi="Times New Roman"/>
                      <w:color w:val="000000"/>
                      <w:kern w:val="2"/>
                      <w:sz w:val="21"/>
                      <w:szCs w:val="21"/>
                    </w:rPr>
                  </w:pPr>
                  <w:r>
                    <w:rPr>
                      <w:rFonts w:hint="eastAsia" w:ascii="Times New Roman" w:hAnsi="Times New Roman"/>
                      <w:color w:val="000000"/>
                      <w:kern w:val="2"/>
                      <w:sz w:val="21"/>
                      <w:szCs w:val="21"/>
                    </w:rPr>
                    <w:t>一级保护区范围：取水井外围50米的区域。</w:t>
                  </w:r>
                </w:p>
                <w:p>
                  <w:pPr>
                    <w:pStyle w:val="26"/>
                    <w:spacing w:before="0" w:beforeAutospacing="0" w:after="0" w:afterAutospacing="0"/>
                    <w:rPr>
                      <w:rFonts w:ascii="Times New Roman" w:hAnsi="Times New Roman"/>
                      <w:color w:val="000000"/>
                      <w:kern w:val="2"/>
                      <w:sz w:val="21"/>
                      <w:szCs w:val="21"/>
                    </w:rPr>
                  </w:pPr>
                  <w:r>
                    <w:rPr>
                      <w:rFonts w:hint="eastAsia" w:ascii="Times New Roman" w:hAnsi="Times New Roman"/>
                      <w:color w:val="000000"/>
                      <w:kern w:val="2"/>
                      <w:sz w:val="21"/>
                      <w:szCs w:val="21"/>
                    </w:rPr>
                    <w:t>二级保护区范围：一级保护区外，取水井外围550米外公切线所包含的区域。</w:t>
                  </w:r>
                </w:p>
              </w:tc>
              <w:tc>
                <w:tcPr>
                  <w:tcW w:w="986" w:type="pct"/>
                  <w:tcBorders>
                    <w:top w:val="single" w:color="auto" w:sz="4" w:space="0"/>
                    <w:left w:val="single" w:color="auto" w:sz="4" w:space="0"/>
                    <w:bottom w:val="single" w:color="auto" w:sz="4" w:space="0"/>
                    <w:right w:val="single" w:color="auto" w:sz="4" w:space="0"/>
                  </w:tcBorders>
                  <w:vAlign w:val="center"/>
                </w:tcPr>
                <w:p>
                  <w:pPr>
                    <w:jc w:val="left"/>
                    <w:rPr>
                      <w:color w:val="000000"/>
                      <w:szCs w:val="21"/>
                    </w:rPr>
                  </w:pPr>
                  <w:r>
                    <w:rPr>
                      <w:color w:val="000000"/>
                      <w:szCs w:val="21"/>
                    </w:rPr>
                    <w:t>本项目据其二级保护区边界</w:t>
                  </w:r>
                  <w:r>
                    <w:rPr>
                      <w:rFonts w:hint="eastAsia"/>
                      <w:color w:val="000000"/>
                      <w:szCs w:val="21"/>
                    </w:rPr>
                    <w:t>5100m，不在其保护范围内。</w:t>
                  </w:r>
                </w:p>
              </w:tc>
              <w:tc>
                <w:tcPr>
                  <w:tcW w:w="609" w:type="pct"/>
                  <w:tcBorders>
                    <w:top w:val="single" w:color="auto" w:sz="4" w:space="0"/>
                    <w:left w:val="single" w:color="auto" w:sz="4" w:space="0"/>
                    <w:bottom w:val="single" w:color="auto" w:sz="4" w:space="0"/>
                    <w:right w:val="nil"/>
                  </w:tcBorders>
                  <w:vAlign w:val="center"/>
                </w:tcPr>
                <w:p>
                  <w:pPr>
                    <w:adjustRightInd w:val="0"/>
                    <w:snapToGrid w:val="0"/>
                    <w:jc w:val="center"/>
                    <w:rPr>
                      <w:szCs w:val="21"/>
                    </w:rPr>
                  </w:pPr>
                  <w:r>
                    <w:rPr>
                      <w:rFonts w:hint="eastAsia"/>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93" w:type="pct"/>
                  <w:vMerge w:val="restart"/>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污染防治（控）重点</w:t>
                  </w:r>
                </w:p>
                <w:p>
                  <w:pPr>
                    <w:jc w:val="center"/>
                    <w:rPr>
                      <w:szCs w:val="21"/>
                    </w:rPr>
                  </w:pPr>
                  <w:r>
                    <w:rPr>
                      <w:rFonts w:hint="eastAsia"/>
                      <w:szCs w:val="21"/>
                    </w:rPr>
                    <w:t>单元</w:t>
                  </w:r>
                </w:p>
              </w:tc>
              <w:tc>
                <w:tcPr>
                  <w:tcW w:w="71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水污染</w:t>
                  </w:r>
                </w:p>
              </w:tc>
              <w:tc>
                <w:tcPr>
                  <w:tcW w:w="189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卫河流域：新乡市区、新乡县、卫辉市、辉县市、获嘉县</w:t>
                  </w:r>
                </w:p>
              </w:tc>
              <w:tc>
                <w:tcPr>
                  <w:tcW w:w="986" w:type="pct"/>
                  <w:vMerge w:val="restart"/>
                  <w:tcBorders>
                    <w:top w:val="single" w:color="auto" w:sz="4" w:space="0"/>
                    <w:left w:val="single" w:color="auto" w:sz="4" w:space="0"/>
                    <w:bottom w:val="single" w:color="auto" w:sz="4" w:space="0"/>
                    <w:right w:val="single" w:color="auto" w:sz="4" w:space="0"/>
                  </w:tcBorders>
                  <w:vAlign w:val="center"/>
                </w:tcPr>
                <w:p>
                  <w:pPr>
                    <w:rPr>
                      <w:szCs w:val="21"/>
                    </w:rPr>
                  </w:pPr>
                  <w:r>
                    <w:t>本项目位于新乡县西河村老纸厂旧址院内，在新乡县范围内。</w:t>
                  </w:r>
                </w:p>
              </w:tc>
              <w:tc>
                <w:tcPr>
                  <w:tcW w:w="609" w:type="pct"/>
                  <w:tcBorders>
                    <w:top w:val="single" w:color="auto" w:sz="4" w:space="0"/>
                    <w:left w:val="single" w:color="auto" w:sz="4" w:space="0"/>
                    <w:bottom w:val="single" w:color="auto" w:sz="4" w:space="0"/>
                    <w:right w:val="nil"/>
                  </w:tcBorders>
                  <w:vAlign w:val="center"/>
                </w:tcPr>
                <w:p>
                  <w:pPr>
                    <w:jc w:val="center"/>
                    <w:rPr>
                      <w:szCs w:val="21"/>
                    </w:rPr>
                  </w:pPr>
                  <w:r>
                    <w:rPr>
                      <w:rFonts w:hint="eastAsia"/>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93" w:type="pct"/>
                  <w:vMerge w:val="continue"/>
                  <w:tcBorders>
                    <w:top w:val="single" w:color="auto" w:sz="4" w:space="0"/>
                    <w:left w:val="nil"/>
                    <w:bottom w:val="single" w:color="auto" w:sz="4" w:space="0"/>
                    <w:right w:val="single" w:color="auto" w:sz="4" w:space="0"/>
                  </w:tcBorders>
                  <w:vAlign w:val="center"/>
                </w:tcPr>
                <w:p>
                  <w:pPr>
                    <w:widowControl/>
                    <w:jc w:val="left"/>
                    <w:rPr>
                      <w:szCs w:val="21"/>
                    </w:rPr>
                  </w:pPr>
                </w:p>
              </w:tc>
              <w:tc>
                <w:tcPr>
                  <w:tcW w:w="71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大气污染</w:t>
                  </w:r>
                </w:p>
              </w:tc>
              <w:tc>
                <w:tcPr>
                  <w:tcW w:w="189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新乡市域全部</w:t>
                  </w:r>
                </w:p>
              </w:tc>
              <w:tc>
                <w:tcPr>
                  <w:tcW w:w="98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09" w:type="pct"/>
                  <w:tcBorders>
                    <w:top w:val="single" w:color="auto" w:sz="4" w:space="0"/>
                    <w:left w:val="single" w:color="auto" w:sz="4" w:space="0"/>
                    <w:bottom w:val="single" w:color="auto" w:sz="4" w:space="0"/>
                    <w:right w:val="nil"/>
                  </w:tcBorders>
                  <w:vAlign w:val="center"/>
                </w:tcPr>
                <w:p>
                  <w:pPr>
                    <w:jc w:val="center"/>
                    <w:rPr>
                      <w:szCs w:val="21"/>
                    </w:rPr>
                  </w:pPr>
                  <w:r>
                    <w:rPr>
                      <w:rFonts w:hint="eastAsia"/>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93" w:type="pct"/>
                  <w:vMerge w:val="continue"/>
                  <w:tcBorders>
                    <w:top w:val="single" w:color="auto" w:sz="4" w:space="0"/>
                    <w:left w:val="nil"/>
                    <w:bottom w:val="single" w:color="auto" w:sz="4" w:space="0"/>
                    <w:right w:val="single" w:color="auto" w:sz="4" w:space="0"/>
                  </w:tcBorders>
                  <w:vAlign w:val="center"/>
                </w:tcPr>
                <w:p>
                  <w:pPr>
                    <w:widowControl/>
                    <w:jc w:val="left"/>
                    <w:rPr>
                      <w:szCs w:val="21"/>
                    </w:rPr>
                  </w:pPr>
                </w:p>
              </w:tc>
              <w:tc>
                <w:tcPr>
                  <w:tcW w:w="711"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重金属污染</w:t>
                  </w:r>
                </w:p>
              </w:tc>
              <w:tc>
                <w:tcPr>
                  <w:tcW w:w="189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新乡县、凤泉区</w:t>
                  </w:r>
                </w:p>
                <w:p>
                  <w:pPr>
                    <w:jc w:val="center"/>
                    <w:rPr>
                      <w:szCs w:val="21"/>
                    </w:rPr>
                  </w:pPr>
                  <w:r>
                    <w:rPr>
                      <w:rFonts w:hint="eastAsia"/>
                      <w:szCs w:val="21"/>
                    </w:rPr>
                    <w:t>（铅镉污染控制区）</w:t>
                  </w:r>
                </w:p>
              </w:tc>
              <w:tc>
                <w:tcPr>
                  <w:tcW w:w="98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609" w:type="pct"/>
                  <w:tcBorders>
                    <w:top w:val="single" w:color="auto" w:sz="4" w:space="0"/>
                    <w:left w:val="single" w:color="auto" w:sz="4" w:space="0"/>
                    <w:bottom w:val="single" w:color="auto" w:sz="4" w:space="0"/>
                    <w:right w:val="nil"/>
                  </w:tcBorders>
                  <w:vAlign w:val="center"/>
                </w:tcPr>
                <w:p>
                  <w:pPr>
                    <w:jc w:val="center"/>
                    <w:rPr>
                      <w:szCs w:val="21"/>
                    </w:rPr>
                  </w:pPr>
                  <w:r>
                    <w:rPr>
                      <w:rFonts w:hint="eastAsia"/>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93" w:type="pct"/>
                  <w:tcBorders>
                    <w:top w:val="single" w:color="auto" w:sz="4" w:space="0"/>
                    <w:left w:val="nil"/>
                    <w:bottom w:val="single" w:color="auto" w:sz="8" w:space="0"/>
                    <w:right w:val="single" w:color="auto" w:sz="4" w:space="0"/>
                  </w:tcBorders>
                  <w:vAlign w:val="center"/>
                </w:tcPr>
                <w:p>
                  <w:pPr>
                    <w:jc w:val="center"/>
                    <w:rPr>
                      <w:szCs w:val="21"/>
                    </w:rPr>
                  </w:pPr>
                  <w:r>
                    <w:rPr>
                      <w:rFonts w:hint="eastAsia"/>
                      <w:szCs w:val="21"/>
                    </w:rPr>
                    <w:t>工业项目</w:t>
                  </w:r>
                </w:p>
                <w:p>
                  <w:pPr>
                    <w:jc w:val="center"/>
                    <w:rPr>
                      <w:szCs w:val="21"/>
                    </w:rPr>
                  </w:pPr>
                  <w:r>
                    <w:rPr>
                      <w:rFonts w:hint="eastAsia"/>
                      <w:szCs w:val="21"/>
                    </w:rPr>
                    <w:t>分类</w:t>
                  </w:r>
                </w:p>
              </w:tc>
              <w:tc>
                <w:tcPr>
                  <w:tcW w:w="2609" w:type="pct"/>
                  <w:gridSpan w:val="2"/>
                  <w:tcBorders>
                    <w:top w:val="single" w:color="auto" w:sz="4" w:space="0"/>
                    <w:left w:val="single" w:color="auto" w:sz="4" w:space="0"/>
                    <w:bottom w:val="single" w:color="auto" w:sz="8" w:space="0"/>
                    <w:right w:val="single" w:color="auto" w:sz="4" w:space="0"/>
                  </w:tcBorders>
                  <w:vAlign w:val="center"/>
                </w:tcPr>
                <w:p>
                  <w:pPr>
                    <w:jc w:val="center"/>
                    <w:rPr>
                      <w:szCs w:val="21"/>
                    </w:rPr>
                  </w:pPr>
                  <w:r>
                    <w:rPr>
                      <w:rFonts w:hint="eastAsia"/>
                      <w:szCs w:val="21"/>
                    </w:rPr>
                    <w:t>一类工业项目：机械、电子（不含电镀、喷涂工艺的机械制造；不含分割、焊接、有机溶剂清洗工艺的电子元件、集成电路等生产）；</w:t>
                  </w:r>
                </w:p>
              </w:tc>
              <w:tc>
                <w:tcPr>
                  <w:tcW w:w="986" w:type="pct"/>
                  <w:tcBorders>
                    <w:top w:val="single" w:color="auto" w:sz="4" w:space="0"/>
                    <w:left w:val="single" w:color="auto" w:sz="4" w:space="0"/>
                    <w:bottom w:val="single" w:color="auto" w:sz="8" w:space="0"/>
                    <w:right w:val="single" w:color="auto" w:sz="4" w:space="0"/>
                  </w:tcBorders>
                  <w:vAlign w:val="center"/>
                </w:tcPr>
                <w:p>
                  <w:pPr>
                    <w:rPr>
                      <w:szCs w:val="21"/>
                    </w:rPr>
                  </w:pPr>
                  <w:r>
                    <w:rPr>
                      <w:rFonts w:hint="eastAsia"/>
                      <w:color w:val="000000"/>
                      <w:szCs w:val="21"/>
                    </w:rPr>
                    <w:t>本项目为</w:t>
                  </w:r>
                  <w:r>
                    <w:rPr>
                      <w:color w:val="000000"/>
                      <w:szCs w:val="21"/>
                    </w:rPr>
                    <w:t>年产20套游乐设备项目</w:t>
                  </w:r>
                </w:p>
              </w:tc>
              <w:tc>
                <w:tcPr>
                  <w:tcW w:w="609" w:type="pct"/>
                  <w:tcBorders>
                    <w:top w:val="single" w:color="auto" w:sz="4" w:space="0"/>
                    <w:left w:val="single" w:color="auto" w:sz="4" w:space="0"/>
                    <w:bottom w:val="single" w:color="auto" w:sz="8" w:space="0"/>
                    <w:right w:val="nil"/>
                  </w:tcBorders>
                  <w:vAlign w:val="center"/>
                </w:tcPr>
                <w:p>
                  <w:pPr>
                    <w:jc w:val="center"/>
                    <w:rPr>
                      <w:szCs w:val="21"/>
                    </w:rPr>
                  </w:pPr>
                  <w:r>
                    <w:rPr>
                      <w:rFonts w:hint="eastAsia"/>
                      <w:szCs w:val="21"/>
                    </w:rPr>
                    <w:t>属于</w:t>
                  </w:r>
                </w:p>
              </w:tc>
            </w:tr>
          </w:tbl>
          <w:p>
            <w:pPr>
              <w:pStyle w:val="108"/>
              <w:adjustRightInd w:val="0"/>
              <w:snapToGrid w:val="0"/>
              <w:spacing w:line="400" w:lineRule="exact"/>
              <w:ind w:firstLine="480" w:firstLineChars="200"/>
              <w:rPr>
                <w:sz w:val="24"/>
                <w:szCs w:val="24"/>
              </w:rPr>
            </w:pPr>
            <w:r>
              <w:rPr>
                <w:sz w:val="24"/>
                <w:szCs w:val="24"/>
              </w:rPr>
              <w:t>由上表可知，本项目位于新乡县合河乡西河村老纸厂旧址院内，新乡县属于新乡市主体功能区的重点开发区域，故本项目所在地属于新乡市主体功能区的重点开发区域。对照新环[2015]342号文，本项目不在新乡市规定的工业准入优先区、城市人居功能区、农产品主产区和特殊环境敏感区等4个区域，根据文件要求，若项目所在地不在所列4种类型分区涵盖的区域，应参照农产品主产区的环境准入政策执行。与农产品主产区的环境准入政策要求相符性分析见下表：</w:t>
            </w:r>
          </w:p>
          <w:p>
            <w:pPr>
              <w:adjustRightInd w:val="0"/>
              <w:snapToGrid w:val="0"/>
              <w:spacing w:line="440" w:lineRule="exact"/>
              <w:ind w:firstLine="480" w:firstLineChars="200"/>
              <w:rPr>
                <w:rFonts w:eastAsia="黑体"/>
                <w:sz w:val="24"/>
                <w:lang w:val="pt-BR"/>
              </w:rPr>
            </w:pPr>
            <w:r>
              <w:rPr>
                <w:rFonts w:eastAsia="黑体"/>
                <w:sz w:val="24"/>
                <w:lang w:val="pt-BR"/>
              </w:rPr>
              <w:t>表8           项目与农产品主产区环境准入政策要求相符性分析</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4301"/>
              <w:gridCol w:w="2902"/>
              <w:gridCol w:w="145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op w:val="single" w:color="auto" w:sz="8" w:space="0"/>
                    <w:left w:val="nil"/>
                    <w:bottom w:val="single" w:color="auto" w:sz="8" w:space="0"/>
                    <w:right w:val="single" w:color="auto" w:sz="4" w:space="0"/>
                  </w:tcBorders>
                  <w:vAlign w:val="center"/>
                </w:tcPr>
                <w:p>
                  <w:pPr>
                    <w:adjustRightInd w:val="0"/>
                    <w:snapToGrid w:val="0"/>
                    <w:jc w:val="center"/>
                    <w:rPr>
                      <w:rFonts w:eastAsiaTheme="minorEastAsia"/>
                      <w:b/>
                      <w:bCs/>
                      <w:szCs w:val="21"/>
                    </w:rPr>
                  </w:pPr>
                  <w:r>
                    <w:rPr>
                      <w:rFonts w:eastAsiaTheme="minorEastAsia"/>
                      <w:b/>
                      <w:bCs/>
                      <w:szCs w:val="21"/>
                    </w:rPr>
                    <w:t>类别</w:t>
                  </w:r>
                </w:p>
              </w:tc>
              <w:tc>
                <w:tcPr>
                  <w:tcW w:w="2241"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bCs/>
                      <w:szCs w:val="21"/>
                    </w:rPr>
                  </w:pPr>
                  <w:r>
                    <w:rPr>
                      <w:rFonts w:eastAsiaTheme="minorEastAsia"/>
                      <w:b/>
                      <w:bCs/>
                      <w:szCs w:val="21"/>
                    </w:rPr>
                    <w:t>内容</w:t>
                  </w:r>
                </w:p>
              </w:tc>
              <w:tc>
                <w:tcPr>
                  <w:tcW w:w="1512"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bCs/>
                      <w:szCs w:val="21"/>
                    </w:rPr>
                  </w:pPr>
                  <w:r>
                    <w:rPr>
                      <w:rFonts w:eastAsiaTheme="minorEastAsia"/>
                      <w:b/>
                      <w:bCs/>
                      <w:szCs w:val="21"/>
                    </w:rPr>
                    <w:t>本项目情况</w:t>
                  </w:r>
                </w:p>
              </w:tc>
              <w:tc>
                <w:tcPr>
                  <w:tcW w:w="758" w:type="pct"/>
                  <w:tcBorders>
                    <w:top w:val="single" w:color="auto" w:sz="8" w:space="0"/>
                    <w:left w:val="single" w:color="auto" w:sz="4" w:space="0"/>
                    <w:bottom w:val="single" w:color="auto" w:sz="8" w:space="0"/>
                    <w:right w:val="nil"/>
                  </w:tcBorders>
                  <w:vAlign w:val="center"/>
                </w:tcPr>
                <w:p>
                  <w:pPr>
                    <w:adjustRightInd w:val="0"/>
                    <w:snapToGrid w:val="0"/>
                    <w:jc w:val="center"/>
                    <w:rPr>
                      <w:rFonts w:eastAsiaTheme="minorEastAsia"/>
                      <w:b/>
                      <w:bCs/>
                      <w:szCs w:val="21"/>
                    </w:rPr>
                  </w:pPr>
                  <w:r>
                    <w:rPr>
                      <w:rFonts w:eastAsiaTheme="minorEastAsia"/>
                      <w:b/>
                      <w:bCs/>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pct"/>
                  <w:tcBorders>
                    <w:top w:val="single" w:color="auto" w:sz="8" w:space="0"/>
                    <w:left w:val="nil"/>
                    <w:bottom w:val="single" w:color="auto" w:sz="8" w:space="0"/>
                    <w:right w:val="single" w:color="auto" w:sz="4" w:space="0"/>
                  </w:tcBorders>
                  <w:vAlign w:val="center"/>
                </w:tcPr>
                <w:p>
                  <w:pPr>
                    <w:adjustRightInd w:val="0"/>
                    <w:snapToGrid w:val="0"/>
                    <w:jc w:val="center"/>
                    <w:rPr>
                      <w:rFonts w:eastAsiaTheme="minorEastAsia"/>
                      <w:szCs w:val="21"/>
                    </w:rPr>
                  </w:pPr>
                  <w:r>
                    <w:rPr>
                      <w:rFonts w:eastAsiaTheme="minorEastAsia"/>
                      <w:szCs w:val="21"/>
                    </w:rPr>
                    <w:t>农产品主产区</w:t>
                  </w:r>
                </w:p>
              </w:tc>
              <w:tc>
                <w:tcPr>
                  <w:tcW w:w="2241" w:type="pct"/>
                  <w:tcBorders>
                    <w:top w:val="single" w:color="auto" w:sz="8" w:space="0"/>
                    <w:left w:val="single" w:color="auto" w:sz="4" w:space="0"/>
                    <w:bottom w:val="single" w:color="auto" w:sz="8" w:space="0"/>
                    <w:right w:val="single" w:color="auto" w:sz="4" w:space="0"/>
                  </w:tcBorders>
                  <w:vAlign w:val="center"/>
                </w:tcPr>
                <w:p>
                  <w:pPr>
                    <w:adjustRightInd w:val="0"/>
                    <w:snapToGrid w:val="0"/>
                    <w:rPr>
                      <w:rFonts w:eastAsiaTheme="minorEastAsia"/>
                      <w:szCs w:val="21"/>
                    </w:rPr>
                  </w:pPr>
                  <w:r>
                    <w:rPr>
                      <w:rFonts w:eastAsiaTheme="minorEastAsia"/>
                      <w:szCs w:val="21"/>
                    </w:rPr>
                    <w:t>环境准入政策：</w:t>
                  </w:r>
                </w:p>
                <w:p>
                  <w:pPr>
                    <w:adjustRightInd w:val="0"/>
                    <w:snapToGrid w:val="0"/>
                    <w:rPr>
                      <w:rFonts w:eastAsiaTheme="minorEastAsia"/>
                      <w:szCs w:val="21"/>
                    </w:rPr>
                  </w:pPr>
                  <w:r>
                    <w:rPr>
                      <w:rFonts w:eastAsiaTheme="minorEastAsia"/>
                      <w:szCs w:val="21"/>
                    </w:rPr>
                    <w:t>1.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p>
                  <w:pPr>
                    <w:numPr>
                      <w:ilvl w:val="0"/>
                      <w:numId w:val="2"/>
                    </w:numPr>
                    <w:adjustRightInd w:val="0"/>
                    <w:snapToGrid w:val="0"/>
                    <w:rPr>
                      <w:rFonts w:eastAsiaTheme="minorEastAsia"/>
                      <w:szCs w:val="21"/>
                    </w:rPr>
                  </w:pPr>
                  <w:r>
                    <w:rPr>
                      <w:rFonts w:eastAsiaTheme="minorEastAsia"/>
                      <w:szCs w:val="21"/>
                    </w:rPr>
                    <w:t>严控重污染项目。不予审批《工业项目分类清单》中三类工业的新建项目和涉及重金属、持久性有机污染物排放等影响粮食生产安全的二类工业新建项目（矿产资源点状开发项目和符合省、市重大产业布局的项目除外）。</w:t>
                  </w:r>
                </w:p>
                <w:p>
                  <w:pPr>
                    <w:numPr>
                      <w:ilvl w:val="0"/>
                      <w:numId w:val="2"/>
                    </w:numPr>
                    <w:shd w:val="clear" w:color="auto" w:fill="FFFFFF"/>
                    <w:adjustRightInd w:val="0"/>
                    <w:snapToGrid w:val="0"/>
                    <w:rPr>
                      <w:rFonts w:eastAsiaTheme="minorEastAsia"/>
                      <w:szCs w:val="21"/>
                    </w:rPr>
                  </w:pPr>
                  <w:r>
                    <w:rPr>
                      <w:rFonts w:eastAsiaTheme="minorEastAsia"/>
                      <w:szCs w:val="21"/>
                    </w:rPr>
                    <w:t>严控部分区域重污染项目。在《水污染防治重点单元》区域内不予审批屠宰、酿造、含发酵工艺的粮食加工等废水排放量大且废水无法进入集中式污水处理厂处理的项目。</w:t>
                  </w:r>
                </w:p>
              </w:tc>
              <w:tc>
                <w:tcPr>
                  <w:tcW w:w="1512" w:type="pct"/>
                  <w:tcBorders>
                    <w:top w:val="single" w:color="auto" w:sz="8" w:space="0"/>
                    <w:left w:val="single" w:color="auto" w:sz="4" w:space="0"/>
                    <w:bottom w:val="single" w:color="auto" w:sz="8" w:space="0"/>
                    <w:right w:val="single" w:color="auto" w:sz="4" w:space="0"/>
                  </w:tcBorders>
                  <w:vAlign w:val="center"/>
                </w:tcPr>
                <w:p>
                  <w:pPr>
                    <w:adjustRightInd w:val="0"/>
                    <w:snapToGrid w:val="0"/>
                    <w:ind w:firstLine="420" w:firstLineChars="200"/>
                    <w:jc w:val="left"/>
                    <w:rPr>
                      <w:rFonts w:eastAsiaTheme="minorEastAsia"/>
                      <w:szCs w:val="21"/>
                    </w:rPr>
                  </w:pPr>
                  <w:r>
                    <w:rPr>
                      <w:rFonts w:eastAsiaTheme="minorEastAsia"/>
                      <w:szCs w:val="21"/>
                    </w:rPr>
                    <w:t>1</w:t>
                  </w:r>
                  <w:r>
                    <w:rPr>
                      <w:rFonts w:hAnsiTheme="minorEastAsia" w:eastAsiaTheme="minorEastAsia"/>
                      <w:szCs w:val="21"/>
                    </w:rPr>
                    <w:t>、本项目应编制环境影响报告表。</w:t>
                  </w:r>
                </w:p>
                <w:p>
                  <w:pPr>
                    <w:pStyle w:val="108"/>
                    <w:adjustRightInd w:val="0"/>
                    <w:snapToGrid w:val="0"/>
                    <w:ind w:firstLine="420" w:firstLineChars="200"/>
                    <w:jc w:val="left"/>
                    <w:rPr>
                      <w:rFonts w:eastAsiaTheme="minorEastAsia"/>
                      <w:sz w:val="21"/>
                      <w:szCs w:val="21"/>
                    </w:rPr>
                  </w:pPr>
                  <w:r>
                    <w:rPr>
                      <w:rFonts w:eastAsiaTheme="minorEastAsia"/>
                      <w:sz w:val="21"/>
                      <w:szCs w:val="21"/>
                    </w:rPr>
                    <w:t>2</w:t>
                  </w:r>
                  <w:r>
                    <w:rPr>
                      <w:rFonts w:hAnsiTheme="minorEastAsia" w:eastAsiaTheme="minorEastAsia"/>
                      <w:sz w:val="21"/>
                      <w:szCs w:val="21"/>
                    </w:rPr>
                    <w:t>、本项目属于</w:t>
                  </w:r>
                  <w:r>
                    <w:rPr>
                      <w:rFonts w:hint="eastAsia" w:hAnsiTheme="minorEastAsia" w:eastAsiaTheme="minorEastAsia"/>
                      <w:sz w:val="21"/>
                      <w:szCs w:val="21"/>
                    </w:rPr>
                    <w:t>紧固件制造</w:t>
                  </w:r>
                  <w:r>
                    <w:rPr>
                      <w:rFonts w:hAnsiTheme="minorEastAsia" w:eastAsiaTheme="minorEastAsia"/>
                      <w:sz w:val="21"/>
                      <w:szCs w:val="21"/>
                    </w:rPr>
                    <w:t>；属于一类工业新建项目。</w:t>
                  </w:r>
                </w:p>
                <w:p>
                  <w:pPr>
                    <w:adjustRightInd w:val="0"/>
                    <w:snapToGrid w:val="0"/>
                    <w:ind w:firstLine="420" w:firstLineChars="200"/>
                    <w:rPr>
                      <w:rFonts w:eastAsiaTheme="minorEastAsia"/>
                      <w:szCs w:val="21"/>
                    </w:rPr>
                  </w:pPr>
                  <w:r>
                    <w:rPr>
                      <w:rFonts w:eastAsiaTheme="minorEastAsia"/>
                      <w:szCs w:val="21"/>
                    </w:rPr>
                    <w:t>3</w:t>
                  </w:r>
                  <w:r>
                    <w:rPr>
                      <w:rFonts w:hAnsiTheme="minorEastAsia" w:eastAsiaTheme="minorEastAsia"/>
                      <w:szCs w:val="21"/>
                    </w:rPr>
                    <w:t>、本项目</w:t>
                  </w:r>
                  <w:r>
                    <w:rPr>
                      <w:rFonts w:hint="eastAsia" w:hAnsiTheme="minorEastAsia" w:eastAsiaTheme="minorEastAsia"/>
                      <w:szCs w:val="21"/>
                      <w:lang w:eastAsia="zh-CN"/>
                    </w:rPr>
                    <w:t>在</w:t>
                  </w:r>
                  <w:r>
                    <w:rPr>
                      <w:rFonts w:hAnsiTheme="minorEastAsia" w:eastAsiaTheme="minorEastAsia"/>
                      <w:kern w:val="0"/>
                      <w:szCs w:val="21"/>
                    </w:rPr>
                    <w:t>《水污染防治重点单元》区域内</w:t>
                  </w:r>
                  <w:r>
                    <w:rPr>
                      <w:rFonts w:hint="eastAsia" w:hAnsiTheme="minorEastAsia" w:eastAsiaTheme="minorEastAsia"/>
                      <w:kern w:val="0"/>
                      <w:szCs w:val="21"/>
                      <w:lang w:eastAsia="zh-CN"/>
                    </w:rPr>
                    <w:t>，但不属于</w:t>
                  </w:r>
                  <w:r>
                    <w:rPr>
                      <w:rFonts w:hAnsiTheme="minorEastAsia" w:eastAsiaTheme="minorEastAsia"/>
                      <w:kern w:val="0"/>
                      <w:szCs w:val="21"/>
                    </w:rPr>
                    <w:t>煤化工、化学合成药以及生物发酵制药、制浆造纸、制革及毛皮鞣制、印染等行业单纯新建和单纯扩大产能的项目；</w:t>
                  </w:r>
                  <w:r>
                    <w:rPr>
                      <w:rFonts w:hAnsiTheme="minorEastAsia" w:eastAsiaTheme="minorEastAsia"/>
                      <w:szCs w:val="21"/>
                    </w:rPr>
                    <w:t>不属于</w:t>
                  </w:r>
                  <w:r>
                    <w:rPr>
                      <w:rFonts w:hAnsiTheme="minorEastAsia" w:eastAsiaTheme="minorEastAsia"/>
                      <w:kern w:val="0"/>
                      <w:szCs w:val="21"/>
                    </w:rPr>
                    <w:t>《大气污染防治重点单元》区域内：燃煤火电项目，煤化工、冶金、钢铁、铁合金等行业单纯新建和单纯扩大产能的项目；</w:t>
                  </w:r>
                  <w:r>
                    <w:rPr>
                      <w:rFonts w:hAnsiTheme="minorEastAsia" w:eastAsiaTheme="minorEastAsia"/>
                      <w:szCs w:val="21"/>
                    </w:rPr>
                    <w:t>属于</w:t>
                  </w:r>
                  <w:r>
                    <w:rPr>
                      <w:rFonts w:hAnsiTheme="minorEastAsia" w:eastAsiaTheme="minorEastAsia"/>
                      <w:kern w:val="0"/>
                      <w:szCs w:val="21"/>
                    </w:rPr>
                    <w:t>《重金属污染防控单元》防控区域内</w:t>
                  </w:r>
                  <w:r>
                    <w:rPr>
                      <w:rFonts w:hint="eastAsia" w:hAnsiTheme="minorEastAsia" w:eastAsiaTheme="minorEastAsia"/>
                      <w:kern w:val="0"/>
                      <w:szCs w:val="21"/>
                      <w:lang w:eastAsia="zh-CN"/>
                    </w:rPr>
                    <w:t>，但不</w:t>
                  </w:r>
                  <w:r>
                    <w:rPr>
                      <w:rFonts w:hAnsiTheme="minorEastAsia" w:eastAsiaTheme="minorEastAsia"/>
                      <w:kern w:val="0"/>
                      <w:szCs w:val="21"/>
                    </w:rPr>
                    <w:t>涉及铅、铬、镉、汞、砷等重金属污染物排放的相关项目。</w:t>
                  </w:r>
                </w:p>
              </w:tc>
              <w:tc>
                <w:tcPr>
                  <w:tcW w:w="758" w:type="pct"/>
                  <w:tcBorders>
                    <w:top w:val="single" w:color="auto" w:sz="8" w:space="0"/>
                    <w:left w:val="single" w:color="auto" w:sz="4" w:space="0"/>
                    <w:bottom w:val="single" w:color="auto" w:sz="8" w:space="0"/>
                    <w:right w:val="nil"/>
                  </w:tcBorders>
                  <w:vAlign w:val="center"/>
                </w:tcPr>
                <w:p>
                  <w:pPr>
                    <w:adjustRightInd w:val="0"/>
                    <w:snapToGrid w:val="0"/>
                    <w:jc w:val="center"/>
                    <w:rPr>
                      <w:rFonts w:eastAsiaTheme="minorEastAsia"/>
                      <w:szCs w:val="21"/>
                    </w:rPr>
                  </w:pPr>
                  <w:r>
                    <w:rPr>
                      <w:rFonts w:eastAsiaTheme="minorEastAsia"/>
                      <w:szCs w:val="21"/>
                    </w:rPr>
                    <w:t>符合环境准入条件</w:t>
                  </w:r>
                </w:p>
              </w:tc>
            </w:tr>
          </w:tbl>
          <w:p>
            <w:pPr>
              <w:adjustRightInd w:val="0"/>
              <w:snapToGrid w:val="0"/>
              <w:spacing w:line="440" w:lineRule="exact"/>
              <w:ind w:firstLine="480" w:firstLineChars="200"/>
              <w:rPr>
                <w:rFonts w:eastAsiaTheme="minorEastAsia"/>
                <w:sz w:val="24"/>
              </w:rPr>
            </w:pPr>
            <w:r>
              <w:rPr>
                <w:rFonts w:eastAsiaTheme="minorEastAsia"/>
                <w:sz w:val="24"/>
              </w:rPr>
              <w:t>由表8可知，本项目不属于新环[2015]342号中所列不予审批的项目，符合审批条件。</w:t>
            </w:r>
          </w:p>
          <w:p>
            <w:pPr>
              <w:adjustRightInd w:val="0"/>
              <w:snapToGrid w:val="0"/>
              <w:spacing w:line="440" w:lineRule="exact"/>
              <w:ind w:firstLine="482" w:firstLineChars="200"/>
              <w:rPr>
                <w:rFonts w:eastAsiaTheme="minorEastAsia"/>
                <w:b/>
                <w:bCs/>
                <w:sz w:val="24"/>
              </w:rPr>
            </w:pPr>
            <w:r>
              <w:rPr>
                <w:rFonts w:eastAsiaTheme="minorEastAsia"/>
                <w:b/>
                <w:bCs/>
                <w:sz w:val="24"/>
              </w:rPr>
              <w:t>8、本项目与相关文件的对照分析见</w:t>
            </w:r>
            <w:r>
              <w:rPr>
                <w:rFonts w:hint="eastAsia" w:eastAsiaTheme="minorEastAsia"/>
                <w:b/>
                <w:bCs/>
                <w:sz w:val="24"/>
              </w:rPr>
              <w:t>下</w:t>
            </w:r>
            <w:r>
              <w:rPr>
                <w:rFonts w:eastAsiaTheme="minorEastAsia"/>
                <w:b/>
                <w:bCs/>
                <w:sz w:val="24"/>
              </w:rPr>
              <w:t>表：</w:t>
            </w:r>
          </w:p>
          <w:p>
            <w:pPr>
              <w:adjustRightInd w:val="0"/>
              <w:snapToGrid w:val="0"/>
              <w:spacing w:line="440" w:lineRule="exact"/>
              <w:ind w:firstLine="480" w:firstLineChars="200"/>
              <w:rPr>
                <w:rFonts w:eastAsia="黑体"/>
                <w:sz w:val="24"/>
                <w:lang w:val="pt-BR"/>
              </w:rPr>
            </w:pPr>
          </w:p>
          <w:p>
            <w:pPr>
              <w:adjustRightInd w:val="0"/>
              <w:snapToGrid w:val="0"/>
              <w:spacing w:line="440" w:lineRule="exact"/>
              <w:ind w:firstLine="480" w:firstLineChars="200"/>
              <w:rPr>
                <w:rFonts w:eastAsia="黑体"/>
                <w:sz w:val="24"/>
                <w:lang w:val="pt-BR"/>
              </w:rPr>
            </w:pPr>
            <w:r>
              <w:rPr>
                <w:rFonts w:eastAsia="黑体"/>
                <w:sz w:val="24"/>
                <w:lang w:val="pt-BR"/>
              </w:rPr>
              <w:t>表9              项目与相关文件的相符性对照分析一览表</w:t>
            </w:r>
          </w:p>
          <w:tbl>
            <w:tblPr>
              <w:tblStyle w:val="30"/>
              <w:tblW w:w="959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5735"/>
              <w:gridCol w:w="1420"/>
              <w:gridCol w:w="9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9" w:type="pct"/>
                  <w:tcBorders>
                    <w:top w:val="single" w:color="auto" w:sz="8" w:space="0"/>
                    <w:bottom w:val="single" w:color="auto" w:sz="8" w:space="0"/>
                  </w:tcBorders>
                  <w:vAlign w:val="center"/>
                </w:tcPr>
                <w:p>
                  <w:pPr>
                    <w:adjustRightInd w:val="0"/>
                    <w:snapToGrid w:val="0"/>
                    <w:jc w:val="center"/>
                    <w:rPr>
                      <w:rFonts w:eastAsiaTheme="minorEastAsia"/>
                      <w:b/>
                      <w:bCs/>
                      <w:szCs w:val="21"/>
                    </w:rPr>
                  </w:pPr>
                  <w:r>
                    <w:rPr>
                      <w:rFonts w:eastAsiaTheme="minorEastAsia"/>
                      <w:b/>
                      <w:bCs/>
                      <w:szCs w:val="21"/>
                    </w:rPr>
                    <w:t>文件名称</w:t>
                  </w:r>
                </w:p>
              </w:tc>
              <w:tc>
                <w:tcPr>
                  <w:tcW w:w="2989" w:type="pct"/>
                  <w:tcBorders>
                    <w:top w:val="single" w:color="auto" w:sz="8" w:space="0"/>
                    <w:bottom w:val="single" w:color="auto" w:sz="8" w:space="0"/>
                  </w:tcBorders>
                  <w:vAlign w:val="center"/>
                </w:tcPr>
                <w:p>
                  <w:pPr>
                    <w:adjustRightInd w:val="0"/>
                    <w:snapToGrid w:val="0"/>
                    <w:jc w:val="center"/>
                    <w:rPr>
                      <w:rFonts w:eastAsiaTheme="minorEastAsia"/>
                      <w:b/>
                      <w:bCs/>
                      <w:szCs w:val="21"/>
                    </w:rPr>
                  </w:pPr>
                  <w:r>
                    <w:rPr>
                      <w:rFonts w:eastAsiaTheme="minorEastAsia"/>
                      <w:b/>
                      <w:bCs/>
                      <w:szCs w:val="21"/>
                    </w:rPr>
                    <w:t>与本项目相关条文</w:t>
                  </w:r>
                </w:p>
              </w:tc>
              <w:tc>
                <w:tcPr>
                  <w:tcW w:w="740" w:type="pct"/>
                  <w:tcBorders>
                    <w:top w:val="single" w:color="auto" w:sz="8" w:space="0"/>
                    <w:bottom w:val="single" w:color="auto" w:sz="8" w:space="0"/>
                  </w:tcBorders>
                  <w:vAlign w:val="center"/>
                </w:tcPr>
                <w:p>
                  <w:pPr>
                    <w:adjustRightInd w:val="0"/>
                    <w:snapToGrid w:val="0"/>
                    <w:jc w:val="center"/>
                    <w:rPr>
                      <w:rFonts w:eastAsiaTheme="minorEastAsia"/>
                      <w:b/>
                      <w:bCs/>
                      <w:szCs w:val="21"/>
                    </w:rPr>
                  </w:pPr>
                  <w:r>
                    <w:rPr>
                      <w:rFonts w:eastAsiaTheme="minorEastAsia"/>
                      <w:b/>
                      <w:bCs/>
                      <w:szCs w:val="21"/>
                    </w:rPr>
                    <w:t>本项目情况</w:t>
                  </w:r>
                </w:p>
              </w:tc>
              <w:tc>
                <w:tcPr>
                  <w:tcW w:w="502" w:type="pct"/>
                  <w:tcBorders>
                    <w:top w:val="single" w:color="auto" w:sz="8" w:space="0"/>
                    <w:bottom w:val="single" w:color="auto" w:sz="8" w:space="0"/>
                  </w:tcBorders>
                  <w:vAlign w:val="center"/>
                </w:tcPr>
                <w:p>
                  <w:pPr>
                    <w:adjustRightInd w:val="0"/>
                    <w:snapToGrid w:val="0"/>
                    <w:jc w:val="center"/>
                    <w:rPr>
                      <w:rFonts w:eastAsiaTheme="minorEastAsia"/>
                      <w:b/>
                      <w:bCs/>
                      <w:szCs w:val="21"/>
                    </w:rPr>
                  </w:pPr>
                  <w:r>
                    <w:rPr>
                      <w:rFonts w:eastAsiaTheme="minorEastAsia"/>
                      <w:b/>
                      <w:bCs/>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9" w:type="pct"/>
                  <w:tcBorders>
                    <w:tl2br w:val="nil"/>
                    <w:tr2bl w:val="nil"/>
                  </w:tcBorders>
                  <w:vAlign w:val="center"/>
                </w:tcPr>
                <w:p>
                  <w:pPr>
                    <w:adjustRightInd w:val="0"/>
                    <w:snapToGrid w:val="0"/>
                    <w:jc w:val="center"/>
                    <w:rPr>
                      <w:rFonts w:eastAsiaTheme="minorEastAsia"/>
                      <w:szCs w:val="21"/>
                    </w:rPr>
                  </w:pPr>
                  <w:r>
                    <w:rPr>
                      <w:rFonts w:hint="eastAsia" w:eastAsiaTheme="minorEastAsia"/>
                      <w:szCs w:val="21"/>
                    </w:rPr>
                    <w:t>《新乡市2020年大气、水、土壤污染防治攻坚战实施方案》（新环攻坚办[2020]10号）</w:t>
                  </w:r>
                </w:p>
              </w:tc>
              <w:tc>
                <w:tcPr>
                  <w:tcW w:w="2989" w:type="pct"/>
                  <w:tcBorders>
                    <w:tl2br w:val="nil"/>
                    <w:tr2bl w:val="nil"/>
                  </w:tcBorders>
                  <w:vAlign w:val="center"/>
                </w:tcPr>
                <w:p>
                  <w:pPr>
                    <w:adjustRightInd w:val="0"/>
                    <w:snapToGrid w:val="0"/>
                    <w:rPr>
                      <w:bCs/>
                      <w:szCs w:val="21"/>
                    </w:rPr>
                  </w:pPr>
                  <w:r>
                    <w:rPr>
                      <w:bCs/>
                      <w:szCs w:val="21"/>
                    </w:rPr>
                    <w:t>5.</w:t>
                  </w:r>
                  <w:r>
                    <w:rPr>
                      <w:rFonts w:hint="eastAsia"/>
                      <w:bCs/>
                      <w:szCs w:val="21"/>
                    </w:rPr>
                    <w:t>严格新建项目准入管理：加强区域、流域规划环评管理，强化对项目环评的指导和约束，逐步构建起“三线一单”为空间管控基础、项目环评为环境准入把关、排污许可为企业运行守法依据的管理新框架，从源头预防环境污染和生态破坏。全市原则上禁止新增钢铁、电解铝、水泥、玻璃、传统煤化工（甲醇、合成氨）、焦化、铸造、铝用炭素、砖瓦窑、耐火材料等行业产能，原则上禁止新建燃料类煤气发生炉和</w:t>
                  </w:r>
                  <w:r>
                    <w:rPr>
                      <w:bCs/>
                      <w:szCs w:val="21"/>
                    </w:rPr>
                    <w:t>35</w:t>
                  </w:r>
                  <w:r>
                    <w:rPr>
                      <w:rFonts w:hint="eastAsia"/>
                      <w:bCs/>
                      <w:szCs w:val="21"/>
                    </w:rPr>
                    <w:t>蒸吨</w:t>
                  </w:r>
                  <w:r>
                    <w:rPr>
                      <w:bCs/>
                      <w:szCs w:val="21"/>
                    </w:rPr>
                    <w:t>/</w:t>
                  </w:r>
                  <w:r>
                    <w:rPr>
                      <w:rFonts w:hint="eastAsia"/>
                      <w:bCs/>
                      <w:szCs w:val="21"/>
                    </w:rPr>
                    <w:t>时及以下燃煤锅炉。对水泥、玻璃等行业严格落实国家、省、市有关产能置换规定，新建涉工业炉窑的建设项目，应进入园区，配套建设高效环保治理设施。</w:t>
                  </w:r>
                </w:p>
                <w:p>
                  <w:pPr>
                    <w:pStyle w:val="2"/>
                    <w:spacing w:before="0" w:after="0" w:line="240" w:lineRule="auto"/>
                    <w:ind w:left="0" w:firstLine="0"/>
                    <w:jc w:val="both"/>
                    <w:rPr>
                      <w:rFonts w:eastAsia="宋体"/>
                      <w:b w:val="0"/>
                      <w:bCs/>
                      <w:kern w:val="2"/>
                      <w:sz w:val="21"/>
                      <w:szCs w:val="21"/>
                    </w:rPr>
                  </w:pPr>
                  <w:r>
                    <w:rPr>
                      <w:rFonts w:hint="eastAsia" w:eastAsia="宋体"/>
                      <w:b w:val="0"/>
                      <w:bCs/>
                      <w:kern w:val="2"/>
                      <w:sz w:val="21"/>
                      <w:szCs w:val="21"/>
                    </w:rPr>
                    <w:t>6.加快排污许可管理：深入实施固定污染源排污许可清理整顿工作，全面摸清</w:t>
                  </w:r>
                  <w:r>
                    <w:rPr>
                      <w:rFonts w:eastAsia="宋体"/>
                      <w:b w:val="0"/>
                      <w:bCs/>
                      <w:kern w:val="2"/>
                      <w:sz w:val="21"/>
                      <w:szCs w:val="21"/>
                    </w:rPr>
                    <w:t>2017-2019</w:t>
                  </w:r>
                  <w:r>
                    <w:rPr>
                      <w:rFonts w:hint="eastAsia" w:eastAsia="宋体"/>
                      <w:b w:val="0"/>
                      <w:bCs/>
                      <w:kern w:val="2"/>
                      <w:sz w:val="21"/>
                      <w:szCs w:val="21"/>
                    </w:rPr>
                    <w:t>年排污许可证核发的重点行业排污单位情况，核准固定污染源底数，清理无证排污单位，实行登记管理，做到应发尽发。</w:t>
                  </w:r>
                  <w:r>
                    <w:rPr>
                      <w:rFonts w:eastAsia="宋体"/>
                      <w:b w:val="0"/>
                      <w:bCs/>
                      <w:kern w:val="2"/>
                      <w:sz w:val="21"/>
                      <w:szCs w:val="21"/>
                    </w:rPr>
                    <w:t>2020</w:t>
                  </w:r>
                  <w:r>
                    <w:rPr>
                      <w:rFonts w:hint="eastAsia" w:eastAsia="宋体"/>
                      <w:b w:val="0"/>
                      <w:bCs/>
                      <w:kern w:val="2"/>
                      <w:sz w:val="21"/>
                      <w:szCs w:val="21"/>
                    </w:rPr>
                    <w:t>年底前，所有固定污染源全部纳入排污许可管理。严格依证监管，规范排污行为，加大执法处罚力度，对无证排污单位，依法严厉查处。</w:t>
                  </w:r>
                </w:p>
              </w:tc>
              <w:tc>
                <w:tcPr>
                  <w:tcW w:w="740" w:type="pct"/>
                  <w:tcBorders>
                    <w:tl2br w:val="nil"/>
                    <w:tr2bl w:val="nil"/>
                  </w:tcBorders>
                  <w:vAlign w:val="center"/>
                </w:tcPr>
                <w:p>
                  <w:pPr>
                    <w:adjustRightInd w:val="0"/>
                    <w:snapToGrid w:val="0"/>
                    <w:jc w:val="left"/>
                  </w:pPr>
                  <w:r>
                    <w:rPr>
                      <w:rFonts w:hint="eastAsia"/>
                      <w:bCs/>
                      <w:szCs w:val="21"/>
                    </w:rPr>
                    <w:t>本项目不属于钢铁、电解铝、水泥、玻璃、传统煤化工（甲醇、合成氨）、焦化、铸造、铝用炭素、砖瓦窑、耐火材料，无锅炉和工业炉窑。本项目属于新建项目，将根据要求及时办理排污许可证。</w:t>
                  </w:r>
                </w:p>
              </w:tc>
              <w:tc>
                <w:tcPr>
                  <w:tcW w:w="502" w:type="pct"/>
                  <w:tcBorders>
                    <w:tl2br w:val="nil"/>
                    <w:tr2bl w:val="nil"/>
                  </w:tcBorders>
                  <w:vAlign w:val="center"/>
                </w:tcPr>
                <w:p>
                  <w:pPr>
                    <w:adjustRightInd w:val="0"/>
                    <w:snapToGrid w:val="0"/>
                    <w:jc w:val="center"/>
                    <w:rPr>
                      <w:rFonts w:eastAsiaTheme="minorEastAsia"/>
                      <w:szCs w:val="21"/>
                    </w:rPr>
                  </w:pPr>
                  <w:r>
                    <w:rPr>
                      <w:rFonts w:eastAsiaTheme="minorEastAsia"/>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9" w:type="pct"/>
                  <w:vMerge w:val="restart"/>
                  <w:tcBorders>
                    <w:tl2br w:val="nil"/>
                    <w:tr2bl w:val="nil"/>
                  </w:tcBorders>
                  <w:vAlign w:val="center"/>
                </w:tcPr>
                <w:p>
                  <w:pPr>
                    <w:adjustRightInd w:val="0"/>
                    <w:snapToGrid w:val="0"/>
                    <w:jc w:val="center"/>
                    <w:rPr>
                      <w:rFonts w:eastAsiaTheme="minorEastAsia"/>
                      <w:szCs w:val="21"/>
                    </w:rPr>
                  </w:pPr>
                  <w:r>
                    <w:rPr>
                      <w:rFonts w:eastAsiaTheme="minorEastAsia"/>
                      <w:szCs w:val="21"/>
                    </w:rPr>
                    <w:t>《新乡市生态环境局关于印发新乡市2019年工业企业无组织排放治理方案的通知》</w:t>
                  </w:r>
                </w:p>
              </w:tc>
              <w:tc>
                <w:tcPr>
                  <w:tcW w:w="2989" w:type="pct"/>
                  <w:tcBorders>
                    <w:tl2br w:val="nil"/>
                    <w:tr2bl w:val="nil"/>
                  </w:tcBorders>
                  <w:vAlign w:val="center"/>
                </w:tcPr>
                <w:p>
                  <w:pPr>
                    <w:adjustRightInd w:val="0"/>
                    <w:snapToGrid w:val="0"/>
                    <w:rPr>
                      <w:rFonts w:eastAsiaTheme="minorEastAsia"/>
                      <w:szCs w:val="21"/>
                    </w:rPr>
                  </w:pPr>
                  <w:r>
                    <w:rPr>
                      <w:rFonts w:eastAsiaTheme="minorEastAsia"/>
                      <w:szCs w:val="21"/>
                    </w:rPr>
                    <w:t>6.</w:t>
                  </w:r>
                  <w:r>
                    <w:rPr>
                      <w:rFonts w:hint="eastAsia" w:eastAsiaTheme="minorEastAsia"/>
                      <w:szCs w:val="21"/>
                    </w:rPr>
                    <w:t>2气态污染物无组织排放控制措施</w:t>
                  </w:r>
                </w:p>
                <w:p>
                  <w:pPr>
                    <w:adjustRightInd w:val="0"/>
                    <w:snapToGrid w:val="0"/>
                    <w:rPr>
                      <w:rFonts w:eastAsiaTheme="minorEastAsia"/>
                      <w:szCs w:val="21"/>
                    </w:rPr>
                  </w:pPr>
                  <w:r>
                    <w:rPr>
                      <w:rFonts w:hint="eastAsia" w:eastAsiaTheme="minorEastAsia"/>
                      <w:szCs w:val="21"/>
                    </w:rPr>
                    <w:t>6.2.3电焊烟气，等离子、火焰切割烟气</w:t>
                  </w:r>
                </w:p>
                <w:p>
                  <w:pPr>
                    <w:adjustRightInd w:val="0"/>
                    <w:snapToGrid w:val="0"/>
                    <w:rPr>
                      <w:rFonts w:eastAsiaTheme="minorEastAsia"/>
                      <w:szCs w:val="21"/>
                    </w:rPr>
                  </w:pPr>
                  <w:r>
                    <w:rPr>
                      <w:rFonts w:hint="eastAsia" w:eastAsiaTheme="minorEastAsia"/>
                      <w:szCs w:val="21"/>
                    </w:rPr>
                    <w:t>机械生产企业电焊工位必须固定，不得随意变更。电焊烟气采用顶吸式或侧吸式集气罩收集，经过滤式除尘器处理。维修使用的电焊设施可使用简易移动式烟气处理设备。</w:t>
                  </w:r>
                </w:p>
                <w:p>
                  <w:pPr>
                    <w:adjustRightInd w:val="0"/>
                    <w:snapToGrid w:val="0"/>
                    <w:rPr>
                      <w:rFonts w:eastAsiaTheme="minorEastAsia"/>
                      <w:szCs w:val="21"/>
                    </w:rPr>
                  </w:pPr>
                  <w:r>
                    <w:rPr>
                      <w:rFonts w:hint="eastAsia" w:eastAsiaTheme="minorEastAsia"/>
                      <w:szCs w:val="21"/>
                    </w:rPr>
                    <w:t>钢材等离子、火焰切割烟气优先采用底部烟气收集，无法安装底部烟气收集设施的必须配套移动式集气罩收集烟气，并进行除尘处理。</w:t>
                  </w:r>
                </w:p>
              </w:tc>
              <w:tc>
                <w:tcPr>
                  <w:tcW w:w="740" w:type="pct"/>
                  <w:tcBorders>
                    <w:tl2br w:val="nil"/>
                    <w:tr2bl w:val="nil"/>
                  </w:tcBorders>
                  <w:vAlign w:val="center"/>
                </w:tcPr>
                <w:p>
                  <w:pPr>
                    <w:adjustRightInd w:val="0"/>
                    <w:snapToGrid w:val="0"/>
                    <w:jc w:val="left"/>
                    <w:rPr>
                      <w:rFonts w:eastAsiaTheme="minorEastAsia"/>
                      <w:szCs w:val="21"/>
                    </w:rPr>
                  </w:pPr>
                  <w:r>
                    <w:rPr>
                      <w:rFonts w:eastAsiaTheme="minorEastAsia"/>
                      <w:szCs w:val="21"/>
                    </w:rPr>
                    <w:t>本项目设置</w:t>
                  </w:r>
                  <w:r>
                    <w:rPr>
                      <w:rFonts w:hint="eastAsia" w:eastAsiaTheme="minorEastAsia"/>
                      <w:szCs w:val="21"/>
                    </w:rPr>
                    <w:t>固定</w:t>
                  </w:r>
                  <w:r>
                    <w:rPr>
                      <w:rFonts w:eastAsiaTheme="minorEastAsia"/>
                      <w:szCs w:val="21"/>
                    </w:rPr>
                    <w:t>的焊接</w:t>
                  </w:r>
                  <w:r>
                    <w:rPr>
                      <w:rFonts w:hint="eastAsia" w:eastAsiaTheme="minorEastAsia"/>
                      <w:szCs w:val="21"/>
                    </w:rPr>
                    <w:t>工位</w:t>
                  </w:r>
                  <w:r>
                    <w:rPr>
                      <w:rFonts w:eastAsiaTheme="minorEastAsia"/>
                      <w:szCs w:val="21"/>
                    </w:rPr>
                    <w:t>和切割工位，</w:t>
                  </w:r>
                  <w:r>
                    <w:rPr>
                      <w:rFonts w:hint="eastAsia" w:eastAsiaTheme="minorEastAsia"/>
                      <w:szCs w:val="21"/>
                    </w:rPr>
                    <w:t>采用</w:t>
                  </w:r>
                  <w:r>
                    <w:rPr>
                      <w:rFonts w:eastAsiaTheme="minorEastAsia"/>
                      <w:szCs w:val="21"/>
                    </w:rPr>
                    <w:t>集气罩+</w:t>
                  </w:r>
                  <w:r>
                    <w:rPr>
                      <w:rFonts w:hint="eastAsia" w:eastAsiaTheme="minorEastAsia"/>
                      <w:szCs w:val="21"/>
                    </w:rPr>
                    <w:t>袋式除尘器</w:t>
                  </w:r>
                  <w:r>
                    <w:rPr>
                      <w:rFonts w:eastAsiaTheme="minorEastAsia"/>
                      <w:szCs w:val="21"/>
                    </w:rPr>
                    <w:t>+ 15米排气筒进行治理。</w:t>
                  </w:r>
                </w:p>
              </w:tc>
              <w:tc>
                <w:tcPr>
                  <w:tcW w:w="502" w:type="pct"/>
                  <w:vMerge w:val="restart"/>
                  <w:tcBorders>
                    <w:tl2br w:val="nil"/>
                    <w:tr2bl w:val="nil"/>
                  </w:tcBorders>
                  <w:vAlign w:val="center"/>
                </w:tcPr>
                <w:p>
                  <w:pPr>
                    <w:adjustRightInd w:val="0"/>
                    <w:snapToGrid w:val="0"/>
                    <w:jc w:val="center"/>
                    <w:rPr>
                      <w:rFonts w:eastAsiaTheme="minorEastAsia"/>
                      <w:szCs w:val="21"/>
                    </w:rPr>
                  </w:pPr>
                  <w:r>
                    <w:rPr>
                      <w:rFonts w:eastAsiaTheme="minorEastAsia"/>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9" w:type="pct"/>
                  <w:vMerge w:val="continue"/>
                  <w:tcBorders>
                    <w:tl2br w:val="nil"/>
                    <w:tr2bl w:val="nil"/>
                  </w:tcBorders>
                  <w:vAlign w:val="center"/>
                </w:tcPr>
                <w:p>
                  <w:pPr>
                    <w:adjustRightInd w:val="0"/>
                    <w:snapToGrid w:val="0"/>
                    <w:jc w:val="center"/>
                    <w:rPr>
                      <w:rFonts w:eastAsiaTheme="minorEastAsia"/>
                      <w:szCs w:val="21"/>
                    </w:rPr>
                  </w:pPr>
                </w:p>
              </w:tc>
              <w:tc>
                <w:tcPr>
                  <w:tcW w:w="2989" w:type="pct"/>
                  <w:tcBorders>
                    <w:tl2br w:val="nil"/>
                    <w:tr2bl w:val="nil"/>
                  </w:tcBorders>
                  <w:vAlign w:val="center"/>
                </w:tcPr>
                <w:p>
                  <w:pPr>
                    <w:pStyle w:val="38"/>
                    <w:autoSpaceDE/>
                    <w:autoSpaceDN/>
                    <w:snapToGrid w:val="0"/>
                    <w:rPr>
                      <w:rFonts w:ascii="Times New Roman" w:cs="Times New Roman" w:eastAsiaTheme="minorEastAsia"/>
                      <w:sz w:val="21"/>
                      <w:szCs w:val="21"/>
                    </w:rPr>
                  </w:pPr>
                  <w:r>
                    <w:rPr>
                      <w:rFonts w:ascii="Times New Roman" w:cs="Times New Roman" w:eastAsiaTheme="minorEastAsia"/>
                      <w:sz w:val="21"/>
                      <w:szCs w:val="21"/>
                    </w:rPr>
                    <w:t>七、无组织废气收集排气筒高度要求</w:t>
                  </w:r>
                </w:p>
                <w:p>
                  <w:pPr>
                    <w:pStyle w:val="38"/>
                    <w:autoSpaceDE/>
                    <w:autoSpaceDN/>
                    <w:snapToGrid w:val="0"/>
                    <w:jc w:val="both"/>
                    <w:rPr>
                      <w:rFonts w:ascii="Times New Roman" w:cs="Times New Roman" w:eastAsiaTheme="minorEastAsia"/>
                      <w:sz w:val="21"/>
                      <w:szCs w:val="21"/>
                    </w:rPr>
                  </w:pPr>
                  <w:r>
                    <w:rPr>
                      <w:rFonts w:ascii="Times New Roman" w:cs="Times New Roman" w:eastAsiaTheme="minorEastAsia"/>
                      <w:sz w:val="21"/>
                      <w:szCs w:val="21"/>
                    </w:rPr>
                    <w:t>除天燃气锅炉烟囱为8米高度的要求处，其它所有排气筒在无特殊情况下不得低15米，环评中有规定的，按照环评要求建设。</w:t>
                  </w:r>
                </w:p>
              </w:tc>
              <w:tc>
                <w:tcPr>
                  <w:tcW w:w="740" w:type="pct"/>
                  <w:tcBorders>
                    <w:tl2br w:val="nil"/>
                    <w:tr2bl w:val="nil"/>
                  </w:tcBorders>
                  <w:vAlign w:val="center"/>
                </w:tcPr>
                <w:p>
                  <w:pPr>
                    <w:adjustRightInd w:val="0"/>
                    <w:snapToGrid w:val="0"/>
                    <w:jc w:val="left"/>
                    <w:rPr>
                      <w:rFonts w:hint="eastAsia" w:eastAsiaTheme="minorEastAsia"/>
                      <w:szCs w:val="21"/>
                      <w:lang w:eastAsia="zh-CN"/>
                    </w:rPr>
                  </w:pPr>
                  <w:r>
                    <w:rPr>
                      <w:rFonts w:eastAsiaTheme="minorEastAsia"/>
                      <w:szCs w:val="21"/>
                    </w:rPr>
                    <w:t>本项目有组织废气均经15米排气筒排放</w:t>
                  </w:r>
                  <w:r>
                    <w:rPr>
                      <w:rFonts w:hint="eastAsia" w:eastAsiaTheme="minorEastAsia"/>
                      <w:szCs w:val="21"/>
                      <w:lang w:eastAsia="zh-CN"/>
                    </w:rPr>
                    <w:t>。</w:t>
                  </w:r>
                </w:p>
              </w:tc>
              <w:tc>
                <w:tcPr>
                  <w:tcW w:w="502" w:type="pct"/>
                  <w:vMerge w:val="continue"/>
                  <w:tcBorders>
                    <w:tl2br w:val="nil"/>
                    <w:tr2bl w:val="nil"/>
                  </w:tcBorders>
                  <w:vAlign w:val="center"/>
                </w:tcPr>
                <w:p>
                  <w:pPr>
                    <w:adjustRightInd w:val="0"/>
                    <w:snapToGrid w:val="0"/>
                    <w:jc w:val="center"/>
                    <w:rPr>
                      <w:rFonts w:eastAsiaTheme="minorEastAsia"/>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9" w:type="pct"/>
                  <w:tcBorders>
                    <w:tl2br w:val="nil"/>
                    <w:tr2bl w:val="nil"/>
                  </w:tcBorders>
                  <w:vAlign w:val="center"/>
                </w:tcPr>
                <w:p>
                  <w:pPr>
                    <w:adjustRightInd w:val="0"/>
                    <w:snapToGrid w:val="0"/>
                    <w:jc w:val="center"/>
                    <w:rPr>
                      <w:rFonts w:eastAsiaTheme="minorEastAsia"/>
                      <w:szCs w:val="21"/>
                    </w:rPr>
                  </w:pPr>
                  <w:r>
                    <w:rPr>
                      <w:rFonts w:eastAsiaTheme="minorEastAsia"/>
                      <w:szCs w:val="21"/>
                    </w:rPr>
                    <w:t>《新乡市环境污染防治攻坚战三年行动实施方案（2018</w:t>
                  </w:r>
                  <w:r>
                    <w:rPr>
                      <w:rFonts w:hint="eastAsia" w:eastAsiaTheme="minorEastAsia"/>
                      <w:szCs w:val="21"/>
                    </w:rPr>
                    <w:t>-</w:t>
                  </w:r>
                  <w:r>
                    <w:rPr>
                      <w:rFonts w:eastAsiaTheme="minorEastAsia"/>
                      <w:szCs w:val="21"/>
                    </w:rPr>
                    <w:t>2020 年）》</w:t>
                  </w:r>
                </w:p>
              </w:tc>
              <w:tc>
                <w:tcPr>
                  <w:tcW w:w="2989" w:type="pct"/>
                  <w:tcBorders>
                    <w:tl2br w:val="nil"/>
                    <w:tr2bl w:val="nil"/>
                  </w:tcBorders>
                  <w:vAlign w:val="center"/>
                </w:tcPr>
                <w:p>
                  <w:pPr>
                    <w:adjustRightInd w:val="0"/>
                    <w:snapToGrid w:val="0"/>
                    <w:jc w:val="center"/>
                    <w:rPr>
                      <w:rFonts w:eastAsiaTheme="minorEastAsia"/>
                      <w:szCs w:val="21"/>
                    </w:rPr>
                  </w:pPr>
                  <w:r>
                    <w:rPr>
                      <w:rFonts w:eastAsiaTheme="minorEastAsia"/>
                      <w:szCs w:val="21"/>
                    </w:rPr>
                    <w:t>9.严格环境准入门槛：禁止火电、焦化、铸造、传统煤化工 （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对水泥行业不再实施省内产能置换。对本地过剩产能 重点行业搬迁、改建项目，实行污染物排放倍量削减替代，其他行业搬迁项目污染物排放量削减比例不低于1.5:1，并将替代方案落实到企业排污许可证中，纳入环境执法管理。</w:t>
                  </w:r>
                </w:p>
              </w:tc>
              <w:tc>
                <w:tcPr>
                  <w:tcW w:w="740" w:type="pct"/>
                  <w:tcBorders>
                    <w:tl2br w:val="nil"/>
                    <w:tr2bl w:val="nil"/>
                  </w:tcBorders>
                  <w:vAlign w:val="center"/>
                </w:tcPr>
                <w:p>
                  <w:pPr>
                    <w:adjustRightInd w:val="0"/>
                    <w:snapToGrid w:val="0"/>
                    <w:jc w:val="left"/>
                    <w:rPr>
                      <w:rFonts w:eastAsiaTheme="minorEastAsia"/>
                      <w:szCs w:val="21"/>
                    </w:rPr>
                  </w:pPr>
                  <w:r>
                    <w:rPr>
                      <w:rFonts w:eastAsiaTheme="minorEastAsia"/>
                      <w:szCs w:val="21"/>
                    </w:rPr>
                    <w:t>本项目属于</w:t>
                  </w:r>
                  <w:r>
                    <w:rPr>
                      <w:rFonts w:hint="eastAsia" w:eastAsiaTheme="minorEastAsia"/>
                      <w:szCs w:val="21"/>
                    </w:rPr>
                    <w:t>娱乐器械</w:t>
                  </w:r>
                  <w:r>
                    <w:rPr>
                      <w:rFonts w:eastAsiaTheme="minorEastAsia"/>
                      <w:szCs w:val="21"/>
                    </w:rPr>
                    <w:t>制造业，不属于过剩产能行业。</w:t>
                  </w:r>
                </w:p>
              </w:tc>
              <w:tc>
                <w:tcPr>
                  <w:tcW w:w="502" w:type="pct"/>
                  <w:tcBorders>
                    <w:tl2br w:val="nil"/>
                    <w:tr2bl w:val="nil"/>
                  </w:tcBorders>
                  <w:vAlign w:val="center"/>
                </w:tcPr>
                <w:p>
                  <w:pPr>
                    <w:adjustRightInd w:val="0"/>
                    <w:snapToGrid w:val="0"/>
                    <w:jc w:val="center"/>
                    <w:rPr>
                      <w:rFonts w:eastAsiaTheme="minorEastAsia"/>
                      <w:szCs w:val="21"/>
                    </w:rPr>
                  </w:pPr>
                  <w:r>
                    <w:rPr>
                      <w:rFonts w:hint="eastAsia" w:eastAsiaTheme="minorEastAsia"/>
                      <w:szCs w:val="21"/>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9" w:type="pct"/>
                  <w:tcBorders>
                    <w:bottom w:val="single" w:color="auto" w:sz="8" w:space="0"/>
                    <w:tl2br w:val="nil"/>
                    <w:tr2bl w:val="nil"/>
                  </w:tcBorders>
                  <w:vAlign w:val="center"/>
                </w:tcPr>
                <w:p>
                  <w:pPr>
                    <w:adjustRightInd w:val="0"/>
                    <w:snapToGrid w:val="0"/>
                    <w:jc w:val="center"/>
                    <w:rPr>
                      <w:rFonts w:eastAsiaTheme="minorEastAsia"/>
                      <w:szCs w:val="21"/>
                    </w:rPr>
                  </w:pPr>
                  <w:r>
                    <w:rPr>
                      <w:rFonts w:hint="eastAsia" w:eastAsiaTheme="minorEastAsia"/>
                      <w:szCs w:val="21"/>
                    </w:rPr>
                    <w:t>《河南省2020年大气污染防治攻坚战实施方案》的通知（豫环攻坚办（2020）7号）</w:t>
                  </w:r>
                </w:p>
              </w:tc>
              <w:tc>
                <w:tcPr>
                  <w:tcW w:w="2989" w:type="pct"/>
                  <w:tcBorders>
                    <w:bottom w:val="single" w:color="auto" w:sz="8" w:space="0"/>
                    <w:tl2br w:val="nil"/>
                    <w:tr2bl w:val="nil"/>
                  </w:tcBorders>
                  <w:vAlign w:val="center"/>
                </w:tcPr>
                <w:p>
                  <w:pPr>
                    <w:shd w:val="clear" w:color="auto" w:fill="FFFFFF"/>
                    <w:adjustRightInd w:val="0"/>
                    <w:snapToGrid w:val="0"/>
                    <w:rPr>
                      <w:rFonts w:eastAsiaTheme="minorEastAsia"/>
                      <w:szCs w:val="21"/>
                    </w:rPr>
                  </w:pPr>
                  <w:r>
                    <w:rPr>
                      <w:rFonts w:hint="eastAsia" w:eastAsiaTheme="minorEastAsia"/>
                      <w:szCs w:val="21"/>
                    </w:rPr>
                    <w:t>57.开展涉气排污单位污染治理设施用电监管。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740" w:type="pct"/>
                  <w:tcBorders>
                    <w:bottom w:val="single" w:color="auto" w:sz="8" w:space="0"/>
                    <w:tl2br w:val="nil"/>
                    <w:tr2bl w:val="nil"/>
                  </w:tcBorders>
                  <w:vAlign w:val="center"/>
                </w:tcPr>
                <w:p>
                  <w:pPr>
                    <w:adjustRightInd w:val="0"/>
                    <w:snapToGrid w:val="0"/>
                    <w:rPr>
                      <w:rFonts w:eastAsiaTheme="minorEastAsia"/>
                      <w:szCs w:val="21"/>
                    </w:rPr>
                  </w:pPr>
                  <w:r>
                    <w:rPr>
                      <w:rFonts w:hint="eastAsia" w:eastAsiaTheme="minorEastAsia"/>
                      <w:szCs w:val="21"/>
                    </w:rPr>
                    <w:t>本项目</w:t>
                  </w:r>
                  <w:r>
                    <w:rPr>
                      <w:rFonts w:eastAsiaTheme="minorEastAsia"/>
                      <w:szCs w:val="21"/>
                    </w:rPr>
                    <w:t>焊接</w:t>
                  </w:r>
                  <w:r>
                    <w:rPr>
                      <w:rFonts w:hint="eastAsia" w:eastAsiaTheme="minorEastAsia"/>
                      <w:szCs w:val="21"/>
                    </w:rPr>
                    <w:t>、</w:t>
                  </w:r>
                  <w:r>
                    <w:rPr>
                      <w:rFonts w:eastAsiaTheme="minorEastAsia"/>
                      <w:szCs w:val="21"/>
                    </w:rPr>
                    <w:t>切割工序会产生粉尘</w:t>
                  </w:r>
                  <w:r>
                    <w:rPr>
                      <w:rFonts w:hint="eastAsia" w:eastAsiaTheme="minorEastAsia"/>
                      <w:szCs w:val="21"/>
                    </w:rPr>
                    <w:t>，</w:t>
                  </w:r>
                  <w:r>
                    <w:rPr>
                      <w:rFonts w:eastAsiaTheme="minorEastAsia"/>
                      <w:szCs w:val="21"/>
                    </w:rPr>
                    <w:t>按照要求安装用电量监控装置</w:t>
                  </w:r>
                </w:p>
              </w:tc>
              <w:tc>
                <w:tcPr>
                  <w:tcW w:w="502" w:type="pct"/>
                  <w:tcBorders>
                    <w:bottom w:val="single" w:color="auto" w:sz="8" w:space="0"/>
                    <w:tl2br w:val="nil"/>
                    <w:tr2bl w:val="nil"/>
                  </w:tcBorders>
                  <w:vAlign w:val="center"/>
                </w:tcPr>
                <w:p>
                  <w:pPr>
                    <w:adjustRightInd w:val="0"/>
                    <w:snapToGrid w:val="0"/>
                    <w:jc w:val="center"/>
                    <w:rPr>
                      <w:rFonts w:eastAsiaTheme="minorEastAsia"/>
                      <w:szCs w:val="21"/>
                    </w:rPr>
                  </w:pPr>
                  <w:r>
                    <w:rPr>
                      <w:rFonts w:eastAsiaTheme="minorEastAsia"/>
                      <w:szCs w:val="21"/>
                    </w:rPr>
                    <w:t>相符</w:t>
                  </w:r>
                </w:p>
              </w:tc>
            </w:tr>
          </w:tbl>
          <w:p>
            <w:pPr>
              <w:adjustRightInd w:val="0"/>
              <w:snapToGrid w:val="0"/>
              <w:spacing w:line="440" w:lineRule="exact"/>
              <w:ind w:firstLine="480" w:firstLineChars="200"/>
              <w:jc w:val="left"/>
              <w:rPr>
                <w:sz w:val="24"/>
              </w:rPr>
            </w:pPr>
            <w:r>
              <w:rPr>
                <w:sz w:val="24"/>
              </w:rPr>
              <w:t>根据表9可知，本项目符合</w:t>
            </w:r>
            <w:r>
              <w:rPr>
                <w:rFonts w:hint="eastAsia"/>
                <w:bCs/>
                <w:sz w:val="24"/>
              </w:rPr>
              <w:t>《新乡市</w:t>
            </w:r>
            <w:r>
              <w:rPr>
                <w:bCs/>
                <w:sz w:val="24"/>
              </w:rPr>
              <w:t>2020</w:t>
            </w:r>
            <w:r>
              <w:rPr>
                <w:rFonts w:hint="eastAsia"/>
                <w:bCs/>
                <w:sz w:val="24"/>
              </w:rPr>
              <w:t>年大气、水、土壤污染防治攻坚战实施方案》（新环攻坚办</w:t>
            </w:r>
            <w:r>
              <w:rPr>
                <w:bCs/>
                <w:sz w:val="24"/>
              </w:rPr>
              <w:t>[2020]10</w:t>
            </w:r>
            <w:r>
              <w:rPr>
                <w:rFonts w:hint="eastAsia"/>
                <w:bCs/>
                <w:sz w:val="24"/>
              </w:rPr>
              <w:t>号）</w:t>
            </w:r>
            <w:r>
              <w:rPr>
                <w:sz w:val="24"/>
              </w:rPr>
              <w:t>、《新乡市生态环境局关于印发新乡市2019年工业企业无组织排放治理方案的通知》及《新乡市环境污染防治攻坚战三年行动实施方案（2018—2020年）》、关于印发《</w:t>
            </w:r>
            <w:r>
              <w:rPr>
                <w:rFonts w:hint="eastAsia"/>
                <w:sz w:val="24"/>
              </w:rPr>
              <w:t>河南省2020</w:t>
            </w:r>
            <w:r>
              <w:rPr>
                <w:sz w:val="24"/>
              </w:rPr>
              <w:t>年大气污染防治攻坚战实施方案》的通知（</w:t>
            </w:r>
            <w:r>
              <w:rPr>
                <w:rFonts w:hint="eastAsia"/>
                <w:sz w:val="24"/>
              </w:rPr>
              <w:t>豫环攻坚办（2020）7号</w:t>
            </w:r>
            <w:r>
              <w:rPr>
                <w:sz w:val="24"/>
              </w:rPr>
              <w:t>）的要求。</w:t>
            </w:r>
          </w:p>
          <w:p>
            <w:pPr>
              <w:adjustRightInd w:val="0"/>
              <w:snapToGrid w:val="0"/>
              <w:spacing w:line="440" w:lineRule="exact"/>
              <w:ind w:firstLine="482" w:firstLineChars="200"/>
              <w:rPr>
                <w:sz w:val="24"/>
                <w:lang w:val="pt-BR"/>
              </w:rPr>
            </w:pPr>
            <w:r>
              <w:rPr>
                <w:b/>
                <w:bCs/>
                <w:sz w:val="24"/>
              </w:rPr>
              <w:t>9、</w:t>
            </w:r>
            <w:r>
              <w:rPr>
                <w:b/>
                <w:bCs/>
                <w:sz w:val="24"/>
                <w:lang w:val="pt-BR"/>
              </w:rPr>
              <w:t>与《新乡市生态环境局关于部署安装工业企业用电量监控系统的通知》新环 [2019]154号文的对照分析，本项目与</w:t>
            </w:r>
            <w:r>
              <w:rPr>
                <w:b/>
                <w:bCs/>
                <w:sz w:val="24"/>
              </w:rPr>
              <w:t>新环 [2019]154号文的</w:t>
            </w:r>
            <w:r>
              <w:rPr>
                <w:b/>
                <w:bCs/>
                <w:sz w:val="24"/>
                <w:lang w:val="pt-BR"/>
              </w:rPr>
              <w:t>相关内容对比分析见下表：</w:t>
            </w:r>
          </w:p>
          <w:p>
            <w:pPr>
              <w:adjustRightInd w:val="0"/>
              <w:snapToGrid w:val="0"/>
              <w:spacing w:line="440" w:lineRule="exact"/>
              <w:ind w:firstLine="480" w:firstLineChars="200"/>
              <w:rPr>
                <w:rFonts w:eastAsia="黑体"/>
                <w:sz w:val="24"/>
                <w:lang w:val="pt-BR"/>
              </w:rPr>
            </w:pPr>
            <w:r>
              <w:rPr>
                <w:rFonts w:eastAsia="黑体"/>
                <w:sz w:val="24"/>
                <w:lang w:val="pt-BR"/>
              </w:rPr>
              <w:t>表10               与新环 [2019]154号文的对照分析</w:t>
            </w:r>
          </w:p>
          <w:tbl>
            <w:tblPr>
              <w:tblStyle w:val="30"/>
              <w:tblW w:w="4999"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4838"/>
              <w:gridCol w:w="2524"/>
              <w:gridCol w:w="944"/>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0" w:type="pct"/>
                  <w:tcBorders>
                    <w:top w:val="single" w:color="auto" w:sz="8" w:space="0"/>
                    <w:left w:val="nil"/>
                    <w:bottom w:val="single" w:color="auto" w:sz="8" w:space="0"/>
                    <w:right w:val="single" w:color="auto" w:sz="4" w:space="0"/>
                  </w:tcBorders>
                  <w:vAlign w:val="center"/>
                </w:tcPr>
                <w:p>
                  <w:pPr>
                    <w:adjustRightInd w:val="0"/>
                    <w:snapToGrid w:val="0"/>
                    <w:jc w:val="center"/>
                    <w:rPr>
                      <w:b/>
                      <w:bCs/>
                    </w:rPr>
                  </w:pPr>
                  <w:r>
                    <w:rPr>
                      <w:b/>
                      <w:bCs/>
                    </w:rPr>
                    <w:t>主要任务</w:t>
                  </w:r>
                </w:p>
              </w:tc>
              <w:tc>
                <w:tcPr>
                  <w:tcW w:w="2521"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rPr>
                  </w:pPr>
                  <w:r>
                    <w:rPr>
                      <w:b/>
                      <w:bCs/>
                    </w:rPr>
                    <w:t>与本项目相关条文</w:t>
                  </w:r>
                </w:p>
              </w:tc>
              <w:tc>
                <w:tcPr>
                  <w:tcW w:w="1315"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rPr>
                  </w:pPr>
                  <w:r>
                    <w:rPr>
                      <w:b/>
                      <w:bCs/>
                    </w:rPr>
                    <w:t>本项目情况</w:t>
                  </w:r>
                </w:p>
              </w:tc>
              <w:tc>
                <w:tcPr>
                  <w:tcW w:w="492" w:type="pct"/>
                  <w:tcBorders>
                    <w:top w:val="single" w:color="auto" w:sz="8" w:space="0"/>
                    <w:left w:val="single" w:color="auto" w:sz="4" w:space="0"/>
                    <w:bottom w:val="single" w:color="auto" w:sz="8" w:space="0"/>
                    <w:right w:val="nil"/>
                  </w:tcBorders>
                  <w:vAlign w:val="center"/>
                </w:tcPr>
                <w:p>
                  <w:pPr>
                    <w:adjustRightInd w:val="0"/>
                    <w:snapToGrid w:val="0"/>
                    <w:jc w:val="center"/>
                    <w:rPr>
                      <w:b/>
                      <w:bCs/>
                    </w:rPr>
                  </w:pPr>
                  <w:r>
                    <w:rPr>
                      <w:b/>
                      <w:bCs/>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pct"/>
                  <w:tcBorders>
                    <w:top w:val="single" w:color="auto" w:sz="4" w:space="0"/>
                    <w:left w:val="nil"/>
                    <w:bottom w:val="single" w:color="auto" w:sz="8" w:space="0"/>
                    <w:right w:val="single" w:color="auto" w:sz="4" w:space="0"/>
                  </w:tcBorders>
                  <w:vAlign w:val="center"/>
                </w:tcPr>
                <w:p>
                  <w:pPr>
                    <w:adjustRightInd w:val="0"/>
                    <w:snapToGrid w:val="0"/>
                    <w:jc w:val="left"/>
                  </w:pPr>
                  <w:r>
                    <w:t>安装范围</w:t>
                  </w:r>
                </w:p>
              </w:tc>
              <w:tc>
                <w:tcPr>
                  <w:tcW w:w="2521" w:type="pct"/>
                  <w:tcBorders>
                    <w:top w:val="single" w:color="auto" w:sz="4" w:space="0"/>
                    <w:left w:val="single" w:color="auto" w:sz="4" w:space="0"/>
                    <w:bottom w:val="single" w:color="auto" w:sz="8" w:space="0"/>
                    <w:right w:val="single" w:color="auto" w:sz="4" w:space="0"/>
                  </w:tcBorders>
                  <w:vAlign w:val="center"/>
                </w:tcPr>
                <w:p>
                  <w:pPr>
                    <w:adjustRightInd w:val="0"/>
                    <w:snapToGrid w:val="0"/>
                  </w:pPr>
                  <w:r>
                    <w:t>所有排污企业的总用电控制位置、主要生产设施和污染治理设施必须安装用电量监控系统终端。</w:t>
                  </w:r>
                </w:p>
              </w:tc>
              <w:tc>
                <w:tcPr>
                  <w:tcW w:w="1315" w:type="pct"/>
                  <w:tcBorders>
                    <w:top w:val="single" w:color="auto" w:sz="4" w:space="0"/>
                    <w:left w:val="single" w:color="auto" w:sz="4" w:space="0"/>
                    <w:bottom w:val="single" w:color="auto" w:sz="8" w:space="0"/>
                    <w:right w:val="single" w:color="auto" w:sz="4" w:space="0"/>
                  </w:tcBorders>
                  <w:vAlign w:val="center"/>
                </w:tcPr>
                <w:p>
                  <w:pPr>
                    <w:adjustRightInd w:val="0"/>
                    <w:snapToGrid w:val="0"/>
                  </w:pPr>
                  <w:r>
                    <w:t>本项目严格按照要求安装用电量监控系统终端。</w:t>
                  </w:r>
                </w:p>
              </w:tc>
              <w:tc>
                <w:tcPr>
                  <w:tcW w:w="492" w:type="pct"/>
                  <w:tcBorders>
                    <w:top w:val="single" w:color="auto" w:sz="4" w:space="0"/>
                    <w:left w:val="single" w:color="auto" w:sz="4" w:space="0"/>
                    <w:bottom w:val="single" w:color="auto" w:sz="8" w:space="0"/>
                    <w:right w:val="nil"/>
                  </w:tcBorders>
                  <w:vAlign w:val="center"/>
                </w:tcPr>
                <w:p>
                  <w:pPr>
                    <w:adjustRightInd w:val="0"/>
                    <w:snapToGrid w:val="0"/>
                    <w:jc w:val="center"/>
                  </w:pPr>
                  <w:r>
                    <w:t>满足</w:t>
                  </w:r>
                </w:p>
              </w:tc>
            </w:tr>
          </w:tbl>
          <w:p>
            <w:pPr>
              <w:adjustRightInd w:val="0"/>
              <w:snapToGrid w:val="0"/>
              <w:spacing w:line="440" w:lineRule="exact"/>
              <w:ind w:firstLine="480" w:firstLineChars="200"/>
              <w:rPr>
                <w:sz w:val="24"/>
              </w:rPr>
            </w:pPr>
            <w:r>
              <w:rPr>
                <w:sz w:val="24"/>
              </w:rPr>
              <w:t>由上表可知，本项目满足《新乡市生态环境局关于部署安装工业企业用电量监控系统的通知》新环 [2019]154号文的相关要求。</w:t>
            </w:r>
          </w:p>
          <w:p>
            <w:pPr>
              <w:adjustRightInd w:val="0"/>
              <w:snapToGrid w:val="0"/>
              <w:spacing w:line="440" w:lineRule="exact"/>
              <w:ind w:firstLine="420" w:firstLineChars="200"/>
            </w:pPr>
          </w:p>
          <w:p>
            <w:pPr>
              <w:pStyle w:val="2"/>
              <w:ind w:left="0" w:firstLine="0"/>
              <w:jc w:val="both"/>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7" w:hRule="exact"/>
          <w:jc w:val="center"/>
        </w:trPr>
        <w:tc>
          <w:tcPr>
            <w:tcW w:w="0" w:type="auto"/>
            <w:gridSpan w:val="6"/>
            <w:tcBorders>
              <w:bottom w:val="single" w:color="auto" w:sz="8" w:space="0"/>
              <w:tl2br w:val="nil"/>
              <w:tr2bl w:val="nil"/>
            </w:tcBorders>
          </w:tcPr>
          <w:p>
            <w:pPr>
              <w:adjustRightInd w:val="0"/>
              <w:snapToGrid w:val="0"/>
              <w:spacing w:line="440" w:lineRule="exact"/>
              <w:rPr>
                <w:b/>
                <w:bCs/>
                <w:sz w:val="24"/>
              </w:rPr>
            </w:pPr>
            <w:r>
              <w:rPr>
                <w:b/>
                <w:bCs/>
                <w:sz w:val="24"/>
              </w:rPr>
              <w:t>与本项目有关的原有污染情况及主要环境问题：</w:t>
            </w:r>
          </w:p>
          <w:p>
            <w:pPr>
              <w:adjustRightInd w:val="0"/>
              <w:snapToGrid w:val="0"/>
              <w:spacing w:line="440" w:lineRule="exact"/>
              <w:ind w:firstLine="480" w:firstLineChars="200"/>
              <w:rPr>
                <w:sz w:val="24"/>
              </w:rPr>
            </w:pPr>
          </w:p>
          <w:p>
            <w:pPr>
              <w:adjustRightInd w:val="0"/>
              <w:snapToGrid w:val="0"/>
              <w:spacing w:line="440" w:lineRule="exact"/>
              <w:ind w:firstLine="480" w:firstLineChars="200"/>
              <w:rPr>
                <w:sz w:val="24"/>
              </w:rPr>
            </w:pPr>
          </w:p>
          <w:p>
            <w:pPr>
              <w:adjustRightInd w:val="0"/>
              <w:snapToGrid w:val="0"/>
              <w:spacing w:line="440" w:lineRule="exact"/>
              <w:ind w:firstLine="480" w:firstLineChars="200"/>
              <w:rPr>
                <w:sz w:val="24"/>
              </w:rPr>
            </w:pPr>
          </w:p>
          <w:p>
            <w:pPr>
              <w:adjustRightInd w:val="0"/>
              <w:snapToGrid w:val="0"/>
              <w:spacing w:line="440" w:lineRule="exact"/>
              <w:ind w:firstLine="480" w:firstLineChars="200"/>
              <w:rPr>
                <w:rFonts w:eastAsiaTheme="minorEastAsia"/>
                <w:b/>
                <w:bCs/>
                <w:sz w:val="24"/>
              </w:rPr>
            </w:pPr>
            <w:r>
              <w:rPr>
                <w:sz w:val="24"/>
              </w:rPr>
              <w:t>本项目为新建项目，无原有污染情况及主要问题。</w:t>
            </w:r>
          </w:p>
        </w:tc>
      </w:tr>
    </w:tbl>
    <w:p>
      <w:pPr>
        <w:widowControl/>
        <w:adjustRightInd w:val="0"/>
        <w:snapToGrid w:val="0"/>
        <w:spacing w:line="440" w:lineRule="exact"/>
        <w:rPr>
          <w:b/>
          <w:sz w:val="28"/>
          <w:szCs w:val="28"/>
        </w:rPr>
      </w:pPr>
      <w:r>
        <w:rPr>
          <w:b/>
          <w:sz w:val="28"/>
          <w:szCs w:val="28"/>
        </w:rPr>
        <w:t>建设项目所在地自然环境社会环境简况</w:t>
      </w:r>
    </w:p>
    <w:tbl>
      <w:tblPr>
        <w:tblStyle w:val="31"/>
        <w:tblW w:w="978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9782" w:type="dxa"/>
            <w:tcBorders>
              <w:top w:val="single" w:color="auto" w:sz="8" w:space="0"/>
              <w:left w:val="single" w:color="auto" w:sz="8" w:space="0"/>
              <w:bottom w:val="single" w:color="auto" w:sz="8" w:space="0"/>
              <w:right w:val="single" w:color="auto" w:sz="8" w:space="0"/>
            </w:tcBorders>
          </w:tcPr>
          <w:p>
            <w:pPr>
              <w:rPr>
                <w:b/>
                <w:sz w:val="24"/>
              </w:rPr>
            </w:pPr>
            <w:r>
              <w:rPr>
                <w:b/>
                <w:sz w:val="24"/>
              </w:rPr>
              <w:t>自然环境简况（</w:t>
            </w:r>
            <w:r>
              <w:rPr>
                <w:b/>
                <w:bCs/>
                <w:sz w:val="24"/>
              </w:rPr>
              <w:t>地形、地貌、地质、气候、气象、水文、植被、生物多样性等）</w:t>
            </w:r>
          </w:p>
          <w:p>
            <w:pPr>
              <w:adjustRightInd w:val="0"/>
              <w:snapToGrid w:val="0"/>
              <w:spacing w:line="440" w:lineRule="exact"/>
              <w:ind w:firstLine="482" w:firstLineChars="200"/>
              <w:jc w:val="left"/>
              <w:rPr>
                <w:b/>
                <w:bCs/>
                <w:sz w:val="24"/>
              </w:rPr>
            </w:pPr>
            <w:r>
              <w:rPr>
                <w:b/>
                <w:bCs/>
                <w:sz w:val="24"/>
              </w:rPr>
              <w:t>1、地理位置</w:t>
            </w:r>
          </w:p>
          <w:p>
            <w:pPr>
              <w:widowControl/>
              <w:autoSpaceDE w:val="0"/>
              <w:adjustRightInd w:val="0"/>
              <w:snapToGrid w:val="0"/>
              <w:spacing w:line="440" w:lineRule="exact"/>
              <w:ind w:firstLine="480" w:firstLineChars="200"/>
              <w:rPr>
                <w:sz w:val="24"/>
              </w:rPr>
            </w:pPr>
            <w:r>
              <w:rPr>
                <w:sz w:val="24"/>
              </w:rPr>
              <w:t>新乡县位于河南省中北部，属新乡市管辖。地处东经113°42′~114°04′，北纬35°05′~35°24′。全境环绕新乡市市区东、西、南三面，县境东西最大距离为32.7 km，南北最大距离34.5 km，总面积523.6 km</w:t>
            </w:r>
            <w:r>
              <w:rPr>
                <w:sz w:val="24"/>
                <w:vertAlign w:val="superscript"/>
              </w:rPr>
              <w:t>2</w:t>
            </w:r>
            <w:r>
              <w:rPr>
                <w:sz w:val="24"/>
              </w:rPr>
              <w:t>。</w:t>
            </w:r>
          </w:p>
          <w:p>
            <w:pPr>
              <w:widowControl/>
              <w:autoSpaceDE w:val="0"/>
              <w:adjustRightInd w:val="0"/>
              <w:snapToGrid w:val="0"/>
              <w:spacing w:line="440" w:lineRule="exact"/>
              <w:ind w:firstLine="480" w:firstLineChars="200"/>
              <w:rPr>
                <w:szCs w:val="21"/>
              </w:rPr>
            </w:pPr>
            <w:r>
              <w:rPr>
                <w:sz w:val="24"/>
              </w:rPr>
              <w:t>本项目位于新乡县合河乡西河村，具体地理位置见附图一。</w:t>
            </w:r>
          </w:p>
          <w:p>
            <w:pPr>
              <w:widowControl/>
              <w:numPr>
                <w:ilvl w:val="0"/>
                <w:numId w:val="3"/>
              </w:numPr>
              <w:autoSpaceDE w:val="0"/>
              <w:adjustRightInd w:val="0"/>
              <w:snapToGrid w:val="0"/>
              <w:spacing w:line="440" w:lineRule="exact"/>
              <w:ind w:firstLine="482" w:firstLineChars="200"/>
              <w:jc w:val="left"/>
              <w:rPr>
                <w:b/>
                <w:bCs/>
                <w:kern w:val="0"/>
                <w:sz w:val="24"/>
              </w:rPr>
            </w:pPr>
            <w:r>
              <w:rPr>
                <w:b/>
                <w:bCs/>
                <w:kern w:val="0"/>
                <w:sz w:val="24"/>
              </w:rPr>
              <w:t>地形地貌</w:t>
            </w:r>
          </w:p>
          <w:p>
            <w:pPr>
              <w:widowControl/>
              <w:autoSpaceDE w:val="0"/>
              <w:adjustRightInd w:val="0"/>
              <w:snapToGrid w:val="0"/>
              <w:spacing w:line="440" w:lineRule="exact"/>
              <w:ind w:firstLine="480" w:firstLineChars="200"/>
              <w:rPr>
                <w:sz w:val="24"/>
              </w:rPr>
            </w:pPr>
            <w:r>
              <w:rPr>
                <w:sz w:val="24"/>
              </w:rPr>
              <w:t>新乡县属黄河冲积平原，南部多沙，中部低洼，地形低平，便于引黄灌溉和机械化操作。总的地势是西北高、东南低。自然坡降为1/4000，海拔高度70~80m。</w:t>
            </w:r>
          </w:p>
          <w:p>
            <w:pPr>
              <w:widowControl/>
              <w:autoSpaceDE w:val="0"/>
              <w:adjustRightInd w:val="0"/>
              <w:snapToGrid w:val="0"/>
              <w:spacing w:line="440" w:lineRule="exact"/>
              <w:ind w:firstLine="480" w:firstLineChars="200"/>
              <w:rPr>
                <w:sz w:val="24"/>
              </w:rPr>
            </w:pPr>
            <w:r>
              <w:rPr>
                <w:sz w:val="24"/>
              </w:rPr>
              <w:t>本项目所在地属平原地带，地势平坦。</w:t>
            </w:r>
          </w:p>
          <w:p>
            <w:pPr>
              <w:widowControl/>
              <w:adjustRightInd w:val="0"/>
              <w:snapToGrid w:val="0"/>
              <w:spacing w:line="440" w:lineRule="exact"/>
              <w:ind w:firstLine="482" w:firstLineChars="200"/>
              <w:jc w:val="left"/>
              <w:rPr>
                <w:b/>
                <w:bCs/>
                <w:kern w:val="0"/>
                <w:sz w:val="24"/>
              </w:rPr>
            </w:pPr>
            <w:r>
              <w:rPr>
                <w:b/>
                <w:bCs/>
                <w:kern w:val="0"/>
                <w:sz w:val="24"/>
              </w:rPr>
              <w:t>3、气候气象</w:t>
            </w:r>
          </w:p>
          <w:p>
            <w:pPr>
              <w:widowControl/>
              <w:adjustRightInd w:val="0"/>
              <w:snapToGrid w:val="0"/>
              <w:spacing w:line="440" w:lineRule="exact"/>
              <w:ind w:firstLine="480" w:firstLineChars="200"/>
              <w:jc w:val="left"/>
              <w:rPr>
                <w:kern w:val="0"/>
                <w:sz w:val="24"/>
              </w:rPr>
            </w:pPr>
            <w:r>
              <w:rPr>
                <w:kern w:val="0"/>
                <w:sz w:val="24"/>
              </w:rPr>
              <w:t>新乡市气候类型属暖温带大陆性季风气候，春季干旱多风沙，夏季炎热雨量大，秋季凉爽时令短，冬季寒冷少雨雪，气温的四季变化具有典型的大陆性气候特征，即冬冷夏热。年平均气温为14℃，历年最高气温42℃（1992年），最低气温-19.2℃（1971年）。年均日照时数为2504小时，年均日照率57%。多年年均降水量为607.8毫米，年际最大降水量为 1127.3毫米（2000年），最小降雨量为319毫米（1987年），且年降水量季节分布很不均匀，大雨高度集中于夏季，全年平均降水日为74天。多年平均相对湿度为 68%，平均冻结期为30天，无霜期为216天，全年主导风向为东北风，近年平均风速2.4m/s。</w:t>
            </w:r>
          </w:p>
          <w:p>
            <w:pPr>
              <w:widowControl/>
              <w:adjustRightInd w:val="0"/>
              <w:snapToGrid w:val="0"/>
              <w:spacing w:line="440" w:lineRule="exact"/>
              <w:ind w:firstLine="482" w:firstLineChars="200"/>
              <w:jc w:val="left"/>
              <w:rPr>
                <w:b/>
                <w:bCs/>
                <w:kern w:val="0"/>
                <w:sz w:val="24"/>
              </w:rPr>
            </w:pPr>
            <w:r>
              <w:rPr>
                <w:b/>
                <w:bCs/>
                <w:kern w:val="0"/>
                <w:sz w:val="24"/>
              </w:rPr>
              <w:t>4、地表水环境</w:t>
            </w:r>
          </w:p>
          <w:p>
            <w:pPr>
              <w:widowControl/>
              <w:adjustRightInd w:val="0"/>
              <w:snapToGrid w:val="0"/>
              <w:spacing w:line="440" w:lineRule="exact"/>
              <w:ind w:firstLine="480" w:firstLineChars="200"/>
              <w:jc w:val="left"/>
              <w:rPr>
                <w:kern w:val="0"/>
                <w:sz w:val="24"/>
              </w:rPr>
            </w:pPr>
            <w:r>
              <w:rPr>
                <w:kern w:val="0"/>
                <w:sz w:val="24"/>
              </w:rPr>
              <w:t>流经新乡市的地表水有卫河、共产主义渠、东孟姜女河、西孟姜女河、天然文岩渠、大沙河等主要河流，除大沙河、天然文岩渠属黄河流域金堤河水系外，其它均为海河流域南运河水系。</w:t>
            </w:r>
          </w:p>
          <w:p>
            <w:pPr>
              <w:widowControl/>
              <w:adjustRightInd w:val="0"/>
              <w:snapToGrid w:val="0"/>
              <w:spacing w:line="440" w:lineRule="exact"/>
              <w:ind w:firstLine="482" w:firstLineChars="200"/>
              <w:jc w:val="left"/>
              <w:rPr>
                <w:b/>
                <w:bCs/>
                <w:kern w:val="0"/>
                <w:sz w:val="24"/>
              </w:rPr>
            </w:pPr>
            <w:r>
              <w:rPr>
                <w:b/>
                <w:bCs/>
                <w:kern w:val="0"/>
                <w:sz w:val="24"/>
              </w:rPr>
              <w:t>5、地下水环境</w:t>
            </w:r>
          </w:p>
          <w:p>
            <w:pPr>
              <w:widowControl/>
              <w:adjustRightInd w:val="0"/>
              <w:snapToGrid w:val="0"/>
              <w:spacing w:line="440" w:lineRule="exact"/>
              <w:ind w:firstLine="480" w:firstLineChars="200"/>
              <w:jc w:val="left"/>
              <w:rPr>
                <w:sz w:val="24"/>
              </w:rPr>
            </w:pPr>
            <w:r>
              <w:rPr>
                <w:sz w:val="24"/>
              </w:rPr>
              <w:t>新乡市地下水资源丰富。经探测表明：该地区浅层水顶板埋深4~8m，底板埋深71~87m，以中砂为主。中层水顶板埋深 73~97m，底板埋深 124~137m，以中细砂为主，地下水矿化度小于0.7g/L。地下水流向从西南至东北。</w:t>
            </w:r>
          </w:p>
          <w:p>
            <w:pPr>
              <w:widowControl/>
              <w:adjustRightInd w:val="0"/>
              <w:snapToGrid w:val="0"/>
              <w:spacing w:line="440" w:lineRule="exact"/>
              <w:ind w:firstLine="482" w:firstLineChars="200"/>
              <w:jc w:val="left"/>
              <w:rPr>
                <w:b/>
                <w:bCs/>
                <w:sz w:val="24"/>
              </w:rPr>
            </w:pPr>
            <w:r>
              <w:rPr>
                <w:b/>
                <w:bCs/>
                <w:sz w:val="24"/>
              </w:rPr>
              <w:t>6、矿产资源</w:t>
            </w:r>
          </w:p>
          <w:p>
            <w:pPr>
              <w:widowControl/>
              <w:adjustRightInd w:val="0"/>
              <w:snapToGrid w:val="0"/>
              <w:spacing w:line="440" w:lineRule="exact"/>
              <w:ind w:firstLine="480" w:firstLineChars="200"/>
              <w:jc w:val="left"/>
              <w:rPr>
                <w:color w:val="000000"/>
                <w:sz w:val="24"/>
                <w:vertAlign w:val="superscript"/>
              </w:rPr>
            </w:pPr>
            <w:r>
              <w:rPr>
                <w:color w:val="000000"/>
                <w:sz w:val="24"/>
              </w:rPr>
              <w:t>新乡市的矿产资源可分为4大类28种：能源矿产有：</w:t>
            </w:r>
            <w:r>
              <w:fldChar w:fldCharType="begin"/>
            </w:r>
            <w:r>
              <w:instrText xml:space="preserve"> HYPERLINK "https://baike.baidu.com/item/%E7%85%A4/15884029" </w:instrText>
            </w:r>
            <w:r>
              <w:fldChar w:fldCharType="separate"/>
            </w:r>
            <w:r>
              <w:rPr>
                <w:rStyle w:val="36"/>
                <w:color w:val="000000"/>
                <w:sz w:val="24"/>
                <w:u w:val="none"/>
              </w:rPr>
              <w:t>煤</w:t>
            </w:r>
            <w:r>
              <w:rPr>
                <w:rStyle w:val="36"/>
                <w:color w:val="000000"/>
                <w:sz w:val="24"/>
                <w:u w:val="none"/>
              </w:rPr>
              <w:fldChar w:fldCharType="end"/>
            </w:r>
            <w:r>
              <w:rPr>
                <w:color w:val="000000"/>
                <w:sz w:val="24"/>
              </w:rPr>
              <w:t>、</w:t>
            </w:r>
            <w:r>
              <w:fldChar w:fldCharType="begin"/>
            </w:r>
            <w:r>
              <w:instrText xml:space="preserve"> HYPERLINK "https://baike.baidu.com/item/%E7%9F%B3%E6%B2%B9" </w:instrText>
            </w:r>
            <w:r>
              <w:fldChar w:fldCharType="separate"/>
            </w:r>
            <w:r>
              <w:rPr>
                <w:rStyle w:val="36"/>
                <w:color w:val="000000"/>
                <w:sz w:val="24"/>
                <w:u w:val="none"/>
              </w:rPr>
              <w:t>石油</w:t>
            </w:r>
            <w:r>
              <w:rPr>
                <w:rStyle w:val="36"/>
                <w:color w:val="000000"/>
                <w:sz w:val="24"/>
                <w:u w:val="none"/>
              </w:rPr>
              <w:fldChar w:fldCharType="end"/>
            </w:r>
            <w:r>
              <w:rPr>
                <w:color w:val="000000"/>
                <w:sz w:val="24"/>
              </w:rPr>
              <w:t>、</w:t>
            </w:r>
            <w:r>
              <w:fldChar w:fldCharType="begin"/>
            </w:r>
            <w:r>
              <w:instrText xml:space="preserve"> HYPERLINK "https://baike.baidu.com/item/%E5%A4%A9%E7%84%B6%E6%B0%94/36482" </w:instrText>
            </w:r>
            <w:r>
              <w:fldChar w:fldCharType="separate"/>
            </w:r>
            <w:r>
              <w:rPr>
                <w:rStyle w:val="36"/>
                <w:color w:val="000000"/>
                <w:sz w:val="24"/>
                <w:u w:val="none"/>
              </w:rPr>
              <w:t>天然气</w:t>
            </w:r>
            <w:r>
              <w:rPr>
                <w:rStyle w:val="36"/>
                <w:color w:val="000000"/>
                <w:sz w:val="24"/>
                <w:u w:val="none"/>
              </w:rPr>
              <w:fldChar w:fldCharType="end"/>
            </w:r>
            <w:r>
              <w:rPr>
                <w:color w:val="000000"/>
                <w:sz w:val="24"/>
              </w:rPr>
              <w:t>、</w:t>
            </w:r>
            <w:r>
              <w:fldChar w:fldCharType="begin"/>
            </w:r>
            <w:r>
              <w:instrText xml:space="preserve"> HYPERLINK "https://baike.baidu.com/item/%E7%85%A4%E5%B1%82%E6%B0%94" </w:instrText>
            </w:r>
            <w:r>
              <w:fldChar w:fldCharType="separate"/>
            </w:r>
            <w:r>
              <w:rPr>
                <w:rStyle w:val="36"/>
                <w:color w:val="000000"/>
                <w:sz w:val="24"/>
                <w:u w:val="none"/>
              </w:rPr>
              <w:t>煤层气</w:t>
            </w:r>
            <w:r>
              <w:rPr>
                <w:rStyle w:val="36"/>
                <w:color w:val="000000"/>
                <w:sz w:val="24"/>
                <w:u w:val="none"/>
              </w:rPr>
              <w:fldChar w:fldCharType="end"/>
            </w:r>
            <w:r>
              <w:rPr>
                <w:color w:val="000000"/>
                <w:sz w:val="24"/>
              </w:rPr>
              <w:t>、</w:t>
            </w:r>
            <w:r>
              <w:fldChar w:fldCharType="begin"/>
            </w:r>
            <w:r>
              <w:instrText xml:space="preserve"> HYPERLINK "https://baike.baidu.com/item/%E5%9C%B0%E7%83%AD/4433064" </w:instrText>
            </w:r>
            <w:r>
              <w:fldChar w:fldCharType="separate"/>
            </w:r>
            <w:r>
              <w:rPr>
                <w:rStyle w:val="36"/>
                <w:color w:val="000000"/>
                <w:sz w:val="24"/>
                <w:u w:val="none"/>
              </w:rPr>
              <w:t>地热</w:t>
            </w:r>
            <w:r>
              <w:rPr>
                <w:rStyle w:val="36"/>
                <w:color w:val="000000"/>
                <w:sz w:val="24"/>
                <w:u w:val="none"/>
              </w:rPr>
              <w:fldChar w:fldCharType="end"/>
            </w:r>
            <w:r>
              <w:rPr>
                <w:color w:val="000000"/>
                <w:sz w:val="24"/>
              </w:rPr>
              <w:t>；金属矿产有：</w:t>
            </w:r>
            <w:r>
              <w:fldChar w:fldCharType="begin"/>
            </w:r>
            <w:r>
              <w:instrText xml:space="preserve"> HYPERLINK "https://baike.baidu.com/item/%E9%93%81/29586" </w:instrText>
            </w:r>
            <w:r>
              <w:fldChar w:fldCharType="separate"/>
            </w:r>
            <w:r>
              <w:rPr>
                <w:rStyle w:val="36"/>
                <w:color w:val="000000"/>
                <w:sz w:val="24"/>
                <w:u w:val="none"/>
              </w:rPr>
              <w:t>铁</w:t>
            </w:r>
            <w:r>
              <w:rPr>
                <w:rStyle w:val="36"/>
                <w:color w:val="000000"/>
                <w:sz w:val="24"/>
                <w:u w:val="none"/>
              </w:rPr>
              <w:fldChar w:fldCharType="end"/>
            </w:r>
            <w:r>
              <w:rPr>
                <w:color w:val="000000"/>
                <w:sz w:val="24"/>
              </w:rPr>
              <w:t>、</w:t>
            </w:r>
            <w:r>
              <w:fldChar w:fldCharType="begin"/>
            </w:r>
            <w:r>
              <w:instrText xml:space="preserve"> HYPERLINK "https://baike.baidu.com/item/%E9%93%9C/668243" </w:instrText>
            </w:r>
            <w:r>
              <w:fldChar w:fldCharType="separate"/>
            </w:r>
            <w:r>
              <w:rPr>
                <w:rStyle w:val="36"/>
                <w:color w:val="000000"/>
                <w:sz w:val="24"/>
                <w:u w:val="none"/>
              </w:rPr>
              <w:t>铜</w:t>
            </w:r>
            <w:r>
              <w:rPr>
                <w:rStyle w:val="36"/>
                <w:color w:val="000000"/>
                <w:sz w:val="24"/>
                <w:u w:val="none"/>
              </w:rPr>
              <w:fldChar w:fldCharType="end"/>
            </w:r>
            <w:r>
              <w:rPr>
                <w:color w:val="000000"/>
                <w:sz w:val="24"/>
              </w:rPr>
              <w:t>、</w:t>
            </w:r>
            <w:r>
              <w:fldChar w:fldCharType="begin"/>
            </w:r>
            <w:r>
              <w:instrText xml:space="preserve"> HYPERLINK "https://baike.baidu.com/item/%E9%93%85/2141563" </w:instrText>
            </w:r>
            <w:r>
              <w:fldChar w:fldCharType="separate"/>
            </w:r>
            <w:r>
              <w:rPr>
                <w:rStyle w:val="36"/>
                <w:color w:val="000000"/>
                <w:sz w:val="24"/>
                <w:u w:val="none"/>
              </w:rPr>
              <w:t>铅</w:t>
            </w:r>
            <w:r>
              <w:rPr>
                <w:rStyle w:val="36"/>
                <w:color w:val="000000"/>
                <w:sz w:val="24"/>
                <w:u w:val="none"/>
              </w:rPr>
              <w:fldChar w:fldCharType="end"/>
            </w:r>
            <w:r>
              <w:rPr>
                <w:color w:val="000000"/>
                <w:sz w:val="24"/>
              </w:rPr>
              <w:t>、</w:t>
            </w:r>
            <w:r>
              <w:fldChar w:fldCharType="begin"/>
            </w:r>
            <w:r>
              <w:instrText xml:space="preserve"> HYPERLINK "https://baike.baidu.com/item/%E9%94%8C" </w:instrText>
            </w:r>
            <w:r>
              <w:fldChar w:fldCharType="separate"/>
            </w:r>
            <w:r>
              <w:rPr>
                <w:rStyle w:val="36"/>
                <w:color w:val="000000"/>
                <w:sz w:val="24"/>
                <w:u w:val="none"/>
              </w:rPr>
              <w:t>锌</w:t>
            </w:r>
            <w:r>
              <w:rPr>
                <w:rStyle w:val="36"/>
                <w:color w:val="000000"/>
                <w:sz w:val="24"/>
                <w:u w:val="none"/>
              </w:rPr>
              <w:fldChar w:fldCharType="end"/>
            </w:r>
            <w:r>
              <w:rPr>
                <w:color w:val="000000"/>
                <w:sz w:val="24"/>
              </w:rPr>
              <w:t>、</w:t>
            </w:r>
            <w:r>
              <w:fldChar w:fldCharType="begin"/>
            </w:r>
            <w:r>
              <w:instrText xml:space="preserve"> HYPERLINK "https://baike.baidu.com/item/%E9%87%91%E7%9F%BF/15199142" </w:instrText>
            </w:r>
            <w:r>
              <w:fldChar w:fldCharType="separate"/>
            </w:r>
            <w:r>
              <w:rPr>
                <w:rStyle w:val="36"/>
                <w:color w:val="000000"/>
                <w:sz w:val="24"/>
                <w:u w:val="none"/>
              </w:rPr>
              <w:t>金矿</w:t>
            </w:r>
            <w:r>
              <w:rPr>
                <w:rStyle w:val="36"/>
                <w:color w:val="000000"/>
                <w:sz w:val="24"/>
                <w:u w:val="none"/>
              </w:rPr>
              <w:fldChar w:fldCharType="end"/>
            </w:r>
            <w:r>
              <w:rPr>
                <w:color w:val="000000"/>
                <w:sz w:val="24"/>
              </w:rPr>
              <w:t>；非金属矿产有：水泥用灰岩、水泥配料用粘土、化工灰岩、</w:t>
            </w:r>
            <w:r>
              <w:fldChar w:fldCharType="begin"/>
            </w:r>
            <w:r>
              <w:instrText xml:space="preserve"> HYPERLINK "https://baike.baidu.com/item/%E7%99%BD%E4%BA%91%E5%B2%A9/883219" </w:instrText>
            </w:r>
            <w:r>
              <w:fldChar w:fldCharType="separate"/>
            </w:r>
            <w:r>
              <w:rPr>
                <w:rStyle w:val="36"/>
                <w:color w:val="000000"/>
                <w:sz w:val="24"/>
                <w:u w:val="none"/>
              </w:rPr>
              <w:t>白云岩</w:t>
            </w:r>
            <w:r>
              <w:rPr>
                <w:rStyle w:val="36"/>
                <w:color w:val="000000"/>
                <w:sz w:val="24"/>
                <w:u w:val="none"/>
              </w:rPr>
              <w:fldChar w:fldCharType="end"/>
            </w:r>
            <w:r>
              <w:rPr>
                <w:color w:val="000000"/>
                <w:sz w:val="24"/>
              </w:rPr>
              <w:t>、</w:t>
            </w:r>
            <w:r>
              <w:fldChar w:fldCharType="begin"/>
            </w:r>
            <w:r>
              <w:instrText xml:space="preserve"> HYPERLINK "https://baike.baidu.com/item/%E9%87%8D%E6%99%B6%E7%9F%B3" </w:instrText>
            </w:r>
            <w:r>
              <w:fldChar w:fldCharType="separate"/>
            </w:r>
            <w:r>
              <w:rPr>
                <w:rStyle w:val="36"/>
                <w:color w:val="000000"/>
                <w:sz w:val="24"/>
                <w:u w:val="none"/>
              </w:rPr>
              <w:t>重晶石</w:t>
            </w:r>
            <w:r>
              <w:rPr>
                <w:rStyle w:val="36"/>
                <w:color w:val="000000"/>
                <w:sz w:val="24"/>
                <w:u w:val="none"/>
              </w:rPr>
              <w:fldChar w:fldCharType="end"/>
            </w:r>
            <w:r>
              <w:rPr>
                <w:color w:val="000000"/>
                <w:sz w:val="24"/>
              </w:rPr>
              <w:t>、</w:t>
            </w:r>
            <w:r>
              <w:fldChar w:fldCharType="begin"/>
            </w:r>
            <w:r>
              <w:instrText xml:space="preserve"> HYPERLINK "https://baike.baidu.com/item/%E6%B3%A5%E7%82%AD" </w:instrText>
            </w:r>
            <w:r>
              <w:fldChar w:fldCharType="separate"/>
            </w:r>
            <w:r>
              <w:rPr>
                <w:rStyle w:val="36"/>
                <w:color w:val="000000"/>
                <w:sz w:val="24"/>
                <w:u w:val="none"/>
              </w:rPr>
              <w:t>泥炭</w:t>
            </w:r>
            <w:r>
              <w:rPr>
                <w:rStyle w:val="36"/>
                <w:color w:val="000000"/>
                <w:sz w:val="24"/>
                <w:u w:val="none"/>
              </w:rPr>
              <w:fldChar w:fldCharType="end"/>
            </w:r>
            <w:r>
              <w:rPr>
                <w:color w:val="000000"/>
                <w:sz w:val="24"/>
              </w:rPr>
              <w:t>、</w:t>
            </w:r>
            <w:r>
              <w:fldChar w:fldCharType="begin"/>
            </w:r>
            <w:r>
              <w:instrText xml:space="preserve"> HYPERLINK "https://baike.baidu.com/item/%E7%A3%B7" </w:instrText>
            </w:r>
            <w:r>
              <w:fldChar w:fldCharType="separate"/>
            </w:r>
            <w:r>
              <w:rPr>
                <w:rStyle w:val="36"/>
                <w:color w:val="000000"/>
                <w:sz w:val="24"/>
                <w:u w:val="none"/>
              </w:rPr>
              <w:t>磷</w:t>
            </w:r>
            <w:r>
              <w:rPr>
                <w:rStyle w:val="36"/>
                <w:color w:val="000000"/>
                <w:sz w:val="24"/>
                <w:u w:val="none"/>
              </w:rPr>
              <w:fldChar w:fldCharType="end"/>
            </w:r>
            <w:r>
              <w:rPr>
                <w:color w:val="000000"/>
                <w:sz w:val="24"/>
              </w:rPr>
              <w:t>、耐火粘土、</w:t>
            </w:r>
            <w:r>
              <w:fldChar w:fldCharType="begin"/>
            </w:r>
            <w:r>
              <w:instrText xml:space="preserve"> HYPERLINK "https://baike.baidu.com/item/%E7%9F%B3%E8%8B%B1%E5%B2%A9" </w:instrText>
            </w:r>
            <w:r>
              <w:fldChar w:fldCharType="separate"/>
            </w:r>
            <w:r>
              <w:rPr>
                <w:rStyle w:val="36"/>
                <w:color w:val="000000"/>
                <w:sz w:val="24"/>
                <w:u w:val="none"/>
              </w:rPr>
              <w:t>石英岩</w:t>
            </w:r>
            <w:r>
              <w:rPr>
                <w:rStyle w:val="36"/>
                <w:color w:val="000000"/>
                <w:sz w:val="24"/>
                <w:u w:val="none"/>
              </w:rPr>
              <w:fldChar w:fldCharType="end"/>
            </w:r>
            <w:r>
              <w:rPr>
                <w:color w:val="000000"/>
                <w:sz w:val="24"/>
              </w:rPr>
              <w:t>、饰面花岗岩、饰面大理岩、建筑石料、建筑用砂、砖瓦用粘土、</w:t>
            </w:r>
            <w:r>
              <w:fldChar w:fldCharType="begin"/>
            </w:r>
            <w:r>
              <w:instrText xml:space="preserve"> HYPERLINK "https://baike.baidu.com/item/%E6%B0%B4%E6%99%B6/183" </w:instrText>
            </w:r>
            <w:r>
              <w:fldChar w:fldCharType="separate"/>
            </w:r>
            <w:r>
              <w:rPr>
                <w:rStyle w:val="36"/>
                <w:color w:val="000000"/>
                <w:sz w:val="24"/>
                <w:u w:val="none"/>
              </w:rPr>
              <w:t>水晶</w:t>
            </w:r>
            <w:r>
              <w:rPr>
                <w:rStyle w:val="36"/>
                <w:color w:val="000000"/>
                <w:sz w:val="24"/>
                <w:u w:val="none"/>
              </w:rPr>
              <w:fldChar w:fldCharType="end"/>
            </w:r>
            <w:r>
              <w:rPr>
                <w:color w:val="000000"/>
                <w:sz w:val="24"/>
              </w:rPr>
              <w:t>、</w:t>
            </w:r>
            <w:r>
              <w:fldChar w:fldCharType="begin"/>
            </w:r>
            <w:r>
              <w:instrText xml:space="preserve"> HYPERLINK "https://baike.baidu.com/item/%E5%86%B0%E6%B4%B2%E7%9F%B3" </w:instrText>
            </w:r>
            <w:r>
              <w:fldChar w:fldCharType="separate"/>
            </w:r>
            <w:r>
              <w:rPr>
                <w:rStyle w:val="36"/>
                <w:color w:val="000000"/>
                <w:sz w:val="24"/>
                <w:u w:val="none"/>
              </w:rPr>
              <w:t>冰洲石</w:t>
            </w:r>
            <w:r>
              <w:rPr>
                <w:rStyle w:val="36"/>
                <w:color w:val="000000"/>
                <w:sz w:val="24"/>
                <w:u w:val="none"/>
              </w:rPr>
              <w:fldChar w:fldCharType="end"/>
            </w:r>
            <w:r>
              <w:rPr>
                <w:color w:val="000000"/>
                <w:sz w:val="24"/>
              </w:rPr>
              <w:t>；水汽矿产有：</w:t>
            </w:r>
            <w:r>
              <w:fldChar w:fldCharType="begin"/>
            </w:r>
            <w:r>
              <w:instrText xml:space="preserve"> HYPERLINK "https://baike.baidu.com/item/%E5%9C%B0%E4%B8%8B%E6%B0%B4" </w:instrText>
            </w:r>
            <w:r>
              <w:fldChar w:fldCharType="separate"/>
            </w:r>
            <w:r>
              <w:rPr>
                <w:rStyle w:val="36"/>
                <w:color w:val="000000"/>
                <w:sz w:val="24"/>
                <w:u w:val="none"/>
              </w:rPr>
              <w:t>地下水</w:t>
            </w:r>
            <w:r>
              <w:rPr>
                <w:rStyle w:val="36"/>
                <w:color w:val="000000"/>
                <w:sz w:val="24"/>
                <w:u w:val="none"/>
              </w:rPr>
              <w:fldChar w:fldCharType="end"/>
            </w:r>
            <w:r>
              <w:rPr>
                <w:color w:val="000000"/>
                <w:sz w:val="24"/>
              </w:rPr>
              <w:t>、</w:t>
            </w:r>
            <w:r>
              <w:fldChar w:fldCharType="begin"/>
            </w:r>
            <w:r>
              <w:instrText xml:space="preserve"> HYPERLINK "https://baike.baidu.com/item/%E7%9F%BF%E6%B3%89%E6%B0%B4" </w:instrText>
            </w:r>
            <w:r>
              <w:fldChar w:fldCharType="separate"/>
            </w:r>
            <w:r>
              <w:rPr>
                <w:rStyle w:val="36"/>
                <w:color w:val="000000"/>
                <w:sz w:val="24"/>
                <w:u w:val="none"/>
              </w:rPr>
              <w:t>矿泉水</w:t>
            </w:r>
            <w:r>
              <w:rPr>
                <w:rStyle w:val="36"/>
                <w:color w:val="000000"/>
                <w:sz w:val="24"/>
                <w:u w:val="none"/>
              </w:rPr>
              <w:fldChar w:fldCharType="end"/>
            </w:r>
            <w:r>
              <w:rPr>
                <w:color w:val="000000"/>
                <w:sz w:val="24"/>
              </w:rPr>
              <w:t>。</w:t>
            </w:r>
          </w:p>
          <w:p>
            <w:pPr>
              <w:widowControl/>
              <w:adjustRightInd w:val="0"/>
              <w:snapToGrid w:val="0"/>
              <w:spacing w:line="440" w:lineRule="exact"/>
              <w:ind w:firstLine="480" w:firstLineChars="200"/>
              <w:jc w:val="left"/>
              <w:rPr>
                <w:color w:val="000000"/>
                <w:sz w:val="24"/>
              </w:rPr>
            </w:pPr>
            <w:r>
              <w:rPr>
                <w:color w:val="000000"/>
                <w:sz w:val="24"/>
              </w:rPr>
              <w:t>新乡市矿产地总数为104处，其中地质工作程度达到普查的15处，勘探22处。矿产规模达到大型矿床的10处，中型矿床13处，小型矿床30处，矿点及矿化点51处。水泥用</w:t>
            </w:r>
            <w:r>
              <w:fldChar w:fldCharType="begin"/>
            </w:r>
            <w:r>
              <w:instrText xml:space="preserve"> HYPERLINK "https://baike.baidu.com/item/%E7%81%B0%E5%B2%A9" </w:instrText>
            </w:r>
            <w:r>
              <w:fldChar w:fldCharType="separate"/>
            </w:r>
            <w:r>
              <w:rPr>
                <w:rStyle w:val="36"/>
                <w:color w:val="000000"/>
                <w:sz w:val="24"/>
                <w:u w:val="none"/>
              </w:rPr>
              <w:t>灰岩</w:t>
            </w:r>
            <w:r>
              <w:rPr>
                <w:rStyle w:val="36"/>
                <w:color w:val="000000"/>
                <w:sz w:val="24"/>
                <w:u w:val="none"/>
              </w:rPr>
              <w:fldChar w:fldCharType="end"/>
            </w:r>
            <w:r>
              <w:rPr>
                <w:color w:val="000000"/>
                <w:sz w:val="24"/>
              </w:rPr>
              <w:t>、</w:t>
            </w:r>
            <w:r>
              <w:fldChar w:fldCharType="begin"/>
            </w:r>
            <w:r>
              <w:instrText xml:space="preserve"> HYPERLINK "https://baike.baidu.com/item/%E7%85%A4%E7%82%AD/273065" </w:instrText>
            </w:r>
            <w:r>
              <w:fldChar w:fldCharType="separate"/>
            </w:r>
            <w:r>
              <w:rPr>
                <w:rStyle w:val="36"/>
                <w:color w:val="000000"/>
                <w:sz w:val="24"/>
                <w:u w:val="none"/>
              </w:rPr>
              <w:t>煤炭</w:t>
            </w:r>
            <w:r>
              <w:rPr>
                <w:rStyle w:val="36"/>
                <w:color w:val="000000"/>
                <w:sz w:val="24"/>
                <w:u w:val="none"/>
              </w:rPr>
              <w:fldChar w:fldCharType="end"/>
            </w:r>
            <w:r>
              <w:rPr>
                <w:color w:val="000000"/>
                <w:sz w:val="24"/>
              </w:rPr>
              <w:t>、建筑石料用灰岩、</w:t>
            </w:r>
            <w:r>
              <w:fldChar w:fldCharType="begin"/>
            </w:r>
            <w:r>
              <w:instrText xml:space="preserve"> HYPERLINK "https://baike.baidu.com/item/%E5%9C%B0%E7%83%AD/4433064" </w:instrText>
            </w:r>
            <w:r>
              <w:fldChar w:fldCharType="separate"/>
            </w:r>
            <w:r>
              <w:rPr>
                <w:rStyle w:val="36"/>
                <w:color w:val="000000"/>
                <w:sz w:val="24"/>
                <w:u w:val="none"/>
              </w:rPr>
              <w:t>地热</w:t>
            </w:r>
            <w:r>
              <w:rPr>
                <w:rStyle w:val="36"/>
                <w:color w:val="000000"/>
                <w:sz w:val="24"/>
                <w:u w:val="none"/>
              </w:rPr>
              <w:fldChar w:fldCharType="end"/>
            </w:r>
            <w:r>
              <w:rPr>
                <w:color w:val="000000"/>
                <w:sz w:val="24"/>
              </w:rPr>
              <w:t>、</w:t>
            </w:r>
            <w:r>
              <w:fldChar w:fldCharType="begin"/>
            </w:r>
            <w:r>
              <w:instrText xml:space="preserve"> HYPERLINK "https://baike.baidu.com/item/%E7%9F%BF%E6%B3%89%E6%B0%B4" </w:instrText>
            </w:r>
            <w:r>
              <w:fldChar w:fldCharType="separate"/>
            </w:r>
            <w:r>
              <w:rPr>
                <w:rStyle w:val="36"/>
                <w:color w:val="000000"/>
                <w:sz w:val="24"/>
                <w:u w:val="none"/>
              </w:rPr>
              <w:t>矿泉水</w:t>
            </w:r>
            <w:r>
              <w:rPr>
                <w:rStyle w:val="36"/>
                <w:color w:val="000000"/>
                <w:sz w:val="24"/>
                <w:u w:val="none"/>
              </w:rPr>
              <w:fldChar w:fldCharType="end"/>
            </w:r>
            <w:r>
              <w:rPr>
                <w:color w:val="000000"/>
                <w:sz w:val="24"/>
              </w:rPr>
              <w:t>等矿产是新乡的优势矿产资源。</w:t>
            </w:r>
          </w:p>
          <w:p>
            <w:pPr>
              <w:widowControl/>
              <w:adjustRightInd w:val="0"/>
              <w:snapToGrid w:val="0"/>
              <w:spacing w:line="440" w:lineRule="exact"/>
              <w:ind w:firstLine="482" w:firstLineChars="200"/>
              <w:jc w:val="left"/>
              <w:rPr>
                <w:sz w:val="24"/>
              </w:rPr>
            </w:pPr>
            <w:r>
              <w:rPr>
                <w:b/>
                <w:bCs/>
                <w:sz w:val="24"/>
              </w:rPr>
              <w:t>7、土壤、动植物资源</w:t>
            </w:r>
          </w:p>
          <w:p>
            <w:pPr>
              <w:widowControl/>
              <w:adjustRightInd w:val="0"/>
              <w:snapToGrid w:val="0"/>
              <w:spacing w:line="440" w:lineRule="exact"/>
              <w:ind w:firstLine="468" w:firstLineChars="195"/>
              <w:jc w:val="left"/>
              <w:rPr>
                <w:kern w:val="0"/>
                <w:sz w:val="24"/>
              </w:rPr>
            </w:pPr>
            <w:r>
              <w:rPr>
                <w:kern w:val="0"/>
                <w:sz w:val="24"/>
              </w:rPr>
              <w:t>新乡市土壤分两大类：潮土和褐土。卫河两岸属潮土类，北部丘陵属褐土类。泻洪区属潮土向褐土过度的湿潮土。由于成土母质、地形及熟化条件的差异，潮土类中有二合土、淤土、青砂土和盐碱土。褐土类中有粗骨土、红粘土、红垆土等。新乡市自南向北，土壤类型由简单到复杂，土壤表层质地由轻变重。</w:t>
            </w:r>
          </w:p>
          <w:p>
            <w:pPr>
              <w:widowControl/>
              <w:adjustRightInd w:val="0"/>
              <w:snapToGrid w:val="0"/>
              <w:spacing w:line="440" w:lineRule="exact"/>
              <w:ind w:firstLine="468" w:firstLineChars="195"/>
              <w:jc w:val="left"/>
              <w:rPr>
                <w:kern w:val="0"/>
                <w:sz w:val="24"/>
              </w:rPr>
            </w:pPr>
            <w:r>
              <w:rPr>
                <w:kern w:val="0"/>
                <w:sz w:val="24"/>
              </w:rPr>
              <w:t>据调查新乡市市域内野生动植物资源品种繁多，但是数量比较少。据统计，有动物607种，其中鸟类122种，兽类40种，昆虫306种，鱼类44种，其他动物100多种。国家一级保护动物13种，二级保护动物31种。野生动物集中区在：原阳黄河湿地自然保护区、辉县太行山猕猴国家级自然保护区、豫北黄河故道湿地鸟类国家级自然保护区。</w:t>
            </w:r>
          </w:p>
          <w:p>
            <w:pPr>
              <w:widowControl/>
              <w:adjustRightInd w:val="0"/>
              <w:snapToGrid w:val="0"/>
              <w:spacing w:line="440" w:lineRule="exact"/>
              <w:ind w:firstLine="468" w:firstLineChars="195"/>
              <w:jc w:val="left"/>
              <w:rPr>
                <w:kern w:val="0"/>
                <w:sz w:val="24"/>
              </w:rPr>
            </w:pPr>
            <w:r>
              <w:rPr>
                <w:kern w:val="0"/>
                <w:sz w:val="24"/>
              </w:rPr>
              <w:t>新乡市有植物520种，其中低等植物6门87种，高等植物65科212属，苔藓植物9科12属10种；裸子植物50科195属405种；被子植物139科686属1585种、7亚种、134变种及4栽培变种。属于国家和省重点保护的植物有银杏、红豆杉、红椿、天麻、核桃楸、华榛、青檀、猥实等10多种。经现场调查，项目周边无珍稀动植物。</w:t>
            </w:r>
          </w:p>
          <w:p>
            <w:pPr>
              <w:widowControl/>
              <w:adjustRightInd w:val="0"/>
              <w:snapToGrid w:val="0"/>
              <w:spacing w:line="440" w:lineRule="exact"/>
              <w:ind w:firstLine="470" w:firstLineChars="195"/>
              <w:jc w:val="left"/>
              <w:rPr>
                <w:rFonts w:eastAsiaTheme="minorEastAsia"/>
                <w:b/>
                <w:bCs/>
                <w:kern w:val="0"/>
                <w:sz w:val="24"/>
              </w:rPr>
            </w:pPr>
            <w:r>
              <w:rPr>
                <w:rFonts w:eastAsiaTheme="minorEastAsia"/>
                <w:b/>
                <w:bCs/>
                <w:kern w:val="0"/>
                <w:sz w:val="24"/>
              </w:rPr>
              <w:t>8、文物古迹及自然遗迹</w:t>
            </w:r>
          </w:p>
          <w:p>
            <w:pPr>
              <w:adjustRightInd w:val="0"/>
              <w:snapToGrid w:val="0"/>
              <w:spacing w:line="440" w:lineRule="exact"/>
              <w:ind w:firstLine="480" w:firstLineChars="200"/>
              <w:jc w:val="left"/>
              <w:rPr>
                <w:rFonts w:eastAsiaTheme="minorEastAsia"/>
                <w:kern w:val="0"/>
                <w:sz w:val="24"/>
              </w:rPr>
            </w:pPr>
            <w:r>
              <w:rPr>
                <w:rFonts w:eastAsiaTheme="minorEastAsia"/>
                <w:kern w:val="0"/>
                <w:sz w:val="24"/>
              </w:rPr>
              <w:t>新乡市以</w:t>
            </w:r>
            <w:r>
              <w:fldChar w:fldCharType="begin"/>
            </w:r>
            <w:r>
              <w:instrText xml:space="preserve"> HYPERLINK "https://baike.baidu.com/item/%E7%89%A7%E9%87%8E%E5%A4%A7%E6%88%98" </w:instrText>
            </w:r>
            <w:r>
              <w:fldChar w:fldCharType="separate"/>
            </w:r>
            <w:r>
              <w:rPr>
                <w:rStyle w:val="36"/>
                <w:rFonts w:eastAsiaTheme="minorEastAsia"/>
                <w:color w:val="auto"/>
                <w:kern w:val="0"/>
                <w:sz w:val="24"/>
                <w:u w:val="none"/>
              </w:rPr>
              <w:t>牧野大战</w:t>
            </w:r>
            <w:r>
              <w:rPr>
                <w:rStyle w:val="36"/>
                <w:rFonts w:eastAsiaTheme="minorEastAsia"/>
                <w:color w:val="auto"/>
                <w:kern w:val="0"/>
                <w:sz w:val="24"/>
                <w:u w:val="none"/>
              </w:rPr>
              <w:fldChar w:fldCharType="end"/>
            </w:r>
            <w:r>
              <w:rPr>
                <w:rFonts w:eastAsiaTheme="minorEastAsia"/>
                <w:kern w:val="0"/>
                <w:sz w:val="24"/>
              </w:rPr>
              <w:t>为代表的历史遗存遍布全市，其中国家级文保单位20处，省级文保单位43处，国家级森林公园1处，国家级湿地鸟类自然保护区1处，省级名胜风景区1处，省级历史文化名城1处，省级历史文化名镇1处，开发出</w:t>
            </w:r>
            <w:r>
              <w:fldChar w:fldCharType="begin"/>
            </w:r>
            <w:r>
              <w:instrText xml:space="preserve"> HYPERLINK "https://baike.baidu.com/item/%E4%B8%87%E4%BB%99%E5%B1%B1" </w:instrText>
            </w:r>
            <w:r>
              <w:fldChar w:fldCharType="separate"/>
            </w:r>
            <w:r>
              <w:rPr>
                <w:rStyle w:val="36"/>
                <w:rFonts w:eastAsiaTheme="minorEastAsia"/>
                <w:color w:val="auto"/>
                <w:kern w:val="0"/>
                <w:sz w:val="24"/>
                <w:u w:val="none"/>
              </w:rPr>
              <w:t>万仙山</w:t>
            </w:r>
            <w:r>
              <w:rPr>
                <w:rStyle w:val="36"/>
                <w:rFonts w:eastAsiaTheme="minorEastAsia"/>
                <w:color w:val="auto"/>
                <w:kern w:val="0"/>
                <w:sz w:val="24"/>
                <w:u w:val="none"/>
              </w:rPr>
              <w:fldChar w:fldCharType="end"/>
            </w:r>
            <w:r>
              <w:rPr>
                <w:rFonts w:eastAsiaTheme="minorEastAsia"/>
                <w:kern w:val="0"/>
                <w:sz w:val="24"/>
              </w:rPr>
              <w:t>、</w:t>
            </w:r>
            <w:r>
              <w:fldChar w:fldCharType="begin"/>
            </w:r>
            <w:r>
              <w:instrText xml:space="preserve"> HYPERLINK "https://baike.baidu.com/item/%E5%85%AB%E9%87%8C%E6%B2%9F" </w:instrText>
            </w:r>
            <w:r>
              <w:fldChar w:fldCharType="separate"/>
            </w:r>
            <w:r>
              <w:rPr>
                <w:rStyle w:val="36"/>
                <w:rFonts w:eastAsiaTheme="minorEastAsia"/>
                <w:color w:val="auto"/>
                <w:kern w:val="0"/>
                <w:sz w:val="24"/>
                <w:u w:val="none"/>
              </w:rPr>
              <w:t>八里沟</w:t>
            </w:r>
            <w:r>
              <w:rPr>
                <w:rStyle w:val="36"/>
                <w:rFonts w:eastAsiaTheme="minorEastAsia"/>
                <w:color w:val="auto"/>
                <w:kern w:val="0"/>
                <w:sz w:val="24"/>
                <w:u w:val="none"/>
              </w:rPr>
              <w:fldChar w:fldCharType="end"/>
            </w:r>
            <w:r>
              <w:rPr>
                <w:rFonts w:eastAsiaTheme="minorEastAsia"/>
                <w:kern w:val="0"/>
                <w:sz w:val="24"/>
              </w:rPr>
              <w:t>、</w:t>
            </w:r>
            <w:r>
              <w:fldChar w:fldCharType="begin"/>
            </w:r>
            <w:r>
              <w:instrText xml:space="preserve"> HYPERLINK "https://baike.baidu.com/item/%E4%BA%AC%E5%8D%8E%E5%9B%AD" </w:instrText>
            </w:r>
            <w:r>
              <w:fldChar w:fldCharType="separate"/>
            </w:r>
            <w:r>
              <w:rPr>
                <w:rStyle w:val="36"/>
                <w:rFonts w:eastAsiaTheme="minorEastAsia"/>
                <w:color w:val="auto"/>
                <w:kern w:val="0"/>
                <w:sz w:val="24"/>
                <w:u w:val="none"/>
              </w:rPr>
              <w:t>京华园</w:t>
            </w:r>
            <w:r>
              <w:rPr>
                <w:rStyle w:val="36"/>
                <w:rFonts w:eastAsiaTheme="minorEastAsia"/>
                <w:color w:val="auto"/>
                <w:kern w:val="0"/>
                <w:sz w:val="24"/>
                <w:u w:val="none"/>
              </w:rPr>
              <w:fldChar w:fldCharType="end"/>
            </w:r>
            <w:r>
              <w:rPr>
                <w:rFonts w:eastAsiaTheme="minorEastAsia"/>
                <w:kern w:val="0"/>
                <w:sz w:val="24"/>
              </w:rPr>
              <w:t>、</w:t>
            </w:r>
            <w:r>
              <w:fldChar w:fldCharType="begin"/>
            </w:r>
            <w:r>
              <w:instrText xml:space="preserve"> HYPERLINK "https://baike.baidu.com/item/%E6%AF%94%E5%B9%B2%E5%BA%99" </w:instrText>
            </w:r>
            <w:r>
              <w:fldChar w:fldCharType="separate"/>
            </w:r>
            <w:r>
              <w:rPr>
                <w:rStyle w:val="36"/>
                <w:rFonts w:eastAsiaTheme="minorEastAsia"/>
                <w:color w:val="auto"/>
                <w:kern w:val="0"/>
                <w:sz w:val="24"/>
                <w:u w:val="none"/>
              </w:rPr>
              <w:t>比干庙</w:t>
            </w:r>
            <w:r>
              <w:rPr>
                <w:rStyle w:val="36"/>
                <w:rFonts w:eastAsiaTheme="minorEastAsia"/>
                <w:color w:val="auto"/>
                <w:kern w:val="0"/>
                <w:sz w:val="24"/>
                <w:u w:val="none"/>
              </w:rPr>
              <w:fldChar w:fldCharType="end"/>
            </w:r>
            <w:r>
              <w:rPr>
                <w:rFonts w:eastAsiaTheme="minorEastAsia"/>
                <w:kern w:val="0"/>
                <w:sz w:val="24"/>
              </w:rPr>
              <w:t>、</w:t>
            </w:r>
            <w:r>
              <w:fldChar w:fldCharType="begin"/>
            </w:r>
            <w:r>
              <w:instrText xml:space="preserve"> HYPERLINK "https://baike.baidu.com/item/%E6%BD%9E%E7%8E%8B%E9%99%B5" </w:instrText>
            </w:r>
            <w:r>
              <w:fldChar w:fldCharType="separate"/>
            </w:r>
            <w:r>
              <w:rPr>
                <w:rStyle w:val="36"/>
                <w:rFonts w:eastAsiaTheme="minorEastAsia"/>
                <w:color w:val="auto"/>
                <w:kern w:val="0"/>
                <w:sz w:val="24"/>
                <w:u w:val="none"/>
              </w:rPr>
              <w:t>潞王陵</w:t>
            </w:r>
            <w:r>
              <w:rPr>
                <w:rStyle w:val="36"/>
                <w:rFonts w:eastAsiaTheme="minorEastAsia"/>
                <w:color w:val="auto"/>
                <w:kern w:val="0"/>
                <w:sz w:val="24"/>
                <w:u w:val="none"/>
              </w:rPr>
              <w:fldChar w:fldCharType="end"/>
            </w:r>
            <w:r>
              <w:rPr>
                <w:rFonts w:eastAsiaTheme="minorEastAsia"/>
                <w:kern w:val="0"/>
                <w:sz w:val="24"/>
              </w:rPr>
              <w:t>等19家各具特色的山水景区和人文景区。2016年，共有A级旅游景区21个，其中，4A级以上景区9处。经现场调查，项目评价区域内无重要历史文物古迹。</w:t>
            </w:r>
          </w:p>
          <w:p>
            <w:pPr>
              <w:adjustRightInd w:val="0"/>
              <w:snapToGrid w:val="0"/>
              <w:spacing w:line="400" w:lineRule="exact"/>
              <w:ind w:firstLine="480" w:firstLineChars="200"/>
              <w:jc w:val="left"/>
              <w:rPr>
                <w:rFonts w:eastAsiaTheme="minorEastAsia"/>
                <w:kern w:val="0"/>
                <w:sz w:val="24"/>
              </w:rPr>
            </w:pPr>
            <w:r>
              <w:rPr>
                <w:rFonts w:eastAsiaTheme="minorEastAsia"/>
                <w:kern w:val="0"/>
                <w:sz w:val="24"/>
              </w:rPr>
              <w:t xml:space="preserve"> </w:t>
            </w:r>
          </w:p>
          <w:p>
            <w:pPr>
              <w:pStyle w:val="2"/>
              <w:outlineLvl w:val="0"/>
            </w:pPr>
          </w:p>
          <w:p/>
          <w:p>
            <w:pPr>
              <w:pStyle w:val="2"/>
              <w:outlineLvl w:val="0"/>
            </w:pPr>
          </w:p>
          <w:p>
            <w:pPr>
              <w:pStyle w:val="2"/>
              <w:spacing w:before="0" w:after="0" w:line="240" w:lineRule="auto"/>
              <w:ind w:left="0" w:firstLine="0"/>
              <w:jc w:val="both"/>
              <w:outlineLvl w:val="0"/>
            </w:pPr>
          </w:p>
        </w:tc>
      </w:tr>
    </w:tbl>
    <w:p>
      <w:pPr>
        <w:adjustRightInd w:val="0"/>
        <w:snapToGrid w:val="0"/>
        <w:spacing w:line="400" w:lineRule="exact"/>
        <w:outlineLvl w:val="0"/>
        <w:rPr>
          <w:b/>
          <w:sz w:val="28"/>
          <w:szCs w:val="28"/>
        </w:rPr>
      </w:pPr>
    </w:p>
    <w:p>
      <w:pPr>
        <w:adjustRightInd w:val="0"/>
        <w:snapToGrid w:val="0"/>
        <w:spacing w:line="400" w:lineRule="exact"/>
        <w:outlineLvl w:val="0"/>
        <w:rPr>
          <w:b/>
          <w:sz w:val="28"/>
          <w:szCs w:val="28"/>
        </w:rPr>
      </w:pPr>
    </w:p>
    <w:p>
      <w:pPr>
        <w:adjustRightInd w:val="0"/>
        <w:snapToGrid w:val="0"/>
        <w:spacing w:line="400" w:lineRule="exact"/>
        <w:outlineLvl w:val="0"/>
        <w:rPr>
          <w:b/>
          <w:sz w:val="28"/>
          <w:szCs w:val="28"/>
        </w:rPr>
      </w:pPr>
      <w:r>
        <w:rPr>
          <w:b/>
          <w:sz w:val="28"/>
          <w:szCs w:val="28"/>
        </w:rPr>
        <w:t>环境质量状况</w:t>
      </w:r>
    </w:p>
    <w:tbl>
      <w:tblPr>
        <w:tblStyle w:val="30"/>
        <w:tblpPr w:leftFromText="180" w:rightFromText="180" w:vertAnchor="text" w:tblpXSpec="center" w:tblpY="1"/>
        <w:tblOverlap w:val="never"/>
        <w:tblW w:w="956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5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2" w:hRule="atLeast"/>
        </w:trPr>
        <w:tc>
          <w:tcPr>
            <w:tcW w:w="9569" w:type="dxa"/>
          </w:tcPr>
          <w:p>
            <w:pPr>
              <w:adjustRightInd w:val="0"/>
              <w:snapToGrid w:val="0"/>
              <w:spacing w:line="440" w:lineRule="exact"/>
              <w:ind w:firstLine="480" w:firstLineChars="200"/>
              <w:textAlignment w:val="baseline"/>
              <w:rPr>
                <w:sz w:val="24"/>
              </w:rPr>
            </w:pPr>
            <w:r>
              <w:rPr>
                <w:sz w:val="24"/>
              </w:rPr>
              <w:t>建设项目所在地区域环境质量现状及主要环境问题(环境空气、地表水、地下水、声环境、生态环境等)：</w:t>
            </w:r>
          </w:p>
          <w:p>
            <w:pPr>
              <w:pStyle w:val="46"/>
              <w:adjustRightInd w:val="0"/>
              <w:snapToGrid w:val="0"/>
              <w:spacing w:line="440" w:lineRule="exact"/>
              <w:ind w:firstLine="470" w:firstLineChars="196"/>
              <w:rPr>
                <w:sz w:val="24"/>
              </w:rPr>
            </w:pPr>
            <w:r>
              <w:rPr>
                <w:sz w:val="24"/>
              </w:rPr>
              <w:t>1、环境空气质量现状</w:t>
            </w:r>
          </w:p>
          <w:p>
            <w:pPr>
              <w:snapToGrid w:val="0"/>
              <w:spacing w:line="440" w:lineRule="exact"/>
              <w:ind w:firstLine="480" w:firstLineChars="200"/>
              <w:rPr>
                <w:sz w:val="24"/>
              </w:rPr>
            </w:pPr>
            <w:r>
              <w:rPr>
                <w:sz w:val="24"/>
              </w:rPr>
              <w:t>根据大气功能区划分原则，项目所在区域为二类功能区，环境空气质量应执行《环境空气质量标准》（GB3095-2012）二级标准。</w:t>
            </w:r>
            <w:r>
              <w:rPr>
                <w:rFonts w:hint="eastAsia"/>
                <w:sz w:val="24"/>
              </w:rPr>
              <w:t>根据新乡市生态环境局发布的《新乡市</w:t>
            </w:r>
            <w:r>
              <w:rPr>
                <w:sz w:val="24"/>
              </w:rPr>
              <w:t>2019</w:t>
            </w:r>
            <w:r>
              <w:rPr>
                <w:rFonts w:hint="eastAsia"/>
                <w:sz w:val="24"/>
              </w:rPr>
              <w:t>年环境质量年报》，</w:t>
            </w:r>
            <w:r>
              <w:rPr>
                <w:sz w:val="24"/>
              </w:rPr>
              <w:t>2019</w:t>
            </w:r>
            <w:r>
              <w:rPr>
                <w:rFonts w:hint="eastAsia"/>
                <w:sz w:val="24"/>
              </w:rPr>
              <w:t>年，新乡市颗粒物</w:t>
            </w:r>
            <w:r>
              <w:rPr>
                <w:sz w:val="24"/>
              </w:rPr>
              <w:t>PM</w:t>
            </w:r>
            <w:r>
              <w:rPr>
                <w:sz w:val="24"/>
                <w:vertAlign w:val="subscript"/>
              </w:rPr>
              <w:t>10</w:t>
            </w:r>
            <w:r>
              <w:rPr>
                <w:rFonts w:hint="eastAsia"/>
                <w:sz w:val="24"/>
              </w:rPr>
              <w:t>平均浓度</w:t>
            </w:r>
            <w:r>
              <w:rPr>
                <w:sz w:val="24"/>
              </w:rPr>
              <w:t>101</w:t>
            </w:r>
            <w:r>
              <w:rPr>
                <w:rFonts w:hint="eastAsia"/>
                <w:sz w:val="24"/>
              </w:rPr>
              <w:t>微克</w:t>
            </w:r>
            <w:r>
              <w:rPr>
                <w:sz w:val="24"/>
              </w:rPr>
              <w:t>/</w:t>
            </w:r>
            <w:r>
              <w:rPr>
                <w:rFonts w:hint="eastAsia"/>
                <w:sz w:val="24"/>
              </w:rPr>
              <w:t>立方米，同比下降</w:t>
            </w:r>
            <w:r>
              <w:rPr>
                <w:sz w:val="24"/>
              </w:rPr>
              <w:t>4</w:t>
            </w:r>
            <w:r>
              <w:rPr>
                <w:rFonts w:hint="eastAsia"/>
                <w:sz w:val="24"/>
              </w:rPr>
              <w:t>微克</w:t>
            </w:r>
            <w:r>
              <w:rPr>
                <w:sz w:val="24"/>
              </w:rPr>
              <w:t>/</w:t>
            </w:r>
            <w:r>
              <w:rPr>
                <w:rFonts w:hint="eastAsia"/>
                <w:sz w:val="24"/>
              </w:rPr>
              <w:t>立方米，降幅</w:t>
            </w:r>
            <w:r>
              <w:rPr>
                <w:sz w:val="24"/>
              </w:rPr>
              <w:t>3.8%</w:t>
            </w:r>
            <w:r>
              <w:rPr>
                <w:rFonts w:hint="eastAsia"/>
                <w:sz w:val="24"/>
              </w:rPr>
              <w:t>；</w:t>
            </w:r>
            <w:r>
              <w:rPr>
                <w:sz w:val="24"/>
              </w:rPr>
              <w:t>PM</w:t>
            </w:r>
            <w:r>
              <w:rPr>
                <w:sz w:val="24"/>
                <w:vertAlign w:val="subscript"/>
              </w:rPr>
              <w:t>2.5</w:t>
            </w:r>
            <w:r>
              <w:rPr>
                <w:rFonts w:hint="eastAsia"/>
                <w:sz w:val="24"/>
              </w:rPr>
              <w:t>平均浓度</w:t>
            </w:r>
            <w:r>
              <w:rPr>
                <w:sz w:val="24"/>
              </w:rPr>
              <w:t>56</w:t>
            </w:r>
            <w:r>
              <w:rPr>
                <w:rFonts w:hint="eastAsia"/>
                <w:sz w:val="24"/>
              </w:rPr>
              <w:t>微克</w:t>
            </w:r>
            <w:r>
              <w:rPr>
                <w:sz w:val="24"/>
              </w:rPr>
              <w:t>/</w:t>
            </w:r>
            <w:r>
              <w:rPr>
                <w:rFonts w:hint="eastAsia"/>
                <w:sz w:val="24"/>
              </w:rPr>
              <w:t>立方米，同比下降</w:t>
            </w:r>
            <w:r>
              <w:rPr>
                <w:sz w:val="24"/>
              </w:rPr>
              <w:t>5</w:t>
            </w:r>
            <w:r>
              <w:rPr>
                <w:rFonts w:hint="eastAsia"/>
                <w:sz w:val="24"/>
              </w:rPr>
              <w:t>微克</w:t>
            </w:r>
            <w:r>
              <w:rPr>
                <w:sz w:val="24"/>
              </w:rPr>
              <w:t>/</w:t>
            </w:r>
            <w:r>
              <w:rPr>
                <w:rFonts w:hint="eastAsia"/>
                <w:sz w:val="24"/>
              </w:rPr>
              <w:t>立方米，降幅</w:t>
            </w:r>
            <w:r>
              <w:rPr>
                <w:sz w:val="24"/>
              </w:rPr>
              <w:t>8.2%</w:t>
            </w:r>
            <w:r>
              <w:rPr>
                <w:rFonts w:hint="eastAsia"/>
                <w:sz w:val="24"/>
              </w:rPr>
              <w:t>。气态污染物</w:t>
            </w:r>
            <w:r>
              <w:rPr>
                <w:sz w:val="24"/>
              </w:rPr>
              <w:t xml:space="preserve"> SO</w:t>
            </w:r>
            <w:r>
              <w:rPr>
                <w:sz w:val="24"/>
                <w:vertAlign w:val="subscript"/>
              </w:rPr>
              <w:t>2</w:t>
            </w:r>
            <w:r>
              <w:rPr>
                <w:rFonts w:hint="eastAsia"/>
                <w:sz w:val="24"/>
              </w:rPr>
              <w:t>平均浓度</w:t>
            </w:r>
            <w:r>
              <w:rPr>
                <w:sz w:val="24"/>
              </w:rPr>
              <w:t>16</w:t>
            </w:r>
            <w:r>
              <w:rPr>
                <w:rFonts w:hint="eastAsia"/>
                <w:sz w:val="24"/>
              </w:rPr>
              <w:t>微克</w:t>
            </w:r>
            <w:r>
              <w:rPr>
                <w:sz w:val="24"/>
              </w:rPr>
              <w:t>/</w:t>
            </w:r>
            <w:r>
              <w:rPr>
                <w:rFonts w:hint="eastAsia"/>
                <w:sz w:val="24"/>
              </w:rPr>
              <w:t>立方米，同比下降</w:t>
            </w:r>
            <w:r>
              <w:rPr>
                <w:sz w:val="24"/>
              </w:rPr>
              <w:t>3</w:t>
            </w:r>
            <w:r>
              <w:rPr>
                <w:rFonts w:hint="eastAsia"/>
                <w:sz w:val="24"/>
              </w:rPr>
              <w:t>微克</w:t>
            </w:r>
            <w:r>
              <w:rPr>
                <w:sz w:val="24"/>
              </w:rPr>
              <w:t>/</w:t>
            </w:r>
            <w:r>
              <w:rPr>
                <w:rFonts w:hint="eastAsia"/>
                <w:sz w:val="24"/>
              </w:rPr>
              <w:t>立方米，降幅</w:t>
            </w:r>
            <w:r>
              <w:rPr>
                <w:sz w:val="24"/>
              </w:rPr>
              <w:t>15.8%</w:t>
            </w:r>
            <w:r>
              <w:rPr>
                <w:rFonts w:hint="eastAsia"/>
                <w:sz w:val="24"/>
              </w:rPr>
              <w:t>；</w:t>
            </w:r>
            <w:r>
              <w:rPr>
                <w:sz w:val="24"/>
              </w:rPr>
              <w:t>NO</w:t>
            </w:r>
            <w:r>
              <w:rPr>
                <w:sz w:val="24"/>
                <w:vertAlign w:val="subscript"/>
              </w:rPr>
              <w:t>2</w:t>
            </w:r>
            <w:r>
              <w:rPr>
                <w:rFonts w:hint="eastAsia"/>
                <w:sz w:val="24"/>
              </w:rPr>
              <w:t>平均浓度</w:t>
            </w:r>
            <w:r>
              <w:rPr>
                <w:sz w:val="24"/>
              </w:rPr>
              <w:t>44</w:t>
            </w:r>
            <w:r>
              <w:rPr>
                <w:rFonts w:hint="eastAsia"/>
                <w:sz w:val="24"/>
              </w:rPr>
              <w:t>微克</w:t>
            </w:r>
            <w:r>
              <w:rPr>
                <w:sz w:val="24"/>
              </w:rPr>
              <w:t>/</w:t>
            </w:r>
            <w:r>
              <w:rPr>
                <w:rFonts w:hint="eastAsia"/>
                <w:sz w:val="24"/>
              </w:rPr>
              <w:t>立方米，同比下降</w:t>
            </w:r>
            <w:r>
              <w:rPr>
                <w:sz w:val="24"/>
              </w:rPr>
              <w:t>5</w:t>
            </w:r>
            <w:r>
              <w:rPr>
                <w:rFonts w:hint="eastAsia"/>
                <w:sz w:val="24"/>
              </w:rPr>
              <w:t>微克</w:t>
            </w:r>
            <w:r>
              <w:rPr>
                <w:sz w:val="24"/>
              </w:rPr>
              <w:t>/</w:t>
            </w:r>
            <w:r>
              <w:rPr>
                <w:rFonts w:hint="eastAsia"/>
                <w:sz w:val="24"/>
              </w:rPr>
              <w:t>立方米，降幅</w:t>
            </w:r>
            <w:r>
              <w:rPr>
                <w:sz w:val="24"/>
              </w:rPr>
              <w:t>10.2%</w:t>
            </w:r>
            <w:r>
              <w:rPr>
                <w:rFonts w:hint="eastAsia"/>
                <w:sz w:val="24"/>
              </w:rPr>
              <w:t>；</w:t>
            </w:r>
            <w:r>
              <w:rPr>
                <w:sz w:val="24"/>
              </w:rPr>
              <w:t>O</w:t>
            </w:r>
            <w:r>
              <w:rPr>
                <w:sz w:val="24"/>
                <w:vertAlign w:val="subscript"/>
              </w:rPr>
              <w:t>3</w:t>
            </w:r>
            <w:r>
              <w:rPr>
                <w:rFonts w:hint="eastAsia"/>
                <w:sz w:val="24"/>
              </w:rPr>
              <w:t>第</w:t>
            </w:r>
            <w:r>
              <w:rPr>
                <w:sz w:val="24"/>
              </w:rPr>
              <w:t>90</w:t>
            </w:r>
            <w:r>
              <w:rPr>
                <w:rFonts w:hint="eastAsia"/>
                <w:sz w:val="24"/>
              </w:rPr>
              <w:t>百分位浓度为</w:t>
            </w:r>
            <w:r>
              <w:rPr>
                <w:sz w:val="24"/>
              </w:rPr>
              <w:t>178</w:t>
            </w:r>
            <w:r>
              <w:rPr>
                <w:rFonts w:hint="eastAsia"/>
                <w:sz w:val="24"/>
              </w:rPr>
              <w:t>微克</w:t>
            </w:r>
            <w:r>
              <w:rPr>
                <w:sz w:val="24"/>
              </w:rPr>
              <w:t>/</w:t>
            </w:r>
            <w:r>
              <w:rPr>
                <w:rFonts w:hint="eastAsia"/>
                <w:sz w:val="24"/>
              </w:rPr>
              <w:t>立方米，同比下降</w:t>
            </w:r>
            <w:r>
              <w:rPr>
                <w:sz w:val="24"/>
              </w:rPr>
              <w:t>24</w:t>
            </w:r>
            <w:r>
              <w:rPr>
                <w:rFonts w:hint="eastAsia"/>
                <w:sz w:val="24"/>
              </w:rPr>
              <w:t>微克</w:t>
            </w:r>
            <w:r>
              <w:rPr>
                <w:sz w:val="24"/>
              </w:rPr>
              <w:t>/</w:t>
            </w:r>
            <w:r>
              <w:rPr>
                <w:rFonts w:hint="eastAsia"/>
                <w:sz w:val="24"/>
              </w:rPr>
              <w:t>立方米，降幅</w:t>
            </w:r>
            <w:r>
              <w:rPr>
                <w:sz w:val="24"/>
              </w:rPr>
              <w:t>11.9%</w:t>
            </w:r>
            <w:r>
              <w:rPr>
                <w:rFonts w:hint="eastAsia"/>
                <w:sz w:val="24"/>
              </w:rPr>
              <w:t>，</w:t>
            </w:r>
            <w:r>
              <w:rPr>
                <w:sz w:val="24"/>
              </w:rPr>
              <w:t>CO</w:t>
            </w:r>
            <w:r>
              <w:rPr>
                <w:rFonts w:hint="eastAsia"/>
                <w:sz w:val="24"/>
              </w:rPr>
              <w:t>第</w:t>
            </w:r>
            <w:r>
              <w:rPr>
                <w:sz w:val="24"/>
              </w:rPr>
              <w:t>95</w:t>
            </w:r>
            <w:r>
              <w:rPr>
                <w:rFonts w:hint="eastAsia"/>
                <w:sz w:val="24"/>
              </w:rPr>
              <w:t>百分位浓度</w:t>
            </w:r>
            <w:r>
              <w:rPr>
                <w:sz w:val="24"/>
              </w:rPr>
              <w:t>2.08</w:t>
            </w:r>
            <w:r>
              <w:rPr>
                <w:rFonts w:hint="eastAsia"/>
                <w:sz w:val="24"/>
              </w:rPr>
              <w:t>毫克</w:t>
            </w:r>
            <w:r>
              <w:rPr>
                <w:sz w:val="24"/>
              </w:rPr>
              <w:t>/</w:t>
            </w:r>
            <w:r>
              <w:rPr>
                <w:rFonts w:hint="eastAsia"/>
                <w:sz w:val="24"/>
              </w:rPr>
              <w:t>立方米，同比下降</w:t>
            </w:r>
            <w:r>
              <w:rPr>
                <w:sz w:val="24"/>
              </w:rPr>
              <w:t>0.22</w:t>
            </w:r>
            <w:r>
              <w:rPr>
                <w:rFonts w:hint="eastAsia"/>
                <w:sz w:val="24"/>
              </w:rPr>
              <w:t>毫克</w:t>
            </w:r>
            <w:r>
              <w:rPr>
                <w:sz w:val="24"/>
              </w:rPr>
              <w:t>/</w:t>
            </w:r>
            <w:r>
              <w:rPr>
                <w:rFonts w:hint="eastAsia"/>
                <w:sz w:val="24"/>
              </w:rPr>
              <w:t>立方米，降幅</w:t>
            </w:r>
            <w:r>
              <w:rPr>
                <w:sz w:val="24"/>
              </w:rPr>
              <w:t>9.6%</w:t>
            </w:r>
            <w:r>
              <w:rPr>
                <w:rFonts w:hint="eastAsia"/>
                <w:sz w:val="24"/>
              </w:rPr>
              <w:t>。</w:t>
            </w:r>
            <w:r>
              <w:rPr>
                <w:sz w:val="24"/>
              </w:rPr>
              <w:t>2019</w:t>
            </w:r>
            <w:r>
              <w:rPr>
                <w:rFonts w:hint="eastAsia"/>
                <w:sz w:val="24"/>
              </w:rPr>
              <w:t>年，新乡市环境空气优、良天数</w:t>
            </w:r>
            <w:r>
              <w:rPr>
                <w:sz w:val="24"/>
              </w:rPr>
              <w:t>204</w:t>
            </w:r>
            <w:r>
              <w:rPr>
                <w:rFonts w:hint="eastAsia"/>
                <w:sz w:val="24"/>
              </w:rPr>
              <w:t>天，优、良天数比例</w:t>
            </w:r>
            <w:r>
              <w:rPr>
                <w:sz w:val="24"/>
              </w:rPr>
              <w:t>55.9%</w:t>
            </w:r>
            <w:r>
              <w:rPr>
                <w:rFonts w:hint="eastAsia"/>
                <w:sz w:val="24"/>
              </w:rPr>
              <w:t>；去年同期，优、良天数</w:t>
            </w:r>
            <w:r>
              <w:rPr>
                <w:sz w:val="24"/>
              </w:rPr>
              <w:t>177</w:t>
            </w:r>
            <w:r>
              <w:rPr>
                <w:rFonts w:hint="eastAsia"/>
                <w:sz w:val="24"/>
              </w:rPr>
              <w:t>天，优、良天数比例</w:t>
            </w:r>
            <w:r>
              <w:rPr>
                <w:sz w:val="24"/>
              </w:rPr>
              <w:t>51.8%</w:t>
            </w:r>
            <w:r>
              <w:rPr>
                <w:rFonts w:hint="eastAsia"/>
                <w:sz w:val="24"/>
              </w:rPr>
              <w:t>；同比优、良天数增加</w:t>
            </w:r>
            <w:r>
              <w:rPr>
                <w:sz w:val="24"/>
              </w:rPr>
              <w:t>27</w:t>
            </w:r>
            <w:r>
              <w:rPr>
                <w:rFonts w:hint="eastAsia"/>
                <w:sz w:val="24"/>
              </w:rPr>
              <w:t>天，上升</w:t>
            </w:r>
            <w:r>
              <w:rPr>
                <w:sz w:val="24"/>
              </w:rPr>
              <w:t>4.1</w:t>
            </w:r>
            <w:r>
              <w:rPr>
                <w:rFonts w:hint="eastAsia"/>
                <w:sz w:val="24"/>
              </w:rPr>
              <w:t>个百分点。区域空气质量现状数据如下表所示。</w:t>
            </w:r>
          </w:p>
          <w:p>
            <w:pPr>
              <w:adjustRightInd w:val="0"/>
              <w:snapToGrid w:val="0"/>
              <w:spacing w:line="440" w:lineRule="exact"/>
              <w:ind w:firstLine="480" w:firstLineChars="200"/>
              <w:rPr>
                <w:rFonts w:eastAsia="黑体"/>
                <w:sz w:val="24"/>
                <w:lang w:val="pt-BR"/>
              </w:rPr>
            </w:pPr>
            <w:r>
              <w:rPr>
                <w:rFonts w:hint="eastAsia" w:eastAsia="黑体"/>
                <w:sz w:val="24"/>
                <w:lang w:val="pt-BR"/>
              </w:rPr>
              <w:t>表</w:t>
            </w:r>
            <w:r>
              <w:rPr>
                <w:rFonts w:eastAsia="黑体"/>
                <w:sz w:val="24"/>
                <w:lang w:val="pt-BR"/>
              </w:rPr>
              <w:t>1</w:t>
            </w:r>
            <w:r>
              <w:rPr>
                <w:rFonts w:hint="eastAsia" w:eastAsia="黑体"/>
                <w:sz w:val="24"/>
              </w:rPr>
              <w:t>1</w:t>
            </w:r>
            <w:r>
              <w:rPr>
                <w:rFonts w:eastAsia="黑体"/>
                <w:sz w:val="24"/>
                <w:lang w:val="pt-BR"/>
              </w:rPr>
              <w:t xml:space="preserve">            </w:t>
            </w:r>
            <w:r>
              <w:rPr>
                <w:rFonts w:hint="eastAsia" w:eastAsia="黑体"/>
                <w:sz w:val="24"/>
              </w:rPr>
              <w:t xml:space="preserve">      </w:t>
            </w:r>
            <w:r>
              <w:rPr>
                <w:rFonts w:hint="eastAsia" w:eastAsia="黑体"/>
                <w:sz w:val="24"/>
                <w:lang w:val="pt-BR"/>
              </w:rPr>
              <w:t>区域空气质量现状评价表</w:t>
            </w:r>
          </w:p>
          <w:tbl>
            <w:tblPr>
              <w:tblStyle w:val="30"/>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1100"/>
              <w:gridCol w:w="2275"/>
              <w:gridCol w:w="1814"/>
              <w:gridCol w:w="1753"/>
              <w:gridCol w:w="1094"/>
              <w:gridCol w:w="131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588" w:type="pct"/>
                  <w:tcBorders>
                    <w:top w:val="single" w:color="auto" w:sz="8" w:space="0"/>
                    <w:left w:val="nil"/>
                    <w:bottom w:val="single" w:color="auto" w:sz="8" w:space="0"/>
                    <w:right w:val="single" w:color="auto" w:sz="4" w:space="0"/>
                  </w:tcBorders>
                  <w:tcMar>
                    <w:top w:w="57" w:type="dxa"/>
                    <w:left w:w="85" w:type="dxa"/>
                    <w:bottom w:w="57" w:type="dxa"/>
                    <w:right w:w="85" w:type="dxa"/>
                  </w:tcMar>
                  <w:vAlign w:val="center"/>
                </w:tcPr>
                <w:p>
                  <w:pPr>
                    <w:jc w:val="center"/>
                  </w:pPr>
                  <w:r>
                    <w:rPr>
                      <w:rFonts w:hint="eastAsia"/>
                    </w:rPr>
                    <w:t>污染物</w:t>
                  </w:r>
                </w:p>
              </w:tc>
              <w:tc>
                <w:tcPr>
                  <w:tcW w:w="1216" w:type="pct"/>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pPr>
                  <w:r>
                    <w:rPr>
                      <w:rFonts w:hint="eastAsia"/>
                    </w:rPr>
                    <w:t>年评价指标</w:t>
                  </w:r>
                </w:p>
              </w:tc>
              <w:tc>
                <w:tcPr>
                  <w:tcW w:w="970" w:type="pct"/>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pPr>
                  <w:r>
                    <w:rPr>
                      <w:rFonts w:hint="eastAsia"/>
                    </w:rPr>
                    <w:t>现状浓度（</w:t>
                  </w:r>
                  <w:r>
                    <w:t>μg/m</w:t>
                  </w:r>
                  <w:r>
                    <w:rPr>
                      <w:vertAlign w:val="superscript"/>
                    </w:rPr>
                    <w:t>3</w:t>
                  </w:r>
                  <w:r>
                    <w:rPr>
                      <w:rFonts w:hint="eastAsia"/>
                    </w:rPr>
                    <w:t>）</w:t>
                  </w:r>
                </w:p>
              </w:tc>
              <w:tc>
                <w:tcPr>
                  <w:tcW w:w="937" w:type="pct"/>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pPr>
                  <w:r>
                    <w:rPr>
                      <w:rFonts w:hint="eastAsia"/>
                    </w:rPr>
                    <w:t>标准值</w:t>
                  </w:r>
                  <w:r>
                    <w:t>/</w:t>
                  </w:r>
                  <w:r>
                    <w:rPr>
                      <w:rFonts w:hint="eastAsia"/>
                    </w:rPr>
                    <w:t>（</w:t>
                  </w:r>
                  <w:r>
                    <w:t>μg/m</w:t>
                  </w:r>
                  <w:r>
                    <w:rPr>
                      <w:vertAlign w:val="superscript"/>
                    </w:rPr>
                    <w:t>3</w:t>
                  </w:r>
                  <w:r>
                    <w:rPr>
                      <w:rFonts w:hint="eastAsia"/>
                    </w:rPr>
                    <w:t>）</w:t>
                  </w:r>
                </w:p>
              </w:tc>
              <w:tc>
                <w:tcPr>
                  <w:tcW w:w="585" w:type="pct"/>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pPr>
                  <w:r>
                    <w:rPr>
                      <w:rFonts w:hint="eastAsia"/>
                    </w:rPr>
                    <w:t>占标率</w:t>
                  </w:r>
                  <w:r>
                    <w:t>%</w:t>
                  </w:r>
                </w:p>
              </w:tc>
              <w:tc>
                <w:tcPr>
                  <w:tcW w:w="701" w:type="pct"/>
                  <w:tcBorders>
                    <w:top w:val="single" w:color="auto" w:sz="8" w:space="0"/>
                    <w:left w:val="single" w:color="auto" w:sz="4" w:space="0"/>
                    <w:bottom w:val="single" w:color="auto" w:sz="8" w:space="0"/>
                    <w:right w:val="nil"/>
                  </w:tcBorders>
                  <w:tcMar>
                    <w:top w:w="57" w:type="dxa"/>
                    <w:left w:w="85" w:type="dxa"/>
                    <w:bottom w:w="57" w:type="dxa"/>
                    <w:right w:w="85" w:type="dxa"/>
                  </w:tcMar>
                  <w:vAlign w:val="center"/>
                </w:tcPr>
                <w:p>
                  <w:pPr>
                    <w:jc w:val="center"/>
                  </w:pPr>
                  <w:r>
                    <w:rPr>
                      <w:rFonts w:hint="eastAsia"/>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588" w:type="pct"/>
                  <w:tcBorders>
                    <w:top w:val="single" w:color="auto" w:sz="8" w:space="0"/>
                    <w:left w:val="nil"/>
                    <w:bottom w:val="single" w:color="auto" w:sz="4" w:space="0"/>
                    <w:right w:val="single" w:color="auto" w:sz="4" w:space="0"/>
                  </w:tcBorders>
                  <w:tcMar>
                    <w:top w:w="57" w:type="dxa"/>
                    <w:left w:w="85" w:type="dxa"/>
                    <w:bottom w:w="57" w:type="dxa"/>
                    <w:right w:w="85" w:type="dxa"/>
                  </w:tcMar>
                  <w:vAlign w:val="center"/>
                </w:tcPr>
                <w:p>
                  <w:pPr>
                    <w:jc w:val="center"/>
                  </w:pPr>
                  <w:r>
                    <w:t>PM</w:t>
                  </w:r>
                  <w:r>
                    <w:rPr>
                      <w:vertAlign w:val="subscript"/>
                    </w:rPr>
                    <w:t>10</w:t>
                  </w:r>
                </w:p>
              </w:tc>
              <w:tc>
                <w:tcPr>
                  <w:tcW w:w="1216"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rPr>
                      <w:rFonts w:hint="eastAsia"/>
                    </w:rPr>
                    <w:t>年平均质量浓度</w:t>
                  </w:r>
                </w:p>
              </w:tc>
              <w:tc>
                <w:tcPr>
                  <w:tcW w:w="970"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101</w:t>
                  </w:r>
                </w:p>
              </w:tc>
              <w:tc>
                <w:tcPr>
                  <w:tcW w:w="937"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70</w:t>
                  </w:r>
                </w:p>
              </w:tc>
              <w:tc>
                <w:tcPr>
                  <w:tcW w:w="585"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144.3</w:t>
                  </w:r>
                </w:p>
              </w:tc>
              <w:tc>
                <w:tcPr>
                  <w:tcW w:w="701" w:type="pct"/>
                  <w:tcBorders>
                    <w:top w:val="single" w:color="auto" w:sz="8" w:space="0"/>
                    <w:left w:val="single" w:color="auto" w:sz="4" w:space="0"/>
                    <w:bottom w:val="single" w:color="auto" w:sz="4" w:space="0"/>
                    <w:right w:val="nil"/>
                  </w:tcBorders>
                  <w:tcMar>
                    <w:top w:w="57" w:type="dxa"/>
                    <w:left w:w="85" w:type="dxa"/>
                    <w:bottom w:w="57" w:type="dxa"/>
                    <w:right w:w="85" w:type="dxa"/>
                  </w:tcMar>
                  <w:vAlign w:val="center"/>
                </w:tcPr>
                <w:p>
                  <w:pPr>
                    <w:jc w:val="center"/>
                  </w:pPr>
                  <w:r>
                    <w:rPr>
                      <w:rFonts w:hint="eastAsia"/>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588" w:type="pct"/>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pPr>
                  <w:r>
                    <w:t>PM</w:t>
                  </w:r>
                  <w:r>
                    <w:rPr>
                      <w:vertAlign w:val="subscript"/>
                    </w:rPr>
                    <w:t>2.5</w:t>
                  </w:r>
                </w:p>
              </w:tc>
              <w:tc>
                <w:tcPr>
                  <w:tcW w:w="121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rPr>
                      <w:rFonts w:hint="eastAsia"/>
                    </w:rPr>
                    <w:t>年平均质量浓度</w:t>
                  </w:r>
                </w:p>
              </w:tc>
              <w:tc>
                <w:tcPr>
                  <w:tcW w:w="970"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56</w:t>
                  </w:r>
                </w:p>
              </w:tc>
              <w:tc>
                <w:tcPr>
                  <w:tcW w:w="937"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35</w:t>
                  </w:r>
                </w:p>
              </w:tc>
              <w:tc>
                <w:tcPr>
                  <w:tcW w:w="585"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160</w:t>
                  </w:r>
                </w:p>
              </w:tc>
              <w:tc>
                <w:tcPr>
                  <w:tcW w:w="701" w:type="pct"/>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pPr>
                  <w:r>
                    <w:rPr>
                      <w:rFonts w:hint="eastAsia"/>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588" w:type="pct"/>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pPr>
                  <w:r>
                    <w:t>SO</w:t>
                  </w:r>
                  <w:r>
                    <w:rPr>
                      <w:vertAlign w:val="subscript"/>
                    </w:rPr>
                    <w:t>2</w:t>
                  </w:r>
                </w:p>
              </w:tc>
              <w:tc>
                <w:tcPr>
                  <w:tcW w:w="121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rPr>
                      <w:rFonts w:hint="eastAsia"/>
                    </w:rPr>
                    <w:t>年平均质量浓度</w:t>
                  </w:r>
                </w:p>
              </w:tc>
              <w:tc>
                <w:tcPr>
                  <w:tcW w:w="970"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16</w:t>
                  </w:r>
                </w:p>
              </w:tc>
              <w:tc>
                <w:tcPr>
                  <w:tcW w:w="937"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60</w:t>
                  </w:r>
                </w:p>
              </w:tc>
              <w:tc>
                <w:tcPr>
                  <w:tcW w:w="585"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26.7</w:t>
                  </w:r>
                </w:p>
              </w:tc>
              <w:tc>
                <w:tcPr>
                  <w:tcW w:w="701" w:type="pct"/>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pPr>
                  <w:r>
                    <w:rPr>
                      <w:rFonts w:hint="eastAsia"/>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588" w:type="pct"/>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pPr>
                  <w:r>
                    <w:t>NO</w:t>
                  </w:r>
                  <w:r>
                    <w:rPr>
                      <w:vertAlign w:val="subscript"/>
                    </w:rPr>
                    <w:t>2</w:t>
                  </w:r>
                </w:p>
              </w:tc>
              <w:tc>
                <w:tcPr>
                  <w:tcW w:w="121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rPr>
                      <w:rFonts w:hint="eastAsia"/>
                    </w:rPr>
                    <w:t>年平均质量浓度</w:t>
                  </w:r>
                </w:p>
              </w:tc>
              <w:tc>
                <w:tcPr>
                  <w:tcW w:w="970"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44</w:t>
                  </w:r>
                </w:p>
              </w:tc>
              <w:tc>
                <w:tcPr>
                  <w:tcW w:w="937"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40</w:t>
                  </w:r>
                </w:p>
              </w:tc>
              <w:tc>
                <w:tcPr>
                  <w:tcW w:w="585"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110</w:t>
                  </w:r>
                </w:p>
              </w:tc>
              <w:tc>
                <w:tcPr>
                  <w:tcW w:w="701" w:type="pct"/>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pPr>
                  <w:r>
                    <w:rPr>
                      <w:rFonts w:hint="eastAsia"/>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588" w:type="pct"/>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pPr>
                  <w:r>
                    <w:t>CO</w:t>
                  </w:r>
                </w:p>
              </w:tc>
              <w:tc>
                <w:tcPr>
                  <w:tcW w:w="1216"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rPr>
                      <w:rFonts w:hint="eastAsia"/>
                    </w:rPr>
                    <w:t>第</w:t>
                  </w:r>
                  <w:r>
                    <w:t>95</w:t>
                  </w:r>
                  <w:r>
                    <w:rPr>
                      <w:rFonts w:hint="eastAsia"/>
                    </w:rPr>
                    <w:t>百分位浓度</w:t>
                  </w:r>
                </w:p>
              </w:tc>
              <w:tc>
                <w:tcPr>
                  <w:tcW w:w="970"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2.08mg/m</w:t>
                  </w:r>
                  <w:r>
                    <w:rPr>
                      <w:vertAlign w:val="superscript"/>
                    </w:rPr>
                    <w:t>3</w:t>
                  </w:r>
                </w:p>
              </w:tc>
              <w:tc>
                <w:tcPr>
                  <w:tcW w:w="937"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4mg/m</w:t>
                  </w:r>
                  <w:r>
                    <w:rPr>
                      <w:vertAlign w:val="superscript"/>
                    </w:rPr>
                    <w:t>3</w:t>
                  </w:r>
                </w:p>
              </w:tc>
              <w:tc>
                <w:tcPr>
                  <w:tcW w:w="585"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pPr>
                  <w:r>
                    <w:t>52</w:t>
                  </w:r>
                </w:p>
              </w:tc>
              <w:tc>
                <w:tcPr>
                  <w:tcW w:w="701" w:type="pct"/>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pPr>
                  <w:r>
                    <w:rPr>
                      <w:rFonts w:hint="eastAsia"/>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40" w:hRule="atLeast"/>
                <w:jc w:val="center"/>
              </w:trPr>
              <w:tc>
                <w:tcPr>
                  <w:tcW w:w="588" w:type="pct"/>
                  <w:tcBorders>
                    <w:top w:val="single" w:color="auto" w:sz="4" w:space="0"/>
                    <w:left w:val="nil"/>
                    <w:bottom w:val="single" w:color="auto" w:sz="8" w:space="0"/>
                    <w:right w:val="single" w:color="auto" w:sz="4" w:space="0"/>
                  </w:tcBorders>
                  <w:tcMar>
                    <w:top w:w="57" w:type="dxa"/>
                    <w:left w:w="85" w:type="dxa"/>
                    <w:bottom w:w="57" w:type="dxa"/>
                    <w:right w:w="85" w:type="dxa"/>
                  </w:tcMar>
                  <w:vAlign w:val="center"/>
                </w:tcPr>
                <w:p>
                  <w:pPr>
                    <w:jc w:val="center"/>
                  </w:pPr>
                  <w:r>
                    <w:t>O</w:t>
                  </w:r>
                  <w:r>
                    <w:rPr>
                      <w:vertAlign w:val="subscript"/>
                    </w:rPr>
                    <w:t>3</w:t>
                  </w:r>
                </w:p>
              </w:tc>
              <w:tc>
                <w:tcPr>
                  <w:tcW w:w="1216"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pPr>
                  <w:r>
                    <w:rPr>
                      <w:rFonts w:hint="eastAsia"/>
                    </w:rPr>
                    <w:t>第</w:t>
                  </w:r>
                  <w:r>
                    <w:t>90</w:t>
                  </w:r>
                  <w:r>
                    <w:rPr>
                      <w:rFonts w:hint="eastAsia"/>
                    </w:rPr>
                    <w:t>百分位浓度</w:t>
                  </w:r>
                </w:p>
              </w:tc>
              <w:tc>
                <w:tcPr>
                  <w:tcW w:w="970"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pPr>
                  <w:r>
                    <w:t>178</w:t>
                  </w:r>
                </w:p>
              </w:tc>
              <w:tc>
                <w:tcPr>
                  <w:tcW w:w="937"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pPr>
                  <w:r>
                    <w:t>160</w:t>
                  </w:r>
                </w:p>
              </w:tc>
              <w:tc>
                <w:tcPr>
                  <w:tcW w:w="585"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pPr>
                  <w:r>
                    <w:t>111.3</w:t>
                  </w:r>
                </w:p>
              </w:tc>
              <w:tc>
                <w:tcPr>
                  <w:tcW w:w="701" w:type="pct"/>
                  <w:tcBorders>
                    <w:top w:val="single" w:color="auto" w:sz="4" w:space="0"/>
                    <w:left w:val="single" w:color="auto" w:sz="4" w:space="0"/>
                    <w:bottom w:val="single" w:color="auto" w:sz="8" w:space="0"/>
                    <w:right w:val="nil"/>
                  </w:tcBorders>
                  <w:tcMar>
                    <w:top w:w="57" w:type="dxa"/>
                    <w:left w:w="85" w:type="dxa"/>
                    <w:bottom w:w="57" w:type="dxa"/>
                    <w:right w:w="85" w:type="dxa"/>
                  </w:tcMar>
                  <w:vAlign w:val="center"/>
                </w:tcPr>
                <w:p>
                  <w:pPr>
                    <w:jc w:val="center"/>
                  </w:pPr>
                  <w:r>
                    <w:rPr>
                      <w:rFonts w:hint="eastAsia"/>
                    </w:rPr>
                    <w:t>超标</w:t>
                  </w:r>
                </w:p>
              </w:tc>
            </w:tr>
          </w:tbl>
          <w:p>
            <w:pPr>
              <w:spacing w:line="500" w:lineRule="exact"/>
              <w:ind w:firstLine="480" w:firstLineChars="200"/>
              <w:rPr>
                <w:sz w:val="24"/>
              </w:rPr>
            </w:pPr>
            <w:r>
              <w:rPr>
                <w:rFonts w:hint="eastAsia"/>
                <w:sz w:val="24"/>
              </w:rPr>
              <w:t>由上表可知，其中</w:t>
            </w:r>
            <w:r>
              <w:rPr>
                <w:sz w:val="24"/>
              </w:rPr>
              <w:t>PM</w:t>
            </w:r>
            <w:r>
              <w:rPr>
                <w:sz w:val="24"/>
                <w:vertAlign w:val="subscript"/>
              </w:rPr>
              <w:t>10</w:t>
            </w:r>
            <w:r>
              <w:rPr>
                <w:rFonts w:hint="eastAsia"/>
                <w:sz w:val="24"/>
              </w:rPr>
              <w:t>、</w:t>
            </w:r>
            <w:r>
              <w:rPr>
                <w:sz w:val="24"/>
              </w:rPr>
              <w:t>PM</w:t>
            </w:r>
            <w:r>
              <w:rPr>
                <w:sz w:val="24"/>
                <w:vertAlign w:val="subscript"/>
              </w:rPr>
              <w:t>2.5</w:t>
            </w:r>
            <w:r>
              <w:rPr>
                <w:rFonts w:hint="eastAsia"/>
                <w:sz w:val="24"/>
              </w:rPr>
              <w:t>、</w:t>
            </w:r>
            <w:r>
              <w:rPr>
                <w:sz w:val="24"/>
              </w:rPr>
              <w:t>NO</w:t>
            </w:r>
            <w:r>
              <w:rPr>
                <w:sz w:val="24"/>
                <w:vertAlign w:val="subscript"/>
              </w:rPr>
              <w:t>2</w:t>
            </w:r>
            <w:r>
              <w:rPr>
                <w:rFonts w:hint="eastAsia"/>
                <w:sz w:val="24"/>
              </w:rPr>
              <w:t>、</w:t>
            </w:r>
            <w:r>
              <w:rPr>
                <w:sz w:val="24"/>
              </w:rPr>
              <w:t>O</w:t>
            </w:r>
            <w:r>
              <w:rPr>
                <w:sz w:val="24"/>
                <w:vertAlign w:val="subscript"/>
              </w:rPr>
              <w:t>3</w:t>
            </w:r>
            <w:r>
              <w:rPr>
                <w:rFonts w:hint="eastAsia"/>
                <w:sz w:val="24"/>
              </w:rPr>
              <w:t>均不能够满足《环境空气质量标准》（</w:t>
            </w:r>
            <w:r>
              <w:rPr>
                <w:sz w:val="24"/>
              </w:rPr>
              <w:t>GB3095-2012</w:t>
            </w:r>
            <w:r>
              <w:rPr>
                <w:rFonts w:hint="eastAsia"/>
                <w:sz w:val="24"/>
              </w:rPr>
              <w:t>）二级标准要求。根据《环境影响评价技术导则</w:t>
            </w:r>
            <w:r>
              <w:rPr>
                <w:sz w:val="24"/>
              </w:rPr>
              <w:t xml:space="preserve">  </w:t>
            </w:r>
            <w:r>
              <w:rPr>
                <w:rFonts w:hint="eastAsia"/>
                <w:sz w:val="24"/>
              </w:rPr>
              <w:t>大气环境》</w:t>
            </w:r>
            <w:r>
              <w:rPr>
                <w:sz w:val="24"/>
              </w:rPr>
              <w:t>(HJ2.2-2018)</w:t>
            </w:r>
            <w:r>
              <w:rPr>
                <w:rFonts w:hint="eastAsia"/>
                <w:sz w:val="24"/>
              </w:rPr>
              <w:t>，本项目所在区域属于未达标区。</w:t>
            </w:r>
          </w:p>
          <w:p>
            <w:pPr>
              <w:widowControl/>
              <w:adjustRightInd w:val="0"/>
              <w:snapToGrid w:val="0"/>
              <w:spacing w:line="420" w:lineRule="exact"/>
              <w:ind w:firstLine="436" w:firstLineChars="182"/>
              <w:rPr>
                <w:sz w:val="24"/>
              </w:rPr>
            </w:pPr>
            <w:r>
              <w:rPr>
                <w:rFonts w:hint="eastAsia"/>
                <w:sz w:val="24"/>
              </w:rPr>
              <w:t>目前，新乡市正在实施《新乡市蓝天工程行动计划》、《新乡市</w:t>
            </w:r>
            <w:r>
              <w:rPr>
                <w:sz w:val="24"/>
              </w:rPr>
              <w:t>2018</w:t>
            </w:r>
            <w:r>
              <w:rPr>
                <w:rFonts w:hint="eastAsia"/>
                <w:sz w:val="24"/>
              </w:rPr>
              <w:t>年大气污染防治攻坚战实施方案》、《</w:t>
            </w:r>
            <w:r>
              <w:rPr>
                <w:sz w:val="24"/>
              </w:rPr>
              <w:t>“</w:t>
            </w:r>
            <w:r>
              <w:rPr>
                <w:rFonts w:hint="eastAsia"/>
                <w:sz w:val="24"/>
              </w:rPr>
              <w:t>十三五</w:t>
            </w:r>
            <w:r>
              <w:rPr>
                <w:sz w:val="24"/>
              </w:rPr>
              <w:t>”</w:t>
            </w:r>
            <w:r>
              <w:rPr>
                <w:rFonts w:hint="eastAsia"/>
                <w:sz w:val="24"/>
              </w:rPr>
              <w:t>挥发性有机物污染防治工作方案》、《新乡市环境污染防治攻坚战三年行动实施方案（</w:t>
            </w:r>
            <w:r>
              <w:rPr>
                <w:sz w:val="24"/>
              </w:rPr>
              <w:t>2018-2020</w:t>
            </w:r>
            <w:r>
              <w:rPr>
                <w:rFonts w:hint="eastAsia"/>
                <w:sz w:val="24"/>
              </w:rPr>
              <w:t>年）》、《新乡市</w:t>
            </w:r>
            <w:r>
              <w:rPr>
                <w:sz w:val="24"/>
              </w:rPr>
              <w:t>2020</w:t>
            </w:r>
            <w:r>
              <w:rPr>
                <w:rFonts w:hint="eastAsia"/>
                <w:sz w:val="24"/>
              </w:rPr>
              <w:t>年大气、水、土壤污染防治攻坚战实施方案》（新环攻坚办</w:t>
            </w:r>
            <w:r>
              <w:rPr>
                <w:sz w:val="24"/>
              </w:rPr>
              <w:t>[2020]10</w:t>
            </w:r>
            <w:r>
              <w:rPr>
                <w:rFonts w:hint="eastAsia"/>
                <w:sz w:val="24"/>
              </w:rPr>
              <w:t>号）等一系列措施，将不断改善区域大气环境质量。预计</w:t>
            </w:r>
            <w:r>
              <w:rPr>
                <w:sz w:val="24"/>
              </w:rPr>
              <w:t>2020</w:t>
            </w:r>
            <w:r>
              <w:rPr>
                <w:rFonts w:hint="eastAsia"/>
                <w:sz w:val="24"/>
              </w:rPr>
              <w:t>年可以达到《新乡市环境污染防治攻坚战三年行动实施方案（</w:t>
            </w:r>
            <w:r>
              <w:rPr>
                <w:sz w:val="24"/>
              </w:rPr>
              <w:t>2018-2020</w:t>
            </w:r>
            <w:r>
              <w:rPr>
                <w:rFonts w:hint="eastAsia"/>
                <w:sz w:val="24"/>
              </w:rPr>
              <w:t>年）》中：</w:t>
            </w:r>
            <w:r>
              <w:rPr>
                <w:sz w:val="24"/>
              </w:rPr>
              <w:t>“</w:t>
            </w:r>
            <w:r>
              <w:rPr>
                <w:rFonts w:hint="eastAsia"/>
                <w:sz w:val="24"/>
              </w:rPr>
              <w:t>全市</w:t>
            </w:r>
            <w:r>
              <w:rPr>
                <w:sz w:val="24"/>
              </w:rPr>
              <w:t>PM</w:t>
            </w:r>
            <w:r>
              <w:rPr>
                <w:sz w:val="24"/>
                <w:vertAlign w:val="subscript"/>
              </w:rPr>
              <w:t>2.5</w:t>
            </w:r>
            <w:r>
              <w:rPr>
                <w:rFonts w:hint="eastAsia"/>
                <w:sz w:val="24"/>
              </w:rPr>
              <w:t>年均浓度达到</w:t>
            </w:r>
            <w:r>
              <w:rPr>
                <w:sz w:val="24"/>
              </w:rPr>
              <w:t>55</w:t>
            </w:r>
            <w:r>
              <w:rPr>
                <w:rFonts w:hint="eastAsia"/>
                <w:sz w:val="24"/>
              </w:rPr>
              <w:t>微克</w:t>
            </w:r>
            <w:r>
              <w:rPr>
                <w:sz w:val="24"/>
              </w:rPr>
              <w:t>/</w:t>
            </w:r>
            <w:r>
              <w:rPr>
                <w:rFonts w:hint="eastAsia"/>
                <w:sz w:val="24"/>
              </w:rPr>
              <w:t>立方米以下，</w:t>
            </w:r>
            <w:r>
              <w:rPr>
                <w:sz w:val="24"/>
              </w:rPr>
              <w:t>PM</w:t>
            </w:r>
            <w:r>
              <w:rPr>
                <w:sz w:val="24"/>
                <w:vertAlign w:val="subscript"/>
              </w:rPr>
              <w:t>10</w:t>
            </w:r>
            <w:r>
              <w:rPr>
                <w:rFonts w:hint="eastAsia"/>
                <w:sz w:val="24"/>
              </w:rPr>
              <w:t>年均浓度达到</w:t>
            </w:r>
            <w:r>
              <w:rPr>
                <w:sz w:val="24"/>
              </w:rPr>
              <w:t>101</w:t>
            </w:r>
            <w:r>
              <w:rPr>
                <w:rFonts w:hint="eastAsia"/>
                <w:sz w:val="24"/>
              </w:rPr>
              <w:t>微克</w:t>
            </w:r>
            <w:r>
              <w:rPr>
                <w:sz w:val="24"/>
              </w:rPr>
              <w:t>/</w:t>
            </w:r>
            <w:r>
              <w:rPr>
                <w:rFonts w:hint="eastAsia"/>
                <w:sz w:val="24"/>
              </w:rPr>
              <w:t>立方米以下，全年优良天数比例达到</w:t>
            </w:r>
            <w:r>
              <w:rPr>
                <w:sz w:val="24"/>
              </w:rPr>
              <w:t>66%</w:t>
            </w:r>
            <w:r>
              <w:rPr>
                <w:rFonts w:hint="eastAsia"/>
                <w:sz w:val="24"/>
              </w:rPr>
              <w:t>以上</w:t>
            </w:r>
            <w:r>
              <w:rPr>
                <w:sz w:val="24"/>
              </w:rPr>
              <w:t>”</w:t>
            </w:r>
            <w:r>
              <w:rPr>
                <w:rFonts w:hint="eastAsia"/>
                <w:sz w:val="24"/>
              </w:rPr>
              <w:t>的目标要求。</w:t>
            </w:r>
          </w:p>
          <w:p>
            <w:pPr>
              <w:pStyle w:val="111"/>
              <w:spacing w:line="440" w:lineRule="exact"/>
              <w:rPr>
                <w:rFonts w:ascii="Times New Roman" w:hAnsi="Times New Roman" w:cs="Times New Roman"/>
                <w:szCs w:val="24"/>
              </w:rPr>
            </w:pPr>
            <w:r>
              <w:rPr>
                <w:rFonts w:ascii="Times New Roman" w:hAnsi="Times New Roman" w:cs="Times New Roman"/>
                <w:szCs w:val="24"/>
              </w:rPr>
              <w:t>本项目为新建项目，焊接和切割工序产生的粉尘经集气罩+袋式除尘器+15m排气筒治理后达标排放，项目的投产运行对区域大气环境质量影响较小。</w:t>
            </w:r>
          </w:p>
          <w:p>
            <w:pPr>
              <w:adjustRightInd w:val="0"/>
              <w:snapToGrid w:val="0"/>
              <w:spacing w:line="440" w:lineRule="exact"/>
              <w:ind w:firstLine="480" w:firstLineChars="200"/>
              <w:jc w:val="left"/>
              <w:rPr>
                <w:sz w:val="24"/>
              </w:rPr>
            </w:pPr>
            <w:r>
              <w:rPr>
                <w:sz w:val="24"/>
              </w:rPr>
              <w:t>2、地表水环境质量现状</w:t>
            </w:r>
          </w:p>
          <w:p>
            <w:pPr>
              <w:adjustRightInd w:val="0"/>
              <w:snapToGrid w:val="0"/>
              <w:spacing w:line="440" w:lineRule="exact"/>
              <w:ind w:firstLine="480" w:firstLineChars="200"/>
              <w:rPr>
                <w:sz w:val="24"/>
              </w:rPr>
            </w:pPr>
            <w:r>
              <w:rPr>
                <w:sz w:val="24"/>
              </w:rPr>
              <w:t>距离本项目最近的地表水体为东侧约1600m处的卫河。本项目无生产废水产生，企业生活废水经化粪池处理后定期清运。卫河水体功能类别为Ⅴ类，2020年4月份卫河皇甫断面数据见下表：</w:t>
            </w:r>
          </w:p>
          <w:p>
            <w:pPr>
              <w:adjustRightInd w:val="0"/>
              <w:snapToGrid w:val="0"/>
              <w:spacing w:line="440" w:lineRule="exact"/>
              <w:ind w:firstLine="480" w:firstLineChars="200"/>
              <w:rPr>
                <w:rFonts w:eastAsia="黑体"/>
                <w:sz w:val="24"/>
                <w:lang w:val="pt-BR"/>
              </w:rPr>
            </w:pPr>
            <w:r>
              <w:rPr>
                <w:rFonts w:hint="eastAsia" w:eastAsia="黑体"/>
                <w:sz w:val="24"/>
                <w:lang w:val="pt-BR"/>
              </w:rPr>
              <w:t>表12                    2020年4月份卫河皇甫断面数据</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2338"/>
              <w:gridCol w:w="2335"/>
              <w:gridCol w:w="23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tcBorders>
                    <w:bottom w:val="single" w:color="auto" w:sz="8" w:space="0"/>
                  </w:tcBorders>
                  <w:vAlign w:val="center"/>
                </w:tcPr>
                <w:p>
                  <w:pPr>
                    <w:snapToGrid w:val="0"/>
                    <w:jc w:val="center"/>
                  </w:pPr>
                  <w:r>
                    <w:t>监测因子</w:t>
                  </w:r>
                </w:p>
              </w:tc>
              <w:tc>
                <w:tcPr>
                  <w:tcW w:w="1250" w:type="pct"/>
                  <w:tcBorders>
                    <w:bottom w:val="single" w:color="auto" w:sz="8" w:space="0"/>
                  </w:tcBorders>
                  <w:vAlign w:val="center"/>
                </w:tcPr>
                <w:p>
                  <w:pPr>
                    <w:snapToGrid w:val="0"/>
                    <w:jc w:val="center"/>
                  </w:pPr>
                  <w:r>
                    <w:t>COD</w:t>
                  </w:r>
                </w:p>
              </w:tc>
              <w:tc>
                <w:tcPr>
                  <w:tcW w:w="1248" w:type="pct"/>
                  <w:tcBorders>
                    <w:bottom w:val="single" w:color="auto" w:sz="8" w:space="0"/>
                  </w:tcBorders>
                  <w:vAlign w:val="center"/>
                </w:tcPr>
                <w:p>
                  <w:pPr>
                    <w:snapToGrid w:val="0"/>
                    <w:jc w:val="center"/>
                  </w:pPr>
                  <w:r>
                    <w:t>NH</w:t>
                  </w:r>
                  <w:r>
                    <w:rPr>
                      <w:vertAlign w:val="subscript"/>
                    </w:rPr>
                    <w:t>3</w:t>
                  </w:r>
                  <w:r>
                    <w:t>-N</w:t>
                  </w:r>
                </w:p>
              </w:tc>
              <w:tc>
                <w:tcPr>
                  <w:tcW w:w="1249" w:type="pct"/>
                  <w:tcBorders>
                    <w:bottom w:val="single" w:color="auto" w:sz="8" w:space="0"/>
                  </w:tcBorders>
                  <w:vAlign w:val="center"/>
                </w:tcPr>
                <w:p>
                  <w:pPr>
                    <w:snapToGrid w:val="0"/>
                    <w:jc w:val="center"/>
                  </w:pPr>
                  <w: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tcBorders>
                    <w:top w:val="single" w:color="auto" w:sz="8" w:space="0"/>
                    <w:tl2br w:val="nil"/>
                    <w:tr2bl w:val="nil"/>
                  </w:tcBorders>
                  <w:vAlign w:val="center"/>
                </w:tcPr>
                <w:p>
                  <w:pPr>
                    <w:snapToGrid w:val="0"/>
                    <w:jc w:val="center"/>
                  </w:pPr>
                  <w:r>
                    <w:t>监测数据</w:t>
                  </w:r>
                </w:p>
              </w:tc>
              <w:tc>
                <w:tcPr>
                  <w:tcW w:w="1250" w:type="pct"/>
                  <w:tcBorders>
                    <w:top w:val="single" w:color="auto" w:sz="8" w:space="0"/>
                    <w:tl2br w:val="nil"/>
                    <w:tr2bl w:val="nil"/>
                  </w:tcBorders>
                  <w:vAlign w:val="center"/>
                </w:tcPr>
                <w:p>
                  <w:pPr>
                    <w:snapToGrid w:val="0"/>
                    <w:jc w:val="center"/>
                  </w:pPr>
                  <w:r>
                    <w:rPr>
                      <w:rFonts w:hint="eastAsia"/>
                    </w:rPr>
                    <w:t>29.34</w:t>
                  </w:r>
                </w:p>
              </w:tc>
              <w:tc>
                <w:tcPr>
                  <w:tcW w:w="1248" w:type="pct"/>
                  <w:tcBorders>
                    <w:top w:val="single" w:color="auto" w:sz="8" w:space="0"/>
                    <w:tl2br w:val="nil"/>
                    <w:tr2bl w:val="nil"/>
                  </w:tcBorders>
                  <w:vAlign w:val="center"/>
                </w:tcPr>
                <w:p>
                  <w:pPr>
                    <w:snapToGrid w:val="0"/>
                    <w:jc w:val="center"/>
                  </w:pPr>
                  <w:r>
                    <w:rPr>
                      <w:rFonts w:hint="eastAsia"/>
                    </w:rPr>
                    <w:t>0.71</w:t>
                  </w:r>
                </w:p>
              </w:tc>
              <w:tc>
                <w:tcPr>
                  <w:tcW w:w="1249" w:type="pct"/>
                  <w:tcBorders>
                    <w:top w:val="single" w:color="auto" w:sz="8" w:space="0"/>
                    <w:tl2br w:val="nil"/>
                    <w:tr2bl w:val="nil"/>
                  </w:tcBorders>
                  <w:vAlign w:val="center"/>
                </w:tcPr>
                <w:p>
                  <w:pPr>
                    <w:snapToGrid w:val="0"/>
                    <w:jc w:val="center"/>
                  </w:pPr>
                  <w:r>
                    <w:rPr>
                      <w:rFonts w:hint="eastAsia"/>
                    </w:rPr>
                    <w:t>0.189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tcBorders>
                    <w:tl2br w:val="nil"/>
                    <w:tr2bl w:val="nil"/>
                  </w:tcBorders>
                  <w:vAlign w:val="center"/>
                </w:tcPr>
                <w:p>
                  <w:pPr>
                    <w:snapToGrid w:val="0"/>
                    <w:jc w:val="center"/>
                  </w:pPr>
                  <w:r>
                    <w:t>断面标准</w:t>
                  </w:r>
                </w:p>
              </w:tc>
              <w:tc>
                <w:tcPr>
                  <w:tcW w:w="1250" w:type="pct"/>
                  <w:tcBorders>
                    <w:tl2br w:val="nil"/>
                    <w:tr2bl w:val="nil"/>
                  </w:tcBorders>
                  <w:vAlign w:val="center"/>
                </w:tcPr>
                <w:p>
                  <w:pPr>
                    <w:snapToGrid w:val="0"/>
                    <w:jc w:val="center"/>
                  </w:pPr>
                  <w:r>
                    <w:t>40</w:t>
                  </w:r>
                </w:p>
              </w:tc>
              <w:tc>
                <w:tcPr>
                  <w:tcW w:w="1248" w:type="pct"/>
                  <w:tcBorders>
                    <w:tl2br w:val="nil"/>
                    <w:tr2bl w:val="nil"/>
                  </w:tcBorders>
                  <w:vAlign w:val="center"/>
                </w:tcPr>
                <w:p>
                  <w:pPr>
                    <w:snapToGrid w:val="0"/>
                    <w:jc w:val="center"/>
                  </w:pPr>
                  <w:r>
                    <w:t>2</w:t>
                  </w:r>
                </w:p>
              </w:tc>
              <w:tc>
                <w:tcPr>
                  <w:tcW w:w="1249" w:type="pct"/>
                  <w:tcBorders>
                    <w:tl2br w:val="nil"/>
                    <w:tr2bl w:val="nil"/>
                  </w:tcBorders>
                  <w:vAlign w:val="center"/>
                </w:tcPr>
                <w:p>
                  <w:pPr>
                    <w:snapToGrid w:val="0"/>
                    <w:jc w:val="center"/>
                  </w:pPr>
                  <w:r>
                    <w:t>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tcBorders>
                    <w:tl2br w:val="nil"/>
                    <w:tr2bl w:val="nil"/>
                  </w:tcBorders>
                  <w:vAlign w:val="center"/>
                </w:tcPr>
                <w:p>
                  <w:pPr>
                    <w:snapToGrid w:val="0"/>
                    <w:jc w:val="center"/>
                  </w:pPr>
                  <w:r>
                    <w:t>达标情况</w:t>
                  </w:r>
                </w:p>
              </w:tc>
              <w:tc>
                <w:tcPr>
                  <w:tcW w:w="1250" w:type="pct"/>
                  <w:tcBorders>
                    <w:tl2br w:val="nil"/>
                    <w:tr2bl w:val="nil"/>
                  </w:tcBorders>
                  <w:vAlign w:val="center"/>
                </w:tcPr>
                <w:p>
                  <w:pPr>
                    <w:snapToGrid w:val="0"/>
                    <w:jc w:val="center"/>
                  </w:pPr>
                  <w:r>
                    <w:t>达标</w:t>
                  </w:r>
                </w:p>
              </w:tc>
              <w:tc>
                <w:tcPr>
                  <w:tcW w:w="1248" w:type="pct"/>
                  <w:tcBorders>
                    <w:tl2br w:val="nil"/>
                    <w:tr2bl w:val="nil"/>
                  </w:tcBorders>
                  <w:vAlign w:val="center"/>
                </w:tcPr>
                <w:p>
                  <w:pPr>
                    <w:snapToGrid w:val="0"/>
                    <w:jc w:val="center"/>
                  </w:pPr>
                  <w:r>
                    <w:t>达标</w:t>
                  </w:r>
                </w:p>
              </w:tc>
              <w:tc>
                <w:tcPr>
                  <w:tcW w:w="1249" w:type="pct"/>
                  <w:tcBorders>
                    <w:tl2br w:val="nil"/>
                    <w:tr2bl w:val="nil"/>
                  </w:tcBorders>
                  <w:vAlign w:val="center"/>
                </w:tcPr>
                <w:p>
                  <w:pPr>
                    <w:snapToGrid w:val="0"/>
                    <w:jc w:val="center"/>
                  </w:pPr>
                  <w:r>
                    <w:t>达标</w:t>
                  </w:r>
                </w:p>
              </w:tc>
            </w:tr>
          </w:tbl>
          <w:p>
            <w:pPr>
              <w:adjustRightInd w:val="0"/>
              <w:snapToGrid w:val="0"/>
              <w:spacing w:line="440" w:lineRule="exact"/>
              <w:ind w:firstLine="480" w:firstLineChars="200"/>
              <w:rPr>
                <w:sz w:val="24"/>
              </w:rPr>
            </w:pPr>
            <w:r>
              <w:rPr>
                <w:sz w:val="24"/>
              </w:rPr>
              <w:t>由上表可知，</w:t>
            </w:r>
            <w:r>
              <w:rPr>
                <w:rFonts w:hint="eastAsia"/>
                <w:sz w:val="24"/>
              </w:rPr>
              <w:t>2020</w:t>
            </w:r>
            <w:r>
              <w:rPr>
                <w:sz w:val="24"/>
              </w:rPr>
              <w:t>年</w:t>
            </w:r>
            <w:r>
              <w:rPr>
                <w:rFonts w:hint="eastAsia"/>
                <w:sz w:val="24"/>
              </w:rPr>
              <w:t>4</w:t>
            </w:r>
            <w:r>
              <w:rPr>
                <w:sz w:val="24"/>
              </w:rPr>
              <w:t>月份卫河皇甫断面数据COD、NH</w:t>
            </w:r>
            <w:r>
              <w:rPr>
                <w:sz w:val="24"/>
                <w:vertAlign w:val="subscript"/>
              </w:rPr>
              <w:t>3</w:t>
            </w:r>
            <w:r>
              <w:rPr>
                <w:sz w:val="24"/>
              </w:rPr>
              <w:t>-N、TP均达标。目前新乡市正在推进实施《新乡市人民政府关于打赢水污染防治攻坚战的意见》（新政文[2017]28号）、《新乡市卫河流域水污染防治攻坚战实施方案等11个专项方案》（新环攻坚办（2017）20号）、《新乡市污水处理厂及配套管网建设与城市黑臭水体整治实施方案》（新环攻坚办（2017）13号）、《新乡市2018年持续打好打赢水污染防治攻坚战工作方案的通知》（新政办（2018）28号）、《新乡市“十三五”生态环境保护规划的通知》（新政办（2018）10号）</w:t>
            </w:r>
            <w:r>
              <w:rPr>
                <w:rFonts w:hint="eastAsia"/>
                <w:sz w:val="24"/>
              </w:rPr>
              <w:t>、</w:t>
            </w:r>
            <w:r>
              <w:rPr>
                <w:sz w:val="24"/>
              </w:rPr>
              <w:t>《新乡市环境污染防治攻坚战三年行动实施方案（2018-2020年）》</w:t>
            </w:r>
            <w:r>
              <w:rPr>
                <w:rFonts w:hint="eastAsia"/>
                <w:sz w:val="24"/>
              </w:rPr>
              <w:t>、《新乡市</w:t>
            </w:r>
            <w:r>
              <w:rPr>
                <w:sz w:val="24"/>
              </w:rPr>
              <w:t>2020</w:t>
            </w:r>
            <w:r>
              <w:rPr>
                <w:rFonts w:hint="eastAsia"/>
                <w:sz w:val="24"/>
              </w:rPr>
              <w:t>年大气、水、土壤污染防治攻坚战实施方案》（新环攻坚办</w:t>
            </w:r>
            <w:r>
              <w:rPr>
                <w:sz w:val="24"/>
              </w:rPr>
              <w:t>[2020]10</w:t>
            </w:r>
            <w:r>
              <w:rPr>
                <w:rFonts w:hint="eastAsia"/>
                <w:sz w:val="24"/>
              </w:rPr>
              <w:t>号）</w:t>
            </w:r>
            <w:r>
              <w:rPr>
                <w:sz w:val="24"/>
              </w:rPr>
              <w:t>等，将继续改善新乡市水环境质量。</w:t>
            </w:r>
          </w:p>
          <w:p>
            <w:pPr>
              <w:adjustRightInd w:val="0"/>
              <w:snapToGrid w:val="0"/>
              <w:spacing w:line="440" w:lineRule="exact"/>
              <w:ind w:firstLine="480" w:firstLineChars="200"/>
              <w:rPr>
                <w:sz w:val="24"/>
              </w:rPr>
            </w:pPr>
            <w:r>
              <w:rPr>
                <w:sz w:val="24"/>
              </w:rPr>
              <w:t>本项目废水为生活污水，经化粪池处理后定期清运，对新乡市地表水质量</w:t>
            </w:r>
            <w:r>
              <w:rPr>
                <w:rFonts w:hint="eastAsia"/>
                <w:sz w:val="24"/>
              </w:rPr>
              <w:t>影响较小</w:t>
            </w:r>
            <w:r>
              <w:rPr>
                <w:sz w:val="24"/>
              </w:rPr>
              <w:t>。</w:t>
            </w:r>
          </w:p>
          <w:p>
            <w:pPr>
              <w:adjustRightInd w:val="0"/>
              <w:snapToGrid w:val="0"/>
              <w:spacing w:line="440" w:lineRule="exact"/>
              <w:ind w:firstLine="480" w:firstLineChars="200"/>
              <w:rPr>
                <w:sz w:val="24"/>
              </w:rPr>
            </w:pPr>
            <w:r>
              <w:rPr>
                <w:sz w:val="24"/>
              </w:rPr>
              <w:t>3、地下水质量现状</w:t>
            </w:r>
          </w:p>
          <w:p>
            <w:pPr>
              <w:pStyle w:val="46"/>
              <w:adjustRightInd w:val="0"/>
              <w:snapToGrid w:val="0"/>
              <w:spacing w:line="440" w:lineRule="exact"/>
              <w:ind w:firstLine="480" w:firstLineChars="200"/>
              <w:rPr>
                <w:sz w:val="24"/>
              </w:rPr>
            </w:pPr>
            <w:r>
              <w:rPr>
                <w:sz w:val="24"/>
              </w:rPr>
              <w:t>本项目所在区域地下水环境质量较好，能够达到《地下水质量标准》（GB/T14848-2017）Ⅲ类标准。</w:t>
            </w:r>
          </w:p>
          <w:p>
            <w:pPr>
              <w:adjustRightInd w:val="0"/>
              <w:snapToGrid w:val="0"/>
              <w:spacing w:line="440" w:lineRule="exact"/>
              <w:ind w:firstLine="477" w:firstLineChars="199"/>
              <w:rPr>
                <w:sz w:val="24"/>
              </w:rPr>
            </w:pPr>
            <w:r>
              <w:rPr>
                <w:sz w:val="24"/>
              </w:rPr>
              <w:t>4、声环境质量现状</w:t>
            </w:r>
          </w:p>
          <w:p>
            <w:pPr>
              <w:adjustRightInd w:val="0"/>
              <w:snapToGrid w:val="0"/>
              <w:spacing w:line="440" w:lineRule="exact"/>
              <w:ind w:firstLine="480" w:firstLineChars="200"/>
              <w:rPr>
                <w:sz w:val="24"/>
              </w:rPr>
            </w:pPr>
            <w:r>
              <w:rPr>
                <w:sz w:val="24"/>
              </w:rPr>
              <w:t>项目所在地噪声现状达到《声环境质量标准》（GB3096-2008）2类标准，声环境质量良好。</w:t>
            </w:r>
          </w:p>
          <w:p>
            <w:pPr>
              <w:adjustRightInd w:val="0"/>
              <w:snapToGrid w:val="0"/>
              <w:spacing w:line="440" w:lineRule="exact"/>
              <w:ind w:firstLine="477" w:firstLineChars="199"/>
              <w:rPr>
                <w:sz w:val="24"/>
              </w:rPr>
            </w:pPr>
            <w:r>
              <w:rPr>
                <w:sz w:val="24"/>
              </w:rPr>
              <w:t>5、生态环境现状</w:t>
            </w:r>
          </w:p>
          <w:p>
            <w:pPr>
              <w:adjustRightInd w:val="0"/>
              <w:snapToGrid w:val="0"/>
              <w:spacing w:line="440" w:lineRule="exact"/>
              <w:ind w:firstLine="480" w:firstLineChars="200"/>
              <w:rPr>
                <w:sz w:val="24"/>
              </w:rPr>
            </w:pPr>
            <w:r>
              <w:rPr>
                <w:sz w:val="24"/>
              </w:rPr>
              <w:t>本项目区域主要为人工植被，生物量较小，以农村生态系统为主。项目周围500m范围内无重点保护的野生动植物、风景名胜区、自然保护区及文化遗产等特殊保护目标。</w:t>
            </w:r>
          </w:p>
          <w:p>
            <w:pPr>
              <w:pStyle w:val="2"/>
              <w:spacing w:before="0" w:after="0" w:line="240" w:lineRule="auto"/>
              <w:ind w:left="0" w:firstLine="0"/>
              <w:jc w:val="both"/>
            </w:pPr>
          </w:p>
          <w:p>
            <w:pPr>
              <w:adjustRightInd w:val="0"/>
              <w:snapToGrid w:val="0"/>
              <w:spacing w:line="400" w:lineRule="exact"/>
            </w:pPr>
          </w:p>
          <w:p>
            <w:pPr>
              <w:adjustRightInd w:val="0"/>
              <w:snapToGrid w:val="0"/>
              <w:spacing w:line="400" w:lineRule="exact"/>
              <w:rPr>
                <w:sz w:val="24"/>
              </w:rPr>
            </w:pPr>
            <w:r>
              <w:rPr>
                <w:sz w:val="24"/>
              </w:rPr>
              <w:t>主要环境保护目标(列出名单及保护级别)：</w:t>
            </w:r>
            <w:r>
              <w:rPr>
                <w:sz w:val="24"/>
              </w:rPr>
              <w:tab/>
            </w:r>
          </w:p>
          <w:p>
            <w:pPr>
              <w:adjustRightInd w:val="0"/>
              <w:snapToGrid w:val="0"/>
              <w:spacing w:line="400" w:lineRule="exact"/>
              <w:ind w:firstLine="480" w:firstLineChars="200"/>
              <w:rPr>
                <w:sz w:val="24"/>
              </w:rPr>
            </w:pPr>
            <w:r>
              <w:rPr>
                <w:sz w:val="24"/>
              </w:rPr>
              <w:t>项目周围主要环境保护目标见下表：</w:t>
            </w:r>
          </w:p>
          <w:p>
            <w:pPr>
              <w:adjustRightInd w:val="0"/>
              <w:snapToGrid w:val="0"/>
              <w:spacing w:line="440" w:lineRule="exact"/>
              <w:ind w:firstLine="480" w:firstLineChars="200"/>
              <w:rPr>
                <w:rFonts w:eastAsia="黑体"/>
                <w:sz w:val="24"/>
                <w:lang w:val="pt-BR"/>
              </w:rPr>
            </w:pPr>
            <w:r>
              <w:rPr>
                <w:rFonts w:hint="eastAsia" w:eastAsia="黑体"/>
                <w:sz w:val="24"/>
                <w:lang w:val="pt-BR"/>
              </w:rPr>
              <w:t>表13　　　　　 　     项目周围环境保护目标概况</w:t>
            </w:r>
          </w:p>
          <w:tbl>
            <w:tblPr>
              <w:tblStyle w:val="30"/>
              <w:tblW w:w="934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1200"/>
              <w:gridCol w:w="1288"/>
              <w:gridCol w:w="856"/>
              <w:gridCol w:w="1411"/>
              <w:gridCol w:w="458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2" w:type="pct"/>
                  <w:tcBorders>
                    <w:bottom w:val="single" w:color="auto" w:sz="8" w:space="0"/>
                  </w:tcBorders>
                  <w:vAlign w:val="center"/>
                </w:tcPr>
                <w:p>
                  <w:pPr>
                    <w:pStyle w:val="14"/>
                    <w:spacing w:after="0"/>
                    <w:contextualSpacing/>
                    <w:jc w:val="center"/>
                  </w:pPr>
                  <w:r>
                    <w:t>环境要素</w:t>
                  </w:r>
                </w:p>
              </w:tc>
              <w:tc>
                <w:tcPr>
                  <w:tcW w:w="689" w:type="pct"/>
                  <w:tcBorders>
                    <w:bottom w:val="single" w:color="auto" w:sz="8" w:space="0"/>
                  </w:tcBorders>
                  <w:vAlign w:val="center"/>
                </w:tcPr>
                <w:p>
                  <w:pPr>
                    <w:contextualSpacing/>
                    <w:jc w:val="center"/>
                  </w:pPr>
                  <w:r>
                    <w:t>保护目标</w:t>
                  </w:r>
                </w:p>
              </w:tc>
              <w:tc>
                <w:tcPr>
                  <w:tcW w:w="458" w:type="pct"/>
                  <w:tcBorders>
                    <w:bottom w:val="single" w:color="auto" w:sz="8" w:space="0"/>
                  </w:tcBorders>
                  <w:vAlign w:val="center"/>
                </w:tcPr>
                <w:p>
                  <w:pPr>
                    <w:pStyle w:val="14"/>
                    <w:spacing w:after="0"/>
                    <w:contextualSpacing/>
                    <w:jc w:val="center"/>
                  </w:pPr>
                  <w:r>
                    <w:t>方位</w:t>
                  </w:r>
                </w:p>
              </w:tc>
              <w:tc>
                <w:tcPr>
                  <w:tcW w:w="755" w:type="pct"/>
                  <w:tcBorders>
                    <w:bottom w:val="single" w:color="auto" w:sz="8" w:space="0"/>
                  </w:tcBorders>
                  <w:vAlign w:val="center"/>
                </w:tcPr>
                <w:p>
                  <w:pPr>
                    <w:pStyle w:val="14"/>
                    <w:spacing w:after="0"/>
                    <w:contextualSpacing/>
                    <w:jc w:val="center"/>
                  </w:pPr>
                  <w:r>
                    <w:t>距离（m）</w:t>
                  </w:r>
                </w:p>
              </w:tc>
              <w:tc>
                <w:tcPr>
                  <w:tcW w:w="2455" w:type="pct"/>
                  <w:tcBorders>
                    <w:bottom w:val="single" w:color="auto" w:sz="8" w:space="0"/>
                  </w:tcBorders>
                  <w:vAlign w:val="center"/>
                </w:tcPr>
                <w:p>
                  <w:pPr>
                    <w:pStyle w:val="14"/>
                    <w:spacing w:after="0"/>
                    <w:contextualSpacing/>
                    <w:jc w:val="center"/>
                  </w:pPr>
                  <w:r>
                    <w:t>保护级别</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01" w:hRule="atLeast"/>
                <w:jc w:val="center"/>
              </w:trPr>
              <w:tc>
                <w:tcPr>
                  <w:tcW w:w="642" w:type="pct"/>
                  <w:vMerge w:val="restart"/>
                  <w:tcBorders>
                    <w:top w:val="single" w:color="auto" w:sz="8" w:space="0"/>
                    <w:tl2br w:val="nil"/>
                    <w:tr2bl w:val="nil"/>
                  </w:tcBorders>
                  <w:vAlign w:val="center"/>
                </w:tcPr>
                <w:p>
                  <w:pPr>
                    <w:contextualSpacing/>
                    <w:jc w:val="center"/>
                  </w:pPr>
                  <w:r>
                    <w:t>大气</w:t>
                  </w:r>
                </w:p>
                <w:p>
                  <w:pPr>
                    <w:contextualSpacing/>
                    <w:jc w:val="center"/>
                  </w:pPr>
                  <w:r>
                    <w:t>环境</w:t>
                  </w:r>
                </w:p>
              </w:tc>
              <w:tc>
                <w:tcPr>
                  <w:tcW w:w="689" w:type="pct"/>
                  <w:tcBorders>
                    <w:top w:val="single" w:color="auto" w:sz="8" w:space="0"/>
                    <w:tl2br w:val="nil"/>
                    <w:tr2bl w:val="nil"/>
                  </w:tcBorders>
                  <w:vAlign w:val="center"/>
                </w:tcPr>
                <w:p>
                  <w:pPr>
                    <w:contextualSpacing/>
                    <w:jc w:val="center"/>
                  </w:pPr>
                  <w:r>
                    <w:t>西河村</w:t>
                  </w:r>
                </w:p>
              </w:tc>
              <w:tc>
                <w:tcPr>
                  <w:tcW w:w="458" w:type="pct"/>
                  <w:tcBorders>
                    <w:top w:val="single" w:color="auto" w:sz="8" w:space="0"/>
                    <w:tl2br w:val="nil"/>
                    <w:tr2bl w:val="nil"/>
                  </w:tcBorders>
                  <w:vAlign w:val="center"/>
                </w:tcPr>
                <w:p>
                  <w:pPr>
                    <w:pStyle w:val="14"/>
                    <w:spacing w:after="0"/>
                    <w:contextualSpacing/>
                    <w:jc w:val="center"/>
                  </w:pPr>
                  <w:r>
                    <w:t>北</w:t>
                  </w:r>
                </w:p>
              </w:tc>
              <w:tc>
                <w:tcPr>
                  <w:tcW w:w="755" w:type="pct"/>
                  <w:tcBorders>
                    <w:top w:val="single" w:color="auto" w:sz="8" w:space="0"/>
                    <w:tl2br w:val="nil"/>
                    <w:tr2bl w:val="nil"/>
                  </w:tcBorders>
                  <w:vAlign w:val="center"/>
                </w:tcPr>
                <w:p>
                  <w:pPr>
                    <w:pStyle w:val="14"/>
                    <w:spacing w:after="0"/>
                    <w:contextualSpacing/>
                    <w:jc w:val="center"/>
                  </w:pPr>
                  <w:r>
                    <w:t>100</w:t>
                  </w:r>
                </w:p>
              </w:tc>
              <w:tc>
                <w:tcPr>
                  <w:tcW w:w="2455" w:type="pct"/>
                  <w:vMerge w:val="restart"/>
                  <w:tcBorders>
                    <w:top w:val="single" w:color="auto" w:sz="8" w:space="0"/>
                    <w:tl2br w:val="nil"/>
                    <w:tr2bl w:val="nil"/>
                  </w:tcBorders>
                  <w:vAlign w:val="center"/>
                </w:tcPr>
                <w:p>
                  <w:pPr>
                    <w:pStyle w:val="14"/>
                    <w:spacing w:after="0"/>
                    <w:contextualSpacing/>
                    <w:jc w:val="center"/>
                  </w:pPr>
                  <w:r>
                    <w:t>《环境空气质量标准》</w:t>
                  </w:r>
                </w:p>
                <w:p>
                  <w:pPr>
                    <w:pStyle w:val="14"/>
                    <w:spacing w:after="0"/>
                    <w:contextualSpacing/>
                    <w:jc w:val="both"/>
                  </w:pPr>
                  <w:r>
                    <w:t>（GB3095-2012）及其</w:t>
                  </w:r>
                  <w:r>
                    <w:rPr>
                      <w:rFonts w:hint="eastAsia"/>
                    </w:rPr>
                    <w:t>2018年修改单</w:t>
                  </w:r>
                  <w:r>
                    <w:t>二级标准《声环境质量标准》（GB3096-2008）2类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2" w:type="pct"/>
                  <w:vMerge w:val="continue"/>
                  <w:tcBorders>
                    <w:tl2br w:val="nil"/>
                    <w:tr2bl w:val="nil"/>
                  </w:tcBorders>
                  <w:vAlign w:val="center"/>
                </w:tcPr>
                <w:p>
                  <w:pPr>
                    <w:contextualSpacing/>
                    <w:jc w:val="center"/>
                  </w:pPr>
                </w:p>
              </w:tc>
              <w:tc>
                <w:tcPr>
                  <w:tcW w:w="689" w:type="pct"/>
                  <w:tcBorders>
                    <w:tl2br w:val="nil"/>
                    <w:tr2bl w:val="nil"/>
                  </w:tcBorders>
                  <w:vAlign w:val="center"/>
                </w:tcPr>
                <w:p>
                  <w:pPr>
                    <w:contextualSpacing/>
                    <w:jc w:val="center"/>
                  </w:pPr>
                  <w:r>
                    <w:t>北陈庄村</w:t>
                  </w:r>
                </w:p>
              </w:tc>
              <w:tc>
                <w:tcPr>
                  <w:tcW w:w="458" w:type="pct"/>
                  <w:tcBorders>
                    <w:tl2br w:val="nil"/>
                    <w:tr2bl w:val="nil"/>
                  </w:tcBorders>
                  <w:vAlign w:val="center"/>
                </w:tcPr>
                <w:p>
                  <w:pPr>
                    <w:pStyle w:val="14"/>
                    <w:spacing w:after="0"/>
                    <w:contextualSpacing/>
                    <w:jc w:val="center"/>
                  </w:pPr>
                  <w:r>
                    <w:t>北</w:t>
                  </w:r>
                </w:p>
              </w:tc>
              <w:tc>
                <w:tcPr>
                  <w:tcW w:w="755" w:type="pct"/>
                  <w:tcBorders>
                    <w:tl2br w:val="nil"/>
                    <w:tr2bl w:val="nil"/>
                  </w:tcBorders>
                  <w:vAlign w:val="center"/>
                </w:tcPr>
                <w:p>
                  <w:pPr>
                    <w:pStyle w:val="14"/>
                    <w:spacing w:after="0"/>
                    <w:contextualSpacing/>
                    <w:jc w:val="center"/>
                  </w:pPr>
                  <w:r>
                    <w:t>700</w:t>
                  </w:r>
                </w:p>
              </w:tc>
              <w:tc>
                <w:tcPr>
                  <w:tcW w:w="2455" w:type="pct"/>
                  <w:vMerge w:val="continue"/>
                  <w:tcBorders>
                    <w:tl2br w:val="nil"/>
                    <w:tr2bl w:val="nil"/>
                  </w:tcBorders>
                  <w:vAlign w:val="center"/>
                </w:tcPr>
                <w:p>
                  <w:pPr>
                    <w:pStyle w:val="14"/>
                    <w:spacing w:after="0"/>
                    <w:contextualSpacing/>
                    <w:jc w:val="cente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2" w:type="pct"/>
                  <w:vMerge w:val="continue"/>
                  <w:tcBorders>
                    <w:tl2br w:val="nil"/>
                    <w:tr2bl w:val="nil"/>
                  </w:tcBorders>
                  <w:vAlign w:val="center"/>
                </w:tcPr>
                <w:p>
                  <w:pPr>
                    <w:contextualSpacing/>
                    <w:jc w:val="center"/>
                  </w:pPr>
                </w:p>
              </w:tc>
              <w:tc>
                <w:tcPr>
                  <w:tcW w:w="689" w:type="pct"/>
                  <w:tcBorders>
                    <w:tl2br w:val="nil"/>
                    <w:tr2bl w:val="nil"/>
                  </w:tcBorders>
                  <w:vAlign w:val="center"/>
                </w:tcPr>
                <w:p>
                  <w:pPr>
                    <w:contextualSpacing/>
                    <w:jc w:val="center"/>
                  </w:pPr>
                  <w:r>
                    <w:t>合河村</w:t>
                  </w:r>
                </w:p>
              </w:tc>
              <w:tc>
                <w:tcPr>
                  <w:tcW w:w="458" w:type="pct"/>
                  <w:tcBorders>
                    <w:tl2br w:val="nil"/>
                    <w:tr2bl w:val="nil"/>
                  </w:tcBorders>
                  <w:vAlign w:val="center"/>
                </w:tcPr>
                <w:p>
                  <w:pPr>
                    <w:pStyle w:val="14"/>
                    <w:spacing w:after="0"/>
                    <w:contextualSpacing/>
                    <w:jc w:val="center"/>
                  </w:pPr>
                  <w:r>
                    <w:t>东北</w:t>
                  </w:r>
                </w:p>
              </w:tc>
              <w:tc>
                <w:tcPr>
                  <w:tcW w:w="755" w:type="pct"/>
                  <w:tcBorders>
                    <w:tl2br w:val="nil"/>
                    <w:tr2bl w:val="nil"/>
                  </w:tcBorders>
                  <w:vAlign w:val="center"/>
                </w:tcPr>
                <w:p>
                  <w:pPr>
                    <w:pStyle w:val="14"/>
                    <w:spacing w:after="0"/>
                    <w:contextualSpacing/>
                    <w:jc w:val="center"/>
                  </w:pPr>
                  <w:r>
                    <w:t>650</w:t>
                  </w:r>
                </w:p>
              </w:tc>
              <w:tc>
                <w:tcPr>
                  <w:tcW w:w="2455" w:type="pct"/>
                  <w:vMerge w:val="continue"/>
                  <w:tcBorders>
                    <w:tl2br w:val="nil"/>
                    <w:tr2bl w:val="nil"/>
                  </w:tcBorders>
                  <w:vAlign w:val="center"/>
                </w:tcPr>
                <w:p>
                  <w:pPr>
                    <w:pStyle w:val="14"/>
                    <w:spacing w:after="0"/>
                    <w:contextualSpacing/>
                    <w:jc w:val="cente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2" w:type="pct"/>
                  <w:vMerge w:val="continue"/>
                  <w:tcBorders>
                    <w:tl2br w:val="nil"/>
                    <w:tr2bl w:val="nil"/>
                  </w:tcBorders>
                  <w:vAlign w:val="center"/>
                </w:tcPr>
                <w:p>
                  <w:pPr>
                    <w:contextualSpacing/>
                    <w:jc w:val="center"/>
                  </w:pPr>
                </w:p>
              </w:tc>
              <w:tc>
                <w:tcPr>
                  <w:tcW w:w="689" w:type="pct"/>
                  <w:tcBorders>
                    <w:tl2br w:val="nil"/>
                    <w:tr2bl w:val="nil"/>
                  </w:tcBorders>
                  <w:vAlign w:val="center"/>
                </w:tcPr>
                <w:p>
                  <w:pPr>
                    <w:contextualSpacing/>
                    <w:jc w:val="center"/>
                  </w:pPr>
                  <w:r>
                    <w:t>石村</w:t>
                  </w:r>
                </w:p>
              </w:tc>
              <w:tc>
                <w:tcPr>
                  <w:tcW w:w="458" w:type="pct"/>
                  <w:tcBorders>
                    <w:tl2br w:val="nil"/>
                    <w:tr2bl w:val="nil"/>
                  </w:tcBorders>
                  <w:vAlign w:val="center"/>
                </w:tcPr>
                <w:p>
                  <w:pPr>
                    <w:pStyle w:val="14"/>
                    <w:spacing w:after="0"/>
                    <w:contextualSpacing/>
                    <w:jc w:val="center"/>
                  </w:pPr>
                  <w:r>
                    <w:t>西</w:t>
                  </w:r>
                </w:p>
              </w:tc>
              <w:tc>
                <w:tcPr>
                  <w:tcW w:w="755" w:type="pct"/>
                  <w:tcBorders>
                    <w:tl2br w:val="nil"/>
                    <w:tr2bl w:val="nil"/>
                  </w:tcBorders>
                  <w:vAlign w:val="center"/>
                </w:tcPr>
                <w:p>
                  <w:pPr>
                    <w:pStyle w:val="14"/>
                    <w:spacing w:after="0"/>
                    <w:contextualSpacing/>
                    <w:jc w:val="center"/>
                  </w:pPr>
                  <w:r>
                    <w:t>900</w:t>
                  </w:r>
                </w:p>
              </w:tc>
              <w:tc>
                <w:tcPr>
                  <w:tcW w:w="2455" w:type="pct"/>
                  <w:vMerge w:val="continue"/>
                  <w:tcBorders>
                    <w:tl2br w:val="nil"/>
                    <w:tr2bl w:val="nil"/>
                  </w:tcBorders>
                  <w:vAlign w:val="center"/>
                </w:tcPr>
                <w:p>
                  <w:pPr>
                    <w:pStyle w:val="14"/>
                    <w:spacing w:after="0"/>
                    <w:contextualSpacing/>
                    <w:jc w:val="cente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642" w:type="pct"/>
                  <w:vMerge w:val="continue"/>
                  <w:tcBorders>
                    <w:tl2br w:val="nil"/>
                    <w:tr2bl w:val="nil"/>
                  </w:tcBorders>
                  <w:vAlign w:val="center"/>
                </w:tcPr>
                <w:p>
                  <w:pPr>
                    <w:contextualSpacing/>
                    <w:jc w:val="center"/>
                  </w:pPr>
                </w:p>
              </w:tc>
              <w:tc>
                <w:tcPr>
                  <w:tcW w:w="689" w:type="pct"/>
                  <w:tcBorders>
                    <w:tl2br w:val="nil"/>
                    <w:tr2bl w:val="nil"/>
                  </w:tcBorders>
                  <w:vAlign w:val="center"/>
                </w:tcPr>
                <w:p>
                  <w:pPr>
                    <w:contextualSpacing/>
                    <w:jc w:val="center"/>
                  </w:pPr>
                  <w:r>
                    <w:t>东元封村</w:t>
                  </w:r>
                </w:p>
              </w:tc>
              <w:tc>
                <w:tcPr>
                  <w:tcW w:w="458" w:type="pct"/>
                  <w:tcBorders>
                    <w:tl2br w:val="nil"/>
                    <w:tr2bl w:val="nil"/>
                  </w:tcBorders>
                  <w:vAlign w:val="center"/>
                </w:tcPr>
                <w:p>
                  <w:pPr>
                    <w:pStyle w:val="14"/>
                    <w:spacing w:after="0"/>
                    <w:contextualSpacing/>
                    <w:jc w:val="center"/>
                  </w:pPr>
                  <w:r>
                    <w:t>南</w:t>
                  </w:r>
                </w:p>
              </w:tc>
              <w:tc>
                <w:tcPr>
                  <w:tcW w:w="755" w:type="pct"/>
                  <w:tcBorders>
                    <w:tl2br w:val="nil"/>
                    <w:tr2bl w:val="nil"/>
                  </w:tcBorders>
                  <w:vAlign w:val="center"/>
                </w:tcPr>
                <w:p>
                  <w:pPr>
                    <w:pStyle w:val="14"/>
                    <w:spacing w:after="0"/>
                    <w:contextualSpacing/>
                    <w:jc w:val="center"/>
                  </w:pPr>
                  <w:r>
                    <w:t>900</w:t>
                  </w:r>
                </w:p>
              </w:tc>
              <w:tc>
                <w:tcPr>
                  <w:tcW w:w="2455" w:type="pct"/>
                  <w:vMerge w:val="continue"/>
                  <w:tcBorders>
                    <w:tl2br w:val="nil"/>
                    <w:tr2bl w:val="nil"/>
                  </w:tcBorders>
                  <w:vAlign w:val="center"/>
                </w:tcPr>
                <w:p>
                  <w:pPr>
                    <w:pStyle w:val="14"/>
                    <w:spacing w:after="0"/>
                    <w:contextualSpacing/>
                    <w:jc w:val="cente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68" w:hRule="atLeast"/>
                <w:jc w:val="center"/>
              </w:trPr>
              <w:tc>
                <w:tcPr>
                  <w:tcW w:w="642" w:type="pct"/>
                  <w:tcBorders>
                    <w:tl2br w:val="nil"/>
                    <w:tr2bl w:val="nil"/>
                  </w:tcBorders>
                  <w:vAlign w:val="center"/>
                </w:tcPr>
                <w:p>
                  <w:pPr>
                    <w:contextualSpacing/>
                    <w:jc w:val="center"/>
                  </w:pPr>
                  <w:r>
                    <w:t>水环境</w:t>
                  </w:r>
                </w:p>
              </w:tc>
              <w:tc>
                <w:tcPr>
                  <w:tcW w:w="689" w:type="pct"/>
                  <w:tcBorders>
                    <w:tl2br w:val="nil"/>
                    <w:tr2bl w:val="nil"/>
                  </w:tcBorders>
                  <w:vAlign w:val="center"/>
                </w:tcPr>
                <w:p>
                  <w:pPr>
                    <w:contextualSpacing/>
                    <w:jc w:val="center"/>
                  </w:pPr>
                  <w:r>
                    <w:t>卫河</w:t>
                  </w:r>
                </w:p>
              </w:tc>
              <w:tc>
                <w:tcPr>
                  <w:tcW w:w="458" w:type="pct"/>
                  <w:tcBorders>
                    <w:tl2br w:val="nil"/>
                    <w:tr2bl w:val="nil"/>
                  </w:tcBorders>
                  <w:vAlign w:val="center"/>
                </w:tcPr>
                <w:p>
                  <w:pPr>
                    <w:pStyle w:val="14"/>
                    <w:spacing w:after="0"/>
                    <w:contextualSpacing/>
                    <w:jc w:val="center"/>
                  </w:pPr>
                  <w:r>
                    <w:t>东</w:t>
                  </w:r>
                </w:p>
              </w:tc>
              <w:tc>
                <w:tcPr>
                  <w:tcW w:w="755" w:type="pct"/>
                  <w:tcBorders>
                    <w:tl2br w:val="nil"/>
                    <w:tr2bl w:val="nil"/>
                  </w:tcBorders>
                  <w:vAlign w:val="center"/>
                </w:tcPr>
                <w:p>
                  <w:pPr>
                    <w:pStyle w:val="14"/>
                    <w:spacing w:after="0"/>
                    <w:contextualSpacing/>
                    <w:jc w:val="center"/>
                  </w:pPr>
                  <w:r>
                    <w:t>1600</w:t>
                  </w:r>
                </w:p>
              </w:tc>
              <w:tc>
                <w:tcPr>
                  <w:tcW w:w="2455" w:type="pct"/>
                  <w:tcBorders>
                    <w:tl2br w:val="nil"/>
                    <w:tr2bl w:val="nil"/>
                  </w:tcBorders>
                  <w:vAlign w:val="center"/>
                </w:tcPr>
                <w:p>
                  <w:pPr>
                    <w:pStyle w:val="14"/>
                    <w:spacing w:after="0"/>
                    <w:contextualSpacing/>
                    <w:jc w:val="center"/>
                  </w:pPr>
                  <w:r>
                    <w:t>《地表水环境质量标准》（GB3838-2002）Ⅴ类</w:t>
                  </w:r>
                </w:p>
              </w:tc>
            </w:tr>
          </w:tbl>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pPr>
          </w:p>
          <w:p>
            <w:pPr>
              <w:adjustRightInd w:val="0"/>
              <w:snapToGrid w:val="0"/>
            </w:pPr>
          </w:p>
          <w:p>
            <w:pPr>
              <w:pStyle w:val="2"/>
              <w:snapToGrid w:val="0"/>
              <w:spacing w:before="0" w:after="0" w:line="240" w:lineRule="auto"/>
              <w:ind w:left="0" w:firstLine="0"/>
              <w:contextualSpacing/>
              <w:jc w:val="both"/>
            </w:pPr>
          </w:p>
          <w:p/>
          <w:p/>
          <w:p/>
          <w:p/>
          <w:p>
            <w:pPr>
              <w:pStyle w:val="2"/>
            </w:pPr>
          </w:p>
          <w:p/>
          <w:p/>
          <w:p>
            <w:pPr>
              <w:pStyle w:val="29"/>
              <w:ind w:left="0" w:leftChars="0" w:firstLine="0" w:firstLineChars="0"/>
            </w:pPr>
          </w:p>
          <w:p>
            <w:pPr>
              <w:pStyle w:val="29"/>
              <w:ind w:left="0" w:leftChars="0" w:firstLine="0" w:firstLineChars="0"/>
            </w:pPr>
          </w:p>
          <w:p>
            <w:pPr>
              <w:pStyle w:val="29"/>
              <w:ind w:left="0" w:leftChars="0" w:firstLine="0" w:firstLineChars="0"/>
            </w:pPr>
          </w:p>
        </w:tc>
      </w:tr>
    </w:tbl>
    <w:p>
      <w:pPr>
        <w:adjustRightInd w:val="0"/>
        <w:snapToGrid w:val="0"/>
        <w:spacing w:line="400" w:lineRule="exact"/>
        <w:outlineLvl w:val="0"/>
        <w:rPr>
          <w:b/>
          <w:sz w:val="28"/>
        </w:rPr>
      </w:pPr>
      <w:r>
        <w:rPr>
          <w:b/>
          <w:sz w:val="28"/>
        </w:rPr>
        <w:t>评价适用标准</w:t>
      </w:r>
    </w:p>
    <w:tbl>
      <w:tblPr>
        <w:tblStyle w:val="30"/>
        <w:tblW w:w="95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86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59" w:hRule="atLeast"/>
          <w:jc w:val="center"/>
        </w:trPr>
        <w:tc>
          <w:tcPr>
            <w:tcW w:w="957" w:type="dxa"/>
            <w:vAlign w:val="center"/>
          </w:tcPr>
          <w:p>
            <w:pPr>
              <w:adjustRightInd w:val="0"/>
              <w:snapToGrid w:val="0"/>
              <w:spacing w:line="400" w:lineRule="exact"/>
              <w:jc w:val="center"/>
              <w:rPr>
                <w:sz w:val="24"/>
              </w:rPr>
            </w:pPr>
            <w:r>
              <w:rPr>
                <w:sz w:val="24"/>
              </w:rPr>
              <w:t>环</w:t>
            </w:r>
          </w:p>
          <w:p>
            <w:pPr>
              <w:adjustRightInd w:val="0"/>
              <w:snapToGrid w:val="0"/>
              <w:spacing w:line="400" w:lineRule="exact"/>
              <w:jc w:val="center"/>
              <w:rPr>
                <w:sz w:val="24"/>
              </w:rPr>
            </w:pPr>
            <w:r>
              <w:rPr>
                <w:sz w:val="24"/>
              </w:rPr>
              <w:t>境</w:t>
            </w:r>
          </w:p>
          <w:p>
            <w:pPr>
              <w:adjustRightInd w:val="0"/>
              <w:snapToGrid w:val="0"/>
              <w:spacing w:line="400" w:lineRule="exact"/>
              <w:jc w:val="center"/>
              <w:rPr>
                <w:sz w:val="24"/>
              </w:rPr>
            </w:pPr>
            <w:r>
              <w:rPr>
                <w:sz w:val="24"/>
              </w:rPr>
              <w:t>质</w:t>
            </w:r>
          </w:p>
          <w:p>
            <w:pPr>
              <w:adjustRightInd w:val="0"/>
              <w:snapToGrid w:val="0"/>
              <w:spacing w:line="400" w:lineRule="exact"/>
              <w:jc w:val="center"/>
              <w:rPr>
                <w:sz w:val="24"/>
              </w:rPr>
            </w:pPr>
            <w:r>
              <w:rPr>
                <w:sz w:val="24"/>
              </w:rPr>
              <w:t>量</w:t>
            </w:r>
          </w:p>
          <w:p>
            <w:pPr>
              <w:adjustRightInd w:val="0"/>
              <w:snapToGrid w:val="0"/>
              <w:spacing w:line="400" w:lineRule="exact"/>
              <w:jc w:val="center"/>
              <w:rPr>
                <w:sz w:val="24"/>
              </w:rPr>
            </w:pPr>
            <w:r>
              <w:rPr>
                <w:sz w:val="24"/>
              </w:rPr>
              <w:t>标</w:t>
            </w:r>
          </w:p>
          <w:p>
            <w:pPr>
              <w:adjustRightInd w:val="0"/>
              <w:snapToGrid w:val="0"/>
              <w:spacing w:line="400" w:lineRule="exact"/>
              <w:jc w:val="center"/>
              <w:rPr>
                <w:sz w:val="28"/>
              </w:rPr>
            </w:pPr>
            <w:r>
              <w:rPr>
                <w:sz w:val="24"/>
              </w:rPr>
              <w:t>准</w:t>
            </w:r>
          </w:p>
        </w:tc>
        <w:tc>
          <w:tcPr>
            <w:tcW w:w="8612" w:type="dxa"/>
          </w:tcPr>
          <w:p>
            <w:pPr>
              <w:adjustRightInd w:val="0"/>
              <w:snapToGrid w:val="0"/>
              <w:spacing w:line="440" w:lineRule="exact"/>
              <w:ind w:firstLine="482" w:firstLineChars="200"/>
              <w:textAlignment w:val="baseline"/>
              <w:rPr>
                <w:b/>
                <w:sz w:val="24"/>
              </w:rPr>
            </w:pPr>
            <w:r>
              <w:rPr>
                <w:b/>
                <w:sz w:val="24"/>
              </w:rPr>
              <w:t>1、环境空气</w:t>
            </w:r>
          </w:p>
          <w:p>
            <w:pPr>
              <w:adjustRightInd w:val="0"/>
              <w:snapToGrid w:val="0"/>
              <w:spacing w:line="440" w:lineRule="exact"/>
              <w:ind w:firstLine="480" w:firstLineChars="200"/>
              <w:textAlignment w:val="baseline"/>
              <w:rPr>
                <w:sz w:val="24"/>
              </w:rPr>
            </w:pPr>
            <w:r>
              <w:rPr>
                <w:sz w:val="24"/>
              </w:rPr>
              <w:t>本项目大气环境质量执行《环境空气质量标准》（GB3095-2012）及其</w:t>
            </w:r>
            <w:r>
              <w:rPr>
                <w:rFonts w:hint="eastAsia"/>
                <w:sz w:val="24"/>
              </w:rPr>
              <w:t>2018年修改单</w:t>
            </w:r>
            <w:r>
              <w:rPr>
                <w:sz w:val="24"/>
              </w:rPr>
              <w:t>二级，相关标准值见下表：</w:t>
            </w:r>
          </w:p>
          <w:p>
            <w:pPr>
              <w:adjustRightInd w:val="0"/>
              <w:snapToGrid w:val="0"/>
              <w:spacing w:line="440" w:lineRule="exact"/>
              <w:ind w:firstLine="480" w:firstLineChars="200"/>
              <w:rPr>
                <w:rFonts w:eastAsia="黑体"/>
                <w:sz w:val="24"/>
                <w:lang w:val="pt-BR"/>
              </w:rPr>
            </w:pPr>
            <w:bookmarkStart w:id="1" w:name="_Ref306978210"/>
            <w:r>
              <w:rPr>
                <w:rFonts w:eastAsia="黑体"/>
                <w:sz w:val="24"/>
                <w:lang w:val="pt-BR"/>
              </w:rPr>
              <w:t>表</w:t>
            </w:r>
            <w:bookmarkEnd w:id="1"/>
            <w:r>
              <w:rPr>
                <w:rFonts w:eastAsia="黑体"/>
                <w:sz w:val="24"/>
                <w:lang w:val="pt-BR"/>
              </w:rPr>
              <w:t>14                 环境空气质量标准              单位：μg /m</w:t>
            </w:r>
            <w:r>
              <w:rPr>
                <w:rFonts w:eastAsia="黑体"/>
                <w:sz w:val="24"/>
                <w:vertAlign w:val="superscript"/>
                <w:lang w:val="pt-BR"/>
              </w:rPr>
              <w:t>3</w:t>
            </w:r>
          </w:p>
          <w:tbl>
            <w:tblPr>
              <w:tblStyle w:val="30"/>
              <w:tblW w:w="4999" w:type="pct"/>
              <w:jc w:val="center"/>
              <w:tblLayout w:type="autofit"/>
              <w:tblCellMar>
                <w:top w:w="0" w:type="dxa"/>
                <w:left w:w="108" w:type="dxa"/>
                <w:bottom w:w="0" w:type="dxa"/>
                <w:right w:w="108" w:type="dxa"/>
              </w:tblCellMar>
            </w:tblPr>
            <w:tblGrid>
              <w:gridCol w:w="1542"/>
              <w:gridCol w:w="1889"/>
              <w:gridCol w:w="1488"/>
              <w:gridCol w:w="3475"/>
            </w:tblGrid>
            <w:tr>
              <w:tblPrEx>
                <w:tblCellMar>
                  <w:top w:w="0" w:type="dxa"/>
                  <w:left w:w="108" w:type="dxa"/>
                  <w:bottom w:w="0" w:type="dxa"/>
                  <w:right w:w="108" w:type="dxa"/>
                </w:tblCellMar>
              </w:tblPrEx>
              <w:trPr>
                <w:trHeight w:val="397" w:hRule="atLeast"/>
                <w:jc w:val="center"/>
              </w:trPr>
              <w:tc>
                <w:tcPr>
                  <w:tcW w:w="918" w:type="pct"/>
                  <w:tcBorders>
                    <w:top w:val="single" w:color="auto" w:sz="8" w:space="0"/>
                    <w:bottom w:val="single" w:color="auto" w:sz="8" w:space="0"/>
                    <w:right w:val="single" w:color="auto" w:sz="4" w:space="0"/>
                  </w:tcBorders>
                  <w:vAlign w:val="center"/>
                </w:tcPr>
                <w:p>
                  <w:pPr>
                    <w:snapToGrid w:val="0"/>
                    <w:contextualSpacing/>
                    <w:jc w:val="center"/>
                    <w:textAlignment w:val="baseline"/>
                    <w:rPr>
                      <w:b/>
                      <w:bCs/>
                      <w:color w:val="000000"/>
                      <w:spacing w:val="-4"/>
                      <w:szCs w:val="21"/>
                    </w:rPr>
                  </w:pPr>
                  <w:r>
                    <w:rPr>
                      <w:b/>
                      <w:bCs/>
                      <w:color w:val="000000"/>
                      <w:spacing w:val="-4"/>
                      <w:szCs w:val="21"/>
                    </w:rPr>
                    <w:t>污染物名称</w:t>
                  </w:r>
                </w:p>
              </w:tc>
              <w:tc>
                <w:tcPr>
                  <w:tcW w:w="1125" w:type="pct"/>
                  <w:tcBorders>
                    <w:top w:val="single" w:color="auto" w:sz="8" w:space="0"/>
                    <w:left w:val="single" w:color="auto" w:sz="4" w:space="0"/>
                    <w:bottom w:val="single" w:color="auto" w:sz="8" w:space="0"/>
                    <w:right w:val="single" w:color="auto" w:sz="4" w:space="0"/>
                  </w:tcBorders>
                  <w:vAlign w:val="center"/>
                </w:tcPr>
                <w:p>
                  <w:pPr>
                    <w:snapToGrid w:val="0"/>
                    <w:contextualSpacing/>
                    <w:jc w:val="center"/>
                    <w:textAlignment w:val="baseline"/>
                    <w:rPr>
                      <w:b/>
                      <w:bCs/>
                      <w:color w:val="000000"/>
                      <w:spacing w:val="-4"/>
                      <w:szCs w:val="21"/>
                    </w:rPr>
                  </w:pPr>
                  <w:r>
                    <w:rPr>
                      <w:b/>
                      <w:bCs/>
                      <w:color w:val="000000"/>
                      <w:spacing w:val="-4"/>
                      <w:szCs w:val="21"/>
                    </w:rPr>
                    <w:t>取值时间</w:t>
                  </w:r>
                </w:p>
              </w:tc>
              <w:tc>
                <w:tcPr>
                  <w:tcW w:w="886" w:type="pct"/>
                  <w:tcBorders>
                    <w:top w:val="single" w:color="auto" w:sz="8" w:space="0"/>
                    <w:left w:val="single" w:color="auto" w:sz="4" w:space="0"/>
                    <w:bottom w:val="single" w:color="auto" w:sz="8" w:space="0"/>
                    <w:right w:val="single" w:color="auto" w:sz="4" w:space="0"/>
                  </w:tcBorders>
                  <w:vAlign w:val="center"/>
                </w:tcPr>
                <w:p>
                  <w:pPr>
                    <w:snapToGrid w:val="0"/>
                    <w:contextualSpacing/>
                    <w:jc w:val="center"/>
                    <w:textAlignment w:val="baseline"/>
                    <w:rPr>
                      <w:b/>
                      <w:bCs/>
                      <w:color w:val="000000"/>
                      <w:spacing w:val="-4"/>
                      <w:szCs w:val="21"/>
                    </w:rPr>
                  </w:pPr>
                  <w:r>
                    <w:rPr>
                      <w:b/>
                      <w:bCs/>
                      <w:color w:val="000000"/>
                      <w:spacing w:val="-4"/>
                      <w:szCs w:val="21"/>
                    </w:rPr>
                    <w:t>浓度限值</w:t>
                  </w:r>
                </w:p>
              </w:tc>
              <w:tc>
                <w:tcPr>
                  <w:tcW w:w="2069" w:type="pct"/>
                  <w:tcBorders>
                    <w:top w:val="single" w:color="auto" w:sz="8" w:space="0"/>
                    <w:left w:val="single" w:color="auto" w:sz="4" w:space="0"/>
                    <w:bottom w:val="single" w:color="auto" w:sz="8" w:space="0"/>
                  </w:tcBorders>
                  <w:vAlign w:val="center"/>
                </w:tcPr>
                <w:p>
                  <w:pPr>
                    <w:snapToGrid w:val="0"/>
                    <w:contextualSpacing/>
                    <w:jc w:val="center"/>
                    <w:textAlignment w:val="baseline"/>
                    <w:rPr>
                      <w:b/>
                      <w:bCs/>
                      <w:color w:val="000000"/>
                      <w:spacing w:val="-4"/>
                      <w:szCs w:val="21"/>
                    </w:rPr>
                  </w:pPr>
                  <w:r>
                    <w:rPr>
                      <w:b/>
                      <w:bCs/>
                      <w:color w:val="000000"/>
                      <w:spacing w:val="-4"/>
                      <w:szCs w:val="21"/>
                    </w:rPr>
                    <w:t>标准来源</w:t>
                  </w:r>
                </w:p>
              </w:tc>
            </w:tr>
            <w:tr>
              <w:tblPrEx>
                <w:tblCellMar>
                  <w:top w:w="0" w:type="dxa"/>
                  <w:left w:w="108" w:type="dxa"/>
                  <w:bottom w:w="0" w:type="dxa"/>
                  <w:right w:w="108" w:type="dxa"/>
                </w:tblCellMar>
              </w:tblPrEx>
              <w:trPr>
                <w:trHeight w:val="397" w:hRule="atLeast"/>
                <w:jc w:val="center"/>
              </w:trPr>
              <w:tc>
                <w:tcPr>
                  <w:tcW w:w="918" w:type="pct"/>
                  <w:vMerge w:val="restart"/>
                  <w:tcBorders>
                    <w:top w:val="nil"/>
                    <w:bottom w:val="single" w:color="auto" w:sz="4" w:space="0"/>
                    <w:right w:val="single" w:color="auto" w:sz="4" w:space="0"/>
                  </w:tcBorders>
                  <w:vAlign w:val="center"/>
                </w:tcPr>
                <w:p>
                  <w:pPr>
                    <w:snapToGrid w:val="0"/>
                    <w:contextualSpacing/>
                    <w:jc w:val="center"/>
                    <w:textAlignment w:val="baseline"/>
                    <w:rPr>
                      <w:color w:val="000000"/>
                      <w:spacing w:val="-4"/>
                      <w:szCs w:val="21"/>
                      <w:highlight w:val="yellow"/>
                    </w:rPr>
                  </w:pPr>
                  <w:r>
                    <w:rPr>
                      <w:color w:val="000000"/>
                      <w:spacing w:val="-4"/>
                      <w:szCs w:val="21"/>
                    </w:rPr>
                    <w:t>SO</w:t>
                  </w:r>
                  <w:r>
                    <w:rPr>
                      <w:color w:val="000000"/>
                      <w:spacing w:val="-4"/>
                      <w:szCs w:val="21"/>
                      <w:vertAlign w:val="subscript"/>
                    </w:rPr>
                    <w:t>2</w:t>
                  </w:r>
                </w:p>
              </w:tc>
              <w:tc>
                <w:tcPr>
                  <w:tcW w:w="1125" w:type="pct"/>
                  <w:tcBorders>
                    <w:top w:val="single" w:color="auto" w:sz="8"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年平均</w:t>
                  </w:r>
                </w:p>
              </w:tc>
              <w:tc>
                <w:tcPr>
                  <w:tcW w:w="886" w:type="pct"/>
                  <w:tcBorders>
                    <w:top w:val="single" w:color="auto" w:sz="8"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60</w:t>
                  </w:r>
                </w:p>
              </w:tc>
              <w:tc>
                <w:tcPr>
                  <w:tcW w:w="2069" w:type="pct"/>
                  <w:vMerge w:val="restart"/>
                  <w:tcBorders>
                    <w:top w:val="single" w:color="auto" w:sz="8" w:space="0"/>
                    <w:left w:val="single" w:color="auto" w:sz="4" w:space="0"/>
                    <w:bottom w:val="single" w:color="auto" w:sz="8" w:space="0"/>
                  </w:tcBorders>
                  <w:vAlign w:val="center"/>
                </w:tcPr>
                <w:p>
                  <w:pPr>
                    <w:snapToGrid w:val="0"/>
                    <w:contextualSpacing/>
                    <w:jc w:val="center"/>
                    <w:textAlignment w:val="baseline"/>
                    <w:rPr>
                      <w:color w:val="000000"/>
                      <w:spacing w:val="-4"/>
                      <w:szCs w:val="21"/>
                    </w:rPr>
                  </w:pPr>
                  <w:r>
                    <w:rPr>
                      <w:color w:val="000000"/>
                      <w:spacing w:val="-4"/>
                      <w:szCs w:val="21"/>
                    </w:rPr>
                    <w:t>《环境空气质量标准》（GB3095-2012）及其</w:t>
                  </w:r>
                  <w:r>
                    <w:rPr>
                      <w:rFonts w:hint="eastAsia"/>
                      <w:color w:val="000000"/>
                      <w:spacing w:val="-4"/>
                      <w:szCs w:val="21"/>
                    </w:rPr>
                    <w:t>2018年修改单</w:t>
                  </w:r>
                  <w:r>
                    <w:rPr>
                      <w:color w:val="000000"/>
                      <w:spacing w:val="-4"/>
                      <w:szCs w:val="21"/>
                    </w:rPr>
                    <w:t>二级标准</w:t>
                  </w:r>
                </w:p>
              </w:tc>
            </w:tr>
            <w:tr>
              <w:tblPrEx>
                <w:tblCellMar>
                  <w:top w:w="0" w:type="dxa"/>
                  <w:left w:w="108" w:type="dxa"/>
                  <w:bottom w:w="0" w:type="dxa"/>
                  <w:right w:w="108" w:type="dxa"/>
                </w:tblCellMar>
              </w:tblPrEx>
              <w:trPr>
                <w:trHeight w:val="397" w:hRule="atLeast"/>
                <w:jc w:val="center"/>
              </w:trPr>
              <w:tc>
                <w:tcPr>
                  <w:tcW w:w="918" w:type="pct"/>
                  <w:vMerge w:val="continue"/>
                  <w:tcBorders>
                    <w:top w:val="nil"/>
                    <w:bottom w:val="single" w:color="auto" w:sz="4" w:space="0"/>
                    <w:right w:val="single" w:color="auto" w:sz="4" w:space="0"/>
                  </w:tcBorders>
                  <w:vAlign w:val="center"/>
                </w:tcPr>
                <w:p>
                  <w:pPr>
                    <w:snapToGrid w:val="0"/>
                    <w:contextualSpacing/>
                    <w:jc w:val="center"/>
                    <w:rPr>
                      <w:color w:val="000000"/>
                      <w:spacing w:val="-4"/>
                      <w:szCs w:val="21"/>
                      <w:highlight w:val="yellow"/>
                    </w:rPr>
                  </w:pP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日平均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150</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continue"/>
                  <w:tcBorders>
                    <w:top w:val="nil"/>
                    <w:bottom w:val="single" w:color="auto" w:sz="4" w:space="0"/>
                    <w:right w:val="single" w:color="auto" w:sz="4" w:space="0"/>
                  </w:tcBorders>
                  <w:vAlign w:val="center"/>
                </w:tcPr>
                <w:p>
                  <w:pPr>
                    <w:snapToGrid w:val="0"/>
                    <w:contextualSpacing/>
                    <w:jc w:val="center"/>
                    <w:rPr>
                      <w:color w:val="000000"/>
                      <w:spacing w:val="-4"/>
                      <w:szCs w:val="21"/>
                      <w:highlight w:val="yellow"/>
                    </w:rPr>
                  </w:pP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1h平均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500</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restart"/>
                  <w:tcBorders>
                    <w:top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highlight w:val="yellow"/>
                    </w:rPr>
                  </w:pPr>
                  <w:r>
                    <w:rPr>
                      <w:color w:val="000000"/>
                      <w:spacing w:val="-4"/>
                      <w:szCs w:val="21"/>
                    </w:rPr>
                    <w:t>NO</w:t>
                  </w:r>
                  <w:r>
                    <w:rPr>
                      <w:color w:val="000000"/>
                      <w:spacing w:val="-4"/>
                      <w:szCs w:val="21"/>
                      <w:vertAlign w:val="subscript"/>
                    </w:rPr>
                    <w:t>2</w:t>
                  </w: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年平均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40</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continue"/>
                  <w:tcBorders>
                    <w:top w:val="single" w:color="auto" w:sz="4" w:space="0"/>
                    <w:bottom w:val="single" w:color="auto" w:sz="4" w:space="0"/>
                    <w:right w:val="single" w:color="auto" w:sz="4" w:space="0"/>
                  </w:tcBorders>
                  <w:vAlign w:val="center"/>
                </w:tcPr>
                <w:p>
                  <w:pPr>
                    <w:snapToGrid w:val="0"/>
                    <w:contextualSpacing/>
                    <w:jc w:val="center"/>
                    <w:rPr>
                      <w:color w:val="000000"/>
                      <w:spacing w:val="-4"/>
                      <w:szCs w:val="21"/>
                      <w:highlight w:val="yellow"/>
                    </w:rPr>
                  </w:pP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日平均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80</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continue"/>
                  <w:tcBorders>
                    <w:top w:val="single" w:color="auto" w:sz="4" w:space="0"/>
                    <w:bottom w:val="single" w:color="auto" w:sz="4" w:space="0"/>
                    <w:right w:val="single" w:color="auto" w:sz="4" w:space="0"/>
                  </w:tcBorders>
                  <w:vAlign w:val="center"/>
                </w:tcPr>
                <w:p>
                  <w:pPr>
                    <w:snapToGrid w:val="0"/>
                    <w:contextualSpacing/>
                    <w:jc w:val="center"/>
                    <w:rPr>
                      <w:color w:val="000000"/>
                      <w:spacing w:val="-4"/>
                      <w:szCs w:val="21"/>
                      <w:highlight w:val="yellow"/>
                    </w:rPr>
                  </w:pP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1h平均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200</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restart"/>
                  <w:tcBorders>
                    <w:top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highlight w:val="yellow"/>
                    </w:rPr>
                  </w:pPr>
                  <w:r>
                    <w:rPr>
                      <w:color w:val="000000"/>
                      <w:spacing w:val="-4"/>
                      <w:szCs w:val="21"/>
                    </w:rPr>
                    <w:t>TSP</w:t>
                  </w: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年平均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200</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continue"/>
                  <w:tcBorders>
                    <w:top w:val="single" w:color="auto" w:sz="4" w:space="0"/>
                    <w:bottom w:val="single" w:color="auto" w:sz="4" w:space="0"/>
                    <w:right w:val="single" w:color="auto" w:sz="4" w:space="0"/>
                  </w:tcBorders>
                  <w:vAlign w:val="center"/>
                </w:tcPr>
                <w:p>
                  <w:pPr>
                    <w:snapToGrid w:val="0"/>
                    <w:contextualSpacing/>
                    <w:jc w:val="center"/>
                    <w:rPr>
                      <w:color w:val="000000"/>
                      <w:spacing w:val="-4"/>
                      <w:szCs w:val="21"/>
                    </w:rPr>
                  </w:pP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日平均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300</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restart"/>
                  <w:tcBorders>
                    <w:top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PM</w:t>
                  </w:r>
                  <w:r>
                    <w:rPr>
                      <w:color w:val="000000"/>
                      <w:spacing w:val="-4"/>
                      <w:szCs w:val="21"/>
                      <w:vertAlign w:val="subscript"/>
                    </w:rPr>
                    <w:t>2.5</w:t>
                  </w: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年平均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35</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continue"/>
                  <w:tcBorders>
                    <w:bottom w:val="single" w:color="auto" w:sz="4" w:space="0"/>
                    <w:right w:val="single" w:color="auto" w:sz="4" w:space="0"/>
                  </w:tcBorders>
                  <w:vAlign w:val="center"/>
                </w:tcPr>
                <w:p>
                  <w:pPr>
                    <w:snapToGrid w:val="0"/>
                    <w:contextualSpacing/>
                    <w:jc w:val="center"/>
                    <w:textAlignment w:val="baseline"/>
                    <w:rPr>
                      <w:color w:val="000000"/>
                      <w:spacing w:val="-4"/>
                      <w:szCs w:val="21"/>
                    </w:rPr>
                  </w:pP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日平均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75</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restart"/>
                  <w:tcBorders>
                    <w:top w:val="single" w:color="auto" w:sz="4" w:space="0"/>
                    <w:bottom w:val="single" w:color="auto" w:sz="8"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PM</w:t>
                  </w:r>
                  <w:r>
                    <w:rPr>
                      <w:color w:val="000000"/>
                      <w:spacing w:val="-4"/>
                      <w:szCs w:val="21"/>
                      <w:vertAlign w:val="subscript"/>
                    </w:rPr>
                    <w:t>10</w:t>
                  </w:r>
                </w:p>
              </w:tc>
              <w:tc>
                <w:tcPr>
                  <w:tcW w:w="1125"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年平均</w:t>
                  </w:r>
                </w:p>
              </w:tc>
              <w:tc>
                <w:tcPr>
                  <w:tcW w:w="886" w:type="pct"/>
                  <w:tcBorders>
                    <w:top w:val="single" w:color="auto" w:sz="4" w:space="0"/>
                    <w:left w:val="single" w:color="auto" w:sz="4" w:space="0"/>
                    <w:bottom w:val="single" w:color="auto" w:sz="4"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70</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r>
              <w:tblPrEx>
                <w:tblCellMar>
                  <w:top w:w="0" w:type="dxa"/>
                  <w:left w:w="108" w:type="dxa"/>
                  <w:bottom w:w="0" w:type="dxa"/>
                  <w:right w:w="108" w:type="dxa"/>
                </w:tblCellMar>
              </w:tblPrEx>
              <w:trPr>
                <w:trHeight w:val="397" w:hRule="atLeast"/>
                <w:jc w:val="center"/>
              </w:trPr>
              <w:tc>
                <w:tcPr>
                  <w:tcW w:w="918" w:type="pct"/>
                  <w:vMerge w:val="continue"/>
                  <w:tcBorders>
                    <w:top w:val="single" w:color="auto" w:sz="4" w:space="0"/>
                    <w:bottom w:val="single" w:color="auto" w:sz="8" w:space="0"/>
                    <w:right w:val="single" w:color="auto" w:sz="4" w:space="0"/>
                  </w:tcBorders>
                  <w:vAlign w:val="center"/>
                </w:tcPr>
                <w:p>
                  <w:pPr>
                    <w:snapToGrid w:val="0"/>
                    <w:contextualSpacing/>
                    <w:jc w:val="center"/>
                    <w:rPr>
                      <w:color w:val="000000"/>
                      <w:spacing w:val="-4"/>
                      <w:szCs w:val="21"/>
                    </w:rPr>
                  </w:pPr>
                </w:p>
              </w:tc>
              <w:tc>
                <w:tcPr>
                  <w:tcW w:w="1125" w:type="pct"/>
                  <w:tcBorders>
                    <w:top w:val="single" w:color="auto" w:sz="4" w:space="0"/>
                    <w:left w:val="single" w:color="auto" w:sz="4" w:space="0"/>
                    <w:bottom w:val="single" w:color="auto" w:sz="8"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日平均</w:t>
                  </w:r>
                </w:p>
              </w:tc>
              <w:tc>
                <w:tcPr>
                  <w:tcW w:w="886" w:type="pct"/>
                  <w:tcBorders>
                    <w:top w:val="single" w:color="auto" w:sz="4" w:space="0"/>
                    <w:left w:val="single" w:color="auto" w:sz="4" w:space="0"/>
                    <w:bottom w:val="single" w:color="auto" w:sz="8" w:space="0"/>
                    <w:right w:val="single" w:color="auto" w:sz="4" w:space="0"/>
                  </w:tcBorders>
                  <w:vAlign w:val="center"/>
                </w:tcPr>
                <w:p>
                  <w:pPr>
                    <w:snapToGrid w:val="0"/>
                    <w:contextualSpacing/>
                    <w:jc w:val="center"/>
                    <w:textAlignment w:val="baseline"/>
                    <w:rPr>
                      <w:color w:val="000000"/>
                      <w:spacing w:val="-4"/>
                      <w:szCs w:val="21"/>
                    </w:rPr>
                  </w:pPr>
                  <w:r>
                    <w:rPr>
                      <w:color w:val="000000"/>
                      <w:spacing w:val="-4"/>
                      <w:szCs w:val="21"/>
                    </w:rPr>
                    <w:t>150</w:t>
                  </w:r>
                </w:p>
              </w:tc>
              <w:tc>
                <w:tcPr>
                  <w:tcW w:w="2069" w:type="pct"/>
                  <w:vMerge w:val="continue"/>
                  <w:tcBorders>
                    <w:top w:val="single" w:color="auto" w:sz="4" w:space="0"/>
                    <w:left w:val="single" w:color="auto" w:sz="4" w:space="0"/>
                    <w:bottom w:val="single" w:color="auto" w:sz="8" w:space="0"/>
                  </w:tcBorders>
                  <w:vAlign w:val="center"/>
                </w:tcPr>
                <w:p>
                  <w:pPr>
                    <w:snapToGrid w:val="0"/>
                    <w:contextualSpacing/>
                    <w:jc w:val="center"/>
                    <w:rPr>
                      <w:color w:val="000000"/>
                      <w:spacing w:val="-4"/>
                      <w:szCs w:val="21"/>
                    </w:rPr>
                  </w:pPr>
                </w:p>
              </w:tc>
            </w:tr>
          </w:tbl>
          <w:p>
            <w:pPr>
              <w:adjustRightInd w:val="0"/>
              <w:snapToGrid w:val="0"/>
              <w:spacing w:line="440" w:lineRule="exact"/>
              <w:ind w:firstLine="482" w:firstLineChars="200"/>
              <w:textAlignment w:val="baseline"/>
              <w:rPr>
                <w:b/>
                <w:sz w:val="24"/>
                <w:szCs w:val="20"/>
              </w:rPr>
            </w:pPr>
            <w:r>
              <w:rPr>
                <w:b/>
                <w:sz w:val="24"/>
              </w:rPr>
              <w:t>2、声环境</w:t>
            </w:r>
          </w:p>
          <w:p>
            <w:pPr>
              <w:adjustRightInd w:val="0"/>
              <w:snapToGrid w:val="0"/>
              <w:spacing w:line="440" w:lineRule="exact"/>
              <w:ind w:firstLine="480" w:firstLineChars="200"/>
              <w:rPr>
                <w:sz w:val="24"/>
              </w:rPr>
            </w:pPr>
            <w:r>
              <w:rPr>
                <w:sz w:val="24"/>
              </w:rPr>
              <w:t>本项目所在区域声环境执行《声环境质量标准》（GB3096-2008）2类标准，相关标准限值见下表：</w:t>
            </w:r>
          </w:p>
          <w:p>
            <w:pPr>
              <w:adjustRightInd w:val="0"/>
              <w:snapToGrid w:val="0"/>
              <w:spacing w:line="440" w:lineRule="exact"/>
              <w:ind w:firstLine="480" w:firstLineChars="200"/>
              <w:rPr>
                <w:rFonts w:eastAsia="黑体"/>
                <w:sz w:val="24"/>
                <w:lang w:val="pt-BR"/>
              </w:rPr>
            </w:pPr>
            <w:bookmarkStart w:id="2" w:name="_Ref306978508"/>
            <w:r>
              <w:rPr>
                <w:rFonts w:eastAsia="黑体"/>
                <w:sz w:val="24"/>
                <w:lang w:val="pt-BR"/>
              </w:rPr>
              <w:t>表</w:t>
            </w:r>
            <w:bookmarkEnd w:id="2"/>
            <w:r>
              <w:rPr>
                <w:rFonts w:eastAsia="黑体"/>
                <w:sz w:val="24"/>
                <w:lang w:val="pt-BR"/>
              </w:rPr>
              <w:t>15                  声环境质量标准               单位：dB（A）</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5"/>
              <w:gridCol w:w="400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7" w:type="pct"/>
                  <w:tcBorders>
                    <w:top w:val="single" w:color="auto" w:sz="8" w:space="0"/>
                    <w:bottom w:val="single" w:color="auto" w:sz="8" w:space="0"/>
                  </w:tcBorders>
                  <w:vAlign w:val="center"/>
                </w:tcPr>
                <w:p>
                  <w:pPr>
                    <w:adjustRightInd w:val="0"/>
                    <w:snapToGrid w:val="0"/>
                    <w:jc w:val="center"/>
                    <w:rPr>
                      <w:b/>
                      <w:szCs w:val="21"/>
                    </w:rPr>
                  </w:pPr>
                  <w:r>
                    <w:rPr>
                      <w:b/>
                      <w:szCs w:val="21"/>
                    </w:rPr>
                    <w:t>类   别</w:t>
                  </w:r>
                </w:p>
              </w:tc>
              <w:tc>
                <w:tcPr>
                  <w:tcW w:w="2382" w:type="pct"/>
                  <w:tcBorders>
                    <w:top w:val="single" w:color="auto" w:sz="8" w:space="0"/>
                    <w:bottom w:val="single" w:color="auto" w:sz="8" w:space="0"/>
                  </w:tcBorders>
                  <w:vAlign w:val="center"/>
                </w:tcPr>
                <w:p>
                  <w:pPr>
                    <w:adjustRightInd w:val="0"/>
                    <w:snapToGrid w:val="0"/>
                    <w:jc w:val="center"/>
                    <w:rPr>
                      <w:b/>
                      <w:szCs w:val="21"/>
                    </w:rPr>
                  </w:pPr>
                  <w:r>
                    <w:rPr>
                      <w:b/>
                      <w:szCs w:val="21"/>
                    </w:rPr>
                    <w:t>昼   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7" w:type="pct"/>
                  <w:tcBorders>
                    <w:top w:val="single" w:color="auto" w:sz="8" w:space="0"/>
                  </w:tcBorders>
                  <w:vAlign w:val="center"/>
                </w:tcPr>
                <w:p>
                  <w:pPr>
                    <w:adjustRightInd w:val="0"/>
                    <w:snapToGrid w:val="0"/>
                    <w:jc w:val="center"/>
                    <w:rPr>
                      <w:szCs w:val="21"/>
                    </w:rPr>
                  </w:pPr>
                  <w:r>
                    <w:rPr>
                      <w:szCs w:val="21"/>
                    </w:rPr>
                    <w:t>2类</w:t>
                  </w:r>
                </w:p>
              </w:tc>
              <w:tc>
                <w:tcPr>
                  <w:tcW w:w="2382" w:type="pct"/>
                  <w:tcBorders>
                    <w:top w:val="single" w:color="auto" w:sz="8" w:space="0"/>
                  </w:tcBorders>
                  <w:vAlign w:val="center"/>
                </w:tcPr>
                <w:p>
                  <w:pPr>
                    <w:adjustRightInd w:val="0"/>
                    <w:snapToGrid w:val="0"/>
                    <w:jc w:val="center"/>
                    <w:rPr>
                      <w:szCs w:val="21"/>
                    </w:rPr>
                  </w:pPr>
                  <w:r>
                    <w:rPr>
                      <w:szCs w:val="21"/>
                    </w:rPr>
                    <w:t>60</w:t>
                  </w:r>
                </w:p>
              </w:tc>
            </w:tr>
          </w:tbl>
          <w:p>
            <w:pPr>
              <w:adjustRightInd w:val="0"/>
              <w:snapToGrid w:val="0"/>
              <w:spacing w:line="460" w:lineRule="exact"/>
              <w:ind w:firstLine="482" w:firstLineChars="200"/>
              <w:textAlignment w:val="baseline"/>
              <w:rPr>
                <w:b/>
                <w:sz w:val="24"/>
                <w:szCs w:val="20"/>
              </w:rPr>
            </w:pPr>
            <w:r>
              <w:rPr>
                <w:b/>
                <w:sz w:val="24"/>
              </w:rPr>
              <w:t>3、地表水环境</w:t>
            </w:r>
          </w:p>
          <w:p>
            <w:pPr>
              <w:adjustRightInd w:val="0"/>
              <w:snapToGrid w:val="0"/>
              <w:spacing w:line="460" w:lineRule="exact"/>
              <w:ind w:firstLine="480" w:firstLineChars="200"/>
              <w:textAlignment w:val="baseline"/>
              <w:rPr>
                <w:sz w:val="24"/>
              </w:rPr>
            </w:pPr>
            <w:r>
              <w:rPr>
                <w:sz w:val="24"/>
              </w:rPr>
              <w:t>本项目地表水执行《地表水环境质量标准》（GB3838-2002）V</w:t>
            </w:r>
            <w:bookmarkStart w:id="3" w:name="_Ref306978742"/>
            <w:r>
              <w:rPr>
                <w:sz w:val="24"/>
              </w:rPr>
              <w:t>类标准，相关标准限值见下表：</w:t>
            </w:r>
          </w:p>
          <w:p>
            <w:pPr>
              <w:pStyle w:val="12"/>
              <w:adjustRightInd w:val="0"/>
              <w:snapToGrid w:val="0"/>
              <w:spacing w:line="400" w:lineRule="exact"/>
              <w:ind w:firstLine="480" w:firstLineChars="200"/>
              <w:rPr>
                <w:rFonts w:ascii="Times New Roman" w:hAnsi="Times New Roman"/>
              </w:rPr>
            </w:pPr>
            <w:r>
              <w:rPr>
                <w:rFonts w:ascii="Times New Roman" w:hAnsi="Times New Roman"/>
                <w:sz w:val="24"/>
                <w:szCs w:val="24"/>
                <w:lang w:val="pt-BR"/>
              </w:rPr>
              <w:t>表</w:t>
            </w:r>
            <w:bookmarkEnd w:id="3"/>
            <w:r>
              <w:rPr>
                <w:rFonts w:ascii="Times New Roman" w:hAnsi="Times New Roman"/>
                <w:sz w:val="24"/>
                <w:szCs w:val="24"/>
                <w:lang w:val="pt-BR"/>
              </w:rPr>
              <w:t>16                 地表水环境质量标准             单位：mg/L</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664"/>
              <w:gridCol w:w="1843"/>
              <w:gridCol w:w="1747"/>
              <w:gridCol w:w="174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op w:val="single" w:color="auto" w:sz="8" w:space="0"/>
                    <w:bottom w:val="single" w:color="auto" w:sz="8" w:space="0"/>
                  </w:tcBorders>
                  <w:vAlign w:val="center"/>
                </w:tcPr>
                <w:p>
                  <w:pPr>
                    <w:adjustRightInd w:val="0"/>
                    <w:snapToGrid w:val="0"/>
                    <w:jc w:val="center"/>
                    <w:rPr>
                      <w:b/>
                      <w:szCs w:val="21"/>
                    </w:rPr>
                  </w:pPr>
                  <w:r>
                    <w:rPr>
                      <w:b/>
                      <w:szCs w:val="21"/>
                    </w:rPr>
                    <w:t>项 目</w:t>
                  </w:r>
                </w:p>
              </w:tc>
              <w:tc>
                <w:tcPr>
                  <w:tcW w:w="991" w:type="pct"/>
                  <w:tcBorders>
                    <w:top w:val="single" w:color="auto" w:sz="8" w:space="0"/>
                    <w:bottom w:val="single" w:color="auto" w:sz="8" w:space="0"/>
                  </w:tcBorders>
                  <w:vAlign w:val="center"/>
                </w:tcPr>
                <w:p>
                  <w:pPr>
                    <w:adjustRightInd w:val="0"/>
                    <w:snapToGrid w:val="0"/>
                    <w:jc w:val="center"/>
                    <w:rPr>
                      <w:b/>
                      <w:szCs w:val="21"/>
                    </w:rPr>
                  </w:pPr>
                  <w:r>
                    <w:rPr>
                      <w:b/>
                      <w:szCs w:val="21"/>
                    </w:rPr>
                    <w:t>pH</w:t>
                  </w:r>
                </w:p>
              </w:tc>
              <w:tc>
                <w:tcPr>
                  <w:tcW w:w="1097" w:type="pct"/>
                  <w:tcBorders>
                    <w:top w:val="single" w:color="auto" w:sz="8" w:space="0"/>
                    <w:bottom w:val="single" w:color="auto" w:sz="8" w:space="0"/>
                  </w:tcBorders>
                  <w:vAlign w:val="center"/>
                </w:tcPr>
                <w:p>
                  <w:pPr>
                    <w:adjustRightInd w:val="0"/>
                    <w:snapToGrid w:val="0"/>
                    <w:jc w:val="center"/>
                    <w:rPr>
                      <w:b/>
                      <w:szCs w:val="21"/>
                    </w:rPr>
                  </w:pPr>
                  <w:r>
                    <w:rPr>
                      <w:b/>
                      <w:szCs w:val="21"/>
                    </w:rPr>
                    <w:t>COD</w:t>
                  </w:r>
                </w:p>
              </w:tc>
              <w:tc>
                <w:tcPr>
                  <w:tcW w:w="1040" w:type="pct"/>
                  <w:tcBorders>
                    <w:top w:val="single" w:color="auto" w:sz="8" w:space="0"/>
                    <w:bottom w:val="single" w:color="auto" w:sz="8" w:space="0"/>
                  </w:tcBorders>
                  <w:vAlign w:val="center"/>
                </w:tcPr>
                <w:p>
                  <w:pPr>
                    <w:adjustRightInd w:val="0"/>
                    <w:snapToGrid w:val="0"/>
                    <w:jc w:val="center"/>
                    <w:rPr>
                      <w:b/>
                      <w:szCs w:val="21"/>
                    </w:rPr>
                  </w:pPr>
                  <w:r>
                    <w:rPr>
                      <w:b/>
                      <w:szCs w:val="21"/>
                    </w:rPr>
                    <w:t>NH</w:t>
                  </w:r>
                  <w:r>
                    <w:rPr>
                      <w:b/>
                      <w:szCs w:val="21"/>
                      <w:vertAlign w:val="subscript"/>
                    </w:rPr>
                    <w:t>3</w:t>
                  </w:r>
                  <w:r>
                    <w:rPr>
                      <w:b/>
                      <w:szCs w:val="21"/>
                    </w:rPr>
                    <w:t>-N</w:t>
                  </w:r>
                </w:p>
              </w:tc>
              <w:tc>
                <w:tcPr>
                  <w:tcW w:w="1040" w:type="pct"/>
                  <w:tcBorders>
                    <w:top w:val="single" w:color="auto" w:sz="8" w:space="0"/>
                    <w:bottom w:val="single" w:color="auto" w:sz="8" w:space="0"/>
                  </w:tcBorders>
                  <w:vAlign w:val="center"/>
                </w:tcPr>
                <w:p>
                  <w:pPr>
                    <w:adjustRightInd w:val="0"/>
                    <w:snapToGrid w:val="0"/>
                    <w:jc w:val="center"/>
                    <w:rPr>
                      <w:b/>
                      <w:szCs w:val="21"/>
                    </w:rPr>
                  </w:pPr>
                  <w:r>
                    <w:rPr>
                      <w:b/>
                      <w:szCs w:val="21"/>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tcBorders>
                    <w:top w:val="single" w:color="auto" w:sz="8" w:space="0"/>
                  </w:tcBorders>
                  <w:vAlign w:val="center"/>
                </w:tcPr>
                <w:p>
                  <w:pPr>
                    <w:adjustRightInd w:val="0"/>
                    <w:snapToGrid w:val="0"/>
                    <w:jc w:val="center"/>
                    <w:rPr>
                      <w:szCs w:val="21"/>
                    </w:rPr>
                  </w:pPr>
                  <w:r>
                    <w:rPr>
                      <w:szCs w:val="21"/>
                    </w:rPr>
                    <w:t>标准值</w:t>
                  </w:r>
                </w:p>
              </w:tc>
              <w:tc>
                <w:tcPr>
                  <w:tcW w:w="991" w:type="pct"/>
                  <w:tcBorders>
                    <w:top w:val="single" w:color="auto" w:sz="8" w:space="0"/>
                  </w:tcBorders>
                  <w:vAlign w:val="center"/>
                </w:tcPr>
                <w:p>
                  <w:pPr>
                    <w:adjustRightInd w:val="0"/>
                    <w:snapToGrid w:val="0"/>
                    <w:jc w:val="center"/>
                    <w:rPr>
                      <w:szCs w:val="21"/>
                    </w:rPr>
                  </w:pPr>
                  <w:r>
                    <w:rPr>
                      <w:szCs w:val="21"/>
                    </w:rPr>
                    <w:t>6-9</w:t>
                  </w:r>
                </w:p>
              </w:tc>
              <w:tc>
                <w:tcPr>
                  <w:tcW w:w="1097" w:type="pct"/>
                  <w:tcBorders>
                    <w:top w:val="single" w:color="auto" w:sz="8" w:space="0"/>
                  </w:tcBorders>
                  <w:vAlign w:val="center"/>
                </w:tcPr>
                <w:p>
                  <w:pPr>
                    <w:adjustRightInd w:val="0"/>
                    <w:snapToGrid w:val="0"/>
                    <w:jc w:val="center"/>
                    <w:rPr>
                      <w:szCs w:val="21"/>
                    </w:rPr>
                  </w:pPr>
                  <w:r>
                    <w:rPr>
                      <w:szCs w:val="21"/>
                    </w:rPr>
                    <w:t>40</w:t>
                  </w:r>
                </w:p>
              </w:tc>
              <w:tc>
                <w:tcPr>
                  <w:tcW w:w="1040" w:type="pct"/>
                  <w:tcBorders>
                    <w:top w:val="single" w:color="auto" w:sz="8" w:space="0"/>
                  </w:tcBorders>
                  <w:vAlign w:val="center"/>
                </w:tcPr>
                <w:p>
                  <w:pPr>
                    <w:adjustRightInd w:val="0"/>
                    <w:snapToGrid w:val="0"/>
                    <w:jc w:val="center"/>
                    <w:rPr>
                      <w:szCs w:val="21"/>
                    </w:rPr>
                  </w:pPr>
                  <w:r>
                    <w:rPr>
                      <w:szCs w:val="21"/>
                    </w:rPr>
                    <w:t>2.0</w:t>
                  </w:r>
                </w:p>
              </w:tc>
              <w:tc>
                <w:tcPr>
                  <w:tcW w:w="1040" w:type="pct"/>
                  <w:tcBorders>
                    <w:top w:val="single" w:color="auto" w:sz="8" w:space="0"/>
                  </w:tcBorders>
                  <w:vAlign w:val="center"/>
                </w:tcPr>
                <w:p>
                  <w:pPr>
                    <w:adjustRightInd w:val="0"/>
                    <w:snapToGrid w:val="0"/>
                    <w:jc w:val="center"/>
                    <w:rPr>
                      <w:szCs w:val="21"/>
                    </w:rPr>
                  </w:pPr>
                  <w:r>
                    <w:rPr>
                      <w:szCs w:val="21"/>
                    </w:rPr>
                    <w:t>0.4</w:t>
                  </w:r>
                </w:p>
              </w:tc>
            </w:tr>
          </w:tbl>
          <w:p>
            <w:pPr>
              <w:adjustRightInd w:val="0"/>
              <w:snapToGrid w:val="0"/>
              <w:spacing w:line="440" w:lineRule="exact"/>
              <w:ind w:firstLine="482" w:firstLineChars="200"/>
              <w:textAlignment w:val="baseline"/>
              <w:rPr>
                <w:b/>
                <w:sz w:val="24"/>
                <w:szCs w:val="20"/>
              </w:rPr>
            </w:pPr>
            <w:r>
              <w:rPr>
                <w:b/>
                <w:sz w:val="24"/>
              </w:rPr>
              <w:t>4、地下水环境</w:t>
            </w:r>
          </w:p>
          <w:p>
            <w:pPr>
              <w:adjustRightInd w:val="0"/>
              <w:snapToGrid w:val="0"/>
              <w:spacing w:line="440" w:lineRule="exact"/>
              <w:ind w:firstLine="480" w:firstLineChars="200"/>
              <w:textAlignment w:val="baseline"/>
              <w:rPr>
                <w:sz w:val="24"/>
              </w:rPr>
            </w:pPr>
            <w:r>
              <w:rPr>
                <w:sz w:val="24"/>
              </w:rPr>
              <w:t>地下水执行《地下水质量标准》（GB/T14848-2017）Ⅲ类标准，相关标准限值见下表：</w:t>
            </w:r>
          </w:p>
          <w:p>
            <w:pPr>
              <w:adjustRightInd w:val="0"/>
              <w:snapToGrid w:val="0"/>
              <w:spacing w:line="400" w:lineRule="exact"/>
              <w:ind w:firstLine="464" w:firstLineChars="200"/>
              <w:rPr>
                <w:rFonts w:eastAsia="黑体"/>
                <w:color w:val="000000"/>
                <w:spacing w:val="-4"/>
                <w:sz w:val="24"/>
              </w:rPr>
            </w:pPr>
          </w:p>
          <w:p>
            <w:pPr>
              <w:adjustRightInd w:val="0"/>
              <w:snapToGrid w:val="0"/>
              <w:spacing w:line="400" w:lineRule="exact"/>
              <w:ind w:firstLine="480" w:firstLineChars="200"/>
              <w:rPr>
                <w:rFonts w:eastAsia="黑体"/>
                <w:sz w:val="24"/>
                <w:lang w:val="pt-BR"/>
              </w:rPr>
            </w:pPr>
            <w:r>
              <w:rPr>
                <w:rFonts w:eastAsia="黑体"/>
                <w:sz w:val="24"/>
                <w:lang w:val="pt-BR"/>
              </w:rPr>
              <w:t>表17             地下水环境质量标准                  单位：mg/L</w:t>
            </w:r>
          </w:p>
          <w:tbl>
            <w:tblPr>
              <w:tblStyle w:val="30"/>
              <w:tblW w:w="4998" w:type="pct"/>
              <w:jc w:val="center"/>
              <w:tblLayout w:type="autofit"/>
              <w:tblCellMar>
                <w:top w:w="0" w:type="dxa"/>
                <w:left w:w="108" w:type="dxa"/>
                <w:bottom w:w="0" w:type="dxa"/>
                <w:right w:w="108" w:type="dxa"/>
              </w:tblCellMar>
            </w:tblPr>
            <w:tblGrid>
              <w:gridCol w:w="2798"/>
              <w:gridCol w:w="2571"/>
              <w:gridCol w:w="3024"/>
            </w:tblGrid>
            <w:tr>
              <w:tblPrEx>
                <w:tblCellMar>
                  <w:top w:w="0" w:type="dxa"/>
                  <w:left w:w="108" w:type="dxa"/>
                  <w:bottom w:w="0" w:type="dxa"/>
                  <w:right w:w="108" w:type="dxa"/>
                </w:tblCellMar>
              </w:tblPrEx>
              <w:trPr>
                <w:trHeight w:val="397" w:hRule="atLeast"/>
                <w:jc w:val="center"/>
              </w:trPr>
              <w:tc>
                <w:tcPr>
                  <w:tcW w:w="1666" w:type="pct"/>
                  <w:tcBorders>
                    <w:top w:val="single" w:color="auto" w:sz="8" w:space="0"/>
                    <w:bottom w:val="single" w:color="auto" w:sz="8" w:space="0"/>
                    <w:right w:val="single" w:color="auto" w:sz="4" w:space="0"/>
                  </w:tcBorders>
                  <w:vAlign w:val="center"/>
                </w:tcPr>
                <w:p>
                  <w:pPr>
                    <w:adjustRightInd w:val="0"/>
                    <w:snapToGrid w:val="0"/>
                    <w:jc w:val="center"/>
                    <w:rPr>
                      <w:b/>
                      <w:color w:val="000000"/>
                      <w:szCs w:val="21"/>
                    </w:rPr>
                  </w:pPr>
                  <w:r>
                    <w:rPr>
                      <w:b/>
                      <w:color w:val="000000"/>
                      <w:szCs w:val="21"/>
                    </w:rPr>
                    <w:t>项  目</w:t>
                  </w:r>
                </w:p>
              </w:tc>
              <w:tc>
                <w:tcPr>
                  <w:tcW w:w="1531"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Cs w:val="21"/>
                    </w:rPr>
                  </w:pPr>
                  <w:r>
                    <w:rPr>
                      <w:b/>
                      <w:color w:val="000000"/>
                      <w:szCs w:val="21"/>
                    </w:rPr>
                    <w:t>浓度限值</w:t>
                  </w:r>
                </w:p>
              </w:tc>
              <w:tc>
                <w:tcPr>
                  <w:tcW w:w="1801" w:type="pct"/>
                  <w:tcBorders>
                    <w:top w:val="single" w:color="auto" w:sz="8" w:space="0"/>
                    <w:left w:val="single" w:color="auto" w:sz="4" w:space="0"/>
                    <w:bottom w:val="single" w:color="auto" w:sz="8" w:space="0"/>
                  </w:tcBorders>
                  <w:vAlign w:val="center"/>
                </w:tcPr>
                <w:p>
                  <w:pPr>
                    <w:adjustRightInd w:val="0"/>
                    <w:snapToGrid w:val="0"/>
                    <w:jc w:val="center"/>
                    <w:rPr>
                      <w:b/>
                      <w:color w:val="000000"/>
                      <w:szCs w:val="21"/>
                    </w:rPr>
                  </w:pPr>
                  <w:r>
                    <w:rPr>
                      <w:b/>
                      <w:color w:val="000000"/>
                      <w:szCs w:val="21"/>
                    </w:rPr>
                    <w:t>标准来源</w:t>
                  </w:r>
                </w:p>
              </w:tc>
            </w:tr>
            <w:tr>
              <w:tblPrEx>
                <w:tblCellMar>
                  <w:top w:w="0" w:type="dxa"/>
                  <w:left w:w="108" w:type="dxa"/>
                  <w:bottom w:w="0" w:type="dxa"/>
                  <w:right w:w="108" w:type="dxa"/>
                </w:tblCellMar>
              </w:tblPrEx>
              <w:trPr>
                <w:trHeight w:val="397" w:hRule="atLeast"/>
                <w:jc w:val="center"/>
              </w:trPr>
              <w:tc>
                <w:tcPr>
                  <w:tcW w:w="1666" w:type="pct"/>
                  <w:tcBorders>
                    <w:top w:val="single" w:color="auto" w:sz="8"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pH（无量纲）</w:t>
                  </w:r>
                </w:p>
              </w:tc>
              <w:tc>
                <w:tcPr>
                  <w:tcW w:w="1531"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6.5～8.5</w:t>
                  </w:r>
                </w:p>
              </w:tc>
              <w:tc>
                <w:tcPr>
                  <w:tcW w:w="1801" w:type="pct"/>
                  <w:vMerge w:val="restart"/>
                  <w:tcBorders>
                    <w:top w:val="single" w:color="auto" w:sz="8" w:space="0"/>
                    <w:left w:val="single" w:color="auto" w:sz="4" w:space="0"/>
                    <w:bottom w:val="single" w:color="auto" w:sz="8" w:space="0"/>
                  </w:tcBorders>
                  <w:vAlign w:val="center"/>
                </w:tcPr>
                <w:p>
                  <w:pPr>
                    <w:adjustRightInd w:val="0"/>
                    <w:snapToGrid w:val="0"/>
                    <w:jc w:val="center"/>
                    <w:rPr>
                      <w:color w:val="000000"/>
                      <w:szCs w:val="21"/>
                    </w:rPr>
                  </w:pPr>
                  <w:r>
                    <w:rPr>
                      <w:color w:val="000000"/>
                      <w:szCs w:val="21"/>
                    </w:rPr>
                    <w:t>《地下水质量标准》（GB/T14848-2017）Ⅲ类标准</w:t>
                  </w:r>
                </w:p>
              </w:tc>
            </w:tr>
            <w:tr>
              <w:tblPrEx>
                <w:tblCellMar>
                  <w:top w:w="0" w:type="dxa"/>
                  <w:left w:w="108" w:type="dxa"/>
                  <w:bottom w:w="0" w:type="dxa"/>
                  <w:right w:w="108" w:type="dxa"/>
                </w:tblCellMar>
              </w:tblPrEx>
              <w:trPr>
                <w:trHeight w:val="397" w:hRule="atLeast"/>
                <w:jc w:val="center"/>
              </w:trPr>
              <w:tc>
                <w:tcPr>
                  <w:tcW w:w="1666" w:type="pct"/>
                  <w:tcBorders>
                    <w:top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耗氧量</w:t>
                  </w:r>
                </w:p>
              </w:tc>
              <w:tc>
                <w:tcPr>
                  <w:tcW w:w="15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3.0</w:t>
                  </w:r>
                </w:p>
              </w:tc>
              <w:tc>
                <w:tcPr>
                  <w:tcW w:w="1801" w:type="pct"/>
                  <w:vMerge w:val="continue"/>
                  <w:tcBorders>
                    <w:top w:val="single" w:color="auto" w:sz="8" w:space="0"/>
                    <w:left w:val="single" w:color="auto" w:sz="4" w:space="0"/>
                    <w:bottom w:val="single" w:color="auto" w:sz="8" w:space="0"/>
                  </w:tcBorders>
                  <w:vAlign w:val="center"/>
                </w:tcPr>
                <w:p>
                  <w:pPr>
                    <w:adjustRightInd w:val="0"/>
                    <w:snapToGrid w:val="0"/>
                    <w:jc w:val="center"/>
                    <w:rPr>
                      <w:color w:val="000000"/>
                      <w:szCs w:val="21"/>
                    </w:rPr>
                  </w:pPr>
                </w:p>
              </w:tc>
            </w:tr>
            <w:tr>
              <w:tblPrEx>
                <w:tblCellMar>
                  <w:top w:w="0" w:type="dxa"/>
                  <w:left w:w="108" w:type="dxa"/>
                  <w:bottom w:w="0" w:type="dxa"/>
                  <w:right w:w="108" w:type="dxa"/>
                </w:tblCellMar>
              </w:tblPrEx>
              <w:trPr>
                <w:trHeight w:val="397" w:hRule="atLeast"/>
                <w:jc w:val="center"/>
              </w:trPr>
              <w:tc>
                <w:tcPr>
                  <w:tcW w:w="1666" w:type="pct"/>
                  <w:tcBorders>
                    <w:top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NH</w:t>
                  </w:r>
                  <w:r>
                    <w:rPr>
                      <w:color w:val="000000"/>
                      <w:szCs w:val="21"/>
                      <w:vertAlign w:val="subscript"/>
                    </w:rPr>
                    <w:t>3</w:t>
                  </w:r>
                  <w:r>
                    <w:rPr>
                      <w:color w:val="000000"/>
                      <w:szCs w:val="21"/>
                    </w:rPr>
                    <w:t>-N</w:t>
                  </w:r>
                </w:p>
              </w:tc>
              <w:tc>
                <w:tcPr>
                  <w:tcW w:w="153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0.5</w:t>
                  </w:r>
                </w:p>
              </w:tc>
              <w:tc>
                <w:tcPr>
                  <w:tcW w:w="1801" w:type="pct"/>
                  <w:vMerge w:val="continue"/>
                  <w:tcBorders>
                    <w:top w:val="single" w:color="auto" w:sz="8" w:space="0"/>
                    <w:left w:val="single" w:color="auto" w:sz="4" w:space="0"/>
                    <w:bottom w:val="single" w:color="auto" w:sz="8" w:space="0"/>
                  </w:tcBorders>
                  <w:vAlign w:val="center"/>
                </w:tcPr>
                <w:p>
                  <w:pPr>
                    <w:adjustRightInd w:val="0"/>
                    <w:snapToGrid w:val="0"/>
                    <w:jc w:val="center"/>
                    <w:rPr>
                      <w:color w:val="000000"/>
                      <w:szCs w:val="21"/>
                    </w:rPr>
                  </w:pPr>
                </w:p>
              </w:tc>
            </w:tr>
            <w:tr>
              <w:tblPrEx>
                <w:tblCellMar>
                  <w:top w:w="0" w:type="dxa"/>
                  <w:left w:w="108" w:type="dxa"/>
                  <w:bottom w:w="0" w:type="dxa"/>
                  <w:right w:w="108" w:type="dxa"/>
                </w:tblCellMar>
              </w:tblPrEx>
              <w:trPr>
                <w:trHeight w:val="397" w:hRule="atLeast"/>
                <w:jc w:val="center"/>
              </w:trPr>
              <w:tc>
                <w:tcPr>
                  <w:tcW w:w="1666" w:type="pct"/>
                  <w:tcBorders>
                    <w:top w:val="single" w:color="auto" w:sz="4" w:space="0"/>
                    <w:bottom w:val="single" w:color="auto" w:sz="8" w:space="0"/>
                    <w:right w:val="single" w:color="auto" w:sz="4" w:space="0"/>
                  </w:tcBorders>
                  <w:vAlign w:val="center"/>
                </w:tcPr>
                <w:p>
                  <w:pPr>
                    <w:adjustRightInd w:val="0"/>
                    <w:snapToGrid w:val="0"/>
                    <w:jc w:val="center"/>
                    <w:rPr>
                      <w:color w:val="000000"/>
                      <w:szCs w:val="21"/>
                    </w:rPr>
                  </w:pPr>
                  <w:r>
                    <w:rPr>
                      <w:color w:val="000000"/>
                      <w:szCs w:val="21"/>
                    </w:rPr>
                    <w:t>总大肠菌群</w:t>
                  </w:r>
                </w:p>
              </w:tc>
              <w:tc>
                <w:tcPr>
                  <w:tcW w:w="1531"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szCs w:val="21"/>
                    </w:rPr>
                  </w:pPr>
                  <w:r>
                    <w:rPr>
                      <w:color w:val="000000"/>
                      <w:szCs w:val="21"/>
                    </w:rPr>
                    <w:t>3.0/(CFU</w:t>
                  </w:r>
                  <w:r>
                    <w:rPr>
                      <w:color w:val="000000"/>
                      <w:szCs w:val="21"/>
                      <w:vertAlign w:val="superscript"/>
                    </w:rPr>
                    <w:t>c</w:t>
                  </w:r>
                  <w:r>
                    <w:rPr>
                      <w:color w:val="000000"/>
                      <w:szCs w:val="21"/>
                    </w:rPr>
                    <w:t>/100mL)</w:t>
                  </w:r>
                </w:p>
              </w:tc>
              <w:tc>
                <w:tcPr>
                  <w:tcW w:w="1801" w:type="pct"/>
                  <w:vMerge w:val="continue"/>
                  <w:tcBorders>
                    <w:top w:val="single" w:color="auto" w:sz="4" w:space="0"/>
                    <w:left w:val="single" w:color="auto" w:sz="4" w:space="0"/>
                    <w:bottom w:val="single" w:color="auto" w:sz="8" w:space="0"/>
                  </w:tcBorders>
                  <w:vAlign w:val="center"/>
                </w:tcPr>
                <w:p>
                  <w:pPr>
                    <w:adjustRightInd w:val="0"/>
                    <w:snapToGrid w:val="0"/>
                    <w:jc w:val="center"/>
                    <w:rPr>
                      <w:color w:val="000000"/>
                      <w:szCs w:val="21"/>
                    </w:rPr>
                  </w:pPr>
                </w:p>
              </w:tc>
            </w:tr>
          </w:tbl>
          <w:p>
            <w:pPr>
              <w:tabs>
                <w:tab w:val="left" w:pos="792"/>
              </w:tabs>
              <w:adjustRightInd w:val="0"/>
              <w:snapToGrid w:val="0"/>
              <w:spacing w:line="400" w:lineRule="exact"/>
              <w:ind w:firstLine="482" w:firstLineChars="200"/>
              <w:rPr>
                <w:b/>
                <w:sz w:val="24"/>
                <w:szCs w:val="20"/>
              </w:rPr>
            </w:pPr>
            <w:r>
              <w:rPr>
                <w:b/>
                <w:sz w:val="24"/>
                <w:szCs w:val="20"/>
              </w:rPr>
              <w:t>5、土壤环境</w:t>
            </w:r>
          </w:p>
          <w:p>
            <w:pPr>
              <w:tabs>
                <w:tab w:val="left" w:pos="792"/>
              </w:tabs>
              <w:adjustRightInd w:val="0"/>
              <w:snapToGrid w:val="0"/>
              <w:spacing w:line="400" w:lineRule="exact"/>
              <w:ind w:firstLine="480" w:firstLineChars="200"/>
              <w:rPr>
                <w:sz w:val="24"/>
                <w:szCs w:val="20"/>
              </w:rPr>
            </w:pPr>
            <w:r>
              <w:rPr>
                <w:sz w:val="24"/>
                <w:szCs w:val="20"/>
              </w:rPr>
              <w:t>本项目所在区域为建设用地，执行《土壤环境质量  建设用地土壤污染风险管控标准（试行）》（GB36600-2018）筛选值第二类用地标准，其标准限值见下表：</w:t>
            </w:r>
          </w:p>
          <w:p>
            <w:pPr>
              <w:adjustRightInd w:val="0"/>
              <w:snapToGrid w:val="0"/>
              <w:spacing w:line="400" w:lineRule="exact"/>
              <w:ind w:firstLine="480" w:firstLineChars="200"/>
              <w:rPr>
                <w:rFonts w:eastAsia="黑体"/>
                <w:sz w:val="24"/>
                <w:lang w:val="pt-BR"/>
              </w:rPr>
            </w:pPr>
            <w:r>
              <w:rPr>
                <w:rFonts w:eastAsia="黑体"/>
                <w:sz w:val="24"/>
                <w:lang w:val="pt-BR"/>
              </w:rPr>
              <w:t>表18    土壤环境质量建设用地土壤污染风险管控标准     单位：mg/</w:t>
            </w:r>
            <w:r>
              <w:rPr>
                <w:rFonts w:hint="eastAsia" w:eastAsia="黑体"/>
                <w:sz w:val="24"/>
                <w:lang w:val="pt-BR"/>
              </w:rPr>
              <w:t>kg</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2342"/>
              <w:gridCol w:w="44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8" w:space="0"/>
                    <w:left w:val="nil"/>
                    <w:bottom w:val="single" w:color="auto" w:sz="8" w:space="0"/>
                    <w:right w:val="single" w:color="auto" w:sz="4" w:space="0"/>
                  </w:tcBorders>
                  <w:vAlign w:val="center"/>
                </w:tcPr>
                <w:p>
                  <w:pPr>
                    <w:snapToGrid w:val="0"/>
                    <w:contextualSpacing/>
                    <w:jc w:val="center"/>
                    <w:rPr>
                      <w:b/>
                      <w:szCs w:val="21"/>
                    </w:rPr>
                  </w:pPr>
                  <w:r>
                    <w:rPr>
                      <w:b/>
                      <w:szCs w:val="21"/>
                    </w:rPr>
                    <w:t>序 号</w:t>
                  </w:r>
                </w:p>
              </w:tc>
              <w:tc>
                <w:tcPr>
                  <w:tcW w:w="1398" w:type="pct"/>
                  <w:tcBorders>
                    <w:top w:val="single" w:color="auto" w:sz="8" w:space="0"/>
                    <w:left w:val="nil"/>
                    <w:bottom w:val="single" w:color="auto" w:sz="8" w:space="0"/>
                    <w:right w:val="single" w:color="auto" w:sz="4" w:space="0"/>
                  </w:tcBorders>
                  <w:vAlign w:val="center"/>
                </w:tcPr>
                <w:p>
                  <w:pPr>
                    <w:snapToGrid w:val="0"/>
                    <w:contextualSpacing/>
                    <w:jc w:val="center"/>
                    <w:rPr>
                      <w:b/>
                      <w:szCs w:val="21"/>
                    </w:rPr>
                  </w:pPr>
                  <w:r>
                    <w:rPr>
                      <w:b/>
                      <w:szCs w:val="21"/>
                    </w:rPr>
                    <w:t>污染物</w:t>
                  </w:r>
                </w:p>
              </w:tc>
              <w:tc>
                <w:tcPr>
                  <w:tcW w:w="2636" w:type="pct"/>
                  <w:tcBorders>
                    <w:top w:val="single" w:color="auto" w:sz="8" w:space="0"/>
                    <w:left w:val="single" w:color="auto" w:sz="4" w:space="0"/>
                    <w:bottom w:val="single" w:color="auto" w:sz="8" w:space="0"/>
                    <w:right w:val="nil"/>
                  </w:tcBorders>
                  <w:vAlign w:val="center"/>
                </w:tcPr>
                <w:p>
                  <w:pPr>
                    <w:snapToGrid w:val="0"/>
                    <w:contextualSpacing/>
                    <w:jc w:val="center"/>
                    <w:rPr>
                      <w:b/>
                      <w:szCs w:val="21"/>
                    </w:rPr>
                  </w:pPr>
                  <w:r>
                    <w:rPr>
                      <w:b/>
                      <w:szCs w:val="21"/>
                    </w:rPr>
                    <w:t>筛选值第二类用地标准限值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pH</w:t>
                  </w:r>
                </w:p>
              </w:tc>
              <w:tc>
                <w:tcPr>
                  <w:tcW w:w="2636" w:type="pct"/>
                  <w:tcBorders>
                    <w:top w:val="single" w:color="auto" w:sz="8" w:space="0"/>
                    <w:left w:val="single" w:color="auto" w:sz="4" w:space="0"/>
                    <w:bottom w:val="single" w:color="auto" w:sz="4" w:space="0"/>
                    <w:right w:val="nil"/>
                  </w:tcBorders>
                  <w:vAlign w:val="center"/>
                </w:tcPr>
                <w:p>
                  <w:pPr>
                    <w:snapToGrid w:val="0"/>
                    <w:contextualSpacing/>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镉</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4</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六价铬</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5</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铜</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6</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铅</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7</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汞</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8</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镍</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9</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四氯化碳</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10</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氯仿</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11</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氯甲烷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12</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1，1-二氯乙烷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13</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1，2-二氯乙烷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14</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1，1-二氯乙烯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15</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顺-1，2-二氯乙烯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16</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反-1，2-二氯乙烯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17</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二氯甲烷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616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18</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1，2-二氯丙烷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19</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1，1，1，2-四氯乙烷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20</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1，1，2，2-四氯乙烷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21</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四氯乙烯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22</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1，1，1-三氯乙烷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23</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1，1，2-三氯乙烷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24</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三氯乙烯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25</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1，2，3-三氯丙烷</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26</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氯乙烯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27</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28</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氯苯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270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29</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1，2-二氯苯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560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30</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1，4-二氯苯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31</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乙苯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32</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苯乙烯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1290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33</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甲苯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34</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间二甲苯+对二甲苯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570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35</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邻二甲苯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640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36</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硝基苯</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37</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苯胺</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38</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2-氯酚</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2256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39</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苯并［a］蒽</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40</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苯并［a］芘</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41</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苯并［b］荧蒽</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42</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苯并［k］荧蒽</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43</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䓛</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44</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二苯并［a，h］蒽</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45</w:t>
                  </w:r>
                </w:p>
              </w:tc>
              <w:tc>
                <w:tcPr>
                  <w:tcW w:w="1398" w:type="pct"/>
                  <w:tcBorders>
                    <w:top w:val="single" w:color="auto" w:sz="4" w:space="0"/>
                    <w:left w:val="nil"/>
                    <w:bottom w:val="single" w:color="auto" w:sz="4" w:space="0"/>
                    <w:right w:val="single" w:color="auto" w:sz="4" w:space="0"/>
                  </w:tcBorders>
                  <w:vAlign w:val="center"/>
                </w:tcPr>
                <w:p>
                  <w:pPr>
                    <w:snapToGrid w:val="0"/>
                    <w:contextualSpacing/>
                    <w:jc w:val="center"/>
                    <w:rPr>
                      <w:szCs w:val="21"/>
                    </w:rPr>
                  </w:pPr>
                  <w:r>
                    <w:rPr>
                      <w:szCs w:val="21"/>
                    </w:rPr>
                    <w:t>茚并［1，2，3-cd］芘</w:t>
                  </w:r>
                </w:p>
              </w:tc>
              <w:tc>
                <w:tcPr>
                  <w:tcW w:w="2636" w:type="pct"/>
                  <w:tcBorders>
                    <w:top w:val="single" w:color="auto" w:sz="4" w:space="0"/>
                    <w:left w:val="single" w:color="auto" w:sz="4" w:space="0"/>
                    <w:bottom w:val="single" w:color="auto" w:sz="4" w:space="0"/>
                    <w:right w:val="nil"/>
                  </w:tcBorders>
                  <w:vAlign w:val="center"/>
                </w:tcPr>
                <w:p>
                  <w:pPr>
                    <w:snapToGrid w:val="0"/>
                    <w:contextualSpacing/>
                    <w:jc w:val="center"/>
                    <w:rPr>
                      <w:szCs w:val="21"/>
                    </w:rPr>
                  </w:pPr>
                  <w:r>
                    <w:rPr>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5" w:type="pct"/>
                  <w:tcBorders>
                    <w:top w:val="single" w:color="auto" w:sz="4" w:space="0"/>
                    <w:left w:val="nil"/>
                    <w:bottom w:val="single" w:color="auto" w:sz="8" w:space="0"/>
                    <w:right w:val="single" w:color="auto" w:sz="4" w:space="0"/>
                  </w:tcBorders>
                  <w:vAlign w:val="center"/>
                </w:tcPr>
                <w:p>
                  <w:pPr>
                    <w:snapToGrid w:val="0"/>
                    <w:contextualSpacing/>
                    <w:jc w:val="center"/>
                    <w:rPr>
                      <w:szCs w:val="21"/>
                    </w:rPr>
                  </w:pPr>
                  <w:r>
                    <w:rPr>
                      <w:szCs w:val="21"/>
                    </w:rPr>
                    <w:t>46</w:t>
                  </w:r>
                </w:p>
              </w:tc>
              <w:tc>
                <w:tcPr>
                  <w:tcW w:w="1398" w:type="pct"/>
                  <w:tcBorders>
                    <w:top w:val="single" w:color="auto" w:sz="4" w:space="0"/>
                    <w:left w:val="nil"/>
                    <w:bottom w:val="single" w:color="auto" w:sz="8" w:space="0"/>
                    <w:right w:val="single" w:color="auto" w:sz="4" w:space="0"/>
                  </w:tcBorders>
                  <w:vAlign w:val="center"/>
                </w:tcPr>
                <w:p>
                  <w:pPr>
                    <w:snapToGrid w:val="0"/>
                    <w:contextualSpacing/>
                    <w:jc w:val="center"/>
                    <w:rPr>
                      <w:szCs w:val="21"/>
                    </w:rPr>
                  </w:pPr>
                  <w:r>
                    <w:rPr>
                      <w:szCs w:val="21"/>
                    </w:rPr>
                    <w:t>萘</w:t>
                  </w:r>
                </w:p>
              </w:tc>
              <w:tc>
                <w:tcPr>
                  <w:tcW w:w="2636" w:type="pct"/>
                  <w:tcBorders>
                    <w:top w:val="single" w:color="auto" w:sz="4" w:space="0"/>
                    <w:left w:val="single" w:color="auto" w:sz="4" w:space="0"/>
                    <w:bottom w:val="single" w:color="auto" w:sz="8" w:space="0"/>
                    <w:right w:val="nil"/>
                  </w:tcBorders>
                  <w:vAlign w:val="center"/>
                </w:tcPr>
                <w:p>
                  <w:pPr>
                    <w:snapToGrid w:val="0"/>
                    <w:contextualSpacing/>
                    <w:jc w:val="center"/>
                    <w:rPr>
                      <w:szCs w:val="21"/>
                    </w:rPr>
                  </w:pPr>
                  <w:r>
                    <w:rPr>
                      <w:szCs w:val="21"/>
                    </w:rPr>
                    <w:t>70</w:t>
                  </w:r>
                </w:p>
              </w:tc>
            </w:tr>
          </w:tbl>
          <w:p>
            <w:pPr>
              <w:adjustRightInd w:val="0"/>
              <w:snapToGrid w:val="0"/>
              <w:spacing w:line="400" w:lineRule="exact"/>
              <w:jc w:val="left"/>
              <w:rPr>
                <w:sz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957" w:type="dxa"/>
            <w:vAlign w:val="center"/>
          </w:tcPr>
          <w:p>
            <w:pPr>
              <w:adjustRightInd w:val="0"/>
              <w:snapToGrid w:val="0"/>
              <w:spacing w:line="400" w:lineRule="exact"/>
              <w:jc w:val="center"/>
              <w:rPr>
                <w:sz w:val="24"/>
              </w:rPr>
            </w:pPr>
            <w:r>
              <w:rPr>
                <w:sz w:val="24"/>
              </w:rPr>
              <w:t>污</w:t>
            </w:r>
          </w:p>
          <w:p>
            <w:pPr>
              <w:adjustRightInd w:val="0"/>
              <w:snapToGrid w:val="0"/>
              <w:spacing w:line="400" w:lineRule="exact"/>
              <w:jc w:val="center"/>
              <w:rPr>
                <w:sz w:val="24"/>
              </w:rPr>
            </w:pPr>
            <w:r>
              <w:rPr>
                <w:sz w:val="24"/>
              </w:rPr>
              <w:t>染</w:t>
            </w:r>
          </w:p>
          <w:p>
            <w:pPr>
              <w:adjustRightInd w:val="0"/>
              <w:snapToGrid w:val="0"/>
              <w:spacing w:line="400" w:lineRule="exact"/>
              <w:jc w:val="center"/>
              <w:rPr>
                <w:sz w:val="24"/>
              </w:rPr>
            </w:pPr>
            <w:r>
              <w:rPr>
                <w:sz w:val="24"/>
              </w:rPr>
              <w:t>物</w:t>
            </w:r>
          </w:p>
          <w:p>
            <w:pPr>
              <w:adjustRightInd w:val="0"/>
              <w:snapToGrid w:val="0"/>
              <w:spacing w:line="400" w:lineRule="exact"/>
              <w:jc w:val="center"/>
              <w:rPr>
                <w:sz w:val="24"/>
              </w:rPr>
            </w:pPr>
            <w:r>
              <w:rPr>
                <w:sz w:val="24"/>
              </w:rPr>
              <w:t>排</w:t>
            </w:r>
          </w:p>
          <w:p>
            <w:pPr>
              <w:adjustRightInd w:val="0"/>
              <w:snapToGrid w:val="0"/>
              <w:spacing w:line="400" w:lineRule="exact"/>
              <w:jc w:val="center"/>
              <w:rPr>
                <w:sz w:val="24"/>
              </w:rPr>
            </w:pPr>
            <w:r>
              <w:rPr>
                <w:sz w:val="24"/>
              </w:rPr>
              <w:t>放</w:t>
            </w:r>
          </w:p>
          <w:p>
            <w:pPr>
              <w:adjustRightInd w:val="0"/>
              <w:snapToGrid w:val="0"/>
              <w:spacing w:line="400" w:lineRule="exact"/>
              <w:jc w:val="center"/>
              <w:rPr>
                <w:sz w:val="24"/>
              </w:rPr>
            </w:pPr>
            <w:r>
              <w:rPr>
                <w:sz w:val="24"/>
              </w:rPr>
              <w:t>标</w:t>
            </w:r>
          </w:p>
          <w:p>
            <w:pPr>
              <w:adjustRightInd w:val="0"/>
              <w:snapToGrid w:val="0"/>
              <w:spacing w:line="400" w:lineRule="exact"/>
              <w:jc w:val="center"/>
              <w:rPr>
                <w:sz w:val="24"/>
              </w:rPr>
            </w:pPr>
            <w:r>
              <w:rPr>
                <w:sz w:val="24"/>
              </w:rPr>
              <w:t>准</w:t>
            </w:r>
          </w:p>
          <w:p>
            <w:pPr>
              <w:adjustRightInd w:val="0"/>
              <w:snapToGrid w:val="0"/>
              <w:spacing w:line="400" w:lineRule="exact"/>
              <w:jc w:val="center"/>
              <w:rPr>
                <w:sz w:val="28"/>
              </w:rPr>
            </w:pPr>
          </w:p>
        </w:tc>
        <w:tc>
          <w:tcPr>
            <w:tcW w:w="8612" w:type="dxa"/>
          </w:tcPr>
          <w:p>
            <w:pPr>
              <w:adjustRightInd w:val="0"/>
              <w:snapToGrid w:val="0"/>
              <w:spacing w:line="400" w:lineRule="exact"/>
              <w:ind w:firstLine="241" w:firstLineChars="100"/>
              <w:textAlignment w:val="baseline"/>
              <w:rPr>
                <w:b/>
                <w:sz w:val="24"/>
              </w:rPr>
            </w:pPr>
            <w:r>
              <w:rPr>
                <w:b/>
                <w:sz w:val="24"/>
              </w:rPr>
              <w:t>1、废气</w:t>
            </w:r>
          </w:p>
          <w:p>
            <w:pPr>
              <w:adjustRightInd w:val="0"/>
              <w:snapToGrid w:val="0"/>
              <w:spacing w:line="400" w:lineRule="exact"/>
              <w:ind w:firstLine="480" w:firstLineChars="200"/>
              <w:rPr>
                <w:rFonts w:eastAsia="黑体"/>
                <w:sz w:val="24"/>
                <w:lang w:val="pt-BR"/>
              </w:rPr>
            </w:pPr>
            <w:r>
              <w:rPr>
                <w:rFonts w:eastAsia="黑体"/>
                <w:sz w:val="24"/>
                <w:lang w:val="pt-BR"/>
              </w:rPr>
              <w:t>表19                 废气排放限值一览表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663"/>
              <w:gridCol w:w="2905"/>
              <w:gridCol w:w="961"/>
              <w:gridCol w:w="1973"/>
              <w:gridCol w:w="1891"/>
            </w:tblGrid>
            <w:tr>
              <w:tblPrEx>
                <w:tblBorders>
                  <w:top w:val="single" w:color="auto" w:sz="8" w:space="0"/>
                  <w:left w:val="none" w:color="auto" w:sz="0" w:space="0"/>
                  <w:bottom w:val="single" w:color="auto" w:sz="8"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97" w:hRule="atLeast"/>
                <w:jc w:val="center"/>
              </w:trPr>
              <w:tc>
                <w:tcPr>
                  <w:tcW w:w="395" w:type="pct"/>
                  <w:tcBorders>
                    <w:bottom w:val="single" w:color="auto" w:sz="8" w:space="0"/>
                  </w:tcBorders>
                  <w:vAlign w:val="center"/>
                </w:tcPr>
                <w:p>
                  <w:pPr>
                    <w:adjustRightInd w:val="0"/>
                    <w:snapToGrid w:val="0"/>
                    <w:jc w:val="center"/>
                    <w:rPr>
                      <w:b/>
                      <w:color w:val="000000"/>
                      <w:szCs w:val="21"/>
                    </w:rPr>
                  </w:pPr>
                  <w:r>
                    <w:rPr>
                      <w:b/>
                      <w:color w:val="000000"/>
                      <w:szCs w:val="21"/>
                    </w:rPr>
                    <w:t>污染类别</w:t>
                  </w:r>
                </w:p>
              </w:tc>
              <w:tc>
                <w:tcPr>
                  <w:tcW w:w="1730" w:type="pct"/>
                  <w:tcBorders>
                    <w:bottom w:val="single" w:color="auto" w:sz="8" w:space="0"/>
                  </w:tcBorders>
                  <w:vAlign w:val="center"/>
                </w:tcPr>
                <w:p>
                  <w:pPr>
                    <w:adjustRightInd w:val="0"/>
                    <w:snapToGrid w:val="0"/>
                    <w:jc w:val="center"/>
                    <w:rPr>
                      <w:b/>
                      <w:color w:val="000000"/>
                      <w:szCs w:val="21"/>
                    </w:rPr>
                  </w:pPr>
                  <w:r>
                    <w:rPr>
                      <w:b/>
                      <w:color w:val="000000"/>
                      <w:szCs w:val="21"/>
                    </w:rPr>
                    <w:t>标准名称及级（类）别</w:t>
                  </w:r>
                </w:p>
              </w:tc>
              <w:tc>
                <w:tcPr>
                  <w:tcW w:w="572" w:type="pct"/>
                  <w:tcBorders>
                    <w:bottom w:val="single" w:color="auto" w:sz="8" w:space="0"/>
                  </w:tcBorders>
                  <w:vAlign w:val="center"/>
                </w:tcPr>
                <w:p>
                  <w:pPr>
                    <w:adjustRightInd w:val="0"/>
                    <w:snapToGrid w:val="0"/>
                    <w:jc w:val="center"/>
                    <w:rPr>
                      <w:b/>
                      <w:color w:val="000000"/>
                      <w:szCs w:val="21"/>
                    </w:rPr>
                  </w:pPr>
                  <w:r>
                    <w:rPr>
                      <w:b/>
                      <w:color w:val="000000"/>
                      <w:szCs w:val="21"/>
                    </w:rPr>
                    <w:t>污染</w:t>
                  </w:r>
                </w:p>
                <w:p>
                  <w:pPr>
                    <w:adjustRightInd w:val="0"/>
                    <w:snapToGrid w:val="0"/>
                    <w:jc w:val="center"/>
                    <w:rPr>
                      <w:b/>
                      <w:color w:val="000000"/>
                      <w:szCs w:val="21"/>
                    </w:rPr>
                  </w:pPr>
                  <w:r>
                    <w:rPr>
                      <w:b/>
                      <w:color w:val="000000"/>
                      <w:szCs w:val="21"/>
                    </w:rPr>
                    <w:t>因子</w:t>
                  </w:r>
                </w:p>
              </w:tc>
              <w:tc>
                <w:tcPr>
                  <w:tcW w:w="2301" w:type="pct"/>
                  <w:gridSpan w:val="2"/>
                  <w:tcBorders>
                    <w:bottom w:val="single" w:color="auto" w:sz="8" w:space="0"/>
                  </w:tcBorders>
                  <w:vAlign w:val="center"/>
                </w:tcPr>
                <w:p>
                  <w:pPr>
                    <w:adjustRightInd w:val="0"/>
                    <w:snapToGrid w:val="0"/>
                    <w:jc w:val="center"/>
                    <w:rPr>
                      <w:b/>
                      <w:color w:val="000000"/>
                      <w:szCs w:val="21"/>
                    </w:rPr>
                  </w:pPr>
                  <w:r>
                    <w:rPr>
                      <w:b/>
                      <w:color w:val="000000"/>
                      <w:szCs w:val="21"/>
                    </w:rPr>
                    <w:t>标准限值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97" w:hRule="atLeast"/>
                <w:jc w:val="center"/>
              </w:trPr>
              <w:tc>
                <w:tcPr>
                  <w:tcW w:w="395" w:type="pct"/>
                  <w:vMerge w:val="restart"/>
                  <w:vAlign w:val="center"/>
                </w:tcPr>
                <w:p>
                  <w:pPr>
                    <w:adjustRightInd w:val="0"/>
                    <w:snapToGrid w:val="0"/>
                    <w:jc w:val="center"/>
                    <w:rPr>
                      <w:color w:val="000000"/>
                      <w:szCs w:val="21"/>
                    </w:rPr>
                  </w:pPr>
                  <w:r>
                    <w:rPr>
                      <w:color w:val="000000"/>
                      <w:szCs w:val="21"/>
                    </w:rPr>
                    <w:t>废气</w:t>
                  </w:r>
                </w:p>
              </w:tc>
              <w:tc>
                <w:tcPr>
                  <w:tcW w:w="1730" w:type="pct"/>
                  <w:vMerge w:val="restart"/>
                  <w:vAlign w:val="center"/>
                </w:tcPr>
                <w:p>
                  <w:pPr>
                    <w:adjustRightInd w:val="0"/>
                    <w:snapToGrid w:val="0"/>
                    <w:jc w:val="center"/>
                    <w:rPr>
                      <w:color w:val="000000"/>
                      <w:szCs w:val="21"/>
                    </w:rPr>
                  </w:pPr>
                  <w:r>
                    <w:rPr>
                      <w:color w:val="000000"/>
                      <w:szCs w:val="21"/>
                    </w:rPr>
                    <w:t>《大气污染物综合排放标准》（GB16297-1996）表2二级标准及无组织排放监控浓度限值要求</w:t>
                  </w:r>
                </w:p>
              </w:tc>
              <w:tc>
                <w:tcPr>
                  <w:tcW w:w="572" w:type="pct"/>
                  <w:vMerge w:val="restart"/>
                  <w:vAlign w:val="center"/>
                </w:tcPr>
                <w:p>
                  <w:pPr>
                    <w:adjustRightInd w:val="0"/>
                    <w:snapToGrid w:val="0"/>
                    <w:jc w:val="center"/>
                    <w:rPr>
                      <w:color w:val="000000"/>
                      <w:szCs w:val="21"/>
                    </w:rPr>
                  </w:pPr>
                  <w:r>
                    <w:rPr>
                      <w:color w:val="000000"/>
                      <w:szCs w:val="21"/>
                    </w:rPr>
                    <w:t>颗粒物</w:t>
                  </w:r>
                </w:p>
              </w:tc>
              <w:tc>
                <w:tcPr>
                  <w:tcW w:w="1175" w:type="pct"/>
                  <w:tcBorders>
                    <w:bottom w:val="single" w:color="auto" w:sz="4" w:space="0"/>
                    <w:right w:val="single" w:color="auto" w:sz="4" w:space="0"/>
                  </w:tcBorders>
                  <w:vAlign w:val="center"/>
                </w:tcPr>
                <w:p>
                  <w:pPr>
                    <w:adjustRightInd w:val="0"/>
                    <w:snapToGrid w:val="0"/>
                    <w:jc w:val="center"/>
                    <w:rPr>
                      <w:color w:val="000000"/>
                      <w:szCs w:val="21"/>
                    </w:rPr>
                  </w:pPr>
                  <w:r>
                    <w:rPr>
                      <w:color w:val="000000"/>
                      <w:szCs w:val="21"/>
                    </w:rPr>
                    <w:t>排放浓度</w:t>
                  </w:r>
                </w:p>
              </w:tc>
              <w:tc>
                <w:tcPr>
                  <w:tcW w:w="1125" w:type="pct"/>
                  <w:tcBorders>
                    <w:left w:val="single" w:color="auto" w:sz="4" w:space="0"/>
                    <w:bottom w:val="single" w:color="auto" w:sz="4" w:space="0"/>
                  </w:tcBorders>
                  <w:vAlign w:val="center"/>
                </w:tcPr>
                <w:p>
                  <w:pPr>
                    <w:adjustRightInd w:val="0"/>
                    <w:snapToGrid w:val="0"/>
                    <w:jc w:val="center"/>
                    <w:rPr>
                      <w:color w:val="000000"/>
                      <w:szCs w:val="21"/>
                    </w:rPr>
                  </w:pPr>
                  <w:r>
                    <w:rPr>
                      <w:color w:val="000000"/>
                      <w:szCs w:val="21"/>
                    </w:rPr>
                    <w:t xml:space="preserve">  120mg/m</w:t>
                  </w:r>
                  <w:r>
                    <w:rPr>
                      <w:color w:val="00000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97" w:hRule="atLeast"/>
                <w:jc w:val="center"/>
              </w:trPr>
              <w:tc>
                <w:tcPr>
                  <w:tcW w:w="395" w:type="pct"/>
                  <w:vMerge w:val="continue"/>
                  <w:vAlign w:val="center"/>
                </w:tcPr>
                <w:p>
                  <w:pPr>
                    <w:adjustRightInd w:val="0"/>
                    <w:snapToGrid w:val="0"/>
                    <w:jc w:val="center"/>
                    <w:rPr>
                      <w:color w:val="000000"/>
                      <w:szCs w:val="21"/>
                    </w:rPr>
                  </w:pPr>
                </w:p>
              </w:tc>
              <w:tc>
                <w:tcPr>
                  <w:tcW w:w="1730" w:type="pct"/>
                  <w:vMerge w:val="continue"/>
                  <w:vAlign w:val="center"/>
                </w:tcPr>
                <w:p>
                  <w:pPr>
                    <w:adjustRightInd w:val="0"/>
                    <w:snapToGrid w:val="0"/>
                    <w:jc w:val="center"/>
                    <w:rPr>
                      <w:color w:val="000000"/>
                      <w:szCs w:val="21"/>
                    </w:rPr>
                  </w:pPr>
                </w:p>
              </w:tc>
              <w:tc>
                <w:tcPr>
                  <w:tcW w:w="572" w:type="pct"/>
                  <w:vMerge w:val="continue"/>
                  <w:vAlign w:val="center"/>
                </w:tcPr>
                <w:p>
                  <w:pPr>
                    <w:adjustRightInd w:val="0"/>
                    <w:snapToGrid w:val="0"/>
                    <w:rPr>
                      <w:color w:val="000000"/>
                      <w:szCs w:val="21"/>
                    </w:rPr>
                  </w:pPr>
                </w:p>
              </w:tc>
              <w:tc>
                <w:tcPr>
                  <w:tcW w:w="1175" w:type="pct"/>
                  <w:tcBorders>
                    <w:top w:val="single" w:color="auto" w:sz="4" w:space="0"/>
                    <w:bottom w:val="single" w:color="auto" w:sz="4" w:space="0"/>
                    <w:right w:val="single" w:color="auto" w:sz="4" w:space="0"/>
                  </w:tcBorders>
                  <w:vAlign w:val="center"/>
                </w:tcPr>
                <w:p>
                  <w:pPr>
                    <w:adjustRightInd w:val="0"/>
                    <w:snapToGrid w:val="0"/>
                    <w:jc w:val="center"/>
                    <w:rPr>
                      <w:vertAlign w:val="superscript"/>
                    </w:rPr>
                  </w:pPr>
                  <w:r>
                    <w:t>排放速率</w:t>
                  </w:r>
                </w:p>
              </w:tc>
              <w:tc>
                <w:tcPr>
                  <w:tcW w:w="1125" w:type="pct"/>
                  <w:tcBorders>
                    <w:top w:val="single" w:color="auto" w:sz="4" w:space="0"/>
                    <w:left w:val="single" w:color="auto" w:sz="4" w:space="0"/>
                    <w:bottom w:val="single" w:color="auto" w:sz="4" w:space="0"/>
                  </w:tcBorders>
                  <w:vAlign w:val="center"/>
                </w:tcPr>
                <w:p>
                  <w:r>
                    <w:t>3.5kg/h（15米高排气筒）</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97" w:hRule="atLeast"/>
                <w:jc w:val="center"/>
              </w:trPr>
              <w:tc>
                <w:tcPr>
                  <w:tcW w:w="395" w:type="pct"/>
                  <w:vMerge w:val="continue"/>
                  <w:vAlign w:val="center"/>
                </w:tcPr>
                <w:p>
                  <w:pPr>
                    <w:adjustRightInd w:val="0"/>
                    <w:snapToGrid w:val="0"/>
                    <w:jc w:val="center"/>
                    <w:rPr>
                      <w:color w:val="000000"/>
                      <w:szCs w:val="21"/>
                    </w:rPr>
                  </w:pPr>
                </w:p>
              </w:tc>
              <w:tc>
                <w:tcPr>
                  <w:tcW w:w="1730" w:type="pct"/>
                  <w:vMerge w:val="continue"/>
                  <w:vAlign w:val="center"/>
                </w:tcPr>
                <w:p>
                  <w:pPr>
                    <w:adjustRightInd w:val="0"/>
                    <w:snapToGrid w:val="0"/>
                    <w:jc w:val="center"/>
                    <w:rPr>
                      <w:color w:val="000000"/>
                      <w:szCs w:val="21"/>
                    </w:rPr>
                  </w:pPr>
                </w:p>
              </w:tc>
              <w:tc>
                <w:tcPr>
                  <w:tcW w:w="572" w:type="pct"/>
                  <w:vMerge w:val="continue"/>
                  <w:vAlign w:val="center"/>
                </w:tcPr>
                <w:p>
                  <w:pPr>
                    <w:adjustRightInd w:val="0"/>
                    <w:snapToGrid w:val="0"/>
                    <w:rPr>
                      <w:color w:val="000000"/>
                      <w:szCs w:val="21"/>
                    </w:rPr>
                  </w:pPr>
                </w:p>
              </w:tc>
              <w:tc>
                <w:tcPr>
                  <w:tcW w:w="1175" w:type="pct"/>
                  <w:tcBorders>
                    <w:top w:val="single" w:color="auto" w:sz="4" w:space="0"/>
                    <w:bottom w:val="single" w:color="auto" w:sz="4" w:space="0"/>
                    <w:right w:val="single" w:color="auto" w:sz="4" w:space="0"/>
                  </w:tcBorders>
                  <w:vAlign w:val="center"/>
                </w:tcPr>
                <w:p>
                  <w:pPr>
                    <w:adjustRightInd w:val="0"/>
                    <w:snapToGrid w:val="0"/>
                  </w:pPr>
                  <w:r>
                    <w:t>周界外浓度限值</w:t>
                  </w:r>
                </w:p>
              </w:tc>
              <w:tc>
                <w:tcPr>
                  <w:tcW w:w="1125" w:type="pct"/>
                  <w:tcBorders>
                    <w:top w:val="single" w:color="auto" w:sz="4" w:space="0"/>
                    <w:left w:val="single" w:color="auto" w:sz="4" w:space="0"/>
                    <w:bottom w:val="single" w:color="auto" w:sz="4" w:space="0"/>
                  </w:tcBorders>
                  <w:vAlign w:val="center"/>
                </w:tcPr>
                <w:p>
                  <w:pPr>
                    <w:jc w:val="center"/>
                  </w:pPr>
                  <w:r>
                    <w:t>1.0mg/m</w:t>
                  </w:r>
                  <w:r>
                    <w:rPr>
                      <w:vertAlign w:val="superscript"/>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97" w:hRule="atLeast"/>
                <w:jc w:val="center"/>
              </w:trPr>
              <w:tc>
                <w:tcPr>
                  <w:tcW w:w="395" w:type="pct"/>
                  <w:vAlign w:val="center"/>
                </w:tcPr>
                <w:p>
                  <w:pPr>
                    <w:adjustRightInd w:val="0"/>
                    <w:snapToGrid w:val="0"/>
                    <w:jc w:val="center"/>
                    <w:rPr>
                      <w:color w:val="000000"/>
                      <w:szCs w:val="21"/>
                    </w:rPr>
                  </w:pPr>
                </w:p>
              </w:tc>
              <w:tc>
                <w:tcPr>
                  <w:tcW w:w="1730" w:type="pct"/>
                  <w:tcBorders>
                    <w:bottom w:val="single" w:color="auto" w:sz="8" w:space="0"/>
                  </w:tcBorders>
                  <w:vAlign w:val="center"/>
                </w:tcPr>
                <w:p>
                  <w:pPr>
                    <w:adjustRightInd w:val="0"/>
                    <w:snapToGrid w:val="0"/>
                    <w:jc w:val="center"/>
                    <w:rPr>
                      <w:color w:val="000000"/>
                      <w:szCs w:val="21"/>
                    </w:rPr>
                  </w:pPr>
                  <w:r>
                    <w:rPr>
                      <w:rFonts w:hint="eastAsia"/>
                      <w:color w:val="000000"/>
                      <w:szCs w:val="21"/>
                    </w:rPr>
                    <w:t>2020年7月31日《新乡市生态环境局关于进一步规范工业颗粒物排放限值的通知》</w:t>
                  </w:r>
                </w:p>
              </w:tc>
              <w:tc>
                <w:tcPr>
                  <w:tcW w:w="572" w:type="pct"/>
                  <w:tcBorders>
                    <w:bottom w:val="single" w:color="auto" w:sz="8" w:space="0"/>
                  </w:tcBorders>
                  <w:vAlign w:val="center"/>
                </w:tcPr>
                <w:p>
                  <w:pPr>
                    <w:adjustRightInd w:val="0"/>
                    <w:snapToGrid w:val="0"/>
                    <w:rPr>
                      <w:color w:val="000000"/>
                      <w:szCs w:val="21"/>
                    </w:rPr>
                  </w:pPr>
                </w:p>
              </w:tc>
              <w:tc>
                <w:tcPr>
                  <w:tcW w:w="2301" w:type="pct"/>
                  <w:gridSpan w:val="2"/>
                  <w:tcBorders>
                    <w:top w:val="single" w:color="auto" w:sz="4" w:space="0"/>
                    <w:bottom w:val="single" w:color="auto" w:sz="8" w:space="0"/>
                  </w:tcBorders>
                  <w:vAlign w:val="center"/>
                </w:tcPr>
                <w:p>
                  <w:pPr>
                    <w:jc w:val="both"/>
                  </w:pPr>
                  <w:r>
                    <w:rPr>
                      <w:rFonts w:hint="eastAsia"/>
                    </w:rPr>
                    <w:t>排放口颗粒物排放浓度不高于10</w:t>
                  </w:r>
                  <w:r>
                    <w:t>mg/m</w:t>
                  </w:r>
                  <w:r>
                    <w:rPr>
                      <w:vertAlign w:val="superscript"/>
                    </w:rPr>
                    <w:t>3</w:t>
                  </w:r>
                  <w:r>
                    <w:rPr>
                      <w:rFonts w:hint="eastAsia"/>
                    </w:rPr>
                    <w:t>、</w:t>
                  </w:r>
                </w:p>
                <w:p>
                  <w:pPr>
                    <w:jc w:val="center"/>
                  </w:pPr>
                  <w:r>
                    <w:rPr>
                      <w:rFonts w:hint="eastAsia"/>
                      <w:sz w:val="21"/>
                    </w:rPr>
                    <w:t>厂界颗粒物排放浓度不高于0.5mg/m</w:t>
                  </w:r>
                  <w:r>
                    <w:rPr>
                      <w:rFonts w:hint="eastAsia"/>
                      <w:sz w:val="21"/>
                      <w:vertAlign w:val="superscript"/>
                    </w:rPr>
                    <w:t>3</w:t>
                  </w:r>
                </w:p>
              </w:tc>
            </w:tr>
          </w:tbl>
          <w:p>
            <w:pPr>
              <w:snapToGrid w:val="0"/>
              <w:spacing w:line="440" w:lineRule="exact"/>
              <w:ind w:firstLine="482" w:firstLineChars="200"/>
              <w:contextualSpacing/>
              <w:textAlignment w:val="baseline"/>
              <w:rPr>
                <w:b/>
                <w:sz w:val="24"/>
              </w:rPr>
            </w:pPr>
          </w:p>
          <w:p>
            <w:pPr>
              <w:snapToGrid w:val="0"/>
              <w:spacing w:line="440" w:lineRule="exact"/>
              <w:ind w:firstLine="482" w:firstLineChars="200"/>
              <w:contextualSpacing/>
              <w:textAlignment w:val="baseline"/>
              <w:rPr>
                <w:b/>
                <w:sz w:val="24"/>
              </w:rPr>
            </w:pPr>
          </w:p>
          <w:p>
            <w:pPr>
              <w:snapToGrid w:val="0"/>
              <w:spacing w:line="440" w:lineRule="exact"/>
              <w:ind w:firstLine="482" w:firstLineChars="200"/>
              <w:contextualSpacing/>
              <w:textAlignment w:val="baseline"/>
              <w:rPr>
                <w:b/>
                <w:sz w:val="24"/>
              </w:rPr>
            </w:pPr>
            <w:r>
              <w:rPr>
                <w:b/>
                <w:sz w:val="24"/>
              </w:rPr>
              <w:t>2、噪声</w:t>
            </w:r>
          </w:p>
          <w:p>
            <w:pPr>
              <w:snapToGrid w:val="0"/>
              <w:spacing w:line="440" w:lineRule="exact"/>
              <w:ind w:firstLine="480" w:firstLineChars="200"/>
              <w:contextualSpacing/>
              <w:rPr>
                <w:rFonts w:ascii="Times New Roman" w:hAnsi="Times New Roman"/>
                <w:sz w:val="24"/>
                <w:szCs w:val="24"/>
                <w:lang w:val="pt-BR"/>
              </w:rPr>
            </w:pPr>
            <w:r>
              <w:rPr>
                <w:sz w:val="24"/>
              </w:rPr>
              <w:t>运营期各厂界噪声执行《工业企业厂界环境噪声排放标准》（GB12348-2008）2类标准，具体标准值见下表：</w:t>
            </w:r>
            <w:bookmarkStart w:id="4" w:name="_Ref308191224"/>
          </w:p>
          <w:p>
            <w:pPr>
              <w:pStyle w:val="12"/>
              <w:adjustRightInd w:val="0"/>
              <w:snapToGrid w:val="0"/>
              <w:spacing w:line="400" w:lineRule="exact"/>
              <w:ind w:firstLine="480" w:firstLineChars="200"/>
              <w:rPr>
                <w:rFonts w:ascii="Times New Roman" w:hAnsi="Times New Roman"/>
                <w:sz w:val="24"/>
                <w:szCs w:val="24"/>
              </w:rPr>
            </w:pPr>
            <w:r>
              <w:rPr>
                <w:rFonts w:ascii="Times New Roman" w:hAnsi="Times New Roman"/>
                <w:sz w:val="24"/>
                <w:szCs w:val="24"/>
                <w:lang w:val="pt-BR"/>
              </w:rPr>
              <w:t>表</w:t>
            </w:r>
            <w:bookmarkEnd w:id="4"/>
            <w:r>
              <w:rPr>
                <w:rFonts w:ascii="Times New Roman" w:hAnsi="Times New Roman"/>
                <w:sz w:val="24"/>
                <w:szCs w:val="24"/>
                <w:lang w:val="pt-BR"/>
              </w:rPr>
              <w:t>20         工业企业厂界环境噪声排放标准          单位：dB（A）</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2799"/>
              <w:gridCol w:w="279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op w:val="single" w:color="auto" w:sz="8" w:space="0"/>
                    <w:bottom w:val="single" w:color="auto" w:sz="8" w:space="0"/>
                  </w:tcBorders>
                  <w:vAlign w:val="center"/>
                </w:tcPr>
                <w:p>
                  <w:pPr>
                    <w:adjustRightInd w:val="0"/>
                    <w:snapToGrid w:val="0"/>
                    <w:jc w:val="center"/>
                    <w:rPr>
                      <w:b/>
                      <w:szCs w:val="21"/>
                    </w:rPr>
                  </w:pPr>
                  <w:r>
                    <w:rPr>
                      <w:b/>
                      <w:szCs w:val="21"/>
                    </w:rPr>
                    <w:t>项 目</w:t>
                  </w:r>
                </w:p>
              </w:tc>
              <w:tc>
                <w:tcPr>
                  <w:tcW w:w="1667" w:type="pct"/>
                  <w:tcBorders>
                    <w:top w:val="single" w:color="auto" w:sz="8" w:space="0"/>
                    <w:bottom w:val="single" w:color="auto" w:sz="8" w:space="0"/>
                  </w:tcBorders>
                  <w:vAlign w:val="center"/>
                </w:tcPr>
                <w:p>
                  <w:pPr>
                    <w:adjustRightInd w:val="0"/>
                    <w:snapToGrid w:val="0"/>
                    <w:jc w:val="center"/>
                    <w:rPr>
                      <w:b/>
                      <w:szCs w:val="21"/>
                    </w:rPr>
                  </w:pPr>
                  <w:r>
                    <w:rPr>
                      <w:b/>
                      <w:szCs w:val="21"/>
                    </w:rPr>
                    <w:t>类  别</w:t>
                  </w:r>
                </w:p>
              </w:tc>
              <w:tc>
                <w:tcPr>
                  <w:tcW w:w="1667" w:type="pct"/>
                  <w:tcBorders>
                    <w:top w:val="single" w:color="auto" w:sz="8" w:space="0"/>
                    <w:bottom w:val="single" w:color="auto" w:sz="8" w:space="0"/>
                  </w:tcBorders>
                  <w:vAlign w:val="center"/>
                </w:tcPr>
                <w:p>
                  <w:pPr>
                    <w:adjustRightInd w:val="0"/>
                    <w:snapToGrid w:val="0"/>
                    <w:jc w:val="center"/>
                    <w:rPr>
                      <w:b/>
                      <w:szCs w:val="21"/>
                    </w:rPr>
                  </w:pPr>
                  <w:r>
                    <w:rPr>
                      <w:b/>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op w:val="single" w:color="auto" w:sz="8" w:space="0"/>
                  </w:tcBorders>
                  <w:vAlign w:val="center"/>
                </w:tcPr>
                <w:p>
                  <w:pPr>
                    <w:adjustRightInd w:val="0"/>
                    <w:snapToGrid w:val="0"/>
                    <w:jc w:val="center"/>
                    <w:rPr>
                      <w:szCs w:val="21"/>
                    </w:rPr>
                  </w:pPr>
                  <w:r>
                    <w:rPr>
                      <w:szCs w:val="21"/>
                    </w:rPr>
                    <w:t>厂界</w:t>
                  </w:r>
                </w:p>
              </w:tc>
              <w:tc>
                <w:tcPr>
                  <w:tcW w:w="1667" w:type="pct"/>
                  <w:tcBorders>
                    <w:top w:val="single" w:color="auto" w:sz="8" w:space="0"/>
                  </w:tcBorders>
                  <w:vAlign w:val="center"/>
                </w:tcPr>
                <w:p>
                  <w:pPr>
                    <w:jc w:val="center"/>
                    <w:rPr>
                      <w:szCs w:val="21"/>
                    </w:rPr>
                  </w:pPr>
                  <w:r>
                    <w:rPr>
                      <w:szCs w:val="21"/>
                    </w:rPr>
                    <w:t>2类</w:t>
                  </w:r>
                </w:p>
              </w:tc>
              <w:tc>
                <w:tcPr>
                  <w:tcW w:w="1667" w:type="pct"/>
                  <w:tcBorders>
                    <w:top w:val="single" w:color="auto" w:sz="8" w:space="0"/>
                  </w:tcBorders>
                  <w:vAlign w:val="center"/>
                </w:tcPr>
                <w:p>
                  <w:pPr>
                    <w:jc w:val="center"/>
                    <w:rPr>
                      <w:szCs w:val="21"/>
                    </w:rPr>
                  </w:pPr>
                  <w:r>
                    <w:rPr>
                      <w:szCs w:val="21"/>
                    </w:rPr>
                    <w:t>昼间60</w:t>
                  </w:r>
                </w:p>
              </w:tc>
            </w:tr>
          </w:tbl>
          <w:p>
            <w:pPr>
              <w:snapToGrid w:val="0"/>
              <w:spacing w:line="440" w:lineRule="exact"/>
              <w:ind w:firstLine="482" w:firstLineChars="200"/>
              <w:contextualSpacing/>
              <w:rPr>
                <w:b/>
                <w:sz w:val="24"/>
              </w:rPr>
            </w:pPr>
            <w:r>
              <w:rPr>
                <w:b/>
                <w:sz w:val="24"/>
              </w:rPr>
              <w:t>3、固废</w:t>
            </w:r>
          </w:p>
          <w:p>
            <w:pPr>
              <w:adjustRightInd w:val="0"/>
              <w:snapToGrid w:val="0"/>
              <w:spacing w:line="440" w:lineRule="exact"/>
              <w:ind w:firstLine="480" w:firstLineChars="200"/>
            </w:pPr>
            <w:r>
              <w:rPr>
                <w:sz w:val="24"/>
              </w:rPr>
              <w:t>一般固体废物按《一般工业固体废物贮存、处置场污染控制标准》（GB18599-2001）及其2013修改单要求进行。</w:t>
            </w:r>
            <w: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vAlign w:val="center"/>
          </w:tcPr>
          <w:p>
            <w:pPr>
              <w:adjustRightInd w:val="0"/>
              <w:snapToGrid w:val="0"/>
              <w:spacing w:line="400" w:lineRule="exact"/>
              <w:jc w:val="center"/>
              <w:rPr>
                <w:sz w:val="24"/>
              </w:rPr>
            </w:pPr>
            <w:r>
              <w:rPr>
                <w:sz w:val="24"/>
              </w:rPr>
              <w:t>总量</w:t>
            </w:r>
          </w:p>
          <w:p>
            <w:pPr>
              <w:adjustRightInd w:val="0"/>
              <w:snapToGrid w:val="0"/>
              <w:spacing w:line="400" w:lineRule="exact"/>
              <w:jc w:val="center"/>
              <w:rPr>
                <w:sz w:val="24"/>
              </w:rPr>
            </w:pPr>
            <w:r>
              <w:rPr>
                <w:sz w:val="24"/>
              </w:rPr>
              <w:t>控制</w:t>
            </w:r>
          </w:p>
          <w:p>
            <w:pPr>
              <w:adjustRightInd w:val="0"/>
              <w:snapToGrid w:val="0"/>
              <w:spacing w:line="400" w:lineRule="exact"/>
              <w:ind w:firstLine="120" w:firstLineChars="50"/>
              <w:rPr>
                <w:sz w:val="24"/>
              </w:rPr>
            </w:pPr>
            <w:r>
              <w:rPr>
                <w:sz w:val="24"/>
              </w:rPr>
              <w:t>标准</w:t>
            </w:r>
          </w:p>
        </w:tc>
        <w:tc>
          <w:tcPr>
            <w:tcW w:w="8612" w:type="dxa"/>
          </w:tcPr>
          <w:p>
            <w:pPr>
              <w:spacing w:line="440" w:lineRule="exact"/>
              <w:ind w:firstLine="480" w:firstLineChars="200"/>
            </w:pPr>
            <w:r>
              <w:rPr>
                <w:rFonts w:hint="eastAsia"/>
                <w:bCs/>
                <w:sz w:val="24"/>
              </w:rPr>
              <w:t>切割、焊接工序采用集气罩+袋式除尘器治理，治理后废气经1根15m高排气筒排放。</w:t>
            </w:r>
            <w:r>
              <w:rPr>
                <w:color w:val="000000"/>
                <w:sz w:val="24"/>
              </w:rPr>
              <w:t>无生</w:t>
            </w:r>
            <w:r>
              <w:rPr>
                <w:rFonts w:hint="eastAsia"/>
                <w:color w:val="000000"/>
                <w:sz w:val="24"/>
              </w:rPr>
              <w:t>产</w:t>
            </w:r>
            <w:r>
              <w:rPr>
                <w:color w:val="000000"/>
                <w:sz w:val="24"/>
              </w:rPr>
              <w:t>废水产生，生活</w:t>
            </w:r>
            <w:r>
              <w:rPr>
                <w:rFonts w:hint="eastAsia"/>
                <w:color w:val="000000"/>
                <w:sz w:val="24"/>
              </w:rPr>
              <w:t>污</w:t>
            </w:r>
            <w:r>
              <w:rPr>
                <w:color w:val="000000"/>
                <w:sz w:val="24"/>
              </w:rPr>
              <w:t>水经防渗漏化粪池处理后定期清运，本项目不涉及总量控制指标。</w:t>
            </w:r>
          </w:p>
          <w:p>
            <w:pPr>
              <w:adjustRightInd w:val="0"/>
              <w:snapToGrid w:val="0"/>
              <w:spacing w:line="440" w:lineRule="exact"/>
              <w:ind w:firstLine="480" w:firstLineChars="200"/>
              <w:rPr>
                <w:color w:val="FF0000"/>
                <w:kern w:val="0"/>
                <w:sz w:val="24"/>
              </w:rPr>
            </w:pPr>
            <w:r>
              <w:rPr>
                <w:color w:val="000000"/>
                <w:sz w:val="24"/>
              </w:rPr>
              <w:t>根据《新乡市生态环境局关于贯彻落实&lt;河南省生态环境厅办公室关于深化环评“放管服”改革及实施环评审批正面清单的通知&gt;的意见》新环【2020】37号</w:t>
            </w:r>
            <w:r>
              <w:rPr>
                <w:rFonts w:hint="eastAsia"/>
                <w:color w:val="000000"/>
                <w:sz w:val="24"/>
              </w:rPr>
              <w:t>，</w:t>
            </w:r>
            <w:r>
              <w:rPr>
                <w:rFonts w:hint="eastAsia"/>
                <w:color w:val="000000"/>
                <w:sz w:val="24"/>
                <w:lang w:eastAsia="zh-CN"/>
              </w:rPr>
              <w:t>第二条：“</w:t>
            </w:r>
            <w:r>
              <w:rPr>
                <w:color w:val="000000"/>
                <w:sz w:val="24"/>
              </w:rPr>
              <w:t>对不新增重点污染物（化学需氧量、氨氮、二氧化硫、氮氧化物、挥发性有机物，重金属铅、铬、镉、汞、砷10类），不再进行总量审核。</w:t>
            </w:r>
            <w:r>
              <w:rPr>
                <w:rFonts w:hint="eastAsia"/>
                <w:color w:val="000000"/>
                <w:sz w:val="24"/>
                <w:lang w:eastAsia="zh-CN"/>
              </w:rPr>
              <w:t>环评告知承诺制审批的项目增加重点污染物排放量的，需在环评文件中明确污染物排放总量指标及区域替代削减措施，建设单位作出承诺获批后，须在项目投产前取得主要污染物总量审核意见”。</w:t>
            </w:r>
            <w:r>
              <w:rPr>
                <w:color w:val="000000"/>
                <w:sz w:val="24"/>
              </w:rPr>
              <w:t>本项目属于新建项目，污染物排放量为COD0t/a、NH</w:t>
            </w:r>
            <w:r>
              <w:rPr>
                <w:color w:val="000000"/>
                <w:sz w:val="24"/>
                <w:vertAlign w:val="subscript"/>
              </w:rPr>
              <w:t>3</w:t>
            </w:r>
            <w:r>
              <w:rPr>
                <w:color w:val="000000"/>
                <w:sz w:val="24"/>
              </w:rPr>
              <w:t>-N0t/a、SO</w:t>
            </w:r>
            <w:r>
              <w:rPr>
                <w:color w:val="000000"/>
                <w:sz w:val="24"/>
                <w:vertAlign w:val="subscript"/>
              </w:rPr>
              <w:t>2</w:t>
            </w:r>
            <w:r>
              <w:rPr>
                <w:color w:val="000000"/>
                <w:sz w:val="24"/>
              </w:rPr>
              <w:t xml:space="preserve"> 0t/a、NO</w:t>
            </w:r>
            <w:r>
              <w:rPr>
                <w:color w:val="000000"/>
                <w:sz w:val="24"/>
                <w:vertAlign w:val="subscript"/>
              </w:rPr>
              <w:t>X</w:t>
            </w:r>
            <w:r>
              <w:rPr>
                <w:color w:val="000000"/>
                <w:sz w:val="24"/>
              </w:rPr>
              <w:t xml:space="preserve"> 0t/a、VOCs0t/a、铅0t/a、铬0t/a、镉0t/a、汞0t/a、砷0t/a，不新增重点污染物</w:t>
            </w:r>
            <w:r>
              <w:rPr>
                <w:rFonts w:hint="eastAsia"/>
                <w:color w:val="000000"/>
                <w:sz w:val="24"/>
              </w:rPr>
              <w:t>，</w:t>
            </w:r>
            <w:r>
              <w:rPr>
                <w:color w:val="000000"/>
                <w:sz w:val="24"/>
              </w:rPr>
              <w:t>不再进行总量审核。</w:t>
            </w: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adjustRightInd w:val="0"/>
              <w:snapToGrid w:val="0"/>
              <w:spacing w:line="400" w:lineRule="exact"/>
              <w:ind w:firstLine="480" w:firstLineChars="200"/>
              <w:rPr>
                <w:sz w:val="24"/>
              </w:rPr>
            </w:pPr>
          </w:p>
          <w:p>
            <w:pPr>
              <w:pStyle w:val="29"/>
              <w:ind w:left="0" w:leftChars="0" w:firstLine="0" w:firstLineChars="0"/>
            </w:pPr>
          </w:p>
          <w:p>
            <w:pPr>
              <w:adjustRightInd w:val="0"/>
              <w:snapToGrid w:val="0"/>
              <w:spacing w:line="400" w:lineRule="exact"/>
              <w:ind w:firstLine="480" w:firstLineChars="200"/>
              <w:rPr>
                <w:sz w:val="24"/>
              </w:rPr>
            </w:pPr>
          </w:p>
        </w:tc>
      </w:tr>
    </w:tbl>
    <w:p>
      <w:pPr>
        <w:adjustRightInd w:val="0"/>
        <w:snapToGrid w:val="0"/>
        <w:spacing w:line="400" w:lineRule="exact"/>
        <w:outlineLvl w:val="0"/>
        <w:rPr>
          <w:b/>
          <w:sz w:val="28"/>
        </w:rPr>
      </w:pPr>
      <w:r>
        <w:rPr>
          <w:b/>
          <w:sz w:val="28"/>
        </w:rPr>
        <w:t>建设项目工程分析</w:t>
      </w:r>
    </w:p>
    <w:tbl>
      <w:tblPr>
        <w:tblStyle w:val="30"/>
        <w:tblW w:w="94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4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464" w:type="dxa"/>
          </w:tcPr>
          <w:p>
            <w:pPr>
              <w:adjustRightInd w:val="0"/>
              <w:snapToGrid w:val="0"/>
              <w:spacing w:line="440" w:lineRule="exact"/>
              <w:textAlignment w:val="baseline"/>
              <w:rPr>
                <w:rFonts w:eastAsia="黑体"/>
                <w:sz w:val="24"/>
              </w:rPr>
            </w:pPr>
            <w:r>
              <w:rPr>
                <w:rFonts w:eastAsiaTheme="minorEastAsia"/>
                <w:b/>
                <w:bCs/>
                <w:sz w:val="24"/>
              </w:rPr>
              <w:t>工艺流程简述(图示)：</w:t>
            </w:r>
          </w:p>
          <w:p>
            <w:r>
              <w:rPr>
                <w:rFonts w:eastAsia="黑体"/>
                <w:sz w:val="24"/>
              </w:rPr>
              <w:pict>
                <v:shape id="文本框 53" o:spid="_x0000_s2082" o:spt="202" type="#_x0000_t202" style="position:absolute;left:0pt;margin-left:38.6pt;margin-top:48.3pt;height:40.9pt;width:76.35pt;z-index:251652096;mso-width-relative:page;mso-height-relative:page;" coordsize="21600,21600" o:gfxdata="UEsDBAoAAAAAAIdO4kAAAAAAAAAAAAAAAAAEAAAAZHJzL1BLAwQUAAAACACHTuJAGSS9ZtkAAAAL&#10;AQAADwAAAGRycy9kb3ducmV2LnhtbE2PzU7DMBCE70i8g7VIXBB1fkrahjg9IIHgBgWVq5tskwh7&#10;HWw3LW/P9gS3Hc2n2ZlqfbJGTOjD4EhBOktAIDWuHahT8PH+eLsEEaKmVhtHqOAHA6zry4tKl607&#10;0htOm9gJDqFQagV9jGMpZWh6tDrM3IjE3t55qyNL38nW6yOHWyOzJCmk1QPxh16P+NBj87U5WAXL&#10;+fP0GV7y121T7M0q3iymp2+v1PVVmtyDiHiKfzCc63N1qLnTzh2oDcKwvsszRvlI8wIEE1merkDs&#10;zta8AFlX8v+G+hdQSwMEFAAAAAgAh07iQIRshGHzAQAA6QMAAA4AAABkcnMvZTJvRG9jLnhtbK1T&#10;S44TMRDdI3EHy3vSPZnJDGmlMxKEsEGANHCAij/dlvyT7Ul3LgA3YMWGPefKOabszGR+LBCiF+6y&#10;/fz86lV5cTkaTbYiROVsS08mNSXCMseV7Vr69cv61WtKYgLLQTsrWroTkV4uX75YDL4RU9c7zUUg&#10;SGJjM/iW9in5pqoi64WBOHFeWNyULhhIOA1dxQMMyG50Na3r82pwgfvgmIgRV1eHTbos/FIKlj5J&#10;GUUiuqWoLZUxlHGTx2q5gKYL4HvFbmXAP6gwoCxeeqRaQQJyHdQzKqNYcNHJNGHOVE5KxUTJAbM5&#10;qZ9kc9WDFyUXNCf6o03x/9Gyj9vPgSiOtbugxILBGu1/fN///L3/9Y3MTrNBg48N4q48ItP4xo0I&#10;vluPuJjzHmUw+Y8ZEdxHq3dHe8WYCMPFs/n84mxGCcOt6Xl9Oiv2V/eHfYjpvXCG5KClAatXTIXt&#10;h5hQCELvIPmu6LTia6V1mYRu81YHsgWs9Lp8WSMeeQTTlgwtnc+mWQdgw0kNCUPj0YJou3LfoxPx&#10;IXFdvj8RZ2EriP1BQGHIMGiMSiKUqBfA31lO0s6jyxbfA81ijOCUaIHPJ0cFmUDpv0FidtpikrlC&#10;h0rkKI2bEWlyuHF8h1W79kF1PVpa6lbg2E/Fndvezw37cF5I71/o8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JL1m2QAAAAsBAAAPAAAAAAAAAAEAIAAAACIAAABkcnMvZG93bnJldi54bWxQSwEC&#10;FAAUAAAACACHTuJAhGyEYfMBAADpAwAADgAAAAAAAAABACAAAAAoAQAAZHJzL2Uyb0RvYy54bWxQ&#10;SwUGAAAAAAYABgBZAQAAjQUAAAAA&#10;">
                  <v:path/>
                  <v:fill focussize="0,0"/>
                  <v:stroke joinstyle="miter"/>
                  <v:imagedata o:title=""/>
                  <o:lock v:ext="edit"/>
                  <v:textbox>
                    <w:txbxContent>
                      <w:p>
                        <w:pPr>
                          <w:spacing w:afterLines="84"/>
                          <w:rPr>
                            <w:sz w:val="24"/>
                          </w:rPr>
                        </w:pPr>
                        <w:r>
                          <w:rPr>
                            <w:rFonts w:hint="eastAsia"/>
                            <w:sz w:val="24"/>
                          </w:rPr>
                          <w:t>镀锌方管、铝合金立柱</w:t>
                        </w:r>
                      </w:p>
                    </w:txbxContent>
                  </v:textbox>
                </v:shape>
              </w:pict>
            </w:r>
            <w:r>
              <w:rPr>
                <w:rFonts w:eastAsia="黑体"/>
                <w:sz w:val="24"/>
              </w:rPr>
              <w:pict>
                <v:shape id="自选图形 86" o:spid="_x0000_s2066" o:spt="61" type="#_x0000_t61" style="position:absolute;left:0pt;margin-left:189.35pt;margin-top:14.8pt;height:22.1pt;width:39.55pt;z-index:251667456;mso-width-relative:page;mso-height-relative:page;" stroked="f" coordsize="21600,21600" o:gfxdata="UEsDBAoAAAAAAIdO4kAAAAAAAAAAAAAAAAAEAAAAZHJzL1BLAwQUAAAACACHTuJAk/EGtdsAAAAJ&#10;AQAADwAAAGRycy9kb3ducmV2LnhtbE2PwU7DMBBE70j8g7VI3KgTF6VRiFPRCpC4oBJaIW5uvCQR&#10;8Tqy3bT06zEnOK72aeZNuTyZgU3ofG9JQjpLgCE1VvfUSti+Pd7kwHxQpNVgCSV8o4dldXlRqkLb&#10;I73iVIeWxRDyhZLQhTAWnPumQ6P8zI5I8fdpnVEhnq7l2qljDDcDF0mScaN6ig2dGnHdYfNVH4yE&#10;3cvK0cP75imrw/neqOl5fV59SHl9lSZ3wAKewh8Mv/pRHarotLcH0p4NEuZZLiIqQeQpsAjcLkTc&#10;spewEHPgVcn/L6h+AFBLAwQUAAAACACHTuJAJezmatQBAACBAwAADgAAAGRycy9lMm9Eb2MueG1s&#10;rVPLjtMwFN0j8Q+W99O8ZkIVNZ3FjMoGwYiBD3BtJzHyS7bbpDt2iG9gx5J/gL8ZCf6Cazd0CuwQ&#10;WTj32sfH95xrr64nJdGeOy+MbnGxyDHimhomdN/it282F0uMfCCaEWk0b/GBe3y9fvpkNdqGl2Yw&#10;knGHgET7ZrQtHkKwTZZ5OnBF/MJYrmGxM06RAKnrM+bICOxKZmWe19loHLPOUO49zN4eF/E68Xcd&#10;p+FV13kekGwx1BbS6NK4jWO2XpGmd8QOgs5lkH+oQhGh4dAT1S0JBO2c+ItKCeqMN11YUKMy03WC&#10;8qQB1BT5H2ruB2J50gLmeHuyyf8/Wvpyf+eQYC2uLjHSREGPvn/48uP9x4dP3x6+fkbLOno0Wt8A&#10;9N7euTnzEEbBU+dU/IMUNCVfDydf+RQQhcm6viwLcJ/CUrnM62fJ9+xxs3U+POdGoRi0eOSs56+h&#10;dzdESrMLyVmyf+FDspjNdRL2rsCoUxI6ticSXVyVV8tqbukZqDwHVVVelREDx8+UEP0qIPJ7IwXb&#10;CClT4vrtjXQI+Fu8Sd+8+TeY1BGsTdx25I4zWbTtaFSMwrSdZve2hh3A9511oh9AcZFIIwj6nGqb&#10;72S8SOd5In18Oe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EGtdsAAAAJAQAADwAAAAAAAAAB&#10;ACAAAAAiAAAAZHJzL2Rvd25yZXYueG1sUEsBAhQAFAAAAAgAh07iQCXs5mrUAQAAgQMAAA4AAAAA&#10;AAAAAQAgAAAAKgEAAGRycy9lMm9Eb2MueG1sUEsFBgAAAAAGAAYAWQEAAHAFAAAAAA==&#10;" adj="-558,17935">
                  <v:path/>
                  <v:fill focussize="0,0"/>
                  <v:stroke on="f" joinstyle="miter"/>
                  <v:imagedata o:title=""/>
                  <o:lock v:ext="edit"/>
                  <v:textbox>
                    <w:txbxContent>
                      <w:p>
                        <w:r>
                          <w:rPr>
                            <w:rFonts w:hint="eastAsia"/>
                          </w:rPr>
                          <w:t>G、N</w:t>
                        </w:r>
                      </w:p>
                    </w:txbxContent>
                  </v:textbox>
                </v:shape>
              </w:pict>
            </w:r>
            <w:r>
              <w:rPr>
                <w:rFonts w:eastAsia="黑体"/>
                <w:sz w:val="24"/>
              </w:rPr>
              <w:pict>
                <v:shape id="自选图形 84" o:spid="_x0000_s2067" o:spt="61" type="#_x0000_t61" style="position:absolute;left:0pt;margin-left:129.6pt;margin-top:14.05pt;height:22.1pt;width:38.8pt;z-index:251665408;mso-width-relative:page;mso-height-relative:page;" stroked="f" coordsize="21600,21600" o:gfxdata="UEsDBAoAAAAAAIdO4kAAAAAAAAAAAAAAAAAEAAAAZHJzL1BLAwQUAAAACACHTuJARlX5ktoAAAAJ&#10;AQAADwAAAGRycy9kb3ducmV2LnhtbE2PwU7DMAyG70i8Q2QkbixtB9tUmk5sAiQuCLohxM1rQlvR&#10;OFWSdWNPjznBzZY//f7+Ynm0vRiND50jBekkAWGodrqjRsF283C1ABEiksbekVHwbQIsy/OzAnPt&#10;DvRqxio2gkMo5KigjXHIpQx1ayyGiRsM8e3TeYuRV99I7fHA4baXWZLMpMWO+EOLg1m3pv6q9lbB&#10;2/PK0/37y+Osiqc7i+PT+rT6UOryIk1uQURzjH8w/OqzOpTstHN70kH0CrLrecYoD4sUBAPTm5S7&#10;7BTMsynIspD/G5Q/UEsDBBQAAAAIAIdO4kDaMz2p1AEAAIEDAAAOAAAAZHJzL2Uyb0RvYy54bWyt&#10;U0mOEzEU3SNxB8v7Tg3pDlEplV50K2wQtGg4gOOhysiTbCdV2bFDnIEdS+4At2kJbsG3UyQN7BC1&#10;cP3Jz/+9b6+uR63QnvsgrWlxNSsx4oZaJk3X4rdvNhdLjEIkhhFlDW/xgQd8vX76ZDW4hte2t4px&#10;jwDEhGZwLe5jdE1RBNpzTcLMOm4gKazXJILru4J5MgC6VkVdlotisJ45bykPAaK3xyReZ3whOI2v&#10;hAg8ItVi6C3m1ed1m9ZivSJN54nrJZ3aIP/QhSbSwKEnqFsSCdp5+ReUltTbYEWcUasLK4SkPHMA&#10;NlX5B5v7njieuYA4wZ1kCv8Plr7c33kkWYvnNUaGaJjR9w9ffrz/+PDp28PXz2h5mTQaXGig9N7d&#10;+ckLYCbCo/A6/YEKGrOuh5OufIyIQnCxuKwrUJ9Cql6Wi2dZ9+K82fkQn3OrUTJaPHDW8dcwuxui&#10;lN3FrCzZvwgxS8ymPgl7V2EktIKJ7YlCF1f11XI+jfRRERA7F83nJTAFEnD8BAnWrwYSfrBKso1U&#10;Kju+294ojwC/xZv8TZt/K1MmFRubth2xU6RIsh2FSlYct+Ok3tayA+i+c152PTCuMmgqgjnn3qY7&#10;mS7SYz+Dnl/O+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GVfmS2gAAAAkBAAAPAAAAAAAAAAEA&#10;IAAAACIAAABkcnMvZG93bnJldi54bWxQSwECFAAUAAAACACHTuJA2jM9qdQBAACBAwAADgAAAAAA&#10;AAABACAAAAApAQAAZHJzL2Uyb0RvYy54bWxQSwUGAAAAAAYABgBZAQAAbwUAAAAA&#10;" adj="-558,17935">
                  <v:path/>
                  <v:fill focussize="0,0"/>
                  <v:stroke on="f" joinstyle="miter"/>
                  <v:imagedata o:title=""/>
                  <o:lock v:ext="edit"/>
                  <v:textbox>
                    <w:txbxContent>
                      <w:p>
                        <w:r>
                          <w:rPr>
                            <w:rFonts w:hint="eastAsia"/>
                          </w:rPr>
                          <w:t>G、N</w:t>
                        </w:r>
                      </w:p>
                    </w:txbxContent>
                  </v:textbox>
                </v:shape>
              </w:pict>
            </w:r>
            <w:r>
              <w:rPr>
                <w:rFonts w:eastAsia="黑体"/>
                <w:sz w:val="24"/>
              </w:rPr>
              <w:pict>
                <v:shape id="_x0000_s2068" o:spid="_x0000_s2068" o:spt="61" type="#_x0000_t61" style="position:absolute;left:0pt;margin-left:149.85pt;margin-top:107.05pt;height:15.35pt;width:14.15pt;z-index:251677696;mso-width-relative:page;mso-height-relative:page;" stroked="f" coordsize="21600,21600" adj="-558,17935">
                  <v:path/>
                  <v:fill focussize="0,0"/>
                  <v:stroke on="f" joinstyle="miter"/>
                  <v:imagedata o:title=""/>
                  <o:lock v:ext="edit"/>
                  <v:textbox inset="0mm,0mm,0mm,0mm">
                    <w:txbxContent>
                      <w:p>
                        <w:r>
                          <w:rPr>
                            <w:rFonts w:hint="eastAsia"/>
                          </w:rPr>
                          <w:t>S</w:t>
                        </w:r>
                      </w:p>
                    </w:txbxContent>
                  </v:textbox>
                </v:shape>
              </w:pict>
            </w:r>
            <w:r>
              <w:rPr>
                <w:rFonts w:eastAsia="黑体"/>
                <w:sz w:val="24"/>
              </w:rPr>
              <w:pict>
                <v:shape id="_x0000_s2069" o:spid="_x0000_s2069" o:spt="32" type="#_x0000_t32" style="position:absolute;left:0pt;flip:x;margin-left:152.85pt;margin-top:79.3pt;height:25.8pt;width:0.1pt;z-index:251676672;mso-width-relative:page;mso-height-relative:page;" filled="f" coordsize="21600,21600">
                  <v:path arrowok="t"/>
                  <v:fill on="f" focussize="0,0"/>
                  <v:stroke dashstyle="dash" endarrow="block"/>
                  <v:imagedata o:title=""/>
                  <o:lock v:ext="edit"/>
                </v:shape>
              </w:pict>
            </w:r>
            <w:r>
              <w:rPr>
                <w:rFonts w:eastAsia="黑体"/>
                <w:sz w:val="24"/>
              </w:rPr>
              <w:pict>
                <v:shape id="自选图形 85" o:spid="_x0000_s2070" o:spt="61" type="#_x0000_t61" style="position:absolute;left:0pt;margin-left:254.2pt;margin-top:14.05pt;height:22.1pt;width:27.8pt;z-index:251666432;mso-width-relative:page;mso-height-relative:page;" stroked="f" coordsize="21600,21600" o:gfxdata="UEsDBAoAAAAAAIdO4kAAAAAAAAAAAAAAAAAEAAAAZHJzL1BLAwQUAAAACACHTuJAtMo+DtgAAAAJ&#10;AQAADwAAAGRycy9kb3ducmV2LnhtbE2PTUvEMBCG74L/IYzgzU1bt9tQO11kYUEvwu4KXrPN2Aab&#10;SWmyH/5740mPwzy87/M266sbxZnmYD0j5IsMBHHnjeUe4f2wfVAgQtRs9OiZEL4pwLq9vWl0bfyF&#10;d3Tex16kEA61RhhinGopQzeQ02HhJ+L0+/Sz0zGdcy/NrC8p3I2yyLKVdNpyahj0RJuBuq/9ySG8&#10;8ObNqo+qOJS7aPPn7WsVVIl4f5dnTyAiXeMfDL/6SR3a5HT0JzZBjAhlppYJRShUDiIB5WqZxh0R&#10;quIRZNvI/wvaH1BLAwQUAAAACACHTuJAS1IHitYBAACBAwAADgAAAGRycy9lMm9Eb2MueG1srVPL&#10;jtMwFN0j8Q+W99M8SkMVNZ3FjMoGwYiBD3BtJzHyS7bbpDt2iG9gx5J/YP5mJPiLuXYznQI7RBbO&#10;vfb18Tnn2qvLUUm0584LoxtczHKMuKaGCd01+MP7zcUSIx+IZkQazRt84B5frp8/Ww225qXpjWTc&#10;IQDRvh5sg/sQbJ1lnvZcET8zlmtYbI1TJEDquow5MgC6klmZ51U2GMesM5R7D7PXx0W8Tvhty2l4&#10;27aeByQbDNxCGl0at3HM1itSd47YXtCJBvkHFooIDYeeoK5JIGjnxF9QSlBnvGnDjBqVmbYVlCcN&#10;oKbI/1Bz2xPLkxYwx9uTTf7/wdI3+xuHBGvwfI6RJgp69PPz91+fvtx/vbv/8Q0tF9GjwfoaSm/t&#10;jZsyD2EUPLZOxT9IQWPy9XDylY8BUZicL+Z5Be5TWCqXefUy+Z49bbbOh1fcKBSDBg+cdfwd9O6K&#10;SGl2ITlL9q99SBaziSdhHwuMWiWhY3si0cWLsioTXejDWVF5XlQtqqKIkuD4CRKiRwIR3xsp2EZI&#10;mRLXba+kQ4Df4E36ps2/lUkdi7WJ247YcSaLth2NilEYt+Pk3tawA/i+s050PSg+MopF0OfEbbqT&#10;8SKd5wn06eWsH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0yj4O2AAAAAkBAAAPAAAAAAAAAAEA&#10;IAAAACIAAABkcnMvZG93bnJldi54bWxQSwECFAAUAAAACACHTuJAS1IHitYBAACBAwAADgAAAAAA&#10;AAABACAAAAAnAQAAZHJzL2Uyb0RvYy54bWxQSwUGAAAAAAYABgBZAQAAbwUAAAAA&#10;" adj="1593,24972">
                  <v:path/>
                  <v:fill focussize="0,0"/>
                  <v:stroke on="f" joinstyle="miter"/>
                  <v:imagedata o:title=""/>
                  <o:lock v:ext="edit"/>
                  <v:textbox>
                    <w:txbxContent>
                      <w:p>
                        <w:r>
                          <w:rPr>
                            <w:rFonts w:hint="eastAsia"/>
                          </w:rPr>
                          <w:t>N</w:t>
                        </w:r>
                      </w:p>
                    </w:txbxContent>
                  </v:textbox>
                </v:shape>
              </w:pict>
            </w:r>
            <w:r>
              <w:rPr>
                <w:rFonts w:eastAsia="黑体"/>
                <w:sz w:val="24"/>
              </w:rPr>
              <w:pict>
                <v:shape id="自选图形 82" o:spid="_x0000_s2071" o:spt="32" type="#_x0000_t32" style="position:absolute;left:0pt;flip:y;margin-left:266.2pt;margin-top:36.15pt;height:20.65pt;width:0pt;z-index:251664384;mso-width-relative:page;mso-height-relative:page;" filled="f" coordsize="21600,21600" o:gfxdata="UEsDBAoAAAAAAIdO4kAAAAAAAAAAAAAAAAAEAAAAZHJzL1BLAwQUAAAACACHTuJAcPDlHtQAAAAK&#10;AQAADwAAAGRycy9kb3ducmV2LnhtbE2PwU6EMBCG7ya+QzMm3twWUHaDlD2YePAo8ACFdimRTknb&#10;XVaf3jEe9DgzX/75/vp4dQu7mBBnjxKynQBmcPR6xklC370+HIDFpFCrxaOR8GkiHJvbm1pV2m/4&#10;bi5tmhiFYKyUBJvSWnEeR2uciju/GqTbyQenEo1h4jqojcLdwnMhSu7UjPTBqtW8WDN+tGcngQ8W&#10;w9ep68tNvK391up957SU93eZeAaWzDX9wfCjT+rQkNPgz6gjWyQ8FfkjoRL2eQGMgN/FQGRWlMCb&#10;mv+v0HwDUEsDBBQAAAAIAIdO4kA2ez775gEAAKMDAAAOAAAAZHJzL2Uyb0RvYy54bWytU0uOEzEQ&#10;3SNxB8t70kmjjIZWOrNIGDYIRuKzr9jubkv+qWzSyY4d4gzsWHIHuM1IcAvK7pDhIzaIXljl6lfP&#10;9Z7Lq6uDNWyvMGrvWr6YzTlTTnipXd/yVy+vH1xyFhM4CcY71fKjivxqff/eagyNqv3gjVTIiMTF&#10;ZgwtH1IKTVVFMSgLceaDcvSz82gh0Rb7SiKMxG5NVc/nF9XoUQb0QsVI2e30k68Lf9cpkZ53XVSJ&#10;mZZTb6msWNZdXqv1CpoeIQxanNqAf+jCgnZ06JlqCwnYG9R/UFkt0EffpZnwtvJdp4UqGkjNYv6b&#10;mhcDBFW0kDkxnG2K/49WPNvfINOy5Q8XnDmwdEdf33369vb97Ycvt58/sss6ezSG2BB0427wtIvh&#10;BrPgQ4eWdUaH13T9xQISxQ7F4ePZYXVITExJQdn6oq6Xy0xcTQyZKWBMT5S3LActjwlB90PaeOfo&#10;Gj1O7LB/GtNU+KMgFxvHxpY/WtZLzgTQIHUGEoU2kLTo+tJZ9EbLa21MrojY7zYG2R7yaJTv1NAv&#10;sHzIFuIw4SRFGQXNoEA+dpKlYyDLHA03zx1YJTkzit5CjgoygTZ3yIQaXG/+giY7jCNXst+Twzna&#10;eXksxpc8TULx7TS1edR+3pfqu7e1/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8OUe1AAAAAoB&#10;AAAPAAAAAAAAAAEAIAAAACIAAABkcnMvZG93bnJldi54bWxQSwECFAAUAAAACACHTuJANns+++YB&#10;AACjAwAADgAAAAAAAAABACAAAAAjAQAAZHJzL2Uyb0RvYy54bWxQSwUGAAAAAAYABgBZAQAAewUA&#10;AAAA&#10;">
                  <v:path arrowok="t"/>
                  <v:fill on="f" focussize="0,0"/>
                  <v:stroke dashstyle="dash" endarrow="block"/>
                  <v:imagedata o:title=""/>
                  <o:lock v:ext="edit"/>
                </v:shape>
              </w:pict>
            </w:r>
            <w:r>
              <w:rPr>
                <w:rFonts w:eastAsia="黑体"/>
                <w:sz w:val="24"/>
              </w:rPr>
              <w:pict>
                <v:shape id="自选图形 81" o:spid="_x0000_s2072" o:spt="32" type="#_x0000_t32" style="position:absolute;left:0pt;flip:y;margin-left:210.05pt;margin-top:36.15pt;height:20.65pt;width:0pt;z-index:251662336;mso-width-relative:page;mso-height-relative:page;" filled="f" coordsize="21600,21600" o:gfxdata="UEsDBAoAAAAAAIdO4kAAAAAAAAAAAAAAAAAEAAAAZHJzL1BLAwQUAAAACACHTuJAqBMJBtMAAAAK&#10;AQAADwAAAGRycy9kb3ducmV2LnhtbE2PwU6EMBCG7ya+QzMm3twW1rAGKXsw8eBR4AEKnaVEOiW0&#10;u6w+vWM86HFmvvzz/dXx6mdxwTVOgTRkOwUCaQh2olFD174+PIGIyZA1cyDU8IkRjvXtTWVKGzZ6&#10;x0uTRsEhFEujwaW0lFLGwaE3cRcWJL6dwupN4nEdpV3NxuF+lrlShfRmIv7gzIIvDoeP5uw1yN7R&#10;+nVqu2JTb0u3NfbQeqv1/V2mnkEkvKY/GH70WR1qdurDmWwUs4bHXGWMajjkexAM/C56JrN9AbKu&#10;5P8K9TdQSwMEFAAAAAgAh07iQKbr5FXmAQAAowMAAA4AAABkcnMvZTJvRG9jLnhtbK1TS44TMRDd&#10;I3EHy3vSSaOMhlY6s0gYNghG4rOv2O5uS/6pbNLJjh3iDOxYcge4zUhwC8rukOEjNoheWOXqV8/1&#10;nsurq4M1bK8wau9avpjNOVNOeKld3/JXL68fXHIWEzgJxjvV8qOK/Gp9/95qDI2q/eCNVMiIxMVm&#10;DC0fUgpNVUUxKAtx5oNy9LPzaCHRFvtKIozEbk1Vz+cX1ehRBvRCxUjZ7fSTrwt/1ymRnnddVImZ&#10;llNvqaxY1l1eq/UKmh4hDFqc2oB/6MKCdnTomWoLCdgb1H9QWS3QR9+lmfC28l2nhSoaSM1i/pua&#10;FwMEVbSQOTGcbYr/j1Y8298g07LlD8keB5bu6Ou7T9/evr/98OX280d2ucgejSE2BN24GzztYrjB&#10;LPjQoWWd0eE1XX+xgESxQ3H4eHZYHRITU1JQtr6o6+UyE1cTQ2YKGNMT5S3LQctjQtD9kDbeObpG&#10;jxM77J/GNBX+KMjFxrGx5Y+W9ZIzATRInYFEoQ0kLbq+dBa90fJaG5MrIva7jUG2hzwa5Ts19Ass&#10;H7KFOEw4SVFGQTMokI+dZOkYyDJHw81zB1ZJzoyit5CjgkygzR0yoQbXm7+gyQ7jyJXs9+RwjnZe&#10;HovxJU+TUHw7TW0etZ/3pfrub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gTCQbTAAAACgEA&#10;AA8AAAAAAAAAAQAgAAAAIgAAAGRycy9kb3ducmV2LnhtbFBLAQIUABQAAAAIAIdO4kCm6+RV5gEA&#10;AKMDAAAOAAAAAAAAAAEAIAAAACIBAABkcnMvZTJvRG9jLnhtbFBLBQYAAAAABgAGAFkBAAB6BQAA&#10;AAA=&#10;">
                  <v:path arrowok="t"/>
                  <v:fill on="f" focussize="0,0"/>
                  <v:stroke dashstyle="dash" endarrow="block"/>
                  <v:imagedata o:title=""/>
                  <o:lock v:ext="edit"/>
                </v:shape>
              </w:pict>
            </w:r>
            <w:r>
              <w:rPr>
                <w:rFonts w:eastAsia="黑体"/>
                <w:sz w:val="24"/>
              </w:rPr>
              <w:pict>
                <v:shape id="自选图形 80" o:spid="_x0000_s2073" o:spt="32" type="#_x0000_t32" style="position:absolute;left:0pt;flip:y;margin-left:151.45pt;margin-top:36.15pt;height:20.65pt;width:0pt;z-index:251661312;mso-width-relative:page;mso-height-relative:page;" filled="f" coordsize="21600,21600" o:gfxdata="UEsDBAoAAAAAAIdO4kAAAAAAAAAAAAAAAAAEAAAAZHJzL1BLAwQUAAAACACHTuJAcONNHNQAAAAK&#10;AQAADwAAAGRycy9kb3ducmV2LnhtbE2PwU6EMBCG7yb7Ds1s4s1tgYRVpOzBxINHgQcodJYS6ZS0&#10;3WX16a3xoMeZ+fLP99enm13YFX2YHUnIDgIY0uj0TJOEvnt9eAQWoiKtFkco4RMDnJrdXa0q7TZ6&#10;x2sbJ5ZCKFRKgolxrTgPo0GrwsGtSOl2dt6qmEY/ce3VlsLtwnMhSm7VTOmDUSu+GBw/2ouVwAdD&#10;/uvc9eUm3tZ+a/Wxs1rK+30mnoFFvMU/GH70kzo0yWlwF9KBLRIKkT8lVMIxL4Al4HcxJDIrSuBN&#10;zf9XaL4BUEsDBBQAAAAIAIdO4kDkRnIq5QEAAKMDAAAOAAAAZHJzL2Uyb0RvYy54bWytU0uOEzEQ&#10;3SNxB8t70pmWMpqJ0plFwrBBEInPvmK7uy35J5dJJzt2iDOwY8kd4DYjwS0ou0PCDGKD6IVVrq56&#10;rvf8vLjZW8N2KqL2ruEXkylnygkvtesa/ub17ZMrzjCBk2C8Uw0/KOQ3y8ePFkOYq9r33kgVGYE4&#10;nA+h4X1KYV5VKHplASc+KEc/Wx8tJNrGrpIRBkK3pqqn08tq8FGG6IVCpOx6/MmXBb9tlUgv2xZV&#10;YqbhNFsqayzrNq/VcgHzLkLotTiOAf8whQXt6NAT1BoSsHdR/wFltYgefZsmwtvKt60WqnAgNhfT&#10;B2xe9RBU4ULiYDjJhP8PVrzYbSLTsuH1NWcOLN3R9w9ffrz/ePfp293Xz+yqaDQEnFPpym0iKZZ3&#10;GDYxE9630bLW6PCWrr9IQKTYvih8OCms9omJMSkoW1/W9WyWxa9GhIwUIqZnyluWg4ZjiqC7Pq28&#10;c3SNPo7osHuOaWz81ZCbjWNDw69n9YwzAWSk1kCi0Aaihq4rk6E3Wt5qY3IHxm67MpHtIFujfMeB&#10;7pXlQ9aA/VgnKRo90yuQT51k6RBIMkfm5nkCqyRnRtFbyFFxVwJtzpUpanCd+Us1yWEcqXJWOEdb&#10;Lw9F+JInJxTdjq7NVvt9X7rPb2v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DjTRzUAAAACgEA&#10;AA8AAAAAAAAAAQAgAAAAIgAAAGRycy9kb3ducmV2LnhtbFBLAQIUABQAAAAIAIdO4kDkRnIq5QEA&#10;AKMDAAAOAAAAAAAAAAEAIAAAACMBAABkcnMvZTJvRG9jLnhtbFBLBQYAAAAABgAGAFkBAAB6BQAA&#10;AAA=&#10;">
                  <v:path arrowok="t"/>
                  <v:fill on="f" focussize="0,0"/>
                  <v:stroke dashstyle="dash" endarrow="block"/>
                  <v:imagedata o:title=""/>
                  <o:lock v:ext="edit"/>
                </v:shape>
              </w:pict>
            </w:r>
            <w:r>
              <w:rPr>
                <w:rFonts w:eastAsia="黑体"/>
                <w:sz w:val="24"/>
              </w:rPr>
              <w:pict>
                <v:shape id="文本框 61" o:spid="_x0000_s2074" o:spt="202" type="#_x0000_t202" style="position:absolute;left:0pt;margin-left:301.2pt;margin-top:56.8pt;height:20.5pt;width:39.35pt;z-index:251659264;mso-width-relative:page;mso-height-relative:page;" coordsize="21600,21600" o:gfxdata="UEsDBAoAAAAAAIdO4kAAAAAAAAAAAAAAAAAEAAAAZHJzL1BLAwQUAAAACACHTuJAtZ77T9kAAAAL&#10;AQAADwAAAGRycy9kb3ducmV2LnhtbE2PwU7DMAyG70i8Q2QkLogl3UoopekOSCC4wUBwzZqsrUic&#10;kmTdeHvMCY72/+n352Z99I7NNqYxoIJiIYBZ7IIZsVfw9np/WQFLWaPRLqBV8G0TrNvTk0bXJhzw&#10;xc6b3DMqwVRrBUPOU8156gbrdVqEySJluxC9zjTGnpuoD1TuHV8KIbnXI9KFQU/2brDd52bvFVTl&#10;4/yRnlbP753cuZt8cT0/fEWlzs8KcQss22P+g+FXn9ShJadt2KNJzCmQYlkSSkGxksCIkFVRANvS&#10;5qqUwNuG//+h/QFQSwMEFAAAAAgAh07iQC5xWtD0AQAA6QMAAA4AAABkcnMvZTJvRG9jLnhtbK1T&#10;S44TMRDdI3EHy3vSnTAJpJXOSBDCBgHSwAEq/nRb8k+2J925ANyAFRv2nCvnmLIzk5kBFgjRC3fZ&#10;fn5+9aq8uhyNJnsRonK2pdNJTYmwzHFlu5Z+/rR99pKSmMBy0M6Klh5EpJfrp09Wg2/EzPVOcxEI&#10;ktjYDL6lfUq+qarIemEgTpwXFjelCwYSTkNX8QADshtdzep6UQ0ucB8cEzHi6ua0SdeFX0rB0gcp&#10;o0hEtxS1pTKGMu7yWK1X0HQBfK/YrQz4BxUGlMVLz1QbSECug/qNyigWXHQyTZgzlZNSMVFywGym&#10;9S/ZXPXgRckFzYn+bFP8f7Ts/f5jIIq3dLagxILBGh2/fT1+/3n88YUsptmgwccGcVcekWl85UYs&#10;9N16xMWc9yiDyX/MiOA+Wn042yvGRBguXiyXLy7mlDDcmi3q5/Nif3V/2IeY3gpnSA5aGrB6xVTY&#10;v4sJhSD0DpLvik4rvlVal0nodq91IHvASm/LlzXikUcwbcnQ0uV8lnUANpzUkDA0Hi2Itiv3PToR&#10;HxLX5fsTcRa2gdifBBSGDIPGqCRCiXoB/I3lJB08umzxPdAsxghOiRb4fHJUkAmU/hskZqctJpkr&#10;dKpEjtK4G5EmhzvHD1i1ax9U16OlpW4Fjv1U3Lnt/dywD+eF9P6Frm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Z77T9kAAAALAQAADwAAAAAAAAABACAAAAAiAAAAZHJzL2Rvd25yZXYueG1sUEsB&#10;AhQAFAAAAAgAh07iQC5xWtD0AQAA6QMAAA4AAAAAAAAAAQAgAAAAKAEAAGRycy9lMm9Eb2MueG1s&#10;UEsFBgAAAAAGAAYAWQEAAI4FAAAAAA==&#10;">
                  <v:path/>
                  <v:fill focussize="0,0"/>
                  <v:stroke joinstyle="miter"/>
                  <v:imagedata o:title=""/>
                  <o:lock v:ext="edit"/>
                  <v:textbox>
                    <w:txbxContent>
                      <w:p>
                        <w:pPr>
                          <w:rPr>
                            <w:sz w:val="24"/>
                          </w:rPr>
                        </w:pPr>
                        <w:r>
                          <w:rPr>
                            <w:rFonts w:hint="eastAsia"/>
                            <w:sz w:val="24"/>
                          </w:rPr>
                          <w:t>成品</w:t>
                        </w:r>
                      </w:p>
                    </w:txbxContent>
                  </v:textbox>
                </v:shape>
              </w:pict>
            </w:r>
            <w:r>
              <w:rPr>
                <w:rFonts w:eastAsia="黑体"/>
                <w:sz w:val="24"/>
              </w:rPr>
              <w:pict>
                <v:shape id="自选图形 60" o:spid="_x0000_s2075" o:spt="32" type="#_x0000_t32" style="position:absolute;left:0pt;margin-left:284.4pt;margin-top:68.4pt;height:0pt;width:16.8pt;z-index:251660288;mso-width-relative:page;mso-height-relative:page;" filled="f" coordsize="21600,21600" o:gfxdata="UEsDBAoAAAAAAIdO4kAAAAAAAAAAAAAAAAAEAAAAZHJzL1BLAwQUAAAACACHTuJAznAFtNgAAAAL&#10;AQAADwAAAGRycy9kb3ducmV2LnhtbE2PT0vEMBDF74LfIYzgzU121bDWpgu6iL0ouCviMduMbbCZ&#10;lCb7z0/vCILeZuY93vxeuTiEXuxwTD6SgelEgUBqovPUGnhdP1zMQaRsydk+Eho4YoJFdXpS2sLF&#10;Pb3gbpVbwSGUCmugy3kopExNh8GmSRyQWPuIY7CZ17GVbrR7Dg+9nCmlZbCe+ENnB7zvsPlcbYOB&#10;vHw/dvqtubvxz+vHJ+2/6rpeGnN+NlW3IDIe8p8ZfvAZHSpm2sQtuSR6A9d6zuiZhUvNAzu0ml2B&#10;2PxeZFXK/x2qb1BLAwQUAAAACACHTuJAcdlxt90BAACaAwAADgAAAGRycy9lMm9Eb2MueG1srVNL&#10;jhMxEN0jcQfLe9JJRjOCVjqzSBg2CCIBB6j4023JP5VNOtmxQ5yBHUvuALcZCW5B2ZlJ+IgNohfu&#10;sqvqVdXz8+J67yzbKUwm+I7PJlPOlBdBGt93/M3rm0ePOUsZvAQbvOr4QSV+vXz4YDHGVs3DEKxU&#10;yAjEp3aMHR9yjm3TJDEoB2kSovLk1AEdZNpi30iEkdCdbebT6VUzBpQRg1Ap0en66OTLiq+1Evml&#10;1kllZjtOveW6Yl23ZW2WC2h7hDgYcdcG/EMXDoynoieoNWRgb9H8AeWMwJCCzhMRXBO0NkLVGWia&#10;2fS3aV4NEFWdhchJ8URT+n+w4sVug8zIjs8vOfPg6I6+vf/8/d2H249fb798YleVozGmlkJXfoPE&#10;WNmluMEy8F6jK38ahe0rr4cTr2qfmaDD+ezignCYuHc157yIKT9TwbFidDxlBNMPeRW8p8sLOKu0&#10;wu55ylSZEu8TSlHr2djxJ5eldwEkH20hk+kiDZR8X3NTsEbeGGtLRsJ+u7LIdlAEUb+iAcL9JawU&#10;WUMajnHVdZTKoEA+9ZLlQySmPGmalxackpxZRU+gWFVUGYw9R2Y04Hv7l2gqbz11cSa2WNsgD5Xv&#10;ek4CqH3eibUo7Od9zT4/qe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nAFtNgAAAALAQAADwAA&#10;AAAAAAABACAAAAAiAAAAZHJzL2Rvd25yZXYueG1sUEsBAhQAFAAAAAgAh07iQHHZcbfdAQAAmgMA&#10;AA4AAAAAAAAAAQAgAAAAJwEAAGRycy9lMm9Eb2MueG1sUEsFBgAAAAAGAAYAWQEAAHYFAAAAAA==&#10;">
                  <v:path arrowok="t"/>
                  <v:fill on="f" focussize="0,0"/>
                  <v:stroke endarrow="block"/>
                  <v:imagedata o:title=""/>
                  <o:lock v:ext="edit"/>
                </v:shape>
              </w:pict>
            </w:r>
            <w:r>
              <w:rPr>
                <w:rFonts w:eastAsia="黑体"/>
                <w:sz w:val="24"/>
              </w:rPr>
              <w:pict>
                <v:shape id="文本框 59" o:spid="_x0000_s2076" o:spt="202" type="#_x0000_t202" style="position:absolute;left:0pt;margin-left:245.05pt;margin-top:56.8pt;height:20.5pt;width:39.35pt;z-index:251658240;mso-width-relative:page;mso-height-relative:page;" coordsize="21600,21600" o:gfxdata="UEsDBAoAAAAAAIdO4kAAAAAAAAAAAAAAAAAEAAAAZHJzL1BLAwQUAAAACACHTuJAysvEa9oAAAAL&#10;AQAADwAAAGRycy9kb3ducmV2LnhtbE2PzU7DMBCE70i8g7VIXBC1Q9OQhjg9IIHgVkpVrm68TSL8&#10;E2w3LW/PcoLjznyanalXZ2vYhCEO3knIZgIYutbrwXUStu9PtyWwmJTTyniHEr4xwqq5vKhVpf3J&#10;veG0SR2jEBcrJaFPaaw4j22PVsWZH9GRd/DBqkRn6LgO6kTh1vA7IQpu1eDoQ69GfOyx/dwcrYQy&#10;f5k+4ut8vWuLg1mmm/vp+StIeX2ViQdgCc/pD4bf+lQdGuq090enIzMS8qXICCUjmxfAiFgUJY3Z&#10;k7LIC+BNzf9vaH4AUEsDBBQAAAAIAIdO4kBGrY3E8wEAAOkDAAAOAAAAZHJzL2Uyb0RvYy54bWyt&#10;U0uOEzEQ3SNxB8t70j0hGUgrnZEghA0CpIEDVPzptuSfbE+6cwG4ASs27DlXzjFlZybzY4EQvXCX&#10;7efnV6/Ky4vRaLITISpnW3o2qSkRljmubNfSr182L15TEhNYDtpZ0dK9iPRi9fzZcvCNmLreaS4C&#10;QRIbm8G3tE/JN1UVWS8MxInzwuKmdMFAwmnoKh5gQHajq2ldn1eDC9wHx0SMuLo+btJV4ZdSsPRJ&#10;yigS0S1FbamMoYzbPFarJTRdAN8rdiMD/kGFAWXx0hPVGhKQq6CeUBnFgotOpglzpnJSKiZKDpjN&#10;Wf0om8sevCi5oDnRn2yK/4+Wfdx9DkTxlk5nlFgwWKPDj++Hn78Pv76R+SIbNPjYIO7SIzKNb9yI&#10;hb5dj7iY8x5lMPmPGRHcR6v3J3vFmAjDxdli8Wo2p4Th1vS8fjkv9ld3h32I6b1whuSgpQGrV0yF&#10;3YeYUAhCbyH5rui04huldZmEbvtWB7IDrPSmfFkjHnkA05YMLV3Mp1kHYMNJDQlD49GCaLty34MT&#10;8T5xXb4/EWdha4j9UUBhyDBojEoilKgXwN9ZTtLeo8sW3wPNYozglGiBzydHBZlA6b9BYnbaYpK5&#10;QsdK5CiN2xFpcrh1fI9Vu/JBdT1aWupW4NhPxZ2b3s8Ne39eSO9e6O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svEa9oAAAALAQAADwAAAAAAAAABACAAAAAiAAAAZHJzL2Rvd25yZXYueG1sUEsB&#10;AhQAFAAAAAgAh07iQEatjcTzAQAA6QMAAA4AAAAAAAAAAQAgAAAAKQEAAGRycy9lMm9Eb2MueG1s&#10;UEsFBgAAAAAGAAYAWQEAAI4FAAAAAA==&#10;">
                  <v:path/>
                  <v:fill focussize="0,0"/>
                  <v:stroke joinstyle="miter"/>
                  <v:imagedata o:title=""/>
                  <o:lock v:ext="edit"/>
                  <v:textbox>
                    <w:txbxContent>
                      <w:p>
                        <w:pPr>
                          <w:rPr>
                            <w:sz w:val="24"/>
                          </w:rPr>
                        </w:pPr>
                        <w:r>
                          <w:rPr>
                            <w:rFonts w:hint="eastAsia"/>
                            <w:sz w:val="24"/>
                          </w:rPr>
                          <w:t>组装</w:t>
                        </w:r>
                      </w:p>
                    </w:txbxContent>
                  </v:textbox>
                </v:shape>
              </w:pict>
            </w:r>
            <w:r>
              <w:rPr>
                <w:rFonts w:eastAsia="黑体"/>
                <w:sz w:val="24"/>
              </w:rPr>
              <w:pict>
                <v:shape id="自选图形 58" o:spid="_x0000_s2077" o:spt="32" type="#_x0000_t32" style="position:absolute;left:0pt;margin-left:228.25pt;margin-top:66.85pt;height:0pt;width:16.8pt;z-index:251657216;mso-width-relative:page;mso-height-relative:page;" filled="f" coordsize="21600,21600" o:gfxdata="UEsDBAoAAAAAAIdO4kAAAAAAAAAAAAAAAAAEAAAAZHJzL1BLAwQUAAAACACHTuJA2zb/sdoAAAAL&#10;AQAADwAAAGRycy9kb3ducmV2LnhtbE2PTUsDMRCG74L/IYzgzSZr261dN1vQIu6lgm0Rj+lm3AQ3&#10;ybJJv/z1jiDoceZ9eOeZcnFyHTvgEG3wErKRAIa+Cdr6VsJ283RzBywm5bXqgkcJZ4ywqC4vSlXo&#10;cPSveFinllGJj4WSYFLqC85jY9CpOAo9eso+wuBUonFouR7Ukcpdx2+FyLlT1tMFo3p8NNh8rvdO&#10;Qlq+n03+1jzM7cvmeZXbr7qul1JeX2XiHljCU/qD4Uef1KEip13Yex1ZJ2EyzaeEUjAez4ARMZmL&#10;DNjud8Orkv//ofoGUEsDBBQAAAAIAIdO4kC7/r0Y4QEAAJoDAAAOAAAAZHJzL2Uyb0RvYy54bWyt&#10;U0uOEzEQ3SNxB8t70kmPMhpa6cwiYdggGAk4QMV2d1vyTy6TTnbsEGdgx5I7wG1GGm5B2ckkfMQG&#10;0Qt32VX1qt5zeXG9s4ZtVUTtXctnkylnygkvtetb/vbNzZMrzjCBk2C8Uy3fK+TXy8ePFmNoVO0H&#10;b6SKjEAcNmNo+ZBSaKoKxaAs4MQH5cjZ+Wgh0Tb2lYwwEro1VT2dXlajjzJELxQina4PTr4s+F2n&#10;RHrVdagSMy2n3lJZY1k3ea2WC2j6CGHQ4tgG/EMXFrSjoieoNSRg76L+A8pqET36Lk2Et5XvOi1U&#10;4UBsZtPf2LweIKjChcTBcJIJ/x+seLm9jUzLltc1Zw4s3dH9hy/f33+8+/Tt7utnNr/KGo0BGwpd&#10;udt43GG4jZnwros2/4kK2xVd9ydd1S4xQYf17OLiktQXD67qnBcipufKW5aNlmOKoPshrbxzdHk+&#10;zoqssH2BiSpT4kNCLmocG1v+dF7PCRxofDoDiUwbiBC6vuSiN1reaGNyBsZ+szKRbSEPRPkyP8L9&#10;JSwXWQMOh7jiOozKoEA+c5KlfSClHM00zy1YJTkzip5AtggQmgTanCNT1OB685doKm8cdZFlPgib&#10;rY2X+6J3OacBKH0ehzVP2M/7kn1+Us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zb/sdoAAAAL&#10;AQAADwAAAAAAAAABACAAAAAiAAAAZHJzL2Rvd25yZXYueG1sUEsBAhQAFAAAAAgAh07iQLv+vRjh&#10;AQAAmgMAAA4AAAAAAAAAAQAgAAAAKQEAAGRycy9lMm9Eb2MueG1sUEsFBgAAAAAGAAYAWQEAAHwF&#10;AAAAAA==&#10;">
                  <v:path arrowok="t"/>
                  <v:fill on="f" focussize="0,0"/>
                  <v:stroke endarrow="block"/>
                  <v:imagedata o:title=""/>
                  <o:lock v:ext="edit"/>
                </v:shape>
              </w:pict>
            </w:r>
            <w:r>
              <w:rPr>
                <w:rFonts w:eastAsia="黑体"/>
                <w:sz w:val="24"/>
              </w:rPr>
              <w:pict>
                <v:shape id="文本框 57" o:spid="_x0000_s2078" o:spt="202" type="#_x0000_t202" style="position:absolute;left:0pt;margin-left:188.9pt;margin-top:56.8pt;height:21.2pt;width:39.35pt;z-index:251656192;mso-width-relative:page;mso-height-relative:page;" coordsize="21600,21600" o:gfxdata="UEsDBAoAAAAAAIdO4kAAAAAAAAAAAAAAAAAEAAAAZHJzL1BLAwQUAAAACACHTuJARzmpENoAAAAL&#10;AQAADwAAAGRycy9kb3ducmV2LnhtbE2PwU7DMBBE70j8g7VIXBC1QxqnhDg9IIHgVgqCqxu7SUS8&#10;Drablr9nOcFxdkYzb+v1yY1stiEOHhVkCwHMYuvNgJ2Ct9eH6xWwmDQaPXq0Cr5thHVzflbryvgj&#10;vth5mzpGJRgrraBPaao4j21vnY4LP1kkb++D04lk6LgJ+kjlbuQ3Qkju9IC00OvJ3ve2/dwenILV&#10;8mn+iM/55r2V+/E2XZXz41dQ6vIiE3fAkj2lvzD84hM6NMS08wc0kY0K8rIk9ERGlktglFgWsgC2&#10;o0shBfCm5v9/aH4AUEsDBBQAAAAIAIdO4kB7g+lS9AEAAOkDAAAOAAAAZHJzL2Uyb0RvYy54bWyt&#10;U0uOEzEQ3SNxB8t70kkrmSGtdEaCEDYIkAYOUPGn25J/sj3pzgXgBqzYsOdcOceUnZnMDLBAiF64&#10;y/bz86tX5dXVaDTZixCVsy2dTaaUCMscV7Zr6edP2xcvKYkJLAftrGjpQUR6tX7+bDX4RtSud5qL&#10;QJDExmbwLe1T8k1VRdYLA3HivLC4KV0wkHAauooHGJDd6KqeTi+qwQXug2MiRlzdnDbpuvBLKVj6&#10;IGUUieiWorZUxlDGXR6r9QqaLoDvFbuTAf+gwoCyeOmZagMJyE1Qv1EZxYKLTqYJc6ZyUiomSg6Y&#10;zWz6SzbXPXhRckFzoj/bFP8fLXu//xiI4i2tZ5RYMFij47evx+8/jz++kMVlNmjwsUHctUdkGl+5&#10;EQt9vx5xMec9ymDyHzMiuI9WH872ijERhovz5fJyvqCE4VZ9saznxf7q4bAPMb0VzpActDRg9Yqp&#10;sH8XEwpB6D0k3xWdVnyrtC6T0O1e60D2gJXeli9rxCNPYNqSoaXLRZ11ADac1JAwNB4tiLYr9z05&#10;ER8TT8v3J+IsbAOxPwkoDBkGjVFJhBL1Avgby0k6eHTZ4nugWYwRnBIt8PnkqCATKP03SMxOW0wy&#10;V+hUiRylcTciTQ53jh+wajc+qK5HS0vdChz7qbhz1/u5YR/PC+nDC13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c5qRDaAAAACwEAAA8AAAAAAAAAAQAgAAAAIgAAAGRycy9kb3ducmV2LnhtbFBL&#10;AQIUABQAAAAIAIdO4kB7g+lS9AEAAOkDAAAOAAAAAAAAAAEAIAAAACkBAABkcnMvZTJvRG9jLnht&#10;bFBLBQYAAAAABgAGAFkBAACPBQAAAAA=&#10;">
                  <v:path/>
                  <v:fill focussize="0,0"/>
                  <v:stroke joinstyle="miter"/>
                  <v:imagedata o:title=""/>
                  <o:lock v:ext="edit"/>
                  <v:textbox>
                    <w:txbxContent>
                      <w:p>
                        <w:pPr>
                          <w:rPr>
                            <w:sz w:val="24"/>
                          </w:rPr>
                        </w:pPr>
                        <w:r>
                          <w:rPr>
                            <w:rFonts w:hint="eastAsia"/>
                            <w:sz w:val="24"/>
                          </w:rPr>
                          <w:t>焊接</w:t>
                        </w:r>
                      </w:p>
                    </w:txbxContent>
                  </v:textbox>
                </v:shape>
              </w:pict>
            </w:r>
            <w:r>
              <w:rPr>
                <w:rFonts w:eastAsia="黑体"/>
                <w:sz w:val="24"/>
              </w:rPr>
              <w:pict>
                <v:shape id="自选图形 56" o:spid="_x0000_s2079" o:spt="32" type="#_x0000_t32" style="position:absolute;left:0pt;margin-left:172.1pt;margin-top:66.85pt;height:0pt;width:16.8pt;z-index:251655168;mso-width-relative:page;mso-height-relative:page;" filled="f" coordsize="21600,21600" o:gfxdata="UEsDBAoAAAAAAIdO4kAAAAAAAAAAAAAAAAAEAAAAZHJzL1BLAwQUAAAACACHTuJAwBskh9kAAAAL&#10;AQAADwAAAGRycy9kb3ducmV2LnhtbE2PT0vDQBDF74LfYRnBm920KUmN2RS0iLko2BbxuM2O2WB2&#10;NmS3//z0jiDocd778ea9cnlyvTjgGDpPCqaTBARS401HrYLt5vFmASJETUb3nlDBGQMsq8uLUhfG&#10;H+kVD+vYCg6hUGgFNsahkDI0Fp0OEz8gsffhR6cjn2MrzaiPHO56OUuSTDrdEX+wesAHi83neu8U&#10;xNX72WZvzf1t97J5es66r7quV0pdX02TOxART/EPhp/6XB0q7rTzezJB9ArS+XzGKBtpmoNgIs1z&#10;HrP7VWRVyv8bqm9QSwMEFAAAAAgAh07iQHBM0PXgAQAAmgMAAA4AAABkcnMvZTJvRG9jLnhtbK1T&#10;S44TMRDdI3EHy3vSSUaJoJXOLBKGDYJIwAEqtrvbkn8qm3SyY4c4AzuW3AFuMxLcgrKTSWBGbBC9&#10;cJddVa/qPZcX13tr2E5h1N41fDIac6ac8FK7ruHv3t48ecpZTOAkGO9Uww8q8uvl40eLIdRq6ntv&#10;pEJGIC7WQ2h4n1KoqyqKXlmIIx+UI2fr0UKiLXaVRBgI3ZpqOh7Pq8GjDOiFipFO10cnXxb8tlUi&#10;vW7bqBIzDafeUlmxrNu8VssF1B1C6LU4tQH/0IUF7ajoGWoNCdh71A+grBboo2/TSHhb+bbVQhUO&#10;xGYyvsfmTQ9BFS4kTgxnmeL/gxWvdhtkWjZ8SvI4sHRHPz5+/fnh0+3n77ffvrDZPGs0hFhT6Mpt&#10;8LSLYYOZ8L5Fm/9Ehe2LroezrmqfmKDD6eTqak7w4s5VXfICxvRCecuy0fCYEHTXp5V3ji7P46TI&#10;CruXMVFlSrxLyEWNY0PDn82mMwIHGp/WQCLTBiIUXVdyozda3mhjckbEbrsyyHaQB6J8mR/h/hGW&#10;i6wh9se44jqOSq9APneSpUMgpRzNNM8tWCU5M4qeQLYIEOoE2lwiE2pwnflLNJU3jrrIMh+FzdbW&#10;y0PRu5zTAJQ+T8OaJ+z3fcm+PKn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AbJIfZAAAACwEA&#10;AA8AAAAAAAAAAQAgAAAAIgAAAGRycy9kb3ducmV2LnhtbFBLAQIUABQAAAAIAIdO4kBwTND14AEA&#10;AJoDAAAOAAAAAAAAAAEAIAAAACgBAABkcnMvZTJvRG9jLnhtbFBLBQYAAAAABgAGAFkBAAB6BQAA&#10;AAA=&#10;">
                  <v:path arrowok="t"/>
                  <v:fill on="f" focussize="0,0"/>
                  <v:stroke endarrow="block"/>
                  <v:imagedata o:title=""/>
                  <o:lock v:ext="edit"/>
                </v:shape>
              </w:pict>
            </w:r>
            <w:r>
              <w:rPr>
                <w:rFonts w:eastAsia="黑体"/>
                <w:sz w:val="24"/>
              </w:rPr>
              <w:pict>
                <v:shape id="文本框 55" o:spid="_x0000_s2080" o:spt="202" type="#_x0000_t202" style="position:absolute;left:0pt;margin-left:132.75pt;margin-top:56.8pt;height:21.7pt;width:39.35pt;z-index:251654144;mso-width-relative:page;mso-height-relative:page;" coordsize="21600,21600" o:gfxdata="UEsDBAoAAAAAAIdO4kAAAAAAAAAAAAAAAAAEAAAAZHJzL1BLAwQUAAAACACHTuJApMw00NkAAAAL&#10;AQAADwAAAGRycy9kb3ducmV2LnhtbE2Py07DMBBF90j8gzVIbBB13i0hThdIINhBQe3Wjd0kwh4H&#10;203L3zOsYDlzj+6cadZna9isfRgdCkgXCTCNnVMj9gI+3h9vV8BClKikcagFfOsA6/byopG1cid8&#10;0/Mm9oxKMNRSwBDjVHMeukFbGRZu0kjZwXkrI42+58rLE5Vbw7MkqbiVI9KFQU76YdDd5+ZoBayK&#10;53kXXvLXbVcdzF28Wc5PX16I66s0uQcW9Tn+wfCrT+rQktPeHVEFZgRkVVkSSkGaV8CIyIsiA7an&#10;TblMgLcN//9D+wNQSwMEFAAAAAgAh07iQIsXOp/zAQAA6QMAAA4AAABkcnMvZTJvRG9jLnhtbK1T&#10;y24TMRTdI/EPlvdk0qhDmVEmlSCEDQKkwgfc+DFjyS/ZbmbyA/AHrNiw57vyHVw7bdrSLhBiFp5r&#10;+/j43HOvl5eT0WQnQlTOdvRsNqdEWOa4sn1Hv3zevHhFSUxgOWhnRUf3ItLL1fNny9G3YuEGp7kI&#10;BElsbEff0SEl31ZVZIMwEGfOC4ub0gUDCaehr3iAEdmNrhbz+ctqdIH74JiIEVfXx026KvxSCpY+&#10;ShlFIrqjqC2VMZRxm8dqtYS2D+AHxW5kwD+oMKAsXnqiWkMCch3UIyqjWHDRyTRjzlROSsVEyQGz&#10;OZv/kc3VAF6UXNCc6E82xf9Hyz7sPgWiONauocSCwRodvn87/Ph1+PmV1HU2aPSxRdyVR2SaXrsJ&#10;wbfrERdz3pMMJv8xI4L7aPX+ZK+YEmG4eN40F+c1JQy3Fhd13RT7q7vDPsT0TjhDctDRgNUrpsLu&#10;fUwoBKG3kHxXdFrxjdK6TEK/faMD2QFWelO+rBGPPIBpS8aONvUi6wBsOKkhYWg8WhBtX+57cCLe&#10;J56X7yniLGwNcTgKKAwZBq1RSYQSDQL4W8tJ2nt02eJ7oFmMEZwSLfD55KggEyj9N0jMTltMMlfo&#10;WIkcpWk7IU0Ot47vsWrXPqh+QEtL3Qoc+6m4c9P7uWHvzwvp3Qt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zDTQ2QAAAAsBAAAPAAAAAAAAAAEAIAAAACIAAABkcnMvZG93bnJldi54bWxQSwEC&#10;FAAUAAAACACHTuJAixc6n/MBAADpAwAADgAAAAAAAAABACAAAAAoAQAAZHJzL2Uyb0RvYy54bWxQ&#10;SwUGAAAAAAYABgBZAQAAjQUAAAAA&#10;">
                  <v:path/>
                  <v:fill focussize="0,0"/>
                  <v:stroke joinstyle="miter"/>
                  <v:imagedata o:title=""/>
                  <o:lock v:ext="edit"/>
                  <v:textbox>
                    <w:txbxContent>
                      <w:p>
                        <w:pPr>
                          <w:rPr>
                            <w:sz w:val="24"/>
                          </w:rPr>
                        </w:pPr>
                        <w:r>
                          <w:rPr>
                            <w:rFonts w:hint="eastAsia"/>
                            <w:sz w:val="24"/>
                          </w:rPr>
                          <w:t>切割</w:t>
                        </w:r>
                      </w:p>
                    </w:txbxContent>
                  </v:textbox>
                </v:shape>
              </w:pict>
            </w:r>
            <w:r>
              <w:rPr>
                <w:rFonts w:eastAsia="黑体"/>
                <w:sz w:val="24"/>
              </w:rPr>
              <w:pict>
                <v:shape id="自选图形 54" o:spid="_x0000_s2081" o:spt="32" type="#_x0000_t32" style="position:absolute;left:0pt;margin-left:115.95pt;margin-top:66.85pt;height:0pt;width:16.8pt;z-index:251653120;mso-width-relative:page;mso-height-relative:page;" filled="f" coordsize="21600,21600" o:gfxdata="UEsDBAoAAAAAAIdO4kAAAAAAAAAAAAAAAAAEAAAAZHJzL1BLAwQUAAAACACHTuJAyLY0mdkAAAAL&#10;AQAADwAAAGRycy9kb3ducmV2LnhtbE2PTUvEMBCG74L/IYzgzU0/2OrWpgu6iL0ouCviMduOTbCZ&#10;lCb75a93BEGPM+/DO89Uy6MbxB6nYD0pSGcJCKTWd5Z6Ba+bh6sbECFq6vTgCRWcMMCyPj+rdNn5&#10;A73gfh17wSUUSq3AxDiWUobWoNNh5kckzj785HTkceplN+kDl7tBZklSSKct8QWjR7w32H6ud05B&#10;XL2fTPHW3i3s8+bxqbBfTdOslLq8SJNbEBGP8Q+GH31Wh5qdtn5HXRCDgixPF4xykOfXIJjIivkc&#10;xPZ3I+tK/v+h/gZQSwMEFAAAAAgAh07iQDAZq0XhAQAAmgMAAA4AAABkcnMvZTJvRG9jLnhtbK1T&#10;S44TMRDdI3EHy3vSSYaMmFY6s0gYNggiAQeo2O5uS/7JZdLJjh3iDOxYcge4zUjDLSg7mWQAsUH0&#10;wl22q17Ve1WeX++sYVsVUXvX8MlozJlywkvtuoa/e3vz5BlnmMBJMN6phu8V8uvF40fzIdRq6ntv&#10;pIqMQBzWQ2h4n1KoqwpFryzgyAfl6LL10UKibewqGWEgdGuq6Xh8WQ0+yhC9UIh0ujpc8kXBb1sl&#10;0uu2RZWYaTjVlsoay7rJa7WYQ91FCL0WxzLgH6qwoB0lPUGtIAF7H/UfUFaL6NG3aSS8rXzbaqEK&#10;B2IzGf/G5k0PQRUuJA6Gk0z4/2DFq+06Mi2pd9QpB5Z6dPfx648Pn24/f7/99oXNnmaNhoA1uS7d&#10;Oh53GNYxE9610eY/UWG7ouv+pKvaJSbocDq5uLgk9cX9VXWOCxHTC+Uty0bDMUXQXZ+W3jlqno+T&#10;IitsX2KizBR4H5CTGseGhl/NpjMCBxqf1kAi0wYihK4rseiNljfamByBsdssTWRbyANRvsyPcH9x&#10;y0lWgP3Br1wdRqVXIJ87ydI+kFKOZprnEqySnBlFTyBbBAh1Am3OnilqcJ35izelN46qyDIfhM3W&#10;xst90buc0wCUOo/Dmifs4b5En5/U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tjSZ2QAAAAsB&#10;AAAPAAAAAAAAAAEAIAAAACIAAABkcnMvZG93bnJldi54bWxQSwECFAAUAAAACACHTuJAMBmrReEB&#10;AACaAwAADgAAAAAAAAABACAAAAAoAQAAZHJzL2Uyb0RvYy54bWxQSwUGAAAAAAYABgBZAQAAewUA&#10;AAAA&#10;">
                  <v:path arrowok="t"/>
                  <v:fill on="f" focussize="0,0"/>
                  <v:stroke endarrow="block"/>
                  <v:imagedata o:title=""/>
                  <o:lock v:ext="edit"/>
                </v:shape>
              </w:pict>
            </w:r>
            <w:r>
              <w:rPr>
                <w:rFonts w:eastAsia="黑体"/>
                <w:sz w:val="24"/>
              </w:rPr>
              <w:t xml:space="preserve">  </w:t>
            </w:r>
            <w:r>
              <w:drawing>
                <wp:inline distT="0" distB="0" distL="0" distR="0">
                  <wp:extent cx="5345430" cy="1664970"/>
                  <wp:effectExtent l="0" t="0" r="7620" b="11430"/>
                  <wp:docPr id="2" name="图片 1" descr="C:\Users\ADMINI~1\AppData\Local\Temp\ksohtml47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ksohtml4720\wps1.png"/>
                          <pic:cNvPicPr>
                            <a:picLocks noChangeAspect="1" noChangeArrowheads="1"/>
                          </pic:cNvPicPr>
                        </pic:nvPicPr>
                        <pic:blipFill>
                          <a:blip r:embed="rId17" cstate="print"/>
                          <a:srcRect/>
                          <a:stretch>
                            <a:fillRect/>
                          </a:stretch>
                        </pic:blipFill>
                        <pic:spPr>
                          <a:xfrm>
                            <a:off x="0" y="0"/>
                            <a:ext cx="5346210" cy="1665622"/>
                          </a:xfrm>
                          <a:prstGeom prst="rect">
                            <a:avLst/>
                          </a:prstGeom>
                          <a:noFill/>
                          <a:ln w="9525">
                            <a:noFill/>
                            <a:miter lim="800000"/>
                            <a:headEnd/>
                            <a:tailEnd/>
                          </a:ln>
                        </pic:spPr>
                      </pic:pic>
                    </a:graphicData>
                  </a:graphic>
                </wp:inline>
              </w:drawing>
            </w:r>
          </w:p>
          <w:p>
            <w:pPr>
              <w:tabs>
                <w:tab w:val="left" w:pos="2775"/>
                <w:tab w:val="center" w:pos="4683"/>
              </w:tabs>
              <w:adjustRightInd w:val="0"/>
              <w:snapToGrid w:val="0"/>
              <w:spacing w:line="440" w:lineRule="exact"/>
              <w:rPr>
                <w:sz w:val="24"/>
              </w:rPr>
            </w:pPr>
            <w:r>
              <w:rPr>
                <w:b/>
                <w:bCs/>
                <w:color w:val="000000"/>
                <w:sz w:val="18"/>
                <w:szCs w:val="18"/>
              </w:rPr>
              <w:t xml:space="preserve">图例：S：固废；G：废气；N：噪声 </w:t>
            </w:r>
          </w:p>
          <w:p>
            <w:pPr>
              <w:tabs>
                <w:tab w:val="left" w:pos="2775"/>
                <w:tab w:val="center" w:pos="4683"/>
              </w:tabs>
              <w:adjustRightInd w:val="0"/>
              <w:snapToGrid w:val="0"/>
              <w:spacing w:line="440" w:lineRule="exact"/>
              <w:ind w:firstLine="2160" w:firstLineChars="900"/>
              <w:rPr>
                <w:rFonts w:eastAsia="黑体"/>
                <w:sz w:val="24"/>
              </w:rPr>
            </w:pPr>
            <w:r>
              <w:rPr>
                <w:rFonts w:eastAsia="黑体"/>
                <w:sz w:val="24"/>
              </w:rPr>
              <w:t>图3    生产工艺流程及产污环节示意图</w:t>
            </w:r>
          </w:p>
          <w:p>
            <w:pPr>
              <w:adjustRightInd w:val="0"/>
              <w:snapToGrid w:val="0"/>
              <w:spacing w:line="440" w:lineRule="exact"/>
              <w:textAlignment w:val="baseline"/>
              <w:rPr>
                <w:rFonts w:eastAsiaTheme="minorEastAsia"/>
                <w:b/>
                <w:bCs/>
                <w:sz w:val="24"/>
              </w:rPr>
            </w:pPr>
            <w:r>
              <w:rPr>
                <w:rFonts w:eastAsiaTheme="minorEastAsia"/>
                <w:b/>
                <w:bCs/>
                <w:sz w:val="24"/>
              </w:rPr>
              <w:t>工艺流程说明：</w:t>
            </w:r>
          </w:p>
          <w:p>
            <w:pPr>
              <w:adjustRightInd w:val="0"/>
              <w:snapToGrid w:val="0"/>
              <w:spacing w:line="440" w:lineRule="exact"/>
              <w:ind w:firstLine="482" w:firstLineChars="200"/>
              <w:contextualSpacing/>
              <w:rPr>
                <w:b/>
                <w:bCs/>
                <w:sz w:val="24"/>
              </w:rPr>
            </w:pPr>
            <w:r>
              <w:rPr>
                <w:b/>
                <w:bCs/>
                <w:sz w:val="24"/>
              </w:rPr>
              <w:t>切割：</w:t>
            </w:r>
          </w:p>
          <w:p>
            <w:pPr>
              <w:adjustRightInd w:val="0"/>
              <w:snapToGrid w:val="0"/>
              <w:spacing w:line="440" w:lineRule="exact"/>
              <w:ind w:firstLine="480" w:firstLineChars="200"/>
              <w:contextualSpacing/>
              <w:rPr>
                <w:sz w:val="24"/>
              </w:rPr>
            </w:pPr>
            <w:r>
              <w:rPr>
                <w:rFonts w:hint="eastAsia"/>
                <w:sz w:val="24"/>
              </w:rPr>
              <w:t>镀锌方管、铝合金立柱经</w:t>
            </w:r>
            <w:r>
              <w:rPr>
                <w:sz w:val="24"/>
              </w:rPr>
              <w:t>切割机、电锯切割成所需长度，其间会产生切割烟尘。</w:t>
            </w:r>
          </w:p>
          <w:p>
            <w:pPr>
              <w:adjustRightInd w:val="0"/>
              <w:snapToGrid w:val="0"/>
              <w:spacing w:line="440" w:lineRule="exact"/>
              <w:ind w:firstLine="482" w:firstLineChars="200"/>
              <w:contextualSpacing/>
              <w:rPr>
                <w:b/>
                <w:bCs/>
                <w:sz w:val="24"/>
              </w:rPr>
            </w:pPr>
            <w:r>
              <w:rPr>
                <w:b/>
                <w:bCs/>
                <w:sz w:val="24"/>
              </w:rPr>
              <w:t>焊接：</w:t>
            </w:r>
          </w:p>
          <w:p>
            <w:pPr>
              <w:adjustRightInd w:val="0"/>
              <w:snapToGrid w:val="0"/>
              <w:spacing w:line="440" w:lineRule="exact"/>
              <w:ind w:firstLine="480" w:firstLineChars="200"/>
              <w:contextualSpacing/>
              <w:rPr>
                <w:sz w:val="24"/>
              </w:rPr>
            </w:pPr>
            <w:r>
              <w:rPr>
                <w:sz w:val="24"/>
              </w:rPr>
              <w:t>需要焊接的管</w:t>
            </w:r>
            <w:r>
              <w:rPr>
                <w:rFonts w:hint="eastAsia"/>
                <w:sz w:val="24"/>
              </w:rPr>
              <w:t>材经</w:t>
            </w:r>
            <w:r>
              <w:rPr>
                <w:sz w:val="24"/>
              </w:rPr>
              <w:t>台式电焊机、二保焊</w:t>
            </w:r>
            <w:r>
              <w:rPr>
                <w:rFonts w:hint="eastAsia"/>
                <w:sz w:val="24"/>
              </w:rPr>
              <w:t>机</w:t>
            </w:r>
            <w:r>
              <w:rPr>
                <w:sz w:val="24"/>
              </w:rPr>
              <w:t>焊接成所需样式。</w:t>
            </w:r>
          </w:p>
          <w:p>
            <w:pPr>
              <w:adjustRightInd w:val="0"/>
              <w:snapToGrid w:val="0"/>
              <w:spacing w:line="440" w:lineRule="exact"/>
              <w:ind w:firstLine="482" w:firstLineChars="200"/>
              <w:contextualSpacing/>
              <w:rPr>
                <w:sz w:val="24"/>
              </w:rPr>
            </w:pPr>
            <w:r>
              <w:rPr>
                <w:b/>
                <w:sz w:val="24"/>
              </w:rPr>
              <w:t>组装</w:t>
            </w:r>
            <w:r>
              <w:rPr>
                <w:sz w:val="24"/>
              </w:rPr>
              <w:t>：</w:t>
            </w:r>
          </w:p>
          <w:p>
            <w:pPr>
              <w:adjustRightInd w:val="0"/>
              <w:snapToGrid w:val="0"/>
              <w:spacing w:line="440" w:lineRule="exact"/>
              <w:ind w:firstLine="480" w:firstLineChars="200"/>
              <w:contextualSpacing/>
              <w:rPr>
                <w:sz w:val="24"/>
              </w:rPr>
            </w:pPr>
            <w:r>
              <w:rPr>
                <w:sz w:val="24"/>
              </w:rPr>
              <w:t>将焊接好的</w:t>
            </w:r>
            <w:r>
              <w:rPr>
                <w:rFonts w:hint="eastAsia"/>
                <w:sz w:val="24"/>
              </w:rPr>
              <w:t>管材</w:t>
            </w:r>
            <w:r>
              <w:rPr>
                <w:sz w:val="24"/>
              </w:rPr>
              <w:t>按图纸组装成所需样式，玻璃、木板无需处理，直接运到客户所需地进行装置。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464" w:type="dxa"/>
          </w:tcPr>
          <w:p>
            <w:pPr>
              <w:adjustRightInd w:val="0"/>
              <w:snapToGrid w:val="0"/>
              <w:spacing w:line="400" w:lineRule="exact"/>
              <w:jc w:val="left"/>
              <w:rPr>
                <w:b/>
                <w:bCs/>
                <w:sz w:val="24"/>
              </w:rPr>
            </w:pPr>
            <w:r>
              <w:rPr>
                <w:b/>
                <w:bCs/>
                <w:sz w:val="24"/>
              </w:rPr>
              <w:t>主要污染工序：</w:t>
            </w:r>
          </w:p>
          <w:p>
            <w:pPr>
              <w:pStyle w:val="46"/>
              <w:adjustRightInd w:val="0"/>
              <w:snapToGrid w:val="0"/>
              <w:spacing w:line="400" w:lineRule="exact"/>
              <w:ind w:firstLine="480"/>
              <w:rPr>
                <w:rFonts w:eastAsiaTheme="minorEastAsia"/>
                <w:sz w:val="24"/>
              </w:rPr>
            </w:pPr>
            <w:r>
              <w:rPr>
                <w:rFonts w:eastAsiaTheme="minorEastAsia"/>
                <w:sz w:val="24"/>
              </w:rPr>
              <w:t>通过以上工艺流程分析，该项目营运期产污环节见</w:t>
            </w:r>
            <w:r>
              <w:rPr>
                <w:rFonts w:hint="eastAsia" w:eastAsiaTheme="minorEastAsia"/>
                <w:sz w:val="24"/>
              </w:rPr>
              <w:t>下</w:t>
            </w:r>
            <w:r>
              <w:rPr>
                <w:rFonts w:eastAsiaTheme="minorEastAsia"/>
                <w:sz w:val="24"/>
              </w:rPr>
              <w:t>表：</w:t>
            </w:r>
          </w:p>
          <w:p>
            <w:pPr>
              <w:pStyle w:val="46"/>
              <w:adjustRightInd w:val="0"/>
              <w:snapToGrid w:val="0"/>
              <w:spacing w:line="400" w:lineRule="exact"/>
              <w:ind w:firstLine="480" w:firstLineChars="200"/>
              <w:rPr>
                <w:rFonts w:eastAsia="黑体"/>
                <w:sz w:val="24"/>
                <w:lang w:val="pt-BR"/>
              </w:rPr>
            </w:pPr>
            <w:r>
              <w:rPr>
                <w:rFonts w:eastAsia="黑体"/>
                <w:sz w:val="24"/>
                <w:lang w:val="pt-BR"/>
              </w:rPr>
              <w:t xml:space="preserve">表21                  </w:t>
            </w:r>
            <w:r>
              <w:rPr>
                <w:rFonts w:hint="eastAsia" w:eastAsia="黑体"/>
                <w:sz w:val="24"/>
              </w:rPr>
              <w:t xml:space="preserve"> </w:t>
            </w:r>
            <w:r>
              <w:rPr>
                <w:rFonts w:eastAsia="黑体"/>
                <w:sz w:val="24"/>
                <w:lang w:val="pt-BR"/>
              </w:rPr>
              <w:t xml:space="preserve">  产污环节一览表</w:t>
            </w:r>
          </w:p>
          <w:tbl>
            <w:tblPr>
              <w:tblStyle w:val="3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672"/>
              <w:gridCol w:w="1877"/>
              <w:gridCol w:w="49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top w:val="single" w:color="auto" w:sz="8" w:space="0"/>
                    <w:bottom w:val="single" w:color="auto" w:sz="8" w:space="0"/>
                  </w:tcBorders>
                  <w:vAlign w:val="center"/>
                </w:tcPr>
                <w:p>
                  <w:pPr>
                    <w:adjustRightInd w:val="0"/>
                    <w:snapToGrid w:val="0"/>
                    <w:jc w:val="center"/>
                    <w:rPr>
                      <w:b/>
                      <w:bCs/>
                    </w:rPr>
                  </w:pPr>
                  <w:r>
                    <w:rPr>
                      <w:b/>
                      <w:bCs/>
                    </w:rPr>
                    <w:t>类别</w:t>
                  </w:r>
                </w:p>
              </w:tc>
              <w:tc>
                <w:tcPr>
                  <w:tcW w:w="904" w:type="pct"/>
                  <w:tcBorders>
                    <w:top w:val="single" w:color="auto" w:sz="8" w:space="0"/>
                    <w:bottom w:val="single" w:color="auto" w:sz="8" w:space="0"/>
                  </w:tcBorders>
                  <w:vAlign w:val="center"/>
                </w:tcPr>
                <w:p>
                  <w:pPr>
                    <w:adjustRightInd w:val="0"/>
                    <w:snapToGrid w:val="0"/>
                    <w:jc w:val="center"/>
                    <w:rPr>
                      <w:b/>
                      <w:bCs/>
                    </w:rPr>
                  </w:pPr>
                  <w:r>
                    <w:rPr>
                      <w:b/>
                      <w:bCs/>
                    </w:rPr>
                    <w:t>污染源名称</w:t>
                  </w:r>
                </w:p>
              </w:tc>
              <w:tc>
                <w:tcPr>
                  <w:tcW w:w="1015" w:type="pct"/>
                  <w:tcBorders>
                    <w:top w:val="single" w:color="auto" w:sz="8" w:space="0"/>
                    <w:bottom w:val="single" w:color="auto" w:sz="4" w:space="0"/>
                  </w:tcBorders>
                  <w:vAlign w:val="center"/>
                </w:tcPr>
                <w:p>
                  <w:pPr>
                    <w:adjustRightInd w:val="0"/>
                    <w:snapToGrid w:val="0"/>
                    <w:jc w:val="center"/>
                    <w:rPr>
                      <w:b/>
                      <w:bCs/>
                    </w:rPr>
                  </w:pPr>
                  <w:r>
                    <w:rPr>
                      <w:b/>
                      <w:bCs/>
                    </w:rPr>
                    <w:t>污染物名称</w:t>
                  </w:r>
                </w:p>
              </w:tc>
              <w:tc>
                <w:tcPr>
                  <w:tcW w:w="2656" w:type="pct"/>
                  <w:tcBorders>
                    <w:top w:val="single" w:color="auto" w:sz="8" w:space="0"/>
                    <w:bottom w:val="single" w:color="auto" w:sz="4" w:space="0"/>
                  </w:tcBorders>
                  <w:vAlign w:val="center"/>
                </w:tcPr>
                <w:p>
                  <w:pPr>
                    <w:adjustRightInd w:val="0"/>
                    <w:snapToGrid w:val="0"/>
                    <w:jc w:val="center"/>
                    <w:rPr>
                      <w:b/>
                      <w:bCs/>
                    </w:rPr>
                  </w:pPr>
                  <w:r>
                    <w:rPr>
                      <w:b/>
                      <w:bCs/>
                    </w:rPr>
                    <w:t>污染防治措施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top w:val="single" w:color="auto" w:sz="8" w:space="0"/>
                  </w:tcBorders>
                  <w:vAlign w:val="center"/>
                </w:tcPr>
                <w:p>
                  <w:pPr>
                    <w:adjustRightInd w:val="0"/>
                    <w:snapToGrid w:val="0"/>
                    <w:jc w:val="center"/>
                  </w:pPr>
                  <w:r>
                    <w:t>废气</w:t>
                  </w:r>
                </w:p>
              </w:tc>
              <w:tc>
                <w:tcPr>
                  <w:tcW w:w="904" w:type="pct"/>
                  <w:tcBorders>
                    <w:top w:val="single" w:color="auto" w:sz="8" w:space="0"/>
                    <w:bottom w:val="single" w:color="auto" w:sz="4" w:space="0"/>
                  </w:tcBorders>
                  <w:vAlign w:val="center"/>
                </w:tcPr>
                <w:p>
                  <w:pPr>
                    <w:adjustRightInd w:val="0"/>
                    <w:snapToGrid w:val="0"/>
                    <w:jc w:val="center"/>
                  </w:pPr>
                  <w:r>
                    <w:t>焊接工序</w:t>
                  </w:r>
                </w:p>
                <w:p>
                  <w:pPr>
                    <w:adjustRightInd w:val="0"/>
                    <w:snapToGrid w:val="0"/>
                    <w:jc w:val="center"/>
                  </w:pPr>
                  <w:r>
                    <w:rPr>
                      <w:rFonts w:hint="eastAsia"/>
                    </w:rPr>
                    <w:t>切割工序</w:t>
                  </w:r>
                </w:p>
              </w:tc>
              <w:tc>
                <w:tcPr>
                  <w:tcW w:w="1015" w:type="pct"/>
                  <w:tcBorders>
                    <w:top w:val="single" w:color="auto" w:sz="8" w:space="0"/>
                    <w:bottom w:val="single" w:color="auto" w:sz="4" w:space="0"/>
                  </w:tcBorders>
                  <w:vAlign w:val="center"/>
                </w:tcPr>
                <w:p>
                  <w:pPr>
                    <w:adjustRightInd w:val="0"/>
                    <w:snapToGrid w:val="0"/>
                    <w:jc w:val="center"/>
                  </w:pPr>
                  <w:r>
                    <w:rPr>
                      <w:rFonts w:hint="eastAsia"/>
                    </w:rPr>
                    <w:t>颗粒物</w:t>
                  </w:r>
                </w:p>
              </w:tc>
              <w:tc>
                <w:tcPr>
                  <w:tcW w:w="2656" w:type="pct"/>
                  <w:tcBorders>
                    <w:top w:val="single" w:color="auto" w:sz="8" w:space="0"/>
                  </w:tcBorders>
                  <w:vAlign w:val="center"/>
                </w:tcPr>
                <w:p>
                  <w:pPr>
                    <w:adjustRightInd w:val="0"/>
                    <w:snapToGrid w:val="0"/>
                  </w:pPr>
                  <w:r>
                    <w:rPr>
                      <w:rFonts w:hint="eastAsia"/>
                    </w:rPr>
                    <w:t>固定</w:t>
                  </w:r>
                  <w:r>
                    <w:t>焊接</w:t>
                  </w:r>
                  <w:r>
                    <w:rPr>
                      <w:rFonts w:hint="eastAsia"/>
                    </w:rPr>
                    <w:t>、</w:t>
                  </w:r>
                  <w:r>
                    <w:t>切割工位，集气罩</w:t>
                  </w:r>
                  <w:r>
                    <w:rPr>
                      <w:rFonts w:hint="eastAsia"/>
                    </w:rPr>
                    <w:t>+袋式除尘器+15m排气筒治理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adjustRightInd w:val="0"/>
                    <w:snapToGrid w:val="0"/>
                    <w:jc w:val="center"/>
                  </w:pPr>
                  <w:r>
                    <w:t>废水</w:t>
                  </w:r>
                </w:p>
              </w:tc>
              <w:tc>
                <w:tcPr>
                  <w:tcW w:w="904" w:type="pct"/>
                  <w:vAlign w:val="center"/>
                </w:tcPr>
                <w:p>
                  <w:pPr>
                    <w:adjustRightInd w:val="0"/>
                    <w:snapToGrid w:val="0"/>
                    <w:jc w:val="center"/>
                  </w:pPr>
                  <w:r>
                    <w:t>生活污水</w:t>
                  </w:r>
                </w:p>
              </w:tc>
              <w:tc>
                <w:tcPr>
                  <w:tcW w:w="1015" w:type="pct"/>
                  <w:vAlign w:val="center"/>
                </w:tcPr>
                <w:p>
                  <w:pPr>
                    <w:adjustRightInd w:val="0"/>
                    <w:snapToGrid w:val="0"/>
                    <w:jc w:val="center"/>
                  </w:pPr>
                  <w:r>
                    <w:t>COD、SS、NH</w:t>
                  </w:r>
                  <w:r>
                    <w:rPr>
                      <w:vertAlign w:val="subscript"/>
                    </w:rPr>
                    <w:t>3</w:t>
                  </w:r>
                  <w:r>
                    <w:t>-N、TP、TN</w:t>
                  </w:r>
                </w:p>
              </w:tc>
              <w:tc>
                <w:tcPr>
                  <w:tcW w:w="2656" w:type="pct"/>
                  <w:vAlign w:val="center"/>
                </w:tcPr>
                <w:p>
                  <w:pPr>
                    <w:adjustRightInd w:val="0"/>
                    <w:snapToGrid w:val="0"/>
                    <w:jc w:val="center"/>
                  </w:pPr>
                  <w:r>
                    <w:t>生活污水经化粪池处理后定期清运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vAlign w:val="center"/>
                </w:tcPr>
                <w:p>
                  <w:pPr>
                    <w:adjustRightInd w:val="0"/>
                    <w:snapToGrid w:val="0"/>
                    <w:jc w:val="center"/>
                  </w:pPr>
                  <w:r>
                    <w:t>固废</w:t>
                  </w:r>
                </w:p>
              </w:tc>
              <w:tc>
                <w:tcPr>
                  <w:tcW w:w="904" w:type="pct"/>
                  <w:vAlign w:val="center"/>
                </w:tcPr>
                <w:p>
                  <w:pPr>
                    <w:adjustRightInd w:val="0"/>
                    <w:snapToGrid w:val="0"/>
                    <w:jc w:val="center"/>
                  </w:pPr>
                  <w:r>
                    <w:t>切割工序</w:t>
                  </w:r>
                </w:p>
              </w:tc>
              <w:tc>
                <w:tcPr>
                  <w:tcW w:w="1015" w:type="pct"/>
                  <w:tcBorders>
                    <w:bottom w:val="single" w:color="auto" w:sz="4" w:space="0"/>
                  </w:tcBorders>
                  <w:vAlign w:val="center"/>
                </w:tcPr>
                <w:p>
                  <w:pPr>
                    <w:adjustRightInd w:val="0"/>
                    <w:snapToGrid w:val="0"/>
                    <w:jc w:val="center"/>
                  </w:pPr>
                  <w:r>
                    <w:t>边角料</w:t>
                  </w:r>
                </w:p>
              </w:tc>
              <w:tc>
                <w:tcPr>
                  <w:tcW w:w="2656" w:type="pct"/>
                  <w:vMerge w:val="restart"/>
                  <w:vAlign w:val="center"/>
                </w:tcPr>
                <w:p>
                  <w:pPr>
                    <w:adjustRightInd w:val="0"/>
                    <w:snapToGrid w:val="0"/>
                    <w:jc w:val="center"/>
                  </w:pPr>
                  <w:r>
                    <w:t>经收集后，暂存于一般固废间，定期出售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pPr>
                    <w:adjustRightInd w:val="0"/>
                    <w:snapToGrid w:val="0"/>
                    <w:jc w:val="center"/>
                  </w:pPr>
                </w:p>
              </w:tc>
              <w:tc>
                <w:tcPr>
                  <w:tcW w:w="904" w:type="pct"/>
                  <w:tcBorders>
                    <w:bottom w:val="single" w:color="auto" w:sz="4" w:space="0"/>
                  </w:tcBorders>
                  <w:vAlign w:val="center"/>
                </w:tcPr>
                <w:p>
                  <w:pPr>
                    <w:adjustRightInd w:val="0"/>
                    <w:snapToGrid w:val="0"/>
                    <w:jc w:val="center"/>
                  </w:pPr>
                  <w:r>
                    <w:t>废气治理</w:t>
                  </w:r>
                </w:p>
              </w:tc>
              <w:tc>
                <w:tcPr>
                  <w:tcW w:w="1015" w:type="pct"/>
                  <w:tcBorders>
                    <w:bottom w:val="single" w:color="auto" w:sz="4" w:space="0"/>
                  </w:tcBorders>
                  <w:vAlign w:val="center"/>
                </w:tcPr>
                <w:p>
                  <w:pPr>
                    <w:adjustRightInd w:val="0"/>
                    <w:snapToGrid w:val="0"/>
                    <w:jc w:val="center"/>
                  </w:pPr>
                  <w:r>
                    <w:rPr>
                      <w:rFonts w:hint="eastAsia"/>
                    </w:rPr>
                    <w:t>除尘器收集粉尘</w:t>
                  </w:r>
                </w:p>
              </w:tc>
              <w:tc>
                <w:tcPr>
                  <w:tcW w:w="2656" w:type="pct"/>
                  <w:vMerge w:val="continue"/>
                  <w:tcBorders>
                    <w:bottom w:val="single" w:color="auto" w:sz="4" w:space="0"/>
                  </w:tcBorders>
                  <w:vAlign w:val="center"/>
                </w:tcPr>
                <w:p>
                  <w:pPr>
                    <w:adjustRightInd w:val="0"/>
                    <w:snapToGrid w:val="0"/>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bottom w:val="single" w:color="auto" w:sz="8" w:space="0"/>
                  </w:tcBorders>
                  <w:vAlign w:val="center"/>
                </w:tcPr>
                <w:p>
                  <w:pPr>
                    <w:adjustRightInd w:val="0"/>
                    <w:snapToGrid w:val="0"/>
                    <w:jc w:val="center"/>
                  </w:pPr>
                  <w:r>
                    <w:t>噪声</w:t>
                  </w:r>
                </w:p>
              </w:tc>
              <w:tc>
                <w:tcPr>
                  <w:tcW w:w="904" w:type="pct"/>
                  <w:tcBorders>
                    <w:bottom w:val="single" w:color="auto" w:sz="8" w:space="0"/>
                  </w:tcBorders>
                  <w:vAlign w:val="center"/>
                </w:tcPr>
                <w:p>
                  <w:pPr>
                    <w:adjustRightInd w:val="0"/>
                    <w:snapToGrid w:val="0"/>
                    <w:jc w:val="center"/>
                  </w:pPr>
                  <w:r>
                    <w:t>焊接工序</w:t>
                  </w:r>
                </w:p>
                <w:p>
                  <w:pPr>
                    <w:adjustRightInd w:val="0"/>
                    <w:snapToGrid w:val="0"/>
                    <w:jc w:val="center"/>
                  </w:pPr>
                  <w:r>
                    <w:t>切割工序</w:t>
                  </w:r>
                </w:p>
              </w:tc>
              <w:tc>
                <w:tcPr>
                  <w:tcW w:w="1015" w:type="pct"/>
                  <w:tcBorders>
                    <w:bottom w:val="single" w:color="auto" w:sz="8" w:space="0"/>
                  </w:tcBorders>
                  <w:vAlign w:val="center"/>
                </w:tcPr>
                <w:p>
                  <w:pPr>
                    <w:tabs>
                      <w:tab w:val="left" w:pos="724"/>
                      <w:tab w:val="left" w:pos="1980"/>
                    </w:tabs>
                    <w:adjustRightInd w:val="0"/>
                    <w:snapToGrid w:val="0"/>
                    <w:jc w:val="center"/>
                  </w:pPr>
                  <w:r>
                    <w:t>噪声</w:t>
                  </w:r>
                </w:p>
              </w:tc>
              <w:tc>
                <w:tcPr>
                  <w:tcW w:w="2656" w:type="pct"/>
                  <w:tcBorders>
                    <w:bottom w:val="single" w:color="auto" w:sz="8" w:space="0"/>
                  </w:tcBorders>
                  <w:vAlign w:val="center"/>
                </w:tcPr>
                <w:p>
                  <w:pPr>
                    <w:tabs>
                      <w:tab w:val="left" w:pos="724"/>
                      <w:tab w:val="left" w:pos="1980"/>
                    </w:tabs>
                    <w:adjustRightInd w:val="0"/>
                    <w:snapToGrid w:val="0"/>
                    <w:jc w:val="center"/>
                  </w:pPr>
                  <w:r>
                    <w:rPr>
                      <w:rFonts w:hint="eastAsia"/>
                    </w:rPr>
                    <w:t>合理布局、密闭隔音</w:t>
                  </w:r>
                </w:p>
              </w:tc>
            </w:tr>
          </w:tbl>
          <w:p>
            <w:pPr>
              <w:adjustRightInd w:val="0"/>
              <w:snapToGrid w:val="0"/>
              <w:spacing w:line="400" w:lineRule="exact"/>
              <w:textAlignment w:val="baseline"/>
            </w:pPr>
          </w:p>
          <w:p>
            <w:pPr>
              <w:adjustRightInd w:val="0"/>
              <w:snapToGrid w:val="0"/>
              <w:spacing w:line="400" w:lineRule="exact"/>
              <w:textAlignment w:val="baseline"/>
            </w:pPr>
          </w:p>
          <w:p>
            <w:pPr>
              <w:pStyle w:val="29"/>
            </w:pPr>
          </w:p>
          <w:p>
            <w:pPr>
              <w:pStyle w:val="29"/>
            </w:pPr>
          </w:p>
          <w:p>
            <w:pPr>
              <w:pStyle w:val="38"/>
              <w:rPr>
                <w:rFonts w:ascii="Times New Roman" w:cs="Times New Roman"/>
              </w:rPr>
            </w:pPr>
          </w:p>
        </w:tc>
      </w:tr>
    </w:tbl>
    <w:p>
      <w:pPr>
        <w:adjustRightInd w:val="0"/>
        <w:snapToGrid w:val="0"/>
        <w:spacing w:line="400" w:lineRule="exact"/>
        <w:outlineLvl w:val="0"/>
        <w:rPr>
          <w:b/>
          <w:sz w:val="28"/>
        </w:rPr>
      </w:pPr>
      <w:r>
        <w:rPr>
          <w:b/>
          <w:sz w:val="28"/>
        </w:rPr>
        <w:t>项目主要污染物产生及预计排放情况</w:t>
      </w:r>
    </w:p>
    <w:tbl>
      <w:tblPr>
        <w:tblStyle w:val="30"/>
        <w:tblW w:w="930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7"/>
        <w:gridCol w:w="1276"/>
        <w:gridCol w:w="1943"/>
        <w:gridCol w:w="2550"/>
        <w:gridCol w:w="27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827" w:type="dxa"/>
            <w:tcBorders>
              <w:top w:val="single" w:color="auto" w:sz="8" w:space="0"/>
              <w:left w:val="single" w:color="auto" w:sz="8" w:space="0"/>
              <w:bottom w:val="single" w:color="auto" w:sz="8" w:space="0"/>
              <w:right w:val="single" w:color="auto" w:sz="4" w:space="0"/>
              <w:tl2br w:val="single" w:color="auto" w:sz="2" w:space="0"/>
            </w:tcBorders>
            <w:vAlign w:val="center"/>
          </w:tcPr>
          <w:p>
            <w:pPr>
              <w:adjustRightInd w:val="0"/>
              <w:snapToGrid w:val="0"/>
              <w:jc w:val="center"/>
              <w:rPr>
                <w:rFonts w:eastAsiaTheme="minorEastAsia"/>
                <w:b/>
                <w:color w:val="000000"/>
                <w:sz w:val="24"/>
              </w:rPr>
            </w:pPr>
            <w:r>
              <w:rPr>
                <w:rFonts w:eastAsiaTheme="minorEastAsia"/>
                <w:b/>
                <w:color w:val="000000"/>
                <w:sz w:val="24"/>
              </w:rPr>
              <w:t xml:space="preserve"> 内容</w:t>
            </w:r>
          </w:p>
          <w:p>
            <w:pPr>
              <w:adjustRightInd w:val="0"/>
              <w:snapToGrid w:val="0"/>
              <w:rPr>
                <w:rFonts w:eastAsiaTheme="minorEastAsia"/>
                <w:b/>
                <w:color w:val="000000"/>
                <w:sz w:val="24"/>
              </w:rPr>
            </w:pPr>
            <w:r>
              <w:rPr>
                <w:rFonts w:eastAsiaTheme="minorEastAsia"/>
                <w:b/>
                <w:color w:val="000000"/>
                <w:sz w:val="24"/>
              </w:rPr>
              <w:t>类型</w:t>
            </w:r>
          </w:p>
        </w:tc>
        <w:tc>
          <w:tcPr>
            <w:tcW w:w="1276"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color w:val="000000"/>
                <w:sz w:val="24"/>
              </w:rPr>
            </w:pPr>
            <w:r>
              <w:rPr>
                <w:rFonts w:eastAsiaTheme="minorEastAsia"/>
                <w:b/>
                <w:color w:val="000000"/>
                <w:sz w:val="24"/>
              </w:rPr>
              <w:t>排放源</w:t>
            </w:r>
          </w:p>
        </w:tc>
        <w:tc>
          <w:tcPr>
            <w:tcW w:w="1943" w:type="dxa"/>
            <w:tcBorders>
              <w:top w:val="single" w:color="auto" w:sz="8" w:space="0"/>
              <w:left w:val="single" w:color="auto" w:sz="4" w:space="0"/>
              <w:bottom w:val="single" w:color="auto" w:sz="8" w:space="0"/>
              <w:right w:val="single" w:color="auto" w:sz="4" w:space="0"/>
            </w:tcBorders>
            <w:vAlign w:val="center"/>
          </w:tcPr>
          <w:p>
            <w:pPr>
              <w:adjustRightInd w:val="0"/>
              <w:snapToGrid w:val="0"/>
              <w:ind w:right="8" w:rightChars="4"/>
              <w:jc w:val="center"/>
              <w:rPr>
                <w:rFonts w:eastAsiaTheme="minorEastAsia"/>
                <w:b/>
                <w:color w:val="000000"/>
                <w:sz w:val="24"/>
              </w:rPr>
            </w:pPr>
            <w:r>
              <w:rPr>
                <w:rFonts w:eastAsiaTheme="minorEastAsia"/>
                <w:b/>
                <w:color w:val="000000"/>
                <w:sz w:val="24"/>
              </w:rPr>
              <w:t>污染物名称</w:t>
            </w:r>
          </w:p>
        </w:tc>
        <w:tc>
          <w:tcPr>
            <w:tcW w:w="255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color w:val="000000"/>
                <w:sz w:val="24"/>
              </w:rPr>
            </w:pPr>
            <w:r>
              <w:rPr>
                <w:rFonts w:eastAsiaTheme="minorEastAsia"/>
                <w:b/>
                <w:color w:val="000000"/>
                <w:sz w:val="24"/>
              </w:rPr>
              <w:t>处理前产生浓度及产生量(单位)</w:t>
            </w:r>
          </w:p>
        </w:tc>
        <w:tc>
          <w:tcPr>
            <w:tcW w:w="2711" w:type="dxa"/>
            <w:tcBorders>
              <w:top w:val="single" w:color="auto" w:sz="8" w:space="0"/>
              <w:left w:val="single" w:color="auto" w:sz="4" w:space="0"/>
              <w:bottom w:val="single" w:color="auto" w:sz="8" w:space="0"/>
              <w:right w:val="single" w:color="auto" w:sz="8" w:space="0"/>
            </w:tcBorders>
            <w:vAlign w:val="center"/>
          </w:tcPr>
          <w:p>
            <w:pPr>
              <w:adjustRightInd w:val="0"/>
              <w:snapToGrid w:val="0"/>
              <w:jc w:val="center"/>
              <w:rPr>
                <w:rFonts w:eastAsiaTheme="minorEastAsia"/>
                <w:b/>
                <w:color w:val="000000"/>
                <w:sz w:val="24"/>
              </w:rPr>
            </w:pPr>
            <w:r>
              <w:rPr>
                <w:rFonts w:eastAsiaTheme="minorEastAsia"/>
                <w:b/>
                <w:color w:val="000000"/>
                <w:sz w:val="24"/>
              </w:rPr>
              <w:t>排放浓度及排放量</w:t>
            </w:r>
          </w:p>
          <w:p>
            <w:pPr>
              <w:adjustRightInd w:val="0"/>
              <w:snapToGrid w:val="0"/>
              <w:jc w:val="center"/>
              <w:rPr>
                <w:rFonts w:eastAsiaTheme="minorEastAsia"/>
                <w:b/>
                <w:color w:val="000000"/>
                <w:sz w:val="24"/>
              </w:rPr>
            </w:pPr>
            <w:r>
              <w:rPr>
                <w:rFonts w:eastAsiaTheme="minorEastAsia"/>
                <w:b/>
                <w:color w:val="000000"/>
                <w:sz w:val="24"/>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827" w:type="dxa"/>
            <w:vMerge w:val="restart"/>
            <w:tcBorders>
              <w:top w:val="single" w:color="auto" w:sz="8" w:space="0"/>
              <w:left w:val="single" w:color="auto" w:sz="8" w:space="0"/>
              <w:right w:val="single" w:color="auto" w:sz="4" w:space="0"/>
            </w:tcBorders>
            <w:vAlign w:val="center"/>
          </w:tcPr>
          <w:p>
            <w:pPr>
              <w:adjustRightInd w:val="0"/>
              <w:snapToGrid w:val="0"/>
              <w:jc w:val="center"/>
              <w:rPr>
                <w:rFonts w:eastAsiaTheme="minorEastAsia"/>
                <w:color w:val="000000"/>
                <w:sz w:val="24"/>
              </w:rPr>
            </w:pPr>
            <w:r>
              <w:rPr>
                <w:rFonts w:eastAsiaTheme="minorEastAsia"/>
                <w:color w:val="000000"/>
                <w:sz w:val="24"/>
              </w:rPr>
              <w:t>大气</w:t>
            </w:r>
          </w:p>
          <w:p>
            <w:pPr>
              <w:adjustRightInd w:val="0"/>
              <w:snapToGrid w:val="0"/>
              <w:jc w:val="center"/>
              <w:rPr>
                <w:rFonts w:eastAsiaTheme="minorEastAsia"/>
                <w:color w:val="000000"/>
                <w:sz w:val="24"/>
              </w:rPr>
            </w:pPr>
            <w:r>
              <w:rPr>
                <w:rFonts w:eastAsiaTheme="minorEastAsia"/>
                <w:color w:val="000000"/>
                <w:sz w:val="24"/>
              </w:rPr>
              <w:t>污染</w:t>
            </w:r>
          </w:p>
          <w:p>
            <w:pPr>
              <w:adjustRightInd w:val="0"/>
              <w:snapToGrid w:val="0"/>
              <w:jc w:val="center"/>
              <w:rPr>
                <w:rFonts w:eastAsiaTheme="minorEastAsia"/>
                <w:color w:val="FF0000"/>
                <w:sz w:val="24"/>
              </w:rPr>
            </w:pPr>
            <w:r>
              <w:rPr>
                <w:rFonts w:eastAsiaTheme="minorEastAsia"/>
                <w:color w:val="000000"/>
                <w:sz w:val="24"/>
              </w:rPr>
              <w:t>物</w:t>
            </w:r>
          </w:p>
        </w:tc>
        <w:tc>
          <w:tcPr>
            <w:tcW w:w="1276" w:type="dxa"/>
            <w:vMerge w:val="restart"/>
            <w:tcBorders>
              <w:top w:val="single" w:color="auto" w:sz="8" w:space="0"/>
              <w:left w:val="single" w:color="auto" w:sz="4" w:space="0"/>
              <w:right w:val="single" w:color="auto" w:sz="4" w:space="0"/>
            </w:tcBorders>
            <w:vAlign w:val="center"/>
          </w:tcPr>
          <w:p>
            <w:pPr>
              <w:adjustRightInd w:val="0"/>
              <w:snapToGrid w:val="0"/>
              <w:jc w:val="center"/>
              <w:rPr>
                <w:rFonts w:eastAsiaTheme="minorEastAsia"/>
                <w:color w:val="000000" w:themeColor="text1"/>
                <w:sz w:val="24"/>
              </w:rPr>
            </w:pPr>
            <w:r>
              <w:rPr>
                <w:rFonts w:hint="eastAsia" w:eastAsiaTheme="minorEastAsia"/>
                <w:color w:val="000000" w:themeColor="text1"/>
                <w:sz w:val="24"/>
              </w:rPr>
              <w:t>切割、</w:t>
            </w:r>
            <w:r>
              <w:rPr>
                <w:rFonts w:eastAsiaTheme="minorEastAsia"/>
                <w:color w:val="000000" w:themeColor="text1"/>
                <w:sz w:val="24"/>
              </w:rPr>
              <w:t>焊接工序</w:t>
            </w:r>
          </w:p>
        </w:tc>
        <w:tc>
          <w:tcPr>
            <w:tcW w:w="1943"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 w:val="24"/>
              </w:rPr>
            </w:pPr>
            <w:r>
              <w:rPr>
                <w:rFonts w:hint="eastAsia" w:eastAsiaTheme="minorEastAsia"/>
                <w:color w:val="000000" w:themeColor="text1"/>
                <w:sz w:val="24"/>
              </w:rPr>
              <w:t>颗粒物</w:t>
            </w:r>
          </w:p>
          <w:p>
            <w:pPr>
              <w:adjustRightInd w:val="0"/>
              <w:snapToGrid w:val="0"/>
              <w:jc w:val="center"/>
              <w:rPr>
                <w:color w:val="000000" w:themeColor="text1"/>
              </w:rPr>
            </w:pPr>
            <w:r>
              <w:rPr>
                <w:rFonts w:hint="eastAsia" w:eastAsiaTheme="minorEastAsia"/>
                <w:color w:val="000000" w:themeColor="text1"/>
                <w:sz w:val="24"/>
              </w:rPr>
              <w:t>（有组织）</w:t>
            </w:r>
          </w:p>
        </w:tc>
        <w:tc>
          <w:tcPr>
            <w:tcW w:w="2550"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color w:val="000000" w:themeColor="text1"/>
                <w:sz w:val="24"/>
              </w:rPr>
            </w:pPr>
            <w:r>
              <w:rPr>
                <w:rFonts w:hint="eastAsia" w:eastAsiaTheme="minorEastAsia"/>
                <w:color w:val="000000" w:themeColor="text1"/>
                <w:sz w:val="24"/>
              </w:rPr>
              <w:t>218.4</w:t>
            </w:r>
            <w:r>
              <w:rPr>
                <w:rFonts w:eastAsiaTheme="minorEastAsia"/>
                <w:color w:val="000000" w:themeColor="text1"/>
                <w:sz w:val="24"/>
                <w:lang w:val="pt-BR"/>
              </w:rPr>
              <w:t>mg/m</w:t>
            </w:r>
            <w:r>
              <w:rPr>
                <w:rFonts w:eastAsiaTheme="minorEastAsia"/>
                <w:color w:val="000000" w:themeColor="text1"/>
                <w:sz w:val="24"/>
                <w:vertAlign w:val="superscript"/>
                <w:lang w:val="pt-BR"/>
              </w:rPr>
              <w:t>3</w:t>
            </w:r>
            <w:r>
              <w:rPr>
                <w:rFonts w:eastAsiaTheme="minorEastAsia"/>
                <w:color w:val="000000" w:themeColor="text1"/>
                <w:sz w:val="24"/>
              </w:rPr>
              <w:t>，</w:t>
            </w:r>
            <w:r>
              <w:rPr>
                <w:rFonts w:hint="eastAsia" w:eastAsiaTheme="minorEastAsia"/>
                <w:color w:val="000000" w:themeColor="text1"/>
                <w:sz w:val="24"/>
              </w:rPr>
              <w:t xml:space="preserve">0.1134 </w:t>
            </w:r>
            <w:r>
              <w:rPr>
                <w:rFonts w:eastAsiaTheme="minorEastAsia"/>
                <w:color w:val="000000" w:themeColor="text1"/>
                <w:sz w:val="24"/>
              </w:rPr>
              <w:t>t/a</w:t>
            </w:r>
          </w:p>
        </w:tc>
        <w:tc>
          <w:tcPr>
            <w:tcW w:w="2711"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eastAsiaTheme="minorEastAsia"/>
                <w:color w:val="000000" w:themeColor="text1"/>
                <w:sz w:val="24"/>
              </w:rPr>
            </w:pPr>
            <w:r>
              <w:rPr>
                <w:rFonts w:hint="eastAsia" w:eastAsiaTheme="minorEastAsia"/>
                <w:color w:val="000000" w:themeColor="text1"/>
                <w:sz w:val="24"/>
              </w:rPr>
              <w:t>1.7472</w:t>
            </w:r>
            <w:r>
              <w:rPr>
                <w:rFonts w:eastAsiaTheme="minorEastAsia"/>
                <w:color w:val="000000" w:themeColor="text1"/>
                <w:sz w:val="24"/>
                <w:lang w:val="pt-BR"/>
              </w:rPr>
              <w:t>mg/m</w:t>
            </w:r>
            <w:r>
              <w:rPr>
                <w:rFonts w:eastAsiaTheme="minorEastAsia"/>
                <w:color w:val="000000" w:themeColor="text1"/>
                <w:sz w:val="24"/>
                <w:vertAlign w:val="superscript"/>
                <w:lang w:val="pt-BR"/>
              </w:rPr>
              <w:t>3</w:t>
            </w:r>
            <w:r>
              <w:rPr>
                <w:rFonts w:eastAsiaTheme="minorEastAsia"/>
                <w:color w:val="000000" w:themeColor="text1"/>
                <w:sz w:val="24"/>
              </w:rPr>
              <w:t>，</w:t>
            </w:r>
            <w:r>
              <w:rPr>
                <w:rFonts w:hint="eastAsia" w:eastAsiaTheme="minorEastAsia"/>
                <w:color w:val="000000" w:themeColor="text1"/>
                <w:sz w:val="24"/>
              </w:rPr>
              <w:t xml:space="preserve">0.0009 </w:t>
            </w:r>
            <w:r>
              <w:rPr>
                <w:rFonts w:eastAsiaTheme="minorEastAsia"/>
                <w:color w:val="000000" w:themeColor="text1"/>
                <w:sz w:val="24"/>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827" w:type="dxa"/>
            <w:vMerge w:val="continue"/>
            <w:tcBorders>
              <w:left w:val="single" w:color="auto" w:sz="8" w:space="0"/>
              <w:right w:val="single" w:color="auto" w:sz="4" w:space="0"/>
            </w:tcBorders>
            <w:vAlign w:val="center"/>
          </w:tcPr>
          <w:p>
            <w:pPr>
              <w:adjustRightInd w:val="0"/>
              <w:snapToGrid w:val="0"/>
              <w:jc w:val="center"/>
              <w:rPr>
                <w:rFonts w:eastAsiaTheme="minorEastAsia"/>
                <w:color w:val="000000"/>
                <w:sz w:val="24"/>
              </w:rPr>
            </w:pPr>
          </w:p>
        </w:tc>
        <w:tc>
          <w:tcPr>
            <w:tcW w:w="1276"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 w:val="24"/>
              </w:rPr>
            </w:pPr>
          </w:p>
        </w:tc>
        <w:tc>
          <w:tcPr>
            <w:tcW w:w="1943"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eastAsiaTheme="minorEastAsia"/>
                <w:color w:val="000000" w:themeColor="text1"/>
                <w:sz w:val="24"/>
              </w:rPr>
            </w:pPr>
            <w:r>
              <w:rPr>
                <w:rFonts w:hint="eastAsia" w:eastAsiaTheme="minorEastAsia"/>
                <w:color w:val="000000" w:themeColor="text1"/>
                <w:sz w:val="24"/>
              </w:rPr>
              <w:t>颗粒物</w:t>
            </w:r>
          </w:p>
          <w:p>
            <w:pPr>
              <w:adjustRightInd w:val="0"/>
              <w:snapToGrid w:val="0"/>
              <w:jc w:val="center"/>
              <w:rPr>
                <w:rFonts w:eastAsiaTheme="minorEastAsia"/>
                <w:color w:val="000000" w:themeColor="text1"/>
                <w:sz w:val="24"/>
              </w:rPr>
            </w:pPr>
            <w:r>
              <w:rPr>
                <w:rFonts w:hint="eastAsia" w:eastAsiaTheme="minorEastAsia"/>
                <w:color w:val="000000" w:themeColor="text1"/>
                <w:sz w:val="24"/>
              </w:rPr>
              <w:t>（无组织）</w:t>
            </w:r>
          </w:p>
        </w:tc>
        <w:tc>
          <w:tcPr>
            <w:tcW w:w="2550"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color w:val="000000" w:themeColor="text1"/>
                <w:sz w:val="24"/>
              </w:rPr>
            </w:pPr>
            <w:r>
              <w:rPr>
                <w:rFonts w:hint="eastAsia" w:eastAsiaTheme="minorEastAsia"/>
                <w:color w:val="000000" w:themeColor="text1"/>
                <w:sz w:val="24"/>
              </w:rPr>
              <w:t xml:space="preserve">0.0227 </w:t>
            </w:r>
            <w:r>
              <w:rPr>
                <w:rFonts w:eastAsiaTheme="minorEastAsia"/>
                <w:color w:val="000000" w:themeColor="text1"/>
                <w:sz w:val="24"/>
              </w:rPr>
              <w:t>t/a</w:t>
            </w:r>
          </w:p>
        </w:tc>
        <w:tc>
          <w:tcPr>
            <w:tcW w:w="2711"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eastAsiaTheme="minorEastAsia"/>
                <w:color w:val="000000" w:themeColor="text1"/>
                <w:sz w:val="24"/>
              </w:rPr>
            </w:pPr>
            <w:r>
              <w:rPr>
                <w:rFonts w:hint="eastAsia" w:eastAsiaTheme="minorEastAsia"/>
                <w:color w:val="000000" w:themeColor="text1"/>
                <w:sz w:val="24"/>
              </w:rPr>
              <w:t xml:space="preserve">0.0023 </w:t>
            </w:r>
            <w:r>
              <w:rPr>
                <w:rFonts w:eastAsiaTheme="minorEastAsia"/>
                <w:color w:val="000000" w:themeColor="text1"/>
                <w:sz w:val="24"/>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53" w:hRule="atLeast"/>
          <w:jc w:val="center"/>
        </w:trPr>
        <w:tc>
          <w:tcPr>
            <w:tcW w:w="827" w:type="dxa"/>
            <w:tcBorders>
              <w:left w:val="single" w:color="auto" w:sz="8" w:space="0"/>
              <w:right w:val="single" w:color="auto" w:sz="4" w:space="0"/>
            </w:tcBorders>
            <w:vAlign w:val="center"/>
          </w:tcPr>
          <w:p>
            <w:pPr>
              <w:adjustRightInd w:val="0"/>
              <w:snapToGrid w:val="0"/>
              <w:jc w:val="center"/>
              <w:rPr>
                <w:rFonts w:eastAsiaTheme="minorEastAsia"/>
                <w:color w:val="000000"/>
                <w:sz w:val="24"/>
              </w:rPr>
            </w:pPr>
            <w:r>
              <w:rPr>
                <w:rFonts w:eastAsiaTheme="minorEastAsia"/>
                <w:color w:val="000000"/>
                <w:sz w:val="24"/>
              </w:rPr>
              <w:t>水</w:t>
            </w:r>
          </w:p>
          <w:p>
            <w:pPr>
              <w:adjustRightInd w:val="0"/>
              <w:snapToGrid w:val="0"/>
              <w:jc w:val="center"/>
              <w:rPr>
                <w:rFonts w:eastAsiaTheme="minorEastAsia"/>
                <w:color w:val="000000"/>
                <w:sz w:val="24"/>
              </w:rPr>
            </w:pPr>
            <w:r>
              <w:rPr>
                <w:rFonts w:eastAsiaTheme="minorEastAsia"/>
                <w:color w:val="000000"/>
                <w:sz w:val="24"/>
              </w:rPr>
              <w:t>污</w:t>
            </w:r>
          </w:p>
          <w:p>
            <w:pPr>
              <w:adjustRightInd w:val="0"/>
              <w:snapToGrid w:val="0"/>
              <w:jc w:val="center"/>
              <w:rPr>
                <w:rFonts w:eastAsiaTheme="minorEastAsia"/>
                <w:color w:val="000000"/>
                <w:sz w:val="24"/>
              </w:rPr>
            </w:pPr>
            <w:r>
              <w:rPr>
                <w:rFonts w:eastAsiaTheme="minorEastAsia"/>
                <w:color w:val="000000"/>
                <w:sz w:val="24"/>
              </w:rPr>
              <w:t>染</w:t>
            </w:r>
          </w:p>
          <w:p>
            <w:pPr>
              <w:adjustRightInd w:val="0"/>
              <w:snapToGrid w:val="0"/>
              <w:jc w:val="center"/>
              <w:rPr>
                <w:rFonts w:eastAsiaTheme="minorEastAsia"/>
                <w:color w:val="FF0000"/>
                <w:sz w:val="24"/>
              </w:rPr>
            </w:pPr>
            <w:r>
              <w:rPr>
                <w:rFonts w:eastAsiaTheme="minorEastAsia"/>
                <w:color w:val="000000"/>
                <w:sz w:val="24"/>
              </w:rPr>
              <w:t>物</w:t>
            </w:r>
          </w:p>
        </w:tc>
        <w:tc>
          <w:tcPr>
            <w:tcW w:w="1276" w:type="dxa"/>
            <w:tcBorders>
              <w:left w:val="single" w:color="auto" w:sz="4" w:space="0"/>
              <w:bottom w:val="single" w:color="auto" w:sz="4" w:space="0"/>
              <w:right w:val="single" w:color="auto" w:sz="4" w:space="0"/>
            </w:tcBorders>
            <w:vAlign w:val="center"/>
          </w:tcPr>
          <w:p>
            <w:pPr>
              <w:adjustRightInd w:val="0"/>
              <w:snapToGrid w:val="0"/>
              <w:jc w:val="center"/>
              <w:rPr>
                <w:rFonts w:eastAsiaTheme="minorEastAsia"/>
                <w:sz w:val="24"/>
              </w:rPr>
            </w:pPr>
            <w:r>
              <w:rPr>
                <w:rFonts w:eastAsiaTheme="minorEastAsia"/>
                <w:sz w:val="24"/>
              </w:rPr>
              <w:t>生活污水</w:t>
            </w:r>
          </w:p>
          <w:p>
            <w:pPr>
              <w:adjustRightInd w:val="0"/>
              <w:snapToGrid w:val="0"/>
              <w:jc w:val="center"/>
              <w:rPr>
                <w:rFonts w:eastAsiaTheme="minorEastAsia"/>
                <w:sz w:val="24"/>
              </w:rPr>
            </w:pPr>
            <w:r>
              <w:rPr>
                <w:rFonts w:eastAsiaTheme="minorEastAsia"/>
                <w:sz w:val="24"/>
              </w:rPr>
              <w:t>(</w:t>
            </w:r>
            <w:r>
              <w:rPr>
                <w:rFonts w:hint="eastAsia" w:eastAsiaTheme="minorEastAsia"/>
                <w:sz w:val="24"/>
              </w:rPr>
              <w:t>62.4</w:t>
            </w:r>
            <w:r>
              <w:rPr>
                <w:rFonts w:eastAsiaTheme="minorEastAsia"/>
                <w:sz w:val="24"/>
              </w:rPr>
              <w:t>t/a)</w:t>
            </w:r>
          </w:p>
        </w:tc>
        <w:tc>
          <w:tcPr>
            <w:tcW w:w="19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kern w:val="0"/>
                <w:sz w:val="24"/>
              </w:rPr>
            </w:pPr>
            <w:r>
              <w:rPr>
                <w:rFonts w:eastAsiaTheme="minorEastAsia"/>
                <w:sz w:val="24"/>
              </w:rPr>
              <w:t>COD</w:t>
            </w:r>
          </w:p>
          <w:p>
            <w:pPr>
              <w:adjustRightInd w:val="0"/>
              <w:snapToGrid w:val="0"/>
              <w:jc w:val="center"/>
              <w:rPr>
                <w:rFonts w:eastAsiaTheme="minorEastAsia"/>
                <w:kern w:val="0"/>
                <w:sz w:val="24"/>
              </w:rPr>
            </w:pPr>
            <w:r>
              <w:rPr>
                <w:rFonts w:eastAsiaTheme="minorEastAsia"/>
                <w:kern w:val="0"/>
                <w:sz w:val="24"/>
              </w:rPr>
              <w:t>NH</w:t>
            </w:r>
            <w:r>
              <w:rPr>
                <w:rFonts w:eastAsiaTheme="minorEastAsia"/>
                <w:kern w:val="0"/>
                <w:sz w:val="24"/>
                <w:vertAlign w:val="subscript"/>
              </w:rPr>
              <w:t>3</w:t>
            </w:r>
            <w:r>
              <w:rPr>
                <w:rFonts w:eastAsiaTheme="minorEastAsia"/>
                <w:kern w:val="0"/>
                <w:sz w:val="24"/>
              </w:rPr>
              <w:t>-N</w:t>
            </w:r>
          </w:p>
          <w:p>
            <w:pPr>
              <w:adjustRightInd w:val="0"/>
              <w:snapToGrid w:val="0"/>
              <w:jc w:val="center"/>
              <w:rPr>
                <w:rFonts w:eastAsiaTheme="minorEastAsia"/>
                <w:kern w:val="0"/>
                <w:sz w:val="24"/>
              </w:rPr>
            </w:pPr>
            <w:r>
              <w:rPr>
                <w:rFonts w:eastAsiaTheme="minorEastAsia"/>
                <w:kern w:val="0"/>
                <w:sz w:val="24"/>
              </w:rPr>
              <w:t>TP</w:t>
            </w:r>
          </w:p>
          <w:p>
            <w:pPr>
              <w:adjustRightInd w:val="0"/>
              <w:snapToGrid w:val="0"/>
              <w:jc w:val="center"/>
              <w:rPr>
                <w:rFonts w:eastAsiaTheme="minorEastAsia"/>
                <w:kern w:val="0"/>
                <w:sz w:val="24"/>
              </w:rPr>
            </w:pPr>
            <w:r>
              <w:rPr>
                <w:rFonts w:eastAsiaTheme="minorEastAsia"/>
                <w:kern w:val="0"/>
                <w:sz w:val="24"/>
              </w:rPr>
              <w:t>TN</w:t>
            </w:r>
          </w:p>
          <w:p>
            <w:pPr>
              <w:adjustRightInd w:val="0"/>
              <w:snapToGrid w:val="0"/>
              <w:jc w:val="center"/>
              <w:rPr>
                <w:rFonts w:eastAsiaTheme="minorEastAsia"/>
                <w:kern w:val="0"/>
                <w:sz w:val="24"/>
                <w:lang w:val="en-GB"/>
              </w:rPr>
            </w:pPr>
            <w:r>
              <w:rPr>
                <w:rStyle w:val="37"/>
                <w:rFonts w:eastAsiaTheme="minorEastAsia"/>
                <w:sz w:val="24"/>
                <w:szCs w:val="24"/>
                <w:lang w:val="en-GB"/>
              </w:rPr>
              <w:t>SS</w:t>
            </w:r>
          </w:p>
        </w:tc>
        <w:tc>
          <w:tcPr>
            <w:tcW w:w="2550"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sz w:val="24"/>
              </w:rPr>
            </w:pPr>
            <w:r>
              <w:rPr>
                <w:rFonts w:eastAsiaTheme="minorEastAsia"/>
                <w:sz w:val="24"/>
              </w:rPr>
              <w:t>300mg/L，</w:t>
            </w:r>
            <w:r>
              <w:rPr>
                <w:rFonts w:hint="eastAsia" w:eastAsiaTheme="minorEastAsia"/>
                <w:sz w:val="24"/>
              </w:rPr>
              <w:t>0.0187</w:t>
            </w:r>
            <w:r>
              <w:rPr>
                <w:rFonts w:eastAsiaTheme="minorEastAsia"/>
                <w:sz w:val="24"/>
              </w:rPr>
              <w:t>t/a</w:t>
            </w:r>
          </w:p>
          <w:p>
            <w:pPr>
              <w:adjustRightInd w:val="0"/>
              <w:snapToGrid w:val="0"/>
              <w:jc w:val="center"/>
              <w:rPr>
                <w:rFonts w:eastAsiaTheme="minorEastAsia"/>
                <w:sz w:val="24"/>
              </w:rPr>
            </w:pPr>
            <w:r>
              <w:rPr>
                <w:rFonts w:eastAsiaTheme="minorEastAsia"/>
                <w:sz w:val="24"/>
              </w:rPr>
              <w:t>25mg/L，</w:t>
            </w:r>
            <w:r>
              <w:rPr>
                <w:rFonts w:hint="eastAsia" w:eastAsiaTheme="minorEastAsia"/>
                <w:sz w:val="24"/>
              </w:rPr>
              <w:t>0.0016</w:t>
            </w:r>
            <w:r>
              <w:rPr>
                <w:rFonts w:eastAsiaTheme="minorEastAsia"/>
                <w:sz w:val="24"/>
              </w:rPr>
              <w:t>t/a</w:t>
            </w:r>
          </w:p>
          <w:p>
            <w:pPr>
              <w:adjustRightInd w:val="0"/>
              <w:snapToGrid w:val="0"/>
              <w:jc w:val="center"/>
              <w:rPr>
                <w:rFonts w:eastAsiaTheme="minorEastAsia"/>
                <w:sz w:val="24"/>
              </w:rPr>
            </w:pPr>
            <w:r>
              <w:rPr>
                <w:rFonts w:eastAsiaTheme="minorEastAsia"/>
                <w:sz w:val="24"/>
              </w:rPr>
              <w:t>3.0mg/L， 0.000</w:t>
            </w:r>
            <w:r>
              <w:rPr>
                <w:rFonts w:hint="eastAsia" w:eastAsiaTheme="minorEastAsia"/>
                <w:sz w:val="24"/>
              </w:rPr>
              <w:t>2</w:t>
            </w:r>
            <w:r>
              <w:rPr>
                <w:rFonts w:eastAsiaTheme="minorEastAsia"/>
                <w:sz w:val="24"/>
              </w:rPr>
              <w:t>t/a</w:t>
            </w:r>
          </w:p>
          <w:p>
            <w:pPr>
              <w:adjustRightInd w:val="0"/>
              <w:snapToGrid w:val="0"/>
              <w:jc w:val="center"/>
              <w:rPr>
                <w:rFonts w:eastAsiaTheme="minorEastAsia"/>
                <w:sz w:val="24"/>
              </w:rPr>
            </w:pPr>
            <w:r>
              <w:rPr>
                <w:rFonts w:eastAsiaTheme="minorEastAsia"/>
                <w:sz w:val="24"/>
              </w:rPr>
              <w:t>35mg/L， 0.00</w:t>
            </w:r>
            <w:r>
              <w:rPr>
                <w:rFonts w:hint="eastAsia" w:eastAsiaTheme="minorEastAsia"/>
                <w:sz w:val="24"/>
              </w:rPr>
              <w:t>22</w:t>
            </w:r>
            <w:r>
              <w:rPr>
                <w:rFonts w:eastAsiaTheme="minorEastAsia"/>
                <w:sz w:val="24"/>
              </w:rPr>
              <w:t>t/a</w:t>
            </w:r>
          </w:p>
          <w:p>
            <w:pPr>
              <w:adjustRightInd w:val="0"/>
              <w:snapToGrid w:val="0"/>
              <w:jc w:val="center"/>
              <w:rPr>
                <w:rFonts w:eastAsiaTheme="minorEastAsia"/>
                <w:sz w:val="24"/>
              </w:rPr>
            </w:pPr>
            <w:r>
              <w:rPr>
                <w:rFonts w:eastAsiaTheme="minorEastAsia"/>
                <w:sz w:val="24"/>
              </w:rPr>
              <w:t>250mg/L，</w:t>
            </w:r>
            <w:r>
              <w:rPr>
                <w:rFonts w:hint="eastAsia" w:eastAsiaTheme="minorEastAsia"/>
                <w:sz w:val="24"/>
              </w:rPr>
              <w:t>0.0156</w:t>
            </w:r>
            <w:r>
              <w:rPr>
                <w:rFonts w:eastAsiaTheme="minorEastAsia"/>
                <w:sz w:val="24"/>
              </w:rPr>
              <w:t>t/a</w:t>
            </w:r>
          </w:p>
        </w:tc>
        <w:tc>
          <w:tcPr>
            <w:tcW w:w="2711" w:type="dxa"/>
            <w:tcBorders>
              <w:left w:val="single" w:color="auto" w:sz="4" w:space="0"/>
              <w:right w:val="single" w:color="auto" w:sz="8" w:space="0"/>
            </w:tcBorders>
            <w:shd w:val="clear" w:color="auto" w:fill="auto"/>
            <w:vAlign w:val="center"/>
          </w:tcPr>
          <w:p>
            <w:pPr>
              <w:adjustRightInd w:val="0"/>
              <w:snapToGrid w:val="0"/>
              <w:jc w:val="center"/>
              <w:rPr>
                <w:rFonts w:eastAsiaTheme="minorEastAsia"/>
                <w:color w:val="000000" w:themeColor="text1"/>
                <w:sz w:val="24"/>
              </w:rPr>
            </w:pPr>
            <w:r>
              <w:rPr>
                <w:rFonts w:eastAsiaTheme="minorEastAsia"/>
                <w:color w:val="000000" w:themeColor="text1"/>
                <w:sz w:val="24"/>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827" w:type="dxa"/>
            <w:vMerge w:val="restart"/>
            <w:tcBorders>
              <w:left w:val="single" w:color="auto" w:sz="8" w:space="0"/>
              <w:right w:val="single" w:color="auto" w:sz="4" w:space="0"/>
            </w:tcBorders>
            <w:vAlign w:val="center"/>
          </w:tcPr>
          <w:p>
            <w:pPr>
              <w:adjustRightInd w:val="0"/>
              <w:snapToGrid w:val="0"/>
              <w:jc w:val="center"/>
              <w:rPr>
                <w:rFonts w:eastAsiaTheme="minorEastAsia"/>
                <w:color w:val="000000"/>
                <w:sz w:val="24"/>
              </w:rPr>
            </w:pPr>
            <w:r>
              <w:rPr>
                <w:rFonts w:eastAsiaTheme="minorEastAsia"/>
                <w:color w:val="000000"/>
                <w:sz w:val="24"/>
              </w:rPr>
              <w:t>固</w:t>
            </w:r>
          </w:p>
          <w:p>
            <w:pPr>
              <w:adjustRightInd w:val="0"/>
              <w:snapToGrid w:val="0"/>
              <w:jc w:val="center"/>
              <w:rPr>
                <w:rFonts w:eastAsiaTheme="minorEastAsia"/>
                <w:color w:val="000000"/>
                <w:sz w:val="24"/>
              </w:rPr>
            </w:pPr>
            <w:r>
              <w:rPr>
                <w:rFonts w:eastAsiaTheme="minorEastAsia"/>
                <w:color w:val="000000"/>
                <w:sz w:val="24"/>
              </w:rPr>
              <w:t>体</w:t>
            </w:r>
          </w:p>
          <w:p>
            <w:pPr>
              <w:adjustRightInd w:val="0"/>
              <w:snapToGrid w:val="0"/>
              <w:jc w:val="center"/>
              <w:rPr>
                <w:rFonts w:eastAsiaTheme="minorEastAsia"/>
                <w:color w:val="000000"/>
                <w:sz w:val="24"/>
              </w:rPr>
            </w:pPr>
            <w:r>
              <w:rPr>
                <w:rFonts w:eastAsiaTheme="minorEastAsia"/>
                <w:color w:val="000000"/>
                <w:sz w:val="24"/>
              </w:rPr>
              <w:t>废</w:t>
            </w:r>
          </w:p>
          <w:p>
            <w:pPr>
              <w:adjustRightInd w:val="0"/>
              <w:snapToGrid w:val="0"/>
              <w:jc w:val="center"/>
              <w:rPr>
                <w:rFonts w:eastAsiaTheme="minorEastAsia"/>
                <w:b/>
                <w:color w:val="FF0000"/>
                <w:sz w:val="24"/>
              </w:rPr>
            </w:pPr>
            <w:r>
              <w:rPr>
                <w:rFonts w:eastAsiaTheme="minorEastAsia"/>
                <w:color w:val="000000"/>
                <w:sz w:val="24"/>
              </w:rPr>
              <w:t>物</w:t>
            </w:r>
          </w:p>
        </w:tc>
        <w:tc>
          <w:tcPr>
            <w:tcW w:w="1276"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eastAsiaTheme="minorEastAsia"/>
                <w:bCs/>
                <w:color w:val="000000" w:themeColor="text1"/>
                <w:sz w:val="24"/>
              </w:rPr>
            </w:pPr>
            <w:r>
              <w:rPr>
                <w:rFonts w:eastAsiaTheme="minorEastAsia"/>
                <w:bCs/>
                <w:color w:val="000000" w:themeColor="text1"/>
                <w:sz w:val="24"/>
              </w:rPr>
              <w:t>切割工序</w:t>
            </w:r>
          </w:p>
        </w:tc>
        <w:tc>
          <w:tcPr>
            <w:tcW w:w="1943"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eastAsiaTheme="minorEastAsia"/>
                <w:bCs/>
                <w:color w:val="000000" w:themeColor="text1"/>
                <w:sz w:val="24"/>
              </w:rPr>
            </w:pPr>
            <w:r>
              <w:rPr>
                <w:rFonts w:eastAsiaTheme="minorEastAsia"/>
                <w:bCs/>
                <w:color w:val="000000" w:themeColor="text1"/>
                <w:sz w:val="24"/>
              </w:rPr>
              <w:t>边角料</w:t>
            </w:r>
          </w:p>
        </w:tc>
        <w:tc>
          <w:tcPr>
            <w:tcW w:w="2550" w:type="dxa"/>
            <w:tcBorders>
              <w:top w:val="single" w:color="auto" w:sz="4" w:space="0"/>
              <w:left w:val="single" w:color="auto" w:sz="4" w:space="0"/>
              <w:bottom w:val="single" w:color="000000" w:sz="4" w:space="0"/>
              <w:right w:val="single" w:color="auto" w:sz="4" w:space="0"/>
            </w:tcBorders>
            <w:shd w:val="clear" w:color="auto" w:fill="auto"/>
            <w:vAlign w:val="center"/>
          </w:tcPr>
          <w:p>
            <w:pPr>
              <w:adjustRightInd w:val="0"/>
              <w:snapToGrid w:val="0"/>
              <w:jc w:val="center"/>
              <w:rPr>
                <w:rFonts w:eastAsiaTheme="minorEastAsia"/>
                <w:color w:val="000000" w:themeColor="text1"/>
                <w:sz w:val="24"/>
              </w:rPr>
            </w:pPr>
            <w:r>
              <w:rPr>
                <w:rFonts w:hint="eastAsia" w:eastAsiaTheme="minorEastAsia"/>
                <w:color w:val="000000" w:themeColor="text1"/>
                <w:sz w:val="24"/>
              </w:rPr>
              <w:t>1.05</w:t>
            </w:r>
            <w:r>
              <w:rPr>
                <w:rFonts w:eastAsiaTheme="minorEastAsia"/>
                <w:color w:val="000000" w:themeColor="text1"/>
                <w:sz w:val="24"/>
              </w:rPr>
              <w:t>t/a</w:t>
            </w:r>
          </w:p>
        </w:tc>
        <w:tc>
          <w:tcPr>
            <w:tcW w:w="2711"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eastAsiaTheme="minorEastAsia"/>
                <w:color w:val="000000" w:themeColor="text1"/>
                <w:sz w:val="24"/>
              </w:rPr>
            </w:pPr>
            <w:r>
              <w:rPr>
                <w:sz w:val="24"/>
              </w:rPr>
              <w:t>0t/a（收集后出售）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7" w:type="dxa"/>
            <w:vMerge w:val="continue"/>
            <w:tcBorders>
              <w:left w:val="single" w:color="auto" w:sz="8" w:space="0"/>
              <w:right w:val="single" w:color="auto" w:sz="4" w:space="0"/>
            </w:tcBorders>
            <w:vAlign w:val="center"/>
          </w:tcPr>
          <w:p>
            <w:pPr>
              <w:adjustRightInd w:val="0"/>
              <w:snapToGrid w:val="0"/>
              <w:jc w:val="center"/>
              <w:rPr>
                <w:rFonts w:eastAsiaTheme="minorEastAsia"/>
                <w:color w:val="000000"/>
                <w:sz w:val="24"/>
              </w:rPr>
            </w:pPr>
          </w:p>
        </w:tc>
        <w:tc>
          <w:tcPr>
            <w:tcW w:w="1276" w:type="dxa"/>
            <w:tcBorders>
              <w:top w:val="single" w:color="auto" w:sz="4" w:space="0"/>
              <w:left w:val="single" w:color="auto" w:sz="4" w:space="0"/>
              <w:bottom w:val="single" w:color="000000" w:sz="4" w:space="0"/>
              <w:right w:val="single" w:color="auto" w:sz="4" w:space="0"/>
            </w:tcBorders>
            <w:shd w:val="clear" w:color="auto" w:fill="auto"/>
            <w:vAlign w:val="center"/>
          </w:tcPr>
          <w:p>
            <w:pPr>
              <w:adjustRightInd w:val="0"/>
              <w:snapToGrid w:val="0"/>
              <w:jc w:val="center"/>
              <w:rPr>
                <w:rFonts w:eastAsiaTheme="minorEastAsia"/>
                <w:bCs/>
                <w:sz w:val="24"/>
              </w:rPr>
            </w:pPr>
            <w:r>
              <w:rPr>
                <w:rFonts w:eastAsiaTheme="minorEastAsia"/>
                <w:bCs/>
                <w:sz w:val="24"/>
              </w:rPr>
              <w:t>废气治理</w:t>
            </w:r>
          </w:p>
        </w:tc>
        <w:tc>
          <w:tcPr>
            <w:tcW w:w="1943" w:type="dxa"/>
            <w:tcBorders>
              <w:left w:val="single" w:color="auto" w:sz="4" w:space="0"/>
              <w:bottom w:val="single" w:color="000000" w:sz="4" w:space="0"/>
              <w:right w:val="single" w:color="auto" w:sz="4" w:space="0"/>
            </w:tcBorders>
            <w:shd w:val="clear" w:color="auto" w:fill="auto"/>
            <w:vAlign w:val="center"/>
          </w:tcPr>
          <w:p>
            <w:pPr>
              <w:adjustRightInd w:val="0"/>
              <w:snapToGrid w:val="0"/>
              <w:jc w:val="center"/>
              <w:rPr>
                <w:rFonts w:eastAsiaTheme="minorEastAsia"/>
                <w:bCs/>
                <w:sz w:val="24"/>
              </w:rPr>
            </w:pPr>
            <w:r>
              <w:rPr>
                <w:rFonts w:eastAsiaTheme="minorEastAsia"/>
                <w:bCs/>
                <w:sz w:val="24"/>
              </w:rPr>
              <w:t>除尘器</w:t>
            </w:r>
            <w:r>
              <w:rPr>
                <w:rFonts w:hint="eastAsia" w:eastAsiaTheme="minorEastAsia"/>
                <w:bCs/>
                <w:sz w:val="24"/>
              </w:rPr>
              <w:t>收集粉尘</w:t>
            </w:r>
          </w:p>
        </w:tc>
        <w:tc>
          <w:tcPr>
            <w:tcW w:w="2550" w:type="dxa"/>
            <w:tcBorders>
              <w:left w:val="single" w:color="auto" w:sz="4" w:space="0"/>
              <w:bottom w:val="single" w:color="000000" w:sz="4" w:space="0"/>
              <w:right w:val="single" w:color="auto" w:sz="4" w:space="0"/>
            </w:tcBorders>
            <w:shd w:val="clear" w:color="auto" w:fill="auto"/>
            <w:vAlign w:val="center"/>
          </w:tcPr>
          <w:p>
            <w:pPr>
              <w:adjustRightInd w:val="0"/>
              <w:snapToGrid w:val="0"/>
              <w:jc w:val="center"/>
              <w:rPr>
                <w:rFonts w:eastAsiaTheme="minorEastAsia"/>
                <w:sz w:val="24"/>
              </w:rPr>
            </w:pPr>
            <w:r>
              <w:rPr>
                <w:rFonts w:hint="eastAsia" w:eastAsiaTheme="minorEastAsia"/>
                <w:sz w:val="24"/>
              </w:rPr>
              <w:t>0.0898</w:t>
            </w:r>
            <w:r>
              <w:rPr>
                <w:rFonts w:eastAsiaTheme="minorEastAsia"/>
                <w:sz w:val="24"/>
              </w:rPr>
              <w:t>t/a</w:t>
            </w:r>
          </w:p>
        </w:tc>
        <w:tc>
          <w:tcPr>
            <w:tcW w:w="2711"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eastAsiaTheme="minorEastAsia"/>
                <w:sz w:val="24"/>
              </w:rPr>
            </w:pPr>
            <w:r>
              <w:rPr>
                <w:rFonts w:hint="eastAsia" w:eastAsiaTheme="minorEastAsia"/>
                <w:sz w:val="24"/>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28"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eastAsiaTheme="minorEastAsia"/>
                <w:bCs/>
                <w:color w:val="000000"/>
                <w:sz w:val="24"/>
              </w:rPr>
            </w:pPr>
            <w:r>
              <w:rPr>
                <w:rFonts w:eastAsiaTheme="minorEastAsia"/>
                <w:bCs/>
                <w:color w:val="000000"/>
                <w:sz w:val="24"/>
              </w:rPr>
              <w:t>噪</w:t>
            </w:r>
          </w:p>
          <w:p>
            <w:pPr>
              <w:adjustRightInd w:val="0"/>
              <w:snapToGrid w:val="0"/>
              <w:jc w:val="center"/>
              <w:rPr>
                <w:rFonts w:eastAsiaTheme="minorEastAsia"/>
                <w:bCs/>
                <w:color w:val="000000"/>
                <w:sz w:val="24"/>
              </w:rPr>
            </w:pPr>
          </w:p>
          <w:p>
            <w:pPr>
              <w:adjustRightInd w:val="0"/>
              <w:snapToGrid w:val="0"/>
              <w:jc w:val="center"/>
              <w:rPr>
                <w:rFonts w:eastAsiaTheme="minorEastAsia"/>
                <w:b/>
                <w:color w:val="000000"/>
                <w:sz w:val="24"/>
              </w:rPr>
            </w:pPr>
            <w:r>
              <w:rPr>
                <w:rFonts w:eastAsiaTheme="minorEastAsia"/>
                <w:bCs/>
                <w:color w:val="000000"/>
                <w:sz w:val="24"/>
              </w:rPr>
              <w:t>声</w:t>
            </w:r>
          </w:p>
        </w:tc>
        <w:tc>
          <w:tcPr>
            <w:tcW w:w="8480"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ind w:firstLine="480" w:firstLineChars="200"/>
              <w:rPr>
                <w:rFonts w:eastAsiaTheme="minorEastAsia"/>
                <w:color w:val="000000"/>
                <w:sz w:val="24"/>
              </w:rPr>
            </w:pPr>
            <w:r>
              <w:rPr>
                <w:rFonts w:eastAsiaTheme="minorEastAsia"/>
                <w:color w:val="000000"/>
                <w:sz w:val="24"/>
              </w:rPr>
              <w:t>该</w:t>
            </w:r>
            <w:r>
              <w:rPr>
                <w:rFonts w:hint="eastAsia" w:eastAsiaTheme="minorEastAsia"/>
                <w:color w:val="000000"/>
                <w:sz w:val="24"/>
              </w:rPr>
              <w:t>项目营运期主要高噪声设备为切割机、折弯机、电锯等，</w:t>
            </w:r>
            <w:r>
              <w:rPr>
                <w:sz w:val="24"/>
              </w:rPr>
              <w:t>噪声源强在</w:t>
            </w:r>
            <w:r>
              <w:rPr>
                <w:rFonts w:hint="eastAsia"/>
                <w:sz w:val="24"/>
              </w:rPr>
              <w:t>70</w:t>
            </w:r>
            <w:r>
              <w:rPr>
                <w:sz w:val="24"/>
              </w:rPr>
              <w:t>~</w:t>
            </w:r>
            <w:r>
              <w:rPr>
                <w:rFonts w:hint="eastAsia"/>
                <w:sz w:val="24"/>
              </w:rPr>
              <w:t>85</w:t>
            </w:r>
            <w:r>
              <w:rPr>
                <w:sz w:val="24"/>
              </w:rPr>
              <w:t>dB(A)之间。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2"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eastAsiaTheme="minorEastAsia"/>
                <w:bCs/>
                <w:color w:val="000000"/>
                <w:sz w:val="24"/>
              </w:rPr>
            </w:pPr>
            <w:r>
              <w:rPr>
                <w:rFonts w:eastAsiaTheme="minorEastAsia"/>
                <w:bCs/>
                <w:color w:val="000000"/>
                <w:sz w:val="24"/>
              </w:rPr>
              <w:t>其</w:t>
            </w:r>
          </w:p>
          <w:p>
            <w:pPr>
              <w:adjustRightInd w:val="0"/>
              <w:snapToGrid w:val="0"/>
              <w:jc w:val="center"/>
              <w:rPr>
                <w:rFonts w:eastAsiaTheme="minorEastAsia"/>
                <w:b/>
                <w:color w:val="000000"/>
                <w:sz w:val="24"/>
              </w:rPr>
            </w:pPr>
            <w:r>
              <w:rPr>
                <w:rFonts w:eastAsiaTheme="minorEastAsia"/>
                <w:bCs/>
                <w:color w:val="000000"/>
                <w:sz w:val="24"/>
              </w:rPr>
              <w:t>他</w:t>
            </w:r>
          </w:p>
        </w:tc>
        <w:tc>
          <w:tcPr>
            <w:tcW w:w="8480"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eastAsiaTheme="minorEastAsia"/>
                <w:color w:val="000000"/>
                <w:sz w:val="24"/>
              </w:rPr>
            </w:pPr>
          </w:p>
          <w:p>
            <w:pPr>
              <w:adjustRightInd w:val="0"/>
              <w:snapToGrid w:val="0"/>
              <w:jc w:val="center"/>
              <w:rPr>
                <w:rFonts w:eastAsiaTheme="minorEastAsia"/>
                <w:color w:val="000000"/>
                <w:sz w:val="24"/>
              </w:rPr>
            </w:pPr>
          </w:p>
          <w:p>
            <w:pPr>
              <w:adjustRightInd w:val="0"/>
              <w:snapToGrid w:val="0"/>
              <w:jc w:val="center"/>
              <w:rPr>
                <w:rFonts w:eastAsiaTheme="minorEastAsia"/>
                <w:color w:val="000000"/>
                <w:sz w:val="24"/>
              </w:rPr>
            </w:pPr>
            <w:r>
              <w:rPr>
                <w:rFonts w:eastAsiaTheme="minorEastAsia"/>
                <w:color w:val="000000"/>
                <w:sz w:val="24"/>
              </w:rPr>
              <w:t>无</w:t>
            </w:r>
          </w:p>
          <w:p>
            <w:pPr>
              <w:adjustRightInd w:val="0"/>
              <w:snapToGrid w:val="0"/>
              <w:jc w:val="center"/>
              <w:rPr>
                <w:rFonts w:eastAsiaTheme="minorEastAsia"/>
                <w:color w:val="000000"/>
                <w:sz w:val="24"/>
              </w:rPr>
            </w:pPr>
          </w:p>
          <w:p>
            <w:pPr>
              <w:adjustRightInd w:val="0"/>
              <w:snapToGrid w:val="0"/>
              <w:jc w:val="center"/>
              <w:rPr>
                <w:rFonts w:eastAsiaTheme="minorEastAsia"/>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3" w:hRule="atLeast"/>
          <w:jc w:val="center"/>
        </w:trPr>
        <w:tc>
          <w:tcPr>
            <w:tcW w:w="9307" w:type="dxa"/>
            <w:gridSpan w:val="5"/>
            <w:tcBorders>
              <w:top w:val="single" w:color="auto" w:sz="4" w:space="0"/>
              <w:left w:val="single" w:color="auto" w:sz="8" w:space="0"/>
              <w:bottom w:val="single" w:color="auto" w:sz="8" w:space="0"/>
              <w:right w:val="single" w:color="auto" w:sz="8" w:space="0"/>
            </w:tcBorders>
          </w:tcPr>
          <w:p>
            <w:pPr>
              <w:adjustRightInd w:val="0"/>
              <w:snapToGrid w:val="0"/>
              <w:rPr>
                <w:rFonts w:eastAsiaTheme="minorEastAsia"/>
                <w:b/>
                <w:color w:val="000000"/>
                <w:sz w:val="24"/>
              </w:rPr>
            </w:pPr>
            <w:r>
              <w:rPr>
                <w:rFonts w:eastAsiaTheme="minorEastAsia"/>
                <w:b/>
                <w:color w:val="000000"/>
                <w:sz w:val="24"/>
              </w:rPr>
              <w:t>主要生态影响（不够时可附另页）：</w:t>
            </w:r>
          </w:p>
          <w:p>
            <w:pPr>
              <w:spacing w:line="520" w:lineRule="exact"/>
              <w:ind w:firstLine="420"/>
              <w:jc w:val="left"/>
              <w:rPr>
                <w:sz w:val="24"/>
              </w:rPr>
            </w:pPr>
            <w:r>
              <w:rPr>
                <w:sz w:val="24"/>
              </w:rPr>
              <w:t>本项目运营期各污染物得到有效处理，不会对生态造成明显的影响，项目实施后，随着绿化措施的实施，区域生物量损失将得到一定补偿，起到美化环境、降尘、降噪的作用。</w:t>
            </w: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p>
            <w:pPr>
              <w:adjustRightInd w:val="0"/>
              <w:snapToGrid w:val="0"/>
              <w:rPr>
                <w:rFonts w:eastAsiaTheme="minorEastAsia"/>
                <w:bCs/>
                <w:color w:val="000000"/>
                <w:sz w:val="24"/>
              </w:rPr>
            </w:pPr>
          </w:p>
        </w:tc>
      </w:tr>
    </w:tbl>
    <w:p>
      <w:pPr>
        <w:adjustRightInd w:val="0"/>
        <w:snapToGrid w:val="0"/>
        <w:spacing w:line="400" w:lineRule="exact"/>
        <w:jc w:val="left"/>
        <w:rPr>
          <w:b/>
          <w:sz w:val="28"/>
        </w:rPr>
      </w:pPr>
      <w:r>
        <w:rPr>
          <w:b/>
          <w:sz w:val="28"/>
        </w:rPr>
        <w:t>环境影响分析</w:t>
      </w:r>
    </w:p>
    <w:tbl>
      <w:tblPr>
        <w:tblStyle w:val="30"/>
        <w:tblW w:w="95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32" w:type="dxa"/>
            <w:tcBorders>
              <w:bottom w:val="single" w:color="auto" w:sz="4" w:space="0"/>
            </w:tcBorders>
          </w:tcPr>
          <w:p>
            <w:pPr>
              <w:adjustRightInd w:val="0"/>
              <w:snapToGrid w:val="0"/>
              <w:spacing w:line="440" w:lineRule="exact"/>
              <w:jc w:val="left"/>
              <w:rPr>
                <w:b/>
                <w:sz w:val="24"/>
              </w:rPr>
            </w:pPr>
            <w:r>
              <w:rPr>
                <w:b/>
                <w:sz w:val="24"/>
              </w:rPr>
              <w:t>施工期环境影响简要分析：</w:t>
            </w:r>
          </w:p>
          <w:p>
            <w:pPr>
              <w:adjustRightInd w:val="0"/>
              <w:snapToGrid w:val="0"/>
              <w:spacing w:line="440" w:lineRule="exact"/>
              <w:ind w:firstLine="480" w:firstLineChars="200"/>
              <w:jc w:val="left"/>
              <w:rPr>
                <w:sz w:val="24"/>
              </w:rPr>
            </w:pPr>
            <w:r>
              <w:rPr>
                <w:rFonts w:eastAsiaTheme="minorEastAsia"/>
                <w:sz w:val="24"/>
              </w:rPr>
              <w:t>本项目租赁现有厂房生产，不涉及到建筑物的施工建设，只需要安装设备，故本评价不对施工期环境影响进行分析</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32" w:type="dxa"/>
            <w:tcBorders>
              <w:top w:val="single" w:color="auto" w:sz="8" w:space="0"/>
              <w:bottom w:val="single" w:color="auto" w:sz="8" w:space="0"/>
            </w:tcBorders>
          </w:tcPr>
          <w:p>
            <w:pPr>
              <w:adjustRightInd w:val="0"/>
              <w:snapToGrid w:val="0"/>
              <w:spacing w:line="440" w:lineRule="exact"/>
              <w:rPr>
                <w:b/>
                <w:sz w:val="24"/>
              </w:rPr>
            </w:pPr>
            <w:r>
              <w:rPr>
                <w:b/>
                <w:sz w:val="24"/>
              </w:rPr>
              <w:t>营运期环境影响分析：</w:t>
            </w:r>
          </w:p>
          <w:p>
            <w:pPr>
              <w:snapToGrid w:val="0"/>
              <w:spacing w:line="440" w:lineRule="exact"/>
              <w:ind w:firstLine="480" w:firstLineChars="200"/>
              <w:contextualSpacing/>
              <w:textAlignment w:val="baseline"/>
              <w:rPr>
                <w:color w:val="000000"/>
                <w:sz w:val="24"/>
              </w:rPr>
            </w:pPr>
            <w:r>
              <w:rPr>
                <w:color w:val="000000"/>
                <w:sz w:val="24"/>
              </w:rPr>
              <w:t>本项目对环境的影响主要是生产过程中产生的废</w:t>
            </w:r>
            <w:r>
              <w:rPr>
                <w:rFonts w:hint="eastAsia"/>
                <w:color w:val="000000"/>
                <w:sz w:val="24"/>
              </w:rPr>
              <w:t>气</w:t>
            </w:r>
            <w:r>
              <w:rPr>
                <w:color w:val="000000"/>
                <w:sz w:val="24"/>
              </w:rPr>
              <w:t>、废</w:t>
            </w:r>
            <w:r>
              <w:rPr>
                <w:rFonts w:hint="eastAsia"/>
                <w:color w:val="000000"/>
                <w:sz w:val="24"/>
              </w:rPr>
              <w:t>水</w:t>
            </w:r>
            <w:r>
              <w:rPr>
                <w:color w:val="000000"/>
                <w:sz w:val="24"/>
              </w:rPr>
              <w:t>、噪声和固废。现将该项目营运过程中对环境的影响分析如下：</w:t>
            </w:r>
          </w:p>
          <w:p>
            <w:pPr>
              <w:pStyle w:val="101"/>
              <w:numPr>
                <w:ilvl w:val="0"/>
                <w:numId w:val="4"/>
              </w:numPr>
              <w:snapToGrid w:val="0"/>
              <w:spacing w:line="440" w:lineRule="exact"/>
              <w:ind w:firstLineChars="0"/>
              <w:contextualSpacing/>
              <w:textAlignment w:val="baseline"/>
              <w:rPr>
                <w:b/>
                <w:color w:val="000000"/>
                <w:sz w:val="24"/>
              </w:rPr>
            </w:pPr>
            <w:r>
              <w:rPr>
                <w:b/>
                <w:color w:val="000000"/>
                <w:sz w:val="24"/>
              </w:rPr>
              <w:t>废气</w:t>
            </w:r>
          </w:p>
          <w:p>
            <w:pPr>
              <w:spacing w:line="440" w:lineRule="exact"/>
              <w:ind w:firstLine="480" w:firstLineChars="200"/>
              <w:rPr>
                <w:color w:val="000000"/>
                <w:sz w:val="24"/>
              </w:rPr>
            </w:pPr>
            <w:r>
              <w:rPr>
                <w:color w:val="000000"/>
                <w:sz w:val="24"/>
              </w:rPr>
              <w:t>项目产生的大气污染物主要是焊接工序产生的焊接烟尘。</w:t>
            </w:r>
          </w:p>
          <w:p>
            <w:pPr>
              <w:spacing w:line="440" w:lineRule="exact"/>
              <w:ind w:firstLine="482" w:firstLineChars="200"/>
              <w:rPr>
                <w:b/>
                <w:bCs/>
                <w:sz w:val="24"/>
              </w:rPr>
            </w:pPr>
            <w:r>
              <w:rPr>
                <w:b/>
                <w:bCs/>
                <w:sz w:val="24"/>
              </w:rPr>
              <w:t>1、废气分析</w:t>
            </w:r>
          </w:p>
          <w:p>
            <w:pPr>
              <w:spacing w:line="440" w:lineRule="exact"/>
              <w:ind w:firstLine="482" w:firstLineChars="200"/>
              <w:rPr>
                <w:b/>
                <w:sz w:val="24"/>
              </w:rPr>
            </w:pPr>
            <w:r>
              <w:rPr>
                <w:b/>
                <w:color w:val="000000"/>
                <w:sz w:val="24"/>
              </w:rPr>
              <w:t>（1）</w:t>
            </w:r>
            <w:r>
              <w:rPr>
                <w:rFonts w:hint="eastAsia"/>
                <w:b/>
                <w:sz w:val="24"/>
              </w:rPr>
              <w:t>有组织排放</w:t>
            </w:r>
          </w:p>
          <w:p>
            <w:pPr>
              <w:spacing w:line="440" w:lineRule="exact"/>
              <w:ind w:firstLine="482" w:firstLineChars="200"/>
              <w:rPr>
                <w:sz w:val="24"/>
              </w:rPr>
            </w:pPr>
            <w:r>
              <w:rPr>
                <w:b/>
                <w:bCs/>
                <w:sz w:val="24"/>
              </w:rPr>
              <w:fldChar w:fldCharType="begin"/>
            </w:r>
            <w:r>
              <w:rPr>
                <w:b/>
                <w:bCs/>
                <w:sz w:val="24"/>
              </w:rPr>
              <w:instrText xml:space="preserve"> = 1 \* GB3 \* MERGEFORMAT </w:instrText>
            </w:r>
            <w:r>
              <w:rPr>
                <w:b/>
                <w:bCs/>
                <w:sz w:val="24"/>
              </w:rPr>
              <w:fldChar w:fldCharType="separate"/>
            </w:r>
            <w:r>
              <w:rPr>
                <w:b/>
                <w:bCs/>
                <w:sz w:val="24"/>
              </w:rPr>
              <w:t>①</w:t>
            </w:r>
            <w:r>
              <w:rPr>
                <w:b/>
                <w:bCs/>
                <w:sz w:val="24"/>
              </w:rPr>
              <w:fldChar w:fldCharType="end"/>
            </w:r>
            <w:r>
              <w:rPr>
                <w:b/>
                <w:bCs/>
                <w:sz w:val="24"/>
              </w:rPr>
              <w:t>焊接</w:t>
            </w:r>
            <w:r>
              <w:rPr>
                <w:b/>
                <w:bCs/>
                <w:color w:val="000000"/>
                <w:sz w:val="24"/>
              </w:rPr>
              <w:t>烟尘</w:t>
            </w:r>
            <w:r>
              <w:rPr>
                <w:rFonts w:hint="eastAsia"/>
                <w:b/>
                <w:bCs/>
                <w:color w:val="000000"/>
                <w:sz w:val="24"/>
              </w:rPr>
              <w:t>：</w:t>
            </w:r>
            <w:r>
              <w:rPr>
                <w:sz w:val="24"/>
              </w:rPr>
              <w:t>项目焊接工序中焊接设备为二保焊机、台式焊机。二保焊机、台式焊机均属于气体保护焊，焊材为普通焊条和焊丝，年用量为</w:t>
            </w:r>
            <w:r>
              <w:rPr>
                <w:rFonts w:hint="eastAsia"/>
                <w:sz w:val="24"/>
              </w:rPr>
              <w:t>1.05</w:t>
            </w:r>
            <w:r>
              <w:rPr>
                <w:sz w:val="24"/>
              </w:rPr>
              <w:t>t/a，发尘量参照《机加工行业环境影响评价中常见污染物源强估算及污染治理》（湖北大学学报、2010年9月第三期、许海萍等）中的产生系数进行计算，发尘量为5～8g/kg，本次评价取最大值8g/kg，因此焊接烟尘产生量为0.00</w:t>
            </w:r>
            <w:r>
              <w:rPr>
                <w:rFonts w:hint="eastAsia"/>
                <w:sz w:val="24"/>
              </w:rPr>
              <w:t>84</w:t>
            </w:r>
            <w:r>
              <w:rPr>
                <w:sz w:val="24"/>
              </w:rPr>
              <w:t>t/a，焊机每天平均工作</w:t>
            </w:r>
            <w:r>
              <w:rPr>
                <w:rFonts w:hint="eastAsia"/>
                <w:sz w:val="24"/>
              </w:rPr>
              <w:t>2</w:t>
            </w:r>
            <w:r>
              <w:rPr>
                <w:sz w:val="24"/>
              </w:rPr>
              <w:t>h，</w:t>
            </w:r>
            <w:r>
              <w:rPr>
                <w:rFonts w:hint="eastAsia"/>
                <w:sz w:val="24"/>
              </w:rPr>
              <w:t>焊接烟尘产生速率为0.021</w:t>
            </w:r>
            <w:r>
              <w:rPr>
                <w:sz w:val="24"/>
              </w:rPr>
              <w:t>kg/h。</w:t>
            </w:r>
          </w:p>
          <w:p>
            <w:pPr>
              <w:autoSpaceDE w:val="0"/>
              <w:autoSpaceDN w:val="0"/>
              <w:adjustRightInd w:val="0"/>
              <w:snapToGrid w:val="0"/>
              <w:spacing w:line="440" w:lineRule="exact"/>
              <w:ind w:firstLine="482" w:firstLineChars="200"/>
              <w:rPr>
                <w:sz w:val="24"/>
              </w:rPr>
            </w:pPr>
            <w:r>
              <w:rPr>
                <w:b/>
                <w:bCs/>
                <w:sz w:val="24"/>
              </w:rPr>
              <w:fldChar w:fldCharType="begin"/>
            </w:r>
            <w:r>
              <w:rPr>
                <w:b/>
                <w:bCs/>
                <w:sz w:val="24"/>
              </w:rPr>
              <w:instrText xml:space="preserve"> = 2 \* GB3 \* MERGEFORMAT </w:instrText>
            </w:r>
            <w:r>
              <w:rPr>
                <w:b/>
                <w:bCs/>
                <w:sz w:val="24"/>
              </w:rPr>
              <w:fldChar w:fldCharType="separate"/>
            </w:r>
            <w:r>
              <w:rPr>
                <w:b/>
                <w:bCs/>
                <w:sz w:val="24"/>
              </w:rPr>
              <w:t>②</w:t>
            </w:r>
            <w:r>
              <w:rPr>
                <w:b/>
                <w:bCs/>
                <w:sz w:val="24"/>
              </w:rPr>
              <w:fldChar w:fldCharType="end"/>
            </w:r>
            <w:r>
              <w:rPr>
                <w:b/>
                <w:bCs/>
                <w:sz w:val="24"/>
              </w:rPr>
              <w:t>切割烟尘</w:t>
            </w:r>
            <w:r>
              <w:rPr>
                <w:rFonts w:hint="eastAsia"/>
                <w:b/>
                <w:bCs/>
                <w:sz w:val="24"/>
              </w:rPr>
              <w:t>：</w:t>
            </w:r>
            <w:r>
              <w:rPr>
                <w:sz w:val="24"/>
              </w:rPr>
              <w:t>本项目外购镀锌方管</w:t>
            </w:r>
            <w:r>
              <w:rPr>
                <w:rFonts w:hint="eastAsia"/>
                <w:sz w:val="24"/>
              </w:rPr>
              <w:t>、</w:t>
            </w:r>
            <w:r>
              <w:rPr>
                <w:sz w:val="24"/>
              </w:rPr>
              <w:t>铝合金立柱等需用切割机</w:t>
            </w:r>
            <w:r>
              <w:rPr>
                <w:rFonts w:hint="eastAsia"/>
                <w:sz w:val="24"/>
              </w:rPr>
              <w:t>、</w:t>
            </w:r>
            <w:r>
              <w:rPr>
                <w:sz w:val="24"/>
              </w:rPr>
              <w:t>电锯进行切割下料</w:t>
            </w:r>
            <w:r>
              <w:rPr>
                <w:rFonts w:hint="eastAsia"/>
                <w:sz w:val="24"/>
              </w:rPr>
              <w:t>，</w:t>
            </w:r>
            <w:r>
              <w:rPr>
                <w:sz w:val="24"/>
              </w:rPr>
              <w:t>切割时会产生切割烟尘</w:t>
            </w:r>
            <w:r>
              <w:rPr>
                <w:rFonts w:hint="eastAsia"/>
                <w:sz w:val="24"/>
              </w:rPr>
              <w:t>，根据《机加工行业环境影响评价中常见污染物源强估算及污染治理》（湖北大学学报（自然科学版）2010年第3期）推荐的经验排放系数，切割粉尘</w:t>
            </w:r>
            <w:r>
              <w:rPr>
                <w:sz w:val="24"/>
              </w:rPr>
              <w:t>产生量为原</w:t>
            </w:r>
            <w:r>
              <w:rPr>
                <w:rFonts w:hint="eastAsia"/>
                <w:sz w:val="24"/>
              </w:rPr>
              <w:t>材</w:t>
            </w:r>
            <w:r>
              <w:rPr>
                <w:sz w:val="24"/>
              </w:rPr>
              <w:t>料</w:t>
            </w:r>
            <w:r>
              <w:rPr>
                <w:rFonts w:hint="eastAsia"/>
                <w:sz w:val="24"/>
              </w:rPr>
              <w:t>用量的1</w:t>
            </w:r>
            <w:r>
              <w:rPr>
                <w:rFonts w:ascii="Arial" w:hAnsi="Arial" w:cs="Arial"/>
                <w:sz w:val="24"/>
              </w:rPr>
              <w:t>‰</w:t>
            </w:r>
            <w:r>
              <w:rPr>
                <w:rFonts w:hint="eastAsia"/>
                <w:sz w:val="24"/>
              </w:rPr>
              <w:t>，原材料用量为105t/a，则切割烟尘产生量为0.105t/a，切割工序年运行时间为1h/d，切割烟尘产生速率为0.525</w:t>
            </w:r>
            <w:r>
              <w:rPr>
                <w:sz w:val="24"/>
              </w:rPr>
              <w:t>kg/h。</w:t>
            </w:r>
          </w:p>
          <w:p>
            <w:pPr>
              <w:spacing w:line="440" w:lineRule="exact"/>
              <w:ind w:firstLine="482" w:firstLineChars="200"/>
              <w:rPr>
                <w:b/>
                <w:sz w:val="24"/>
              </w:rPr>
            </w:pPr>
            <w:r>
              <w:rPr>
                <w:rFonts w:hint="eastAsia"/>
                <w:b/>
                <w:bCs/>
                <w:sz w:val="24"/>
              </w:rPr>
              <w:fldChar w:fldCharType="begin"/>
            </w:r>
            <w:r>
              <w:rPr>
                <w:rFonts w:hint="eastAsia"/>
                <w:b/>
                <w:bCs/>
                <w:sz w:val="24"/>
              </w:rPr>
              <w:instrText xml:space="preserve"> = 3 \* GB3 \* MERGEFORMAT </w:instrText>
            </w:r>
            <w:r>
              <w:rPr>
                <w:rFonts w:hint="eastAsia"/>
                <w:b/>
                <w:bCs/>
                <w:sz w:val="24"/>
              </w:rPr>
              <w:fldChar w:fldCharType="separate"/>
            </w:r>
            <w:r>
              <w:rPr>
                <w:rFonts w:hint="eastAsia"/>
                <w:b/>
                <w:bCs/>
                <w:sz w:val="24"/>
              </w:rPr>
              <w:t>③</w:t>
            </w:r>
            <w:r>
              <w:rPr>
                <w:rFonts w:hint="eastAsia"/>
                <w:b/>
                <w:bCs/>
                <w:sz w:val="24"/>
              </w:rPr>
              <w:fldChar w:fldCharType="end"/>
            </w:r>
            <w:r>
              <w:rPr>
                <w:b/>
                <w:bCs/>
                <w:sz w:val="24"/>
              </w:rPr>
              <w:t>废气防治措施：</w:t>
            </w:r>
            <w:r>
              <w:rPr>
                <w:color w:val="000000"/>
                <w:sz w:val="24"/>
              </w:rPr>
              <w:t>在焊接车间内设置固定焊接区域，焊接区域设置</w:t>
            </w:r>
            <w:r>
              <w:rPr>
                <w:rFonts w:hint="eastAsia"/>
                <w:sz w:val="24"/>
              </w:rPr>
              <w:t>2</w:t>
            </w:r>
            <w:r>
              <w:rPr>
                <w:sz w:val="24"/>
              </w:rPr>
              <w:t>个固定顶吸式集气罩</w:t>
            </w:r>
            <w:r>
              <w:rPr>
                <w:rFonts w:hint="eastAsia"/>
                <w:sz w:val="24"/>
              </w:rPr>
              <w:t>（收集效率</w:t>
            </w:r>
            <w:r>
              <w:rPr>
                <w:rFonts w:ascii="Arial" w:hAnsi="Arial" w:cs="Arial"/>
                <w:sz w:val="24"/>
              </w:rPr>
              <w:t>≥</w:t>
            </w:r>
            <w:r>
              <w:rPr>
                <w:rFonts w:hint="eastAsia"/>
                <w:sz w:val="24"/>
              </w:rPr>
              <w:t>80%）（焊接工序1m</w:t>
            </w:r>
            <w:r>
              <w:rPr>
                <w:rFonts w:ascii="Arial" w:hAnsi="Arial" w:cs="Arial"/>
                <w:sz w:val="24"/>
              </w:rPr>
              <w:t>×</w:t>
            </w:r>
            <w:r>
              <w:rPr>
                <w:rFonts w:hint="eastAsia"/>
                <w:sz w:val="24"/>
              </w:rPr>
              <w:t>1m集气罩、切割工序0.5m</w:t>
            </w:r>
            <w:r>
              <w:rPr>
                <w:rFonts w:ascii="Arial" w:hAnsi="Arial" w:cs="Arial"/>
                <w:sz w:val="24"/>
              </w:rPr>
              <w:t>×</w:t>
            </w:r>
            <w:r>
              <w:rPr>
                <w:rFonts w:hint="eastAsia"/>
                <w:sz w:val="24"/>
              </w:rPr>
              <w:t>0.5m集气罩）</w:t>
            </w:r>
            <w:r>
              <w:rPr>
                <w:sz w:val="24"/>
              </w:rPr>
              <w:t>+1套</w:t>
            </w:r>
            <w:r>
              <w:rPr>
                <w:rFonts w:hint="eastAsia"/>
                <w:sz w:val="24"/>
              </w:rPr>
              <w:t>袋式除尘器</w:t>
            </w:r>
            <w:r>
              <w:rPr>
                <w:sz w:val="24"/>
              </w:rPr>
              <w:t>（处理效率≥99%）+15米排气筒对收集的烟尘进行处理，</w:t>
            </w:r>
            <w:r>
              <w:rPr>
                <w:rFonts w:hint="eastAsia"/>
                <w:sz w:val="24"/>
              </w:rPr>
              <w:t>经查《简明通风设计手册》中表5-3，本次评价采取均匀流通风，风速0.2~0.5m/s，本项目按照0.5m/s设计，焊接、切割集气罩总面积为1.25m</w:t>
            </w:r>
            <w:r>
              <w:rPr>
                <w:rFonts w:hint="eastAsia"/>
                <w:sz w:val="24"/>
                <w:vertAlign w:val="superscript"/>
              </w:rPr>
              <w:t>2</w:t>
            </w:r>
            <w:r>
              <w:rPr>
                <w:rFonts w:hint="eastAsia"/>
                <w:sz w:val="24"/>
              </w:rPr>
              <w:t>，经计算，焊接、切割工序需配套的风机风量为2250</w:t>
            </w:r>
            <w:r>
              <w:rPr>
                <w:sz w:val="24"/>
              </w:rPr>
              <w:t>m</w:t>
            </w:r>
            <w:r>
              <w:rPr>
                <w:sz w:val="24"/>
                <w:vertAlign w:val="superscript"/>
              </w:rPr>
              <w:t>3</w:t>
            </w:r>
            <w:r>
              <w:rPr>
                <w:sz w:val="24"/>
              </w:rPr>
              <w:t>/h，</w:t>
            </w:r>
            <w:r>
              <w:rPr>
                <w:rFonts w:hint="eastAsia"/>
                <w:sz w:val="24"/>
              </w:rPr>
              <w:t>为保证废气收集效果，评价建议处理设备配套的风机风量为2500</w:t>
            </w:r>
            <w:r>
              <w:rPr>
                <w:sz w:val="24"/>
              </w:rPr>
              <w:t>m</w:t>
            </w:r>
            <w:r>
              <w:rPr>
                <w:sz w:val="24"/>
                <w:vertAlign w:val="superscript"/>
              </w:rPr>
              <w:t>3</w:t>
            </w:r>
            <w:r>
              <w:rPr>
                <w:sz w:val="24"/>
              </w:rPr>
              <w:t>/h</w:t>
            </w:r>
            <w:r>
              <w:rPr>
                <w:rFonts w:hint="eastAsia"/>
                <w:sz w:val="24"/>
              </w:rPr>
              <w:t>。</w:t>
            </w:r>
            <w:r>
              <w:rPr>
                <w:rFonts w:hint="eastAsia" w:cs="宋体"/>
                <w:color w:val="000000"/>
                <w:sz w:val="24"/>
              </w:rPr>
              <w:t>本项目有组织粉尘产、排放情况详见下表</w:t>
            </w:r>
            <w:r>
              <w:rPr>
                <w:rFonts w:cs="宋体"/>
                <w:color w:val="000000"/>
                <w:sz w:val="24"/>
              </w:rPr>
              <w:t>。</w:t>
            </w:r>
          </w:p>
          <w:p>
            <w:pPr>
              <w:pStyle w:val="46"/>
              <w:adjustRightInd w:val="0"/>
              <w:snapToGrid w:val="0"/>
              <w:spacing w:line="400" w:lineRule="exact"/>
              <w:ind w:firstLine="480" w:firstLineChars="200"/>
              <w:rPr>
                <w:rFonts w:eastAsia="黑体"/>
                <w:sz w:val="24"/>
                <w:lang w:val="pt-BR"/>
              </w:rPr>
            </w:pPr>
            <w:r>
              <w:rPr>
                <w:rFonts w:eastAsia="黑体"/>
                <w:sz w:val="24"/>
                <w:lang w:val="pt-BR"/>
              </w:rPr>
              <w:t>表22                焊接</w:t>
            </w:r>
            <w:r>
              <w:rPr>
                <w:rFonts w:hint="eastAsia" w:eastAsia="黑体"/>
                <w:sz w:val="24"/>
                <w:lang w:val="pt-BR"/>
              </w:rPr>
              <w:t>、切割</w:t>
            </w:r>
            <w:r>
              <w:rPr>
                <w:rFonts w:eastAsia="黑体"/>
                <w:sz w:val="24"/>
                <w:lang w:val="pt-BR"/>
              </w:rPr>
              <w:t>工序粉尘产排情况一览表</w:t>
            </w:r>
          </w:p>
          <w:tbl>
            <w:tblPr>
              <w:tblStyle w:val="30"/>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846"/>
              <w:gridCol w:w="1049"/>
              <w:gridCol w:w="1047"/>
              <w:gridCol w:w="814"/>
              <w:gridCol w:w="863"/>
              <w:gridCol w:w="1948"/>
              <w:gridCol w:w="1040"/>
              <w:gridCol w:w="886"/>
              <w:gridCol w:w="819"/>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4" w:type="pct"/>
                  <w:vMerge w:val="restart"/>
                  <w:tcMar>
                    <w:top w:w="0" w:type="dxa"/>
                    <w:left w:w="108" w:type="dxa"/>
                    <w:bottom w:w="0" w:type="dxa"/>
                    <w:right w:w="108" w:type="dxa"/>
                  </w:tcMar>
                  <w:vAlign w:val="center"/>
                </w:tcPr>
                <w:p>
                  <w:pPr>
                    <w:adjustRightInd w:val="0"/>
                    <w:snapToGrid w:val="0"/>
                    <w:jc w:val="center"/>
                    <w:rPr>
                      <w:b/>
                      <w:szCs w:val="21"/>
                    </w:rPr>
                  </w:pPr>
                  <w:r>
                    <w:rPr>
                      <w:b/>
                      <w:szCs w:val="21"/>
                    </w:rPr>
                    <w:t>污染源</w:t>
                  </w:r>
                </w:p>
              </w:tc>
              <w:tc>
                <w:tcPr>
                  <w:tcW w:w="563" w:type="pct"/>
                  <w:vMerge w:val="restart"/>
                  <w:tcMar>
                    <w:top w:w="0" w:type="dxa"/>
                    <w:left w:w="108" w:type="dxa"/>
                    <w:bottom w:w="0" w:type="dxa"/>
                    <w:right w:w="108" w:type="dxa"/>
                  </w:tcMar>
                  <w:vAlign w:val="center"/>
                </w:tcPr>
                <w:p>
                  <w:pPr>
                    <w:adjustRightInd w:val="0"/>
                    <w:snapToGrid w:val="0"/>
                    <w:jc w:val="center"/>
                    <w:rPr>
                      <w:b/>
                      <w:szCs w:val="21"/>
                    </w:rPr>
                  </w:pPr>
                  <w:r>
                    <w:rPr>
                      <w:b/>
                      <w:szCs w:val="21"/>
                    </w:rPr>
                    <w:t>污染物</w:t>
                  </w:r>
                </w:p>
              </w:tc>
              <w:tc>
                <w:tcPr>
                  <w:tcW w:w="562" w:type="pct"/>
                  <w:vMerge w:val="restart"/>
                  <w:tcMar>
                    <w:top w:w="0" w:type="dxa"/>
                    <w:left w:w="108" w:type="dxa"/>
                    <w:bottom w:w="0" w:type="dxa"/>
                    <w:right w:w="108" w:type="dxa"/>
                  </w:tcMar>
                  <w:vAlign w:val="center"/>
                </w:tcPr>
                <w:p>
                  <w:pPr>
                    <w:adjustRightInd w:val="0"/>
                    <w:snapToGrid w:val="0"/>
                    <w:jc w:val="center"/>
                    <w:rPr>
                      <w:b/>
                      <w:szCs w:val="21"/>
                    </w:rPr>
                  </w:pPr>
                  <w:r>
                    <w:rPr>
                      <w:b/>
                      <w:szCs w:val="21"/>
                    </w:rPr>
                    <w:t>产污</w:t>
                  </w:r>
                </w:p>
                <w:p>
                  <w:pPr>
                    <w:adjustRightInd w:val="0"/>
                    <w:snapToGrid w:val="0"/>
                    <w:jc w:val="center"/>
                    <w:rPr>
                      <w:b/>
                      <w:szCs w:val="21"/>
                    </w:rPr>
                  </w:pPr>
                  <w:r>
                    <w:rPr>
                      <w:b/>
                      <w:szCs w:val="21"/>
                    </w:rPr>
                    <w:t>浓度mg/m</w:t>
                  </w:r>
                  <w:r>
                    <w:rPr>
                      <w:b/>
                      <w:szCs w:val="21"/>
                      <w:vertAlign w:val="superscript"/>
                    </w:rPr>
                    <w:t>3</w:t>
                  </w:r>
                </w:p>
              </w:tc>
              <w:tc>
                <w:tcPr>
                  <w:tcW w:w="900" w:type="pct"/>
                  <w:gridSpan w:val="2"/>
                  <w:tcMar>
                    <w:top w:w="0" w:type="dxa"/>
                    <w:left w:w="108" w:type="dxa"/>
                    <w:bottom w:w="0" w:type="dxa"/>
                    <w:right w:w="108" w:type="dxa"/>
                  </w:tcMar>
                  <w:vAlign w:val="center"/>
                </w:tcPr>
                <w:p>
                  <w:pPr>
                    <w:adjustRightInd w:val="0"/>
                    <w:snapToGrid w:val="0"/>
                    <w:jc w:val="center"/>
                    <w:rPr>
                      <w:b/>
                      <w:szCs w:val="21"/>
                    </w:rPr>
                  </w:pPr>
                  <w:r>
                    <w:rPr>
                      <w:b/>
                      <w:szCs w:val="21"/>
                    </w:rPr>
                    <w:t>产生量</w:t>
                  </w:r>
                </w:p>
              </w:tc>
              <w:tc>
                <w:tcPr>
                  <w:tcW w:w="1045" w:type="pct"/>
                  <w:vMerge w:val="restart"/>
                  <w:tcMar>
                    <w:top w:w="0" w:type="dxa"/>
                    <w:left w:w="108" w:type="dxa"/>
                    <w:bottom w:w="0" w:type="dxa"/>
                    <w:right w:w="108" w:type="dxa"/>
                  </w:tcMar>
                  <w:vAlign w:val="center"/>
                </w:tcPr>
                <w:p>
                  <w:pPr>
                    <w:adjustRightInd w:val="0"/>
                    <w:snapToGrid w:val="0"/>
                    <w:jc w:val="center"/>
                    <w:rPr>
                      <w:b/>
                      <w:szCs w:val="21"/>
                    </w:rPr>
                  </w:pPr>
                  <w:r>
                    <w:rPr>
                      <w:b/>
                      <w:szCs w:val="21"/>
                    </w:rPr>
                    <w:t>污染防治措施</w:t>
                  </w:r>
                </w:p>
              </w:tc>
              <w:tc>
                <w:tcPr>
                  <w:tcW w:w="558" w:type="pct"/>
                  <w:vMerge w:val="restart"/>
                  <w:tcMar>
                    <w:top w:w="0" w:type="dxa"/>
                    <w:left w:w="108" w:type="dxa"/>
                    <w:bottom w:w="0" w:type="dxa"/>
                    <w:right w:w="108" w:type="dxa"/>
                  </w:tcMar>
                  <w:vAlign w:val="center"/>
                </w:tcPr>
                <w:p>
                  <w:pPr>
                    <w:adjustRightInd w:val="0"/>
                    <w:snapToGrid w:val="0"/>
                    <w:jc w:val="center"/>
                    <w:rPr>
                      <w:b/>
                      <w:szCs w:val="21"/>
                    </w:rPr>
                  </w:pPr>
                  <w:r>
                    <w:rPr>
                      <w:b/>
                      <w:szCs w:val="21"/>
                    </w:rPr>
                    <w:t>排放</w:t>
                  </w:r>
                </w:p>
                <w:p>
                  <w:pPr>
                    <w:adjustRightInd w:val="0"/>
                    <w:snapToGrid w:val="0"/>
                    <w:jc w:val="center"/>
                    <w:rPr>
                      <w:b/>
                      <w:szCs w:val="21"/>
                    </w:rPr>
                  </w:pPr>
                  <w:r>
                    <w:rPr>
                      <w:b/>
                      <w:szCs w:val="21"/>
                    </w:rPr>
                    <w:t>浓度mg/m</w:t>
                  </w:r>
                  <w:r>
                    <w:rPr>
                      <w:b/>
                      <w:szCs w:val="21"/>
                      <w:vertAlign w:val="superscript"/>
                    </w:rPr>
                    <w:t>3</w:t>
                  </w:r>
                </w:p>
              </w:tc>
              <w:tc>
                <w:tcPr>
                  <w:tcW w:w="914" w:type="pct"/>
                  <w:gridSpan w:val="2"/>
                  <w:tcMar>
                    <w:top w:w="0" w:type="dxa"/>
                    <w:left w:w="108" w:type="dxa"/>
                    <w:bottom w:w="0" w:type="dxa"/>
                    <w:right w:w="108" w:type="dxa"/>
                  </w:tcMar>
                  <w:vAlign w:val="center"/>
                </w:tcPr>
                <w:p>
                  <w:pPr>
                    <w:adjustRightInd w:val="0"/>
                    <w:snapToGrid w:val="0"/>
                    <w:jc w:val="center"/>
                    <w:rPr>
                      <w:b/>
                      <w:szCs w:val="21"/>
                    </w:rPr>
                  </w:pPr>
                  <w:r>
                    <w:rPr>
                      <w:b/>
                      <w:szCs w:val="21"/>
                    </w:rPr>
                    <w:t>排放量</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4" w:type="pct"/>
                  <w:vMerge w:val="continue"/>
                  <w:tcBorders>
                    <w:bottom w:val="single" w:color="000000" w:sz="8" w:space="0"/>
                  </w:tcBorders>
                  <w:tcMar>
                    <w:top w:w="0" w:type="dxa"/>
                    <w:left w:w="108" w:type="dxa"/>
                    <w:bottom w:w="0" w:type="dxa"/>
                    <w:right w:w="108" w:type="dxa"/>
                  </w:tcMar>
                  <w:vAlign w:val="center"/>
                </w:tcPr>
                <w:p>
                  <w:pPr>
                    <w:adjustRightInd w:val="0"/>
                    <w:snapToGrid w:val="0"/>
                    <w:jc w:val="center"/>
                    <w:rPr>
                      <w:b/>
                      <w:szCs w:val="21"/>
                    </w:rPr>
                  </w:pPr>
                </w:p>
              </w:tc>
              <w:tc>
                <w:tcPr>
                  <w:tcW w:w="563" w:type="pct"/>
                  <w:vMerge w:val="continue"/>
                  <w:tcBorders>
                    <w:bottom w:val="single" w:color="000000" w:sz="8" w:space="0"/>
                  </w:tcBorders>
                  <w:tcMar>
                    <w:top w:w="0" w:type="dxa"/>
                    <w:left w:w="108" w:type="dxa"/>
                    <w:bottom w:w="0" w:type="dxa"/>
                    <w:right w:w="108" w:type="dxa"/>
                  </w:tcMar>
                  <w:vAlign w:val="center"/>
                </w:tcPr>
                <w:p>
                  <w:pPr>
                    <w:adjustRightInd w:val="0"/>
                    <w:snapToGrid w:val="0"/>
                    <w:jc w:val="center"/>
                    <w:rPr>
                      <w:b/>
                      <w:szCs w:val="21"/>
                    </w:rPr>
                  </w:pPr>
                </w:p>
              </w:tc>
              <w:tc>
                <w:tcPr>
                  <w:tcW w:w="562" w:type="pct"/>
                  <w:vMerge w:val="continue"/>
                  <w:tcBorders>
                    <w:bottom w:val="single" w:color="000000" w:sz="8" w:space="0"/>
                  </w:tcBorders>
                  <w:tcMar>
                    <w:top w:w="0" w:type="dxa"/>
                    <w:left w:w="108" w:type="dxa"/>
                    <w:bottom w:w="0" w:type="dxa"/>
                    <w:right w:w="108" w:type="dxa"/>
                  </w:tcMar>
                  <w:vAlign w:val="center"/>
                </w:tcPr>
                <w:p>
                  <w:pPr>
                    <w:adjustRightInd w:val="0"/>
                    <w:snapToGrid w:val="0"/>
                    <w:jc w:val="center"/>
                    <w:rPr>
                      <w:b/>
                      <w:szCs w:val="21"/>
                    </w:rPr>
                  </w:pPr>
                </w:p>
              </w:tc>
              <w:tc>
                <w:tcPr>
                  <w:tcW w:w="437" w:type="pct"/>
                  <w:tcBorders>
                    <w:bottom w:val="single" w:color="000000" w:sz="8" w:space="0"/>
                  </w:tcBorders>
                  <w:tcMar>
                    <w:top w:w="0" w:type="dxa"/>
                    <w:left w:w="108" w:type="dxa"/>
                    <w:bottom w:w="0" w:type="dxa"/>
                    <w:right w:w="108" w:type="dxa"/>
                  </w:tcMar>
                  <w:vAlign w:val="center"/>
                </w:tcPr>
                <w:p>
                  <w:pPr>
                    <w:adjustRightInd w:val="0"/>
                    <w:snapToGrid w:val="0"/>
                    <w:jc w:val="center"/>
                    <w:rPr>
                      <w:b/>
                      <w:szCs w:val="21"/>
                    </w:rPr>
                  </w:pPr>
                  <w:r>
                    <w:rPr>
                      <w:b/>
                      <w:szCs w:val="21"/>
                    </w:rPr>
                    <w:t>kg/h</w:t>
                  </w:r>
                </w:p>
              </w:tc>
              <w:tc>
                <w:tcPr>
                  <w:tcW w:w="463" w:type="pct"/>
                  <w:tcBorders>
                    <w:bottom w:val="single" w:color="000000" w:sz="8" w:space="0"/>
                  </w:tcBorders>
                  <w:tcMar>
                    <w:top w:w="0" w:type="dxa"/>
                    <w:left w:w="108" w:type="dxa"/>
                    <w:bottom w:w="0" w:type="dxa"/>
                    <w:right w:w="108" w:type="dxa"/>
                  </w:tcMar>
                  <w:vAlign w:val="center"/>
                </w:tcPr>
                <w:p>
                  <w:pPr>
                    <w:adjustRightInd w:val="0"/>
                    <w:snapToGrid w:val="0"/>
                    <w:jc w:val="center"/>
                    <w:rPr>
                      <w:b/>
                      <w:szCs w:val="21"/>
                    </w:rPr>
                  </w:pPr>
                  <w:r>
                    <w:rPr>
                      <w:b/>
                      <w:szCs w:val="21"/>
                    </w:rPr>
                    <w:t>t/a</w:t>
                  </w:r>
                </w:p>
              </w:tc>
              <w:tc>
                <w:tcPr>
                  <w:tcW w:w="1045" w:type="pct"/>
                  <w:vMerge w:val="continue"/>
                  <w:tcBorders>
                    <w:bottom w:val="single" w:color="000000" w:sz="8" w:space="0"/>
                  </w:tcBorders>
                  <w:tcMar>
                    <w:top w:w="0" w:type="dxa"/>
                    <w:left w:w="108" w:type="dxa"/>
                    <w:bottom w:w="0" w:type="dxa"/>
                    <w:right w:w="108" w:type="dxa"/>
                  </w:tcMar>
                  <w:vAlign w:val="center"/>
                </w:tcPr>
                <w:p>
                  <w:pPr>
                    <w:adjustRightInd w:val="0"/>
                    <w:snapToGrid w:val="0"/>
                    <w:jc w:val="center"/>
                    <w:rPr>
                      <w:b/>
                      <w:szCs w:val="21"/>
                    </w:rPr>
                  </w:pPr>
                </w:p>
              </w:tc>
              <w:tc>
                <w:tcPr>
                  <w:tcW w:w="558" w:type="pct"/>
                  <w:vMerge w:val="continue"/>
                  <w:tcBorders>
                    <w:bottom w:val="single" w:color="000000" w:sz="8" w:space="0"/>
                  </w:tcBorders>
                  <w:tcMar>
                    <w:top w:w="0" w:type="dxa"/>
                    <w:left w:w="108" w:type="dxa"/>
                    <w:bottom w:w="0" w:type="dxa"/>
                    <w:right w:w="108" w:type="dxa"/>
                  </w:tcMar>
                  <w:vAlign w:val="center"/>
                </w:tcPr>
                <w:p>
                  <w:pPr>
                    <w:adjustRightInd w:val="0"/>
                    <w:snapToGrid w:val="0"/>
                    <w:jc w:val="center"/>
                    <w:rPr>
                      <w:b/>
                      <w:szCs w:val="21"/>
                    </w:rPr>
                  </w:pPr>
                </w:p>
              </w:tc>
              <w:tc>
                <w:tcPr>
                  <w:tcW w:w="475" w:type="pct"/>
                  <w:tcBorders>
                    <w:bottom w:val="single" w:color="000000" w:sz="8" w:space="0"/>
                  </w:tcBorders>
                  <w:tcMar>
                    <w:top w:w="0" w:type="dxa"/>
                    <w:left w:w="108" w:type="dxa"/>
                    <w:bottom w:w="0" w:type="dxa"/>
                    <w:right w:w="108" w:type="dxa"/>
                  </w:tcMar>
                  <w:vAlign w:val="center"/>
                </w:tcPr>
                <w:p>
                  <w:pPr>
                    <w:adjustRightInd w:val="0"/>
                    <w:snapToGrid w:val="0"/>
                    <w:jc w:val="center"/>
                    <w:rPr>
                      <w:b/>
                      <w:szCs w:val="21"/>
                    </w:rPr>
                  </w:pPr>
                  <w:r>
                    <w:rPr>
                      <w:b/>
                      <w:szCs w:val="21"/>
                    </w:rPr>
                    <w:t>kg/h</w:t>
                  </w:r>
                </w:p>
              </w:tc>
              <w:tc>
                <w:tcPr>
                  <w:tcW w:w="439" w:type="pct"/>
                  <w:tcBorders>
                    <w:bottom w:val="single" w:color="000000" w:sz="8" w:space="0"/>
                  </w:tcBorders>
                  <w:tcMar>
                    <w:top w:w="0" w:type="dxa"/>
                    <w:left w:w="108" w:type="dxa"/>
                    <w:bottom w:w="0" w:type="dxa"/>
                    <w:right w:w="108" w:type="dxa"/>
                  </w:tcMar>
                  <w:vAlign w:val="center"/>
                </w:tcPr>
                <w:p>
                  <w:pPr>
                    <w:adjustRightInd w:val="0"/>
                    <w:snapToGrid w:val="0"/>
                    <w:jc w:val="center"/>
                    <w:rPr>
                      <w:b/>
                      <w:szCs w:val="21"/>
                    </w:rPr>
                  </w:pPr>
                  <w:r>
                    <w:rPr>
                      <w:b/>
                      <w:szCs w:val="21"/>
                    </w:rPr>
                    <w:t>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454"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rPr>
                  </w:pPr>
                  <w:r>
                    <w:rPr>
                      <w:rFonts w:hint="eastAsia"/>
                      <w:bCs/>
                      <w:szCs w:val="21"/>
                    </w:rPr>
                    <w:t>焊接、切割工序</w:t>
                  </w:r>
                </w:p>
              </w:tc>
              <w:tc>
                <w:tcPr>
                  <w:tcW w:w="563"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rPr>
                  </w:pPr>
                  <w:r>
                    <w:rPr>
                      <w:rFonts w:hint="eastAsia"/>
                      <w:bCs/>
                      <w:szCs w:val="21"/>
                    </w:rPr>
                    <w:t>颗粒物</w:t>
                  </w:r>
                </w:p>
              </w:tc>
              <w:tc>
                <w:tcPr>
                  <w:tcW w:w="562"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rPr>
                  </w:pPr>
                  <w:r>
                    <w:rPr>
                      <w:rFonts w:hint="eastAsia"/>
                      <w:bCs/>
                      <w:szCs w:val="21"/>
                    </w:rPr>
                    <w:t>218.4</w:t>
                  </w:r>
                </w:p>
              </w:tc>
              <w:tc>
                <w:tcPr>
                  <w:tcW w:w="437"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pPr>
                  <w:r>
                    <w:rPr>
                      <w:rFonts w:hint="eastAsia"/>
                    </w:rPr>
                    <w:t>0.546</w:t>
                  </w:r>
                </w:p>
              </w:tc>
              <w:tc>
                <w:tcPr>
                  <w:tcW w:w="463"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rPr>
                  </w:pPr>
                  <w:r>
                    <w:rPr>
                      <w:rFonts w:hint="eastAsia"/>
                      <w:bCs/>
                      <w:szCs w:val="21"/>
                    </w:rPr>
                    <w:t>0.1134</w:t>
                  </w:r>
                </w:p>
              </w:tc>
              <w:tc>
                <w:tcPr>
                  <w:tcW w:w="1045"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rPr>
                  </w:pPr>
                  <w:r>
                    <w:rPr>
                      <w:rFonts w:hint="eastAsia"/>
                      <w:bCs/>
                      <w:szCs w:val="21"/>
                    </w:rPr>
                    <w:t>切割、焊接工序采用集气罩收集，收集后废气采用1台袋式除尘器处理，处理后经1根15m高排气筒排放。</w:t>
                  </w:r>
                </w:p>
              </w:tc>
              <w:tc>
                <w:tcPr>
                  <w:tcW w:w="558"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rPr>
                  </w:pPr>
                  <w:r>
                    <w:rPr>
                      <w:rFonts w:hint="eastAsia"/>
                      <w:bCs/>
                      <w:szCs w:val="21"/>
                    </w:rPr>
                    <w:t>1.7472</w:t>
                  </w:r>
                </w:p>
              </w:tc>
              <w:tc>
                <w:tcPr>
                  <w:tcW w:w="475"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rPr>
                  </w:pPr>
                  <w:r>
                    <w:rPr>
                      <w:rFonts w:hint="eastAsia"/>
                      <w:bCs/>
                      <w:szCs w:val="21"/>
                    </w:rPr>
                    <w:t>0.0044</w:t>
                  </w:r>
                </w:p>
              </w:tc>
              <w:tc>
                <w:tcPr>
                  <w:tcW w:w="439"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rPr>
                  </w:pPr>
                  <w:r>
                    <w:rPr>
                      <w:rFonts w:hint="eastAsia"/>
                      <w:bCs/>
                      <w:szCs w:val="21"/>
                    </w:rPr>
                    <w:t>0.0009</w:t>
                  </w:r>
                </w:p>
              </w:tc>
            </w:tr>
          </w:tbl>
          <w:p>
            <w:pPr>
              <w:pStyle w:val="4"/>
              <w:adjustRightInd w:val="0"/>
              <w:snapToGrid w:val="0"/>
              <w:spacing w:line="440" w:lineRule="exact"/>
              <w:ind w:firstLine="480"/>
              <w:rPr>
                <w:rFonts w:ascii="Times New Roman" w:hAnsi="Times New Roman" w:cs="Times New Roman"/>
                <w:sz w:val="24"/>
              </w:rPr>
            </w:pPr>
            <w:r>
              <w:rPr>
                <w:rFonts w:ascii="Times New Roman" w:hAnsi="Times New Roman" w:cs="Times New Roman"/>
                <w:sz w:val="24"/>
              </w:rPr>
              <w:t>经计算，</w:t>
            </w:r>
            <w:r>
              <w:rPr>
                <w:rFonts w:hint="eastAsia" w:ascii="Times New Roman" w:hAnsi="Times New Roman" w:cs="Times New Roman"/>
                <w:sz w:val="24"/>
              </w:rPr>
              <w:t>本项目</w:t>
            </w:r>
            <w:r>
              <w:rPr>
                <w:rFonts w:ascii="Times New Roman" w:hAnsi="Times New Roman" w:cs="Times New Roman"/>
                <w:sz w:val="24"/>
              </w:rPr>
              <w:t>颗粒物有组织排放量为0.000</w:t>
            </w:r>
            <w:r>
              <w:rPr>
                <w:rFonts w:hint="eastAsia" w:ascii="Times New Roman" w:hAnsi="Times New Roman" w:cs="Times New Roman"/>
                <w:sz w:val="24"/>
              </w:rPr>
              <w:t>9</w:t>
            </w:r>
            <w:r>
              <w:rPr>
                <w:rFonts w:ascii="Times New Roman" w:hAnsi="Times New Roman" w:cs="Times New Roman"/>
                <w:sz w:val="24"/>
              </w:rPr>
              <w:t>t/a（0.00</w:t>
            </w:r>
            <w:r>
              <w:rPr>
                <w:rFonts w:hint="eastAsia" w:ascii="Times New Roman" w:hAnsi="Times New Roman" w:cs="Times New Roman"/>
                <w:sz w:val="24"/>
              </w:rPr>
              <w:t>44</w:t>
            </w:r>
            <w:r>
              <w:rPr>
                <w:rFonts w:ascii="Times New Roman" w:hAnsi="Times New Roman" w:cs="Times New Roman"/>
                <w:sz w:val="24"/>
              </w:rPr>
              <w:t>kg/h），排放浓度</w:t>
            </w:r>
            <w:r>
              <w:rPr>
                <w:rFonts w:hint="eastAsia" w:ascii="Times New Roman" w:hAnsi="Times New Roman" w:cs="Times New Roman"/>
                <w:sz w:val="24"/>
              </w:rPr>
              <w:t>1.7472</w:t>
            </w:r>
            <w:r>
              <w:rPr>
                <w:rFonts w:ascii="Times New Roman" w:hAnsi="Times New Roman" w:cs="Times New Roman"/>
                <w:sz w:val="24"/>
              </w:rPr>
              <w:t>mg/m</w:t>
            </w:r>
            <w:r>
              <w:rPr>
                <w:rFonts w:ascii="Times New Roman" w:hAnsi="Times New Roman" w:cs="Times New Roman"/>
                <w:sz w:val="24"/>
                <w:vertAlign w:val="superscript"/>
              </w:rPr>
              <w:t>3</w:t>
            </w:r>
            <w:r>
              <w:rPr>
                <w:rFonts w:ascii="Times New Roman" w:hAnsi="Times New Roman" w:cs="Times New Roman"/>
                <w:sz w:val="24"/>
              </w:rPr>
              <w:t>，粉尘的排放速率</w:t>
            </w:r>
            <w:r>
              <w:rPr>
                <w:rFonts w:hint="eastAsia" w:ascii="Times New Roman" w:hAnsi="Times New Roman" w:cs="Times New Roman"/>
                <w:sz w:val="24"/>
              </w:rPr>
              <w:t>能够</w:t>
            </w:r>
            <w:r>
              <w:rPr>
                <w:rFonts w:ascii="Times New Roman" w:hAnsi="Times New Roman" w:cs="Times New Roman"/>
                <w:sz w:val="24"/>
              </w:rPr>
              <w:t>满足《大气污染物综合排放标准》(GB16297-1996)表2二级排放速率3.5kg/h（15m排气筒）、排放浓度能够达到2020年7月31日《新乡市生态环境局关于进一步规范工业颗粒物排放限值的通知》排放口颗粒物排放浓度不高于10mg/m</w:t>
            </w:r>
            <w:r>
              <w:rPr>
                <w:rFonts w:ascii="Times New Roman" w:hAnsi="Times New Roman" w:cs="Times New Roman"/>
                <w:sz w:val="24"/>
                <w:vertAlign w:val="superscript"/>
              </w:rPr>
              <w:t>3</w:t>
            </w:r>
            <w:r>
              <w:rPr>
                <w:rFonts w:ascii="Times New Roman" w:hAnsi="Times New Roman" w:cs="Times New Roman"/>
                <w:sz w:val="24"/>
              </w:rPr>
              <w:t>的标准要求。</w:t>
            </w:r>
          </w:p>
          <w:p>
            <w:pPr>
              <w:pStyle w:val="4"/>
              <w:adjustRightInd w:val="0"/>
              <w:snapToGrid w:val="0"/>
              <w:spacing w:line="440" w:lineRule="exact"/>
              <w:ind w:firstLine="482"/>
              <w:rPr>
                <w:b/>
                <w:bCs/>
                <w:sz w:val="24"/>
              </w:rPr>
            </w:pPr>
            <w:r>
              <w:rPr>
                <w:rFonts w:hint="eastAsia"/>
                <w:b/>
                <w:bCs/>
                <w:sz w:val="24"/>
              </w:rPr>
              <w:t>（2）</w:t>
            </w:r>
            <w:r>
              <w:rPr>
                <w:b/>
                <w:bCs/>
                <w:sz w:val="24"/>
              </w:rPr>
              <w:t>粉尘无组织排放</w:t>
            </w:r>
          </w:p>
          <w:p>
            <w:pPr>
              <w:pStyle w:val="4"/>
              <w:adjustRightInd w:val="0"/>
              <w:snapToGrid w:val="0"/>
              <w:spacing w:line="440" w:lineRule="exact"/>
              <w:ind w:firstLine="480"/>
              <w:rPr>
                <w:sz w:val="24"/>
              </w:rPr>
            </w:pPr>
            <w:r>
              <w:rPr>
                <w:sz w:val="24"/>
              </w:rPr>
              <w:t>本项目无组织粉尘主要为未被集气罩收集的粉尘。</w:t>
            </w:r>
          </w:p>
          <w:p>
            <w:pPr>
              <w:spacing w:line="440" w:lineRule="exact"/>
              <w:ind w:firstLine="480" w:firstLineChars="200"/>
              <w:jc w:val="left"/>
              <w:rPr>
                <w:rFonts w:cs="宋体"/>
                <w:color w:val="000000"/>
                <w:sz w:val="24"/>
              </w:rPr>
            </w:pPr>
            <w:r>
              <w:rPr>
                <w:rFonts w:hint="eastAsia"/>
                <w:sz w:val="24"/>
              </w:rPr>
              <w:t>本项目无组织产生量为0.0227t/a</w:t>
            </w:r>
            <w:r>
              <w:rPr>
                <w:sz w:val="24"/>
              </w:rPr>
              <w:t>。</w:t>
            </w:r>
            <w:r>
              <w:rPr>
                <w:rFonts w:hint="eastAsia"/>
                <w:sz w:val="24"/>
              </w:rPr>
              <w:t>评价建议</w:t>
            </w:r>
            <w:r>
              <w:rPr>
                <w:sz w:val="24"/>
              </w:rPr>
              <w:t>项目</w:t>
            </w:r>
            <w:r>
              <w:rPr>
                <w:rFonts w:hint="eastAsia"/>
                <w:sz w:val="24"/>
              </w:rPr>
              <w:t>生产</w:t>
            </w:r>
            <w:r>
              <w:rPr>
                <w:sz w:val="24"/>
              </w:rPr>
              <w:t>过程在密闭的车间内进行，</w:t>
            </w:r>
            <w:r>
              <w:rPr>
                <w:rFonts w:hint="eastAsia"/>
                <w:sz w:val="24"/>
              </w:rPr>
              <w:t>洒落在地面上的粉尘及时用吸尘器清理干净，因此</w:t>
            </w:r>
            <w:r>
              <w:rPr>
                <w:spacing w:val="-6"/>
                <w:sz w:val="24"/>
              </w:rPr>
              <w:t>通过车间、门窗密闭，最终通过门、窗排放到外环境的粉尘量极少。本次评价粉尘排入外环境的量按粉尘无组织产生量的</w:t>
            </w:r>
            <w:r>
              <w:rPr>
                <w:rFonts w:hint="eastAsia"/>
                <w:spacing w:val="-6"/>
                <w:sz w:val="24"/>
              </w:rPr>
              <w:t>10</w:t>
            </w:r>
            <w:r>
              <w:rPr>
                <w:spacing w:val="-6"/>
                <w:sz w:val="24"/>
              </w:rPr>
              <w:t>%计算，则</w:t>
            </w:r>
            <w:r>
              <w:rPr>
                <w:rFonts w:hint="eastAsia"/>
                <w:spacing w:val="-6"/>
                <w:sz w:val="24"/>
              </w:rPr>
              <w:t>本项目</w:t>
            </w:r>
            <w:r>
              <w:rPr>
                <w:spacing w:val="-6"/>
                <w:sz w:val="24"/>
              </w:rPr>
              <w:t>排放到外环境的粉尘量为</w:t>
            </w:r>
            <w:r>
              <w:rPr>
                <w:rFonts w:hint="eastAsia"/>
                <w:spacing w:val="-6"/>
                <w:sz w:val="24"/>
              </w:rPr>
              <w:t>0.0023</w:t>
            </w:r>
            <w:r>
              <w:rPr>
                <w:spacing w:val="-6"/>
                <w:sz w:val="24"/>
              </w:rPr>
              <w:t>t/a。</w:t>
            </w:r>
            <w:r>
              <w:rPr>
                <w:color w:val="000000"/>
                <w:sz w:val="24"/>
              </w:rPr>
              <w:t>经计算，</w:t>
            </w:r>
            <w:r>
              <w:rPr>
                <w:rFonts w:hint="eastAsia" w:cs="宋体"/>
                <w:color w:val="000000"/>
                <w:sz w:val="24"/>
              </w:rPr>
              <w:t>本项目无组织粉尘产、排放情况见下表</w:t>
            </w:r>
            <w:r>
              <w:rPr>
                <w:rFonts w:cs="宋体"/>
                <w:color w:val="000000"/>
                <w:sz w:val="24"/>
              </w:rPr>
              <w:t>。</w:t>
            </w:r>
          </w:p>
          <w:p>
            <w:pPr>
              <w:adjustRightInd w:val="0"/>
              <w:snapToGrid w:val="0"/>
              <w:spacing w:line="440" w:lineRule="exact"/>
              <w:ind w:firstLine="480" w:firstLineChars="200"/>
              <w:rPr>
                <w:rFonts w:eastAsia="黑体"/>
                <w:sz w:val="24"/>
                <w:lang w:val="pt-BR"/>
              </w:rPr>
            </w:pPr>
            <w:r>
              <w:rPr>
                <w:rFonts w:eastAsia="黑体"/>
                <w:sz w:val="24"/>
                <w:lang w:val="pt-BR"/>
              </w:rPr>
              <w:t>表</w:t>
            </w:r>
            <w:r>
              <w:rPr>
                <w:rFonts w:hint="eastAsia" w:eastAsia="黑体"/>
                <w:sz w:val="24"/>
              </w:rPr>
              <w:t>23                 切割、焊接工序无组织粉尘产排情况一览表</w:t>
            </w:r>
          </w:p>
          <w:tbl>
            <w:tblPr>
              <w:tblStyle w:val="30"/>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096"/>
              <w:gridCol w:w="1366"/>
              <w:gridCol w:w="1028"/>
              <w:gridCol w:w="1017"/>
              <w:gridCol w:w="2599"/>
              <w:gridCol w:w="1146"/>
              <w:gridCol w:w="1060"/>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588" w:type="pct"/>
                  <w:vMerge w:val="restart"/>
                  <w:tcMar>
                    <w:top w:w="0" w:type="dxa"/>
                    <w:left w:w="108" w:type="dxa"/>
                    <w:bottom w:w="0" w:type="dxa"/>
                    <w:right w:w="108" w:type="dxa"/>
                  </w:tcMar>
                  <w:vAlign w:val="center"/>
                </w:tcPr>
                <w:p>
                  <w:pPr>
                    <w:adjustRightInd w:val="0"/>
                    <w:snapToGrid w:val="0"/>
                    <w:jc w:val="center"/>
                    <w:rPr>
                      <w:b/>
                      <w:szCs w:val="21"/>
                      <w:lang w:val="pt-BR"/>
                    </w:rPr>
                  </w:pPr>
                  <w:r>
                    <w:rPr>
                      <w:b/>
                      <w:szCs w:val="21"/>
                    </w:rPr>
                    <w:t>污染源</w:t>
                  </w:r>
                </w:p>
              </w:tc>
              <w:tc>
                <w:tcPr>
                  <w:tcW w:w="733" w:type="pct"/>
                  <w:vMerge w:val="restart"/>
                  <w:tcMar>
                    <w:top w:w="0" w:type="dxa"/>
                    <w:left w:w="108" w:type="dxa"/>
                    <w:bottom w:w="0" w:type="dxa"/>
                    <w:right w:w="108" w:type="dxa"/>
                  </w:tcMar>
                  <w:vAlign w:val="center"/>
                </w:tcPr>
                <w:p>
                  <w:pPr>
                    <w:adjustRightInd w:val="0"/>
                    <w:snapToGrid w:val="0"/>
                    <w:jc w:val="center"/>
                    <w:rPr>
                      <w:b/>
                      <w:szCs w:val="21"/>
                      <w:lang w:val="pt-BR"/>
                    </w:rPr>
                  </w:pPr>
                  <w:r>
                    <w:rPr>
                      <w:b/>
                      <w:szCs w:val="21"/>
                    </w:rPr>
                    <w:t>污染物</w:t>
                  </w:r>
                </w:p>
              </w:tc>
              <w:tc>
                <w:tcPr>
                  <w:tcW w:w="1098" w:type="pct"/>
                  <w:gridSpan w:val="2"/>
                  <w:tcMar>
                    <w:top w:w="0" w:type="dxa"/>
                    <w:left w:w="108" w:type="dxa"/>
                    <w:bottom w:w="0" w:type="dxa"/>
                    <w:right w:w="108" w:type="dxa"/>
                  </w:tcMar>
                  <w:vAlign w:val="center"/>
                </w:tcPr>
                <w:p>
                  <w:pPr>
                    <w:adjustRightInd w:val="0"/>
                    <w:snapToGrid w:val="0"/>
                    <w:jc w:val="center"/>
                    <w:rPr>
                      <w:b/>
                      <w:szCs w:val="21"/>
                      <w:lang w:val="pt-BR"/>
                    </w:rPr>
                  </w:pPr>
                  <w:r>
                    <w:rPr>
                      <w:b/>
                      <w:szCs w:val="21"/>
                    </w:rPr>
                    <w:t>产生量</w:t>
                  </w:r>
                </w:p>
              </w:tc>
              <w:tc>
                <w:tcPr>
                  <w:tcW w:w="1395" w:type="pct"/>
                  <w:vMerge w:val="restart"/>
                  <w:tcMar>
                    <w:top w:w="0" w:type="dxa"/>
                    <w:left w:w="108" w:type="dxa"/>
                    <w:bottom w:w="0" w:type="dxa"/>
                    <w:right w:w="108" w:type="dxa"/>
                  </w:tcMar>
                  <w:vAlign w:val="center"/>
                </w:tcPr>
                <w:p>
                  <w:pPr>
                    <w:adjustRightInd w:val="0"/>
                    <w:snapToGrid w:val="0"/>
                    <w:jc w:val="center"/>
                    <w:rPr>
                      <w:b/>
                      <w:szCs w:val="21"/>
                      <w:lang w:val="pt-BR"/>
                    </w:rPr>
                  </w:pPr>
                  <w:r>
                    <w:rPr>
                      <w:b/>
                      <w:szCs w:val="21"/>
                    </w:rPr>
                    <w:t>污染防治措施</w:t>
                  </w:r>
                </w:p>
              </w:tc>
              <w:tc>
                <w:tcPr>
                  <w:tcW w:w="1184" w:type="pct"/>
                  <w:gridSpan w:val="2"/>
                  <w:tcMar>
                    <w:top w:w="0" w:type="dxa"/>
                    <w:left w:w="108" w:type="dxa"/>
                    <w:bottom w:w="0" w:type="dxa"/>
                    <w:right w:w="108" w:type="dxa"/>
                  </w:tcMar>
                  <w:vAlign w:val="center"/>
                </w:tcPr>
                <w:p>
                  <w:pPr>
                    <w:adjustRightInd w:val="0"/>
                    <w:snapToGrid w:val="0"/>
                    <w:jc w:val="center"/>
                    <w:rPr>
                      <w:b/>
                      <w:szCs w:val="21"/>
                      <w:lang w:val="pt-BR"/>
                    </w:rPr>
                  </w:pPr>
                  <w:r>
                    <w:rPr>
                      <w:b/>
                      <w:szCs w:val="21"/>
                    </w:rPr>
                    <w:t>排放量</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588" w:type="pct"/>
                  <w:vMerge w:val="continue"/>
                  <w:tcBorders>
                    <w:bottom w:val="single" w:color="000000" w:sz="8" w:space="0"/>
                  </w:tcBorders>
                  <w:tcMar>
                    <w:top w:w="0" w:type="dxa"/>
                    <w:left w:w="108" w:type="dxa"/>
                    <w:bottom w:w="0" w:type="dxa"/>
                    <w:right w:w="108" w:type="dxa"/>
                  </w:tcMar>
                  <w:vAlign w:val="center"/>
                </w:tcPr>
                <w:p>
                  <w:pPr>
                    <w:adjustRightInd w:val="0"/>
                    <w:snapToGrid w:val="0"/>
                    <w:jc w:val="center"/>
                    <w:rPr>
                      <w:b/>
                      <w:szCs w:val="21"/>
                      <w:lang w:val="pt-BR"/>
                    </w:rPr>
                  </w:pPr>
                </w:p>
              </w:tc>
              <w:tc>
                <w:tcPr>
                  <w:tcW w:w="733" w:type="pct"/>
                  <w:vMerge w:val="continue"/>
                  <w:tcBorders>
                    <w:bottom w:val="single" w:color="000000" w:sz="8" w:space="0"/>
                  </w:tcBorders>
                  <w:tcMar>
                    <w:top w:w="0" w:type="dxa"/>
                    <w:left w:w="108" w:type="dxa"/>
                    <w:bottom w:w="0" w:type="dxa"/>
                    <w:right w:w="108" w:type="dxa"/>
                  </w:tcMar>
                  <w:vAlign w:val="center"/>
                </w:tcPr>
                <w:p>
                  <w:pPr>
                    <w:adjustRightInd w:val="0"/>
                    <w:snapToGrid w:val="0"/>
                    <w:jc w:val="center"/>
                    <w:rPr>
                      <w:b/>
                      <w:szCs w:val="21"/>
                      <w:lang w:val="pt-BR"/>
                    </w:rPr>
                  </w:pPr>
                </w:p>
              </w:tc>
              <w:tc>
                <w:tcPr>
                  <w:tcW w:w="552" w:type="pct"/>
                  <w:tcBorders>
                    <w:bottom w:val="single" w:color="000000" w:sz="8" w:space="0"/>
                  </w:tcBorders>
                  <w:tcMar>
                    <w:top w:w="0" w:type="dxa"/>
                    <w:left w:w="108" w:type="dxa"/>
                    <w:bottom w:w="0" w:type="dxa"/>
                    <w:right w:w="108" w:type="dxa"/>
                  </w:tcMar>
                  <w:vAlign w:val="center"/>
                </w:tcPr>
                <w:p>
                  <w:pPr>
                    <w:adjustRightInd w:val="0"/>
                    <w:snapToGrid w:val="0"/>
                    <w:jc w:val="center"/>
                    <w:rPr>
                      <w:b/>
                      <w:szCs w:val="21"/>
                      <w:lang w:val="pt-BR"/>
                    </w:rPr>
                  </w:pPr>
                  <w:r>
                    <w:rPr>
                      <w:b/>
                      <w:szCs w:val="21"/>
                      <w:lang w:val="pt-BR"/>
                    </w:rPr>
                    <w:t>kg/h</w:t>
                  </w:r>
                </w:p>
              </w:tc>
              <w:tc>
                <w:tcPr>
                  <w:tcW w:w="546" w:type="pct"/>
                  <w:tcBorders>
                    <w:bottom w:val="single" w:color="000000" w:sz="8" w:space="0"/>
                  </w:tcBorders>
                  <w:tcMar>
                    <w:top w:w="0" w:type="dxa"/>
                    <w:left w:w="108" w:type="dxa"/>
                    <w:bottom w:w="0" w:type="dxa"/>
                    <w:right w:w="108" w:type="dxa"/>
                  </w:tcMar>
                  <w:vAlign w:val="center"/>
                </w:tcPr>
                <w:p>
                  <w:pPr>
                    <w:adjustRightInd w:val="0"/>
                    <w:snapToGrid w:val="0"/>
                    <w:jc w:val="center"/>
                    <w:rPr>
                      <w:b/>
                      <w:szCs w:val="21"/>
                      <w:lang w:val="pt-BR"/>
                    </w:rPr>
                  </w:pPr>
                  <w:r>
                    <w:rPr>
                      <w:b/>
                      <w:szCs w:val="21"/>
                      <w:lang w:val="pt-BR"/>
                    </w:rPr>
                    <w:t>t/a</w:t>
                  </w:r>
                </w:p>
              </w:tc>
              <w:tc>
                <w:tcPr>
                  <w:tcW w:w="1395" w:type="pct"/>
                  <w:vMerge w:val="continue"/>
                  <w:tcBorders>
                    <w:bottom w:val="single" w:color="000000" w:sz="8" w:space="0"/>
                  </w:tcBorders>
                  <w:tcMar>
                    <w:top w:w="0" w:type="dxa"/>
                    <w:left w:w="108" w:type="dxa"/>
                    <w:bottom w:w="0" w:type="dxa"/>
                    <w:right w:w="108" w:type="dxa"/>
                  </w:tcMar>
                  <w:vAlign w:val="center"/>
                </w:tcPr>
                <w:p>
                  <w:pPr>
                    <w:adjustRightInd w:val="0"/>
                    <w:snapToGrid w:val="0"/>
                    <w:jc w:val="center"/>
                    <w:rPr>
                      <w:b/>
                      <w:szCs w:val="21"/>
                      <w:lang w:val="pt-BR"/>
                    </w:rPr>
                  </w:pPr>
                </w:p>
              </w:tc>
              <w:tc>
                <w:tcPr>
                  <w:tcW w:w="615" w:type="pct"/>
                  <w:tcBorders>
                    <w:bottom w:val="single" w:color="000000" w:sz="8" w:space="0"/>
                  </w:tcBorders>
                  <w:tcMar>
                    <w:top w:w="0" w:type="dxa"/>
                    <w:left w:w="108" w:type="dxa"/>
                    <w:bottom w:w="0" w:type="dxa"/>
                    <w:right w:w="108" w:type="dxa"/>
                  </w:tcMar>
                  <w:vAlign w:val="center"/>
                </w:tcPr>
                <w:p>
                  <w:pPr>
                    <w:adjustRightInd w:val="0"/>
                    <w:snapToGrid w:val="0"/>
                    <w:jc w:val="center"/>
                    <w:rPr>
                      <w:b/>
                      <w:szCs w:val="21"/>
                      <w:lang w:val="pt-BR"/>
                    </w:rPr>
                  </w:pPr>
                  <w:r>
                    <w:rPr>
                      <w:b/>
                      <w:szCs w:val="21"/>
                      <w:lang w:val="pt-BR"/>
                    </w:rPr>
                    <w:t>kg/h</w:t>
                  </w:r>
                </w:p>
              </w:tc>
              <w:tc>
                <w:tcPr>
                  <w:tcW w:w="568" w:type="pct"/>
                  <w:tcBorders>
                    <w:bottom w:val="single" w:color="000000" w:sz="8" w:space="0"/>
                  </w:tcBorders>
                  <w:tcMar>
                    <w:top w:w="0" w:type="dxa"/>
                    <w:left w:w="108" w:type="dxa"/>
                    <w:bottom w:w="0" w:type="dxa"/>
                    <w:right w:w="108" w:type="dxa"/>
                  </w:tcMar>
                  <w:vAlign w:val="center"/>
                </w:tcPr>
                <w:p>
                  <w:pPr>
                    <w:adjustRightInd w:val="0"/>
                    <w:snapToGrid w:val="0"/>
                    <w:jc w:val="center"/>
                    <w:rPr>
                      <w:b/>
                      <w:szCs w:val="21"/>
                      <w:lang w:val="pt-BR"/>
                    </w:rPr>
                  </w:pPr>
                  <w:r>
                    <w:rPr>
                      <w:b/>
                      <w:szCs w:val="21"/>
                      <w:lang w:val="pt-BR"/>
                    </w:rPr>
                    <w:t>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588"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lang w:val="pt-BR"/>
                    </w:rPr>
                  </w:pPr>
                  <w:r>
                    <w:rPr>
                      <w:rFonts w:hint="eastAsia"/>
                      <w:bCs/>
                      <w:szCs w:val="21"/>
                    </w:rPr>
                    <w:t>切割、焊接工序</w:t>
                  </w:r>
                </w:p>
              </w:tc>
              <w:tc>
                <w:tcPr>
                  <w:tcW w:w="733"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lang w:val="pt-BR"/>
                    </w:rPr>
                  </w:pPr>
                  <w:r>
                    <w:rPr>
                      <w:rFonts w:hint="eastAsia"/>
                      <w:bCs/>
                      <w:szCs w:val="21"/>
                    </w:rPr>
                    <w:t>颗粒物</w:t>
                  </w:r>
                </w:p>
              </w:tc>
              <w:tc>
                <w:tcPr>
                  <w:tcW w:w="552"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lang w:val="pt-BR"/>
                    </w:rPr>
                  </w:pPr>
                  <w:r>
                    <w:rPr>
                      <w:rFonts w:hint="eastAsia"/>
                      <w:bCs/>
                      <w:szCs w:val="21"/>
                      <w:lang w:val="pt-BR"/>
                    </w:rPr>
                    <w:t>0.1092</w:t>
                  </w:r>
                </w:p>
              </w:tc>
              <w:tc>
                <w:tcPr>
                  <w:tcW w:w="546"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lang w:val="pt-BR"/>
                    </w:rPr>
                  </w:pPr>
                  <w:r>
                    <w:rPr>
                      <w:rFonts w:hint="eastAsia"/>
                      <w:bCs/>
                      <w:szCs w:val="21"/>
                      <w:lang w:val="pt-BR"/>
                    </w:rPr>
                    <w:t>0.0227</w:t>
                  </w:r>
                </w:p>
              </w:tc>
              <w:tc>
                <w:tcPr>
                  <w:tcW w:w="1395"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lang w:val="pt-BR"/>
                    </w:rPr>
                  </w:pPr>
                  <w:r>
                    <w:rPr>
                      <w:rFonts w:hint="eastAsia"/>
                      <w:bCs/>
                      <w:szCs w:val="21"/>
                    </w:rPr>
                    <w:t>车间密闭</w:t>
                  </w:r>
                </w:p>
              </w:tc>
              <w:tc>
                <w:tcPr>
                  <w:tcW w:w="615"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lang w:val="pt-BR"/>
                    </w:rPr>
                  </w:pPr>
                  <w:r>
                    <w:rPr>
                      <w:rFonts w:hint="eastAsia"/>
                      <w:bCs/>
                      <w:szCs w:val="21"/>
                      <w:lang w:val="pt-BR"/>
                    </w:rPr>
                    <w:t>0.0109</w:t>
                  </w:r>
                </w:p>
              </w:tc>
              <w:tc>
                <w:tcPr>
                  <w:tcW w:w="568" w:type="pct"/>
                  <w:tcBorders>
                    <w:top w:val="single" w:color="000000" w:sz="8" w:space="0"/>
                    <w:tl2br w:val="nil"/>
                    <w:tr2bl w:val="nil"/>
                  </w:tcBorders>
                  <w:tcMar>
                    <w:top w:w="0" w:type="dxa"/>
                    <w:left w:w="108" w:type="dxa"/>
                    <w:bottom w:w="0" w:type="dxa"/>
                    <w:right w:w="108" w:type="dxa"/>
                  </w:tcMar>
                  <w:vAlign w:val="center"/>
                </w:tcPr>
                <w:p>
                  <w:pPr>
                    <w:adjustRightInd w:val="0"/>
                    <w:snapToGrid w:val="0"/>
                    <w:jc w:val="center"/>
                    <w:rPr>
                      <w:bCs/>
                      <w:szCs w:val="21"/>
                      <w:lang w:val="pt-BR"/>
                    </w:rPr>
                  </w:pPr>
                  <w:r>
                    <w:rPr>
                      <w:rFonts w:hint="eastAsia"/>
                      <w:bCs/>
                      <w:szCs w:val="21"/>
                      <w:lang w:val="pt-BR"/>
                    </w:rPr>
                    <w:t>0.0023</w:t>
                  </w:r>
                </w:p>
              </w:tc>
            </w:tr>
          </w:tbl>
          <w:p>
            <w:pPr>
              <w:adjustRightInd w:val="0"/>
              <w:spacing w:line="440" w:lineRule="exact"/>
              <w:ind w:firstLine="482" w:firstLineChars="200"/>
              <w:rPr>
                <w:b/>
                <w:bCs/>
                <w:sz w:val="24"/>
                <w:lang w:val="pt-BR"/>
              </w:rPr>
            </w:pPr>
            <w:r>
              <w:rPr>
                <w:b/>
                <w:bCs/>
                <w:sz w:val="24"/>
                <w:lang w:val="pt-BR"/>
              </w:rPr>
              <w:t>2</w:t>
            </w:r>
            <w:r>
              <w:rPr>
                <w:b/>
                <w:bCs/>
                <w:sz w:val="24"/>
              </w:rPr>
              <w:t>、大气环境影响预测评价</w:t>
            </w:r>
          </w:p>
          <w:p>
            <w:pPr>
              <w:pStyle w:val="15"/>
              <w:spacing w:line="440" w:lineRule="exact"/>
              <w:ind w:firstLine="504"/>
              <w:rPr>
                <w:rFonts w:eastAsiaTheme="minorEastAsia"/>
                <w:bCs/>
                <w:spacing w:val="6"/>
                <w:sz w:val="24"/>
              </w:rPr>
            </w:pPr>
            <w:r>
              <w:rPr>
                <w:rFonts w:hint="eastAsia" w:eastAsiaTheme="minorEastAsia"/>
                <w:bCs/>
                <w:spacing w:val="6"/>
                <w:sz w:val="24"/>
              </w:rPr>
              <w:t>（1）</w:t>
            </w:r>
            <w:r>
              <w:rPr>
                <w:color w:val="000000"/>
                <w:sz w:val="24"/>
              </w:rPr>
              <w:t>预测因子和评价标准</w:t>
            </w:r>
          </w:p>
          <w:p>
            <w:pPr>
              <w:spacing w:line="440" w:lineRule="exact"/>
              <w:ind w:firstLine="480" w:firstLineChars="200"/>
              <w:rPr>
                <w:bCs/>
                <w:sz w:val="24"/>
              </w:rPr>
            </w:pPr>
            <w:r>
              <w:rPr>
                <w:bCs/>
                <w:sz w:val="24"/>
              </w:rPr>
              <w:t>本次评价使用《环境影响评价技术导则大气环境》（HJ2.2-2018）中推荐的估算模型AERSCREEN，判定运营期大气环境影响评价等级。</w:t>
            </w:r>
          </w:p>
          <w:p>
            <w:pPr>
              <w:pStyle w:val="38"/>
              <w:spacing w:line="440" w:lineRule="exact"/>
              <w:ind w:firstLine="480" w:firstLineChars="200"/>
              <w:rPr>
                <w:rFonts w:ascii="Times New Roman" w:eastAsia="宋体" w:cs="Times New Roman"/>
                <w:color w:val="auto"/>
                <w:kern w:val="2"/>
              </w:rPr>
            </w:pPr>
            <w:r>
              <w:rPr>
                <w:rFonts w:ascii="Times New Roman" w:eastAsia="宋体" w:cs="Times New Roman"/>
                <w:bCs/>
                <w:color w:val="auto"/>
              </w:rPr>
              <w:t>根据工程分析，本工程预测评价因子为颗粒物，</w:t>
            </w:r>
            <w:r>
              <w:rPr>
                <w:rFonts w:ascii="Times New Roman" w:eastAsia="宋体" w:cs="Times New Roman"/>
                <w:color w:val="auto"/>
                <w:kern w:val="2"/>
              </w:rPr>
              <w:t>项目评价因子和评价标准筛选详见表2</w:t>
            </w:r>
            <w:r>
              <w:rPr>
                <w:rFonts w:hint="eastAsia" w:ascii="Times New Roman" w:eastAsia="宋体" w:cs="Times New Roman"/>
                <w:color w:val="auto"/>
                <w:kern w:val="2"/>
              </w:rPr>
              <w:t>4</w:t>
            </w:r>
            <w:r>
              <w:rPr>
                <w:rFonts w:ascii="Times New Roman" w:eastAsia="宋体" w:cs="Times New Roman"/>
                <w:color w:val="auto"/>
                <w:kern w:val="2"/>
              </w:rPr>
              <w:t>。</w:t>
            </w:r>
          </w:p>
          <w:p>
            <w:pPr>
              <w:adjustRightInd w:val="0"/>
              <w:snapToGrid w:val="0"/>
              <w:spacing w:line="440" w:lineRule="exact"/>
              <w:ind w:firstLine="480" w:firstLineChars="200"/>
              <w:rPr>
                <w:rFonts w:eastAsia="黑体"/>
                <w:sz w:val="24"/>
                <w:lang w:val="pt-BR"/>
              </w:rPr>
            </w:pPr>
            <w:r>
              <w:rPr>
                <w:rFonts w:eastAsia="黑体"/>
                <w:sz w:val="24"/>
                <w:lang w:val="pt-BR"/>
              </w:rPr>
              <w:t>表2</w:t>
            </w:r>
            <w:r>
              <w:rPr>
                <w:rFonts w:hint="eastAsia" w:eastAsia="黑体"/>
                <w:sz w:val="24"/>
              </w:rPr>
              <w:t>4</w:t>
            </w:r>
            <w:r>
              <w:rPr>
                <w:rFonts w:eastAsia="黑体"/>
                <w:sz w:val="24"/>
                <w:lang w:val="pt-BR"/>
              </w:rPr>
              <w:t xml:space="preserve">            </w:t>
            </w:r>
            <w:r>
              <w:rPr>
                <w:rFonts w:eastAsia="黑体"/>
                <w:sz w:val="24"/>
                <w:lang w:val="en-GB"/>
              </w:rPr>
              <w:t xml:space="preserve"> </w:t>
            </w:r>
            <w:r>
              <w:rPr>
                <w:rFonts w:eastAsia="黑体"/>
                <w:sz w:val="24"/>
                <w:lang w:val="pt-BR"/>
              </w:rPr>
              <w:t xml:space="preserve">  </w:t>
            </w:r>
            <w:r>
              <w:rPr>
                <w:rFonts w:eastAsia="黑体"/>
                <w:sz w:val="24"/>
                <w:lang w:val="en-GB"/>
              </w:rPr>
              <w:t xml:space="preserve">  </w:t>
            </w:r>
            <w:r>
              <w:rPr>
                <w:rFonts w:hint="eastAsia" w:eastAsia="黑体"/>
                <w:sz w:val="24"/>
              </w:rPr>
              <w:t xml:space="preserve"> </w:t>
            </w:r>
            <w:r>
              <w:rPr>
                <w:rFonts w:eastAsia="黑体"/>
                <w:sz w:val="24"/>
                <w:lang w:val="en-GB"/>
              </w:rPr>
              <w:t xml:space="preserve"> </w:t>
            </w:r>
            <w:r>
              <w:rPr>
                <w:rFonts w:eastAsia="黑体"/>
                <w:sz w:val="24"/>
                <w:lang w:val="pt-BR"/>
              </w:rPr>
              <w:t xml:space="preserve"> 评价因子和评价标准表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132"/>
              <w:gridCol w:w="1717"/>
              <w:gridCol w:w="486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pct"/>
                  <w:tcBorders>
                    <w:bottom w:val="single" w:color="auto" w:sz="8" w:space="0"/>
                  </w:tcBorders>
                  <w:vAlign w:val="center"/>
                </w:tcPr>
                <w:p>
                  <w:pPr>
                    <w:jc w:val="center"/>
                    <w:textAlignment w:val="baseline"/>
                    <w:rPr>
                      <w:b/>
                      <w:bCs/>
                      <w:szCs w:val="21"/>
                    </w:rPr>
                  </w:pPr>
                  <w:r>
                    <w:rPr>
                      <w:b/>
                      <w:bCs/>
                      <w:szCs w:val="21"/>
                    </w:rPr>
                    <w:t>评价因子</w:t>
                  </w:r>
                </w:p>
              </w:tc>
              <w:tc>
                <w:tcPr>
                  <w:tcW w:w="608" w:type="pct"/>
                  <w:tcBorders>
                    <w:bottom w:val="single" w:color="auto" w:sz="8" w:space="0"/>
                  </w:tcBorders>
                  <w:vAlign w:val="center"/>
                </w:tcPr>
                <w:p>
                  <w:pPr>
                    <w:jc w:val="center"/>
                    <w:textAlignment w:val="baseline"/>
                    <w:rPr>
                      <w:b/>
                      <w:bCs/>
                      <w:szCs w:val="21"/>
                    </w:rPr>
                  </w:pPr>
                  <w:r>
                    <w:rPr>
                      <w:b/>
                      <w:bCs/>
                      <w:szCs w:val="21"/>
                    </w:rPr>
                    <w:t>平均时段</w:t>
                  </w:r>
                </w:p>
              </w:tc>
              <w:tc>
                <w:tcPr>
                  <w:tcW w:w="922" w:type="pct"/>
                  <w:tcBorders>
                    <w:bottom w:val="single" w:color="auto" w:sz="8" w:space="0"/>
                  </w:tcBorders>
                  <w:vAlign w:val="center"/>
                </w:tcPr>
                <w:p>
                  <w:pPr>
                    <w:jc w:val="center"/>
                    <w:textAlignment w:val="baseline"/>
                    <w:rPr>
                      <w:b/>
                      <w:bCs/>
                      <w:szCs w:val="21"/>
                    </w:rPr>
                  </w:pPr>
                  <w:r>
                    <w:rPr>
                      <w:b/>
                      <w:bCs/>
                      <w:szCs w:val="21"/>
                    </w:rPr>
                    <w:t>标准值（μg/m</w:t>
                  </w:r>
                  <w:r>
                    <w:rPr>
                      <w:b/>
                      <w:bCs/>
                      <w:szCs w:val="21"/>
                      <w:vertAlign w:val="superscript"/>
                    </w:rPr>
                    <w:t>3</w:t>
                  </w:r>
                  <w:r>
                    <w:rPr>
                      <w:b/>
                      <w:bCs/>
                      <w:szCs w:val="21"/>
                    </w:rPr>
                    <w:t>）</w:t>
                  </w:r>
                </w:p>
              </w:tc>
              <w:tc>
                <w:tcPr>
                  <w:tcW w:w="2608" w:type="pct"/>
                  <w:tcBorders>
                    <w:bottom w:val="single" w:color="auto" w:sz="8" w:space="0"/>
                  </w:tcBorders>
                  <w:vAlign w:val="center"/>
                </w:tcPr>
                <w:p>
                  <w:pPr>
                    <w:jc w:val="center"/>
                    <w:textAlignment w:val="baseline"/>
                    <w:rPr>
                      <w:b/>
                      <w:bCs/>
                      <w:szCs w:val="21"/>
                    </w:rPr>
                  </w:pPr>
                  <w:r>
                    <w:rPr>
                      <w:b/>
                      <w:bCs/>
                      <w:szCs w:val="21"/>
                    </w:rPr>
                    <w:t xml:space="preserve"> 标准来源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0" w:type="pct"/>
                  <w:tcBorders>
                    <w:top w:val="single" w:color="auto" w:sz="8" w:space="0"/>
                    <w:tl2br w:val="nil"/>
                    <w:tr2bl w:val="nil"/>
                  </w:tcBorders>
                  <w:vAlign w:val="center"/>
                </w:tcPr>
                <w:p>
                  <w:pPr>
                    <w:jc w:val="center"/>
                    <w:textAlignment w:val="baseline"/>
                    <w:rPr>
                      <w:szCs w:val="21"/>
                    </w:rPr>
                  </w:pPr>
                  <w:r>
                    <w:rPr>
                      <w:szCs w:val="21"/>
                    </w:rPr>
                    <w:t>颗粒物（PM</w:t>
                  </w:r>
                  <w:r>
                    <w:rPr>
                      <w:szCs w:val="21"/>
                      <w:vertAlign w:val="subscript"/>
                    </w:rPr>
                    <w:t>10</w:t>
                  </w:r>
                  <w:r>
                    <w:rPr>
                      <w:szCs w:val="21"/>
                    </w:rPr>
                    <w:t>）</w:t>
                  </w:r>
                </w:p>
              </w:tc>
              <w:tc>
                <w:tcPr>
                  <w:tcW w:w="608" w:type="pct"/>
                  <w:tcBorders>
                    <w:top w:val="single" w:color="auto" w:sz="8" w:space="0"/>
                    <w:tl2br w:val="nil"/>
                    <w:tr2bl w:val="nil"/>
                  </w:tcBorders>
                  <w:vAlign w:val="center"/>
                </w:tcPr>
                <w:p>
                  <w:pPr>
                    <w:jc w:val="center"/>
                    <w:textAlignment w:val="baseline"/>
                    <w:rPr>
                      <w:szCs w:val="21"/>
                    </w:rPr>
                  </w:pPr>
                  <w:r>
                    <w:rPr>
                      <w:szCs w:val="21"/>
                    </w:rPr>
                    <w:t>1 h</w:t>
                  </w:r>
                </w:p>
              </w:tc>
              <w:tc>
                <w:tcPr>
                  <w:tcW w:w="922" w:type="pct"/>
                  <w:tcBorders>
                    <w:top w:val="single" w:color="auto" w:sz="8" w:space="0"/>
                    <w:tl2br w:val="nil"/>
                    <w:tr2bl w:val="nil"/>
                  </w:tcBorders>
                  <w:vAlign w:val="center"/>
                </w:tcPr>
                <w:p>
                  <w:pPr>
                    <w:jc w:val="center"/>
                    <w:textAlignment w:val="baseline"/>
                    <w:rPr>
                      <w:szCs w:val="21"/>
                    </w:rPr>
                  </w:pPr>
                  <w:r>
                    <w:rPr>
                      <w:szCs w:val="21"/>
                    </w:rPr>
                    <w:t>450</w:t>
                  </w:r>
                </w:p>
              </w:tc>
              <w:tc>
                <w:tcPr>
                  <w:tcW w:w="2608" w:type="pct"/>
                  <w:tcBorders>
                    <w:top w:val="single" w:color="auto" w:sz="8" w:space="0"/>
                    <w:tl2br w:val="nil"/>
                    <w:tr2bl w:val="nil"/>
                  </w:tcBorders>
                  <w:vAlign w:val="center"/>
                </w:tcPr>
                <w:p>
                  <w:pPr>
                    <w:jc w:val="center"/>
                    <w:textAlignment w:val="baseline"/>
                    <w:rPr>
                      <w:szCs w:val="21"/>
                    </w:rPr>
                  </w:pPr>
                  <w:r>
                    <w:rPr>
                      <w:color w:val="000000"/>
                      <w:szCs w:val="21"/>
                    </w:rPr>
                    <w:t>根据《环境空气质量标准》（GB3095-2012）二级标准中颗粒物的24h平均质量浓度的3倍折算为1h平均质量浓度限值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vAlign w:val="center"/>
                </w:tcPr>
                <w:p>
                  <w:pPr>
                    <w:jc w:val="left"/>
                    <w:textAlignment w:val="baseline"/>
                    <w:rPr>
                      <w:szCs w:val="21"/>
                    </w:rPr>
                  </w:pPr>
                  <w:r>
                    <w:rPr>
                      <w:b/>
                      <w:bCs/>
                      <w:szCs w:val="21"/>
                    </w:rPr>
                    <w:t>注：由于PM</w:t>
                  </w:r>
                  <w:r>
                    <w:rPr>
                      <w:b/>
                      <w:bCs/>
                      <w:szCs w:val="21"/>
                      <w:vertAlign w:val="subscript"/>
                    </w:rPr>
                    <w:t>10</w:t>
                  </w:r>
                  <w:r>
                    <w:rPr>
                      <w:b/>
                      <w:bCs/>
                      <w:szCs w:val="21"/>
                    </w:rPr>
                    <w:t>无小时浓度限值，根据导则可取日均浓度限值的三倍值，即 PM</w:t>
                  </w:r>
                  <w:r>
                    <w:rPr>
                      <w:b/>
                      <w:bCs/>
                      <w:szCs w:val="21"/>
                      <w:vertAlign w:val="subscript"/>
                    </w:rPr>
                    <w:t>10</w:t>
                  </w:r>
                  <w:r>
                    <w:rPr>
                      <w:b/>
                      <w:bCs/>
                      <w:szCs w:val="21"/>
                    </w:rPr>
                    <w:t xml:space="preserve"> 环境标准限值一次值为0.45mg/Nm</w:t>
                  </w:r>
                  <w:r>
                    <w:rPr>
                      <w:b/>
                      <w:bCs/>
                      <w:szCs w:val="21"/>
                      <w:vertAlign w:val="superscript"/>
                    </w:rPr>
                    <w:t>3</w:t>
                  </w:r>
                  <w:r>
                    <w:rPr>
                      <w:b/>
                      <w:bCs/>
                      <w:szCs w:val="21"/>
                    </w:rPr>
                    <w:t>。</w:t>
                  </w:r>
                </w:p>
              </w:tc>
            </w:tr>
          </w:tbl>
          <w:p>
            <w:pPr>
              <w:pStyle w:val="116"/>
              <w:snapToGrid w:val="0"/>
              <w:spacing w:line="440" w:lineRule="exact"/>
              <w:ind w:firstLine="480"/>
              <w:rPr>
                <w:rFonts w:eastAsia="黑体"/>
                <w:snapToGrid w:val="0"/>
              </w:rPr>
            </w:pPr>
            <w:r>
              <w:rPr>
                <w:bCs/>
                <w:kern w:val="2"/>
              </w:rPr>
              <w:t>（2）估算模型参数</w:t>
            </w:r>
          </w:p>
          <w:p>
            <w:pPr>
              <w:adjustRightInd w:val="0"/>
              <w:snapToGrid w:val="0"/>
              <w:spacing w:line="440" w:lineRule="exact"/>
              <w:ind w:firstLine="480" w:firstLineChars="200"/>
              <w:rPr>
                <w:rFonts w:eastAsia="黑体"/>
                <w:sz w:val="24"/>
                <w:lang w:val="pt-BR"/>
              </w:rPr>
            </w:pPr>
            <w:r>
              <w:rPr>
                <w:rFonts w:eastAsia="黑体"/>
                <w:sz w:val="24"/>
                <w:lang w:val="pt-BR"/>
              </w:rPr>
              <w:t>表2</w:t>
            </w:r>
            <w:r>
              <w:rPr>
                <w:rFonts w:hint="eastAsia" w:eastAsia="黑体"/>
                <w:sz w:val="24"/>
              </w:rPr>
              <w:t>5</w:t>
            </w:r>
            <w:r>
              <w:rPr>
                <w:rFonts w:eastAsia="黑体"/>
                <w:sz w:val="24"/>
                <w:lang w:val="pt-BR"/>
              </w:rPr>
              <w:t xml:space="preserve">             </w:t>
            </w:r>
            <w:r>
              <w:rPr>
                <w:rFonts w:hint="eastAsia" w:eastAsia="黑体"/>
                <w:sz w:val="24"/>
              </w:rPr>
              <w:t xml:space="preserve">    </w:t>
            </w:r>
            <w:r>
              <w:rPr>
                <w:rFonts w:eastAsia="黑体"/>
                <w:sz w:val="24"/>
                <w:lang w:val="pt-BR"/>
              </w:rPr>
              <w:t xml:space="preserve">     估算模型参数表</w:t>
            </w:r>
          </w:p>
          <w:tbl>
            <w:tblPr>
              <w:tblStyle w:val="30"/>
              <w:tblW w:w="4999"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31"/>
              <w:gridCol w:w="3134"/>
              <w:gridCol w:w="2949"/>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16" w:type="pct"/>
                  <w:gridSpan w:val="2"/>
                  <w:tcBorders>
                    <w:bottom w:val="single" w:color="000000" w:sz="8" w:space="0"/>
                  </w:tcBorders>
                  <w:vAlign w:val="center"/>
                </w:tcPr>
                <w:p>
                  <w:pPr>
                    <w:jc w:val="center"/>
                    <w:rPr>
                      <w:b/>
                      <w:szCs w:val="21"/>
                    </w:rPr>
                  </w:pPr>
                  <w:r>
                    <w:rPr>
                      <w:b/>
                      <w:szCs w:val="21"/>
                    </w:rPr>
                    <w:t>参数</w:t>
                  </w:r>
                </w:p>
              </w:tc>
              <w:tc>
                <w:tcPr>
                  <w:tcW w:w="1583" w:type="pct"/>
                  <w:tcBorders>
                    <w:bottom w:val="single" w:color="000000" w:sz="8" w:space="0"/>
                  </w:tcBorders>
                  <w:vAlign w:val="center"/>
                </w:tcPr>
                <w:p>
                  <w:pPr>
                    <w:jc w:val="center"/>
                    <w:rPr>
                      <w:b/>
                      <w:szCs w:val="21"/>
                    </w:rPr>
                  </w:pPr>
                  <w:r>
                    <w:rPr>
                      <w:b/>
                      <w:szCs w:val="21"/>
                    </w:rPr>
                    <w:t>取值</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pct"/>
                  <w:vMerge w:val="restart"/>
                  <w:tcBorders>
                    <w:top w:val="single" w:color="000000" w:sz="8" w:space="0"/>
                    <w:tl2br w:val="nil"/>
                    <w:tr2bl w:val="nil"/>
                  </w:tcBorders>
                  <w:vAlign w:val="center"/>
                </w:tcPr>
                <w:p>
                  <w:pPr>
                    <w:jc w:val="center"/>
                    <w:rPr>
                      <w:szCs w:val="21"/>
                    </w:rPr>
                  </w:pPr>
                  <w:r>
                    <w:rPr>
                      <w:szCs w:val="21"/>
                    </w:rPr>
                    <w:t>城市/农村选项</w:t>
                  </w:r>
                </w:p>
              </w:tc>
              <w:tc>
                <w:tcPr>
                  <w:tcW w:w="1681" w:type="pct"/>
                  <w:tcBorders>
                    <w:top w:val="single" w:color="000000" w:sz="8" w:space="0"/>
                    <w:tl2br w:val="nil"/>
                    <w:tr2bl w:val="nil"/>
                  </w:tcBorders>
                  <w:vAlign w:val="center"/>
                </w:tcPr>
                <w:p>
                  <w:pPr>
                    <w:jc w:val="center"/>
                    <w:rPr>
                      <w:szCs w:val="21"/>
                    </w:rPr>
                  </w:pPr>
                  <w:r>
                    <w:rPr>
                      <w:szCs w:val="21"/>
                    </w:rPr>
                    <w:t>城市/农村</w:t>
                  </w:r>
                </w:p>
              </w:tc>
              <w:tc>
                <w:tcPr>
                  <w:tcW w:w="1583" w:type="pct"/>
                  <w:tcBorders>
                    <w:top w:val="single" w:color="000000" w:sz="8" w:space="0"/>
                    <w:tl2br w:val="nil"/>
                    <w:tr2bl w:val="nil"/>
                  </w:tcBorders>
                  <w:vAlign w:val="center"/>
                </w:tcPr>
                <w:p>
                  <w:pPr>
                    <w:jc w:val="center"/>
                    <w:rPr>
                      <w:szCs w:val="21"/>
                    </w:rPr>
                  </w:pPr>
                  <w:r>
                    <w:rPr>
                      <w:szCs w:val="21"/>
                    </w:rPr>
                    <w:t>农村</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pct"/>
                  <w:vMerge w:val="continue"/>
                  <w:tcBorders>
                    <w:tl2br w:val="nil"/>
                    <w:tr2bl w:val="nil"/>
                  </w:tcBorders>
                  <w:vAlign w:val="center"/>
                </w:tcPr>
                <w:p>
                  <w:pPr>
                    <w:jc w:val="center"/>
                    <w:rPr>
                      <w:szCs w:val="21"/>
                    </w:rPr>
                  </w:pPr>
                </w:p>
              </w:tc>
              <w:tc>
                <w:tcPr>
                  <w:tcW w:w="1681" w:type="pct"/>
                  <w:tcBorders>
                    <w:tl2br w:val="nil"/>
                    <w:tr2bl w:val="nil"/>
                  </w:tcBorders>
                  <w:vAlign w:val="center"/>
                </w:tcPr>
                <w:p>
                  <w:pPr>
                    <w:jc w:val="center"/>
                    <w:rPr>
                      <w:szCs w:val="21"/>
                    </w:rPr>
                  </w:pPr>
                  <w:r>
                    <w:rPr>
                      <w:szCs w:val="21"/>
                    </w:rPr>
                    <w:t>人口数（城市选项时）</w:t>
                  </w:r>
                </w:p>
              </w:tc>
              <w:tc>
                <w:tcPr>
                  <w:tcW w:w="1583" w:type="pct"/>
                  <w:tcBorders>
                    <w:tl2br w:val="nil"/>
                    <w:tr2bl w:val="nil"/>
                  </w:tcBorders>
                  <w:vAlign w:val="center"/>
                </w:tcPr>
                <w:p>
                  <w:pPr>
                    <w:jc w:val="center"/>
                    <w:rPr>
                      <w:szCs w:val="21"/>
                    </w:rPr>
                  </w:pPr>
                  <w:r>
                    <w:rPr>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16" w:type="pct"/>
                  <w:gridSpan w:val="2"/>
                  <w:tcBorders>
                    <w:tl2br w:val="nil"/>
                    <w:tr2bl w:val="nil"/>
                  </w:tcBorders>
                  <w:vAlign w:val="center"/>
                </w:tcPr>
                <w:p>
                  <w:pPr>
                    <w:jc w:val="center"/>
                    <w:rPr>
                      <w:szCs w:val="21"/>
                    </w:rPr>
                  </w:pPr>
                  <w:r>
                    <w:rPr>
                      <w:szCs w:val="21"/>
                    </w:rPr>
                    <w:t>最高环境温度/℃</w:t>
                  </w:r>
                </w:p>
              </w:tc>
              <w:tc>
                <w:tcPr>
                  <w:tcW w:w="1583" w:type="pct"/>
                  <w:tcBorders>
                    <w:tl2br w:val="nil"/>
                    <w:tr2bl w:val="nil"/>
                  </w:tcBorders>
                  <w:vAlign w:val="center"/>
                </w:tcPr>
                <w:p>
                  <w:pPr>
                    <w:pStyle w:val="112"/>
                  </w:pPr>
                  <w:r>
                    <w:rPr>
                      <w:bCs/>
                    </w:rPr>
                    <w:t>38.3</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16" w:type="pct"/>
                  <w:gridSpan w:val="2"/>
                  <w:tcBorders>
                    <w:tl2br w:val="nil"/>
                    <w:tr2bl w:val="nil"/>
                  </w:tcBorders>
                  <w:vAlign w:val="center"/>
                </w:tcPr>
                <w:p>
                  <w:pPr>
                    <w:jc w:val="center"/>
                    <w:rPr>
                      <w:szCs w:val="21"/>
                    </w:rPr>
                  </w:pPr>
                  <w:r>
                    <w:rPr>
                      <w:szCs w:val="21"/>
                    </w:rPr>
                    <w:t>最低环境温度/℃</w:t>
                  </w:r>
                </w:p>
              </w:tc>
              <w:tc>
                <w:tcPr>
                  <w:tcW w:w="1583" w:type="pct"/>
                  <w:tcBorders>
                    <w:tl2br w:val="nil"/>
                    <w:tr2bl w:val="nil"/>
                  </w:tcBorders>
                  <w:vAlign w:val="center"/>
                </w:tcPr>
                <w:p>
                  <w:pPr>
                    <w:pStyle w:val="112"/>
                  </w:pPr>
                  <w:r>
                    <w:rPr>
                      <w:bCs/>
                    </w:rPr>
                    <w:t>-9.4</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16" w:type="pct"/>
                  <w:gridSpan w:val="2"/>
                  <w:tcBorders>
                    <w:tl2br w:val="nil"/>
                    <w:tr2bl w:val="nil"/>
                  </w:tcBorders>
                  <w:vAlign w:val="center"/>
                </w:tcPr>
                <w:p>
                  <w:pPr>
                    <w:jc w:val="center"/>
                    <w:rPr>
                      <w:szCs w:val="21"/>
                    </w:rPr>
                  </w:pPr>
                  <w:r>
                    <w:rPr>
                      <w:szCs w:val="21"/>
                    </w:rPr>
                    <w:t>土地利用类型</w:t>
                  </w:r>
                </w:p>
              </w:tc>
              <w:tc>
                <w:tcPr>
                  <w:tcW w:w="1583" w:type="pct"/>
                  <w:tcBorders>
                    <w:tl2br w:val="nil"/>
                    <w:tr2bl w:val="nil"/>
                  </w:tcBorders>
                  <w:vAlign w:val="center"/>
                </w:tcPr>
                <w:p>
                  <w:pPr>
                    <w:jc w:val="center"/>
                    <w:rPr>
                      <w:szCs w:val="21"/>
                    </w:rPr>
                  </w:pPr>
                  <w:r>
                    <w:rPr>
                      <w:szCs w:val="21"/>
                    </w:rPr>
                    <w:t>农田</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416" w:type="pct"/>
                  <w:gridSpan w:val="2"/>
                  <w:tcBorders>
                    <w:tl2br w:val="nil"/>
                    <w:tr2bl w:val="nil"/>
                  </w:tcBorders>
                  <w:vAlign w:val="center"/>
                </w:tcPr>
                <w:p>
                  <w:pPr>
                    <w:jc w:val="center"/>
                    <w:rPr>
                      <w:szCs w:val="21"/>
                    </w:rPr>
                  </w:pPr>
                  <w:r>
                    <w:rPr>
                      <w:szCs w:val="21"/>
                    </w:rPr>
                    <w:t>区域湿度条件</w:t>
                  </w:r>
                </w:p>
              </w:tc>
              <w:tc>
                <w:tcPr>
                  <w:tcW w:w="1583" w:type="pct"/>
                  <w:tcBorders>
                    <w:tl2br w:val="nil"/>
                    <w:tr2bl w:val="nil"/>
                  </w:tcBorders>
                  <w:vAlign w:val="center"/>
                </w:tcPr>
                <w:p>
                  <w:pPr>
                    <w:jc w:val="center"/>
                    <w:rPr>
                      <w:szCs w:val="21"/>
                    </w:rPr>
                  </w:pPr>
                  <w:r>
                    <w:rPr>
                      <w:szCs w:val="21"/>
                    </w:rPr>
                    <w:t>中等湿度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pct"/>
                  <w:vMerge w:val="restart"/>
                  <w:tcBorders>
                    <w:tl2br w:val="nil"/>
                    <w:tr2bl w:val="nil"/>
                  </w:tcBorders>
                  <w:vAlign w:val="center"/>
                </w:tcPr>
                <w:p>
                  <w:pPr>
                    <w:jc w:val="center"/>
                    <w:rPr>
                      <w:szCs w:val="21"/>
                    </w:rPr>
                  </w:pPr>
                  <w:r>
                    <w:rPr>
                      <w:szCs w:val="21"/>
                    </w:rPr>
                    <w:t>是否考虑地形</w:t>
                  </w:r>
                </w:p>
              </w:tc>
              <w:tc>
                <w:tcPr>
                  <w:tcW w:w="1681" w:type="pct"/>
                  <w:tcBorders>
                    <w:tl2br w:val="nil"/>
                    <w:tr2bl w:val="nil"/>
                  </w:tcBorders>
                  <w:vAlign w:val="center"/>
                </w:tcPr>
                <w:p>
                  <w:pPr>
                    <w:jc w:val="center"/>
                    <w:rPr>
                      <w:szCs w:val="21"/>
                    </w:rPr>
                  </w:pPr>
                  <w:r>
                    <w:rPr>
                      <w:szCs w:val="21"/>
                    </w:rPr>
                    <w:t>考虑地形</w:t>
                  </w:r>
                </w:p>
              </w:tc>
              <w:tc>
                <w:tcPr>
                  <w:tcW w:w="1583" w:type="pct"/>
                  <w:tcBorders>
                    <w:tl2br w:val="nil"/>
                    <w:tr2bl w:val="nil"/>
                  </w:tcBorders>
                  <w:vAlign w:val="center"/>
                </w:tcPr>
                <w:p>
                  <w:pPr>
                    <w:jc w:val="center"/>
                    <w:rPr>
                      <w:szCs w:val="21"/>
                    </w:rPr>
                  </w:pPr>
                  <w:r>
                    <w:rPr>
                      <w:szCs w:val="21"/>
                    </w:rPr>
                    <w:t>否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pct"/>
                  <w:vMerge w:val="continue"/>
                  <w:tcBorders>
                    <w:tl2br w:val="nil"/>
                    <w:tr2bl w:val="nil"/>
                  </w:tcBorders>
                  <w:vAlign w:val="center"/>
                </w:tcPr>
                <w:p>
                  <w:pPr>
                    <w:jc w:val="center"/>
                    <w:rPr>
                      <w:szCs w:val="21"/>
                    </w:rPr>
                  </w:pPr>
                </w:p>
              </w:tc>
              <w:tc>
                <w:tcPr>
                  <w:tcW w:w="1681" w:type="pct"/>
                  <w:tcBorders>
                    <w:tl2br w:val="nil"/>
                    <w:tr2bl w:val="nil"/>
                  </w:tcBorders>
                  <w:vAlign w:val="center"/>
                </w:tcPr>
                <w:p>
                  <w:pPr>
                    <w:jc w:val="center"/>
                    <w:rPr>
                      <w:szCs w:val="21"/>
                    </w:rPr>
                  </w:pPr>
                  <w:r>
                    <w:rPr>
                      <w:szCs w:val="21"/>
                    </w:rPr>
                    <w:t>地形数据分辨率/m</w:t>
                  </w:r>
                </w:p>
              </w:tc>
              <w:tc>
                <w:tcPr>
                  <w:tcW w:w="1583" w:type="pct"/>
                  <w:tcBorders>
                    <w:tl2br w:val="nil"/>
                    <w:tr2bl w:val="nil"/>
                  </w:tcBorders>
                  <w:vAlign w:val="center"/>
                </w:tcPr>
                <w:p>
                  <w:pPr>
                    <w:jc w:val="center"/>
                    <w:rPr>
                      <w:szCs w:val="21"/>
                    </w:rPr>
                  </w:pPr>
                  <w:r>
                    <w:rPr>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pct"/>
                  <w:vMerge w:val="restart"/>
                  <w:tcBorders>
                    <w:tl2br w:val="nil"/>
                    <w:tr2bl w:val="nil"/>
                  </w:tcBorders>
                  <w:vAlign w:val="center"/>
                </w:tcPr>
                <w:p>
                  <w:pPr>
                    <w:jc w:val="center"/>
                    <w:rPr>
                      <w:szCs w:val="21"/>
                    </w:rPr>
                  </w:pPr>
                  <w:r>
                    <w:rPr>
                      <w:szCs w:val="21"/>
                    </w:rPr>
                    <w:t>是否考虑海岸线熏烟</w:t>
                  </w:r>
                </w:p>
              </w:tc>
              <w:tc>
                <w:tcPr>
                  <w:tcW w:w="1681" w:type="pct"/>
                  <w:tcBorders>
                    <w:tl2br w:val="nil"/>
                    <w:tr2bl w:val="nil"/>
                  </w:tcBorders>
                  <w:vAlign w:val="center"/>
                </w:tcPr>
                <w:p>
                  <w:pPr>
                    <w:jc w:val="center"/>
                    <w:rPr>
                      <w:szCs w:val="21"/>
                    </w:rPr>
                  </w:pPr>
                  <w:r>
                    <w:rPr>
                      <w:szCs w:val="21"/>
                    </w:rPr>
                    <w:t>考虑岸线熏烟</w:t>
                  </w:r>
                </w:p>
              </w:tc>
              <w:tc>
                <w:tcPr>
                  <w:tcW w:w="1583" w:type="pct"/>
                  <w:tcBorders>
                    <w:tl2br w:val="nil"/>
                    <w:tr2bl w:val="nil"/>
                  </w:tcBorders>
                  <w:vAlign w:val="center"/>
                </w:tcPr>
                <w:p>
                  <w:pPr>
                    <w:jc w:val="center"/>
                    <w:rPr>
                      <w:szCs w:val="21"/>
                    </w:rPr>
                  </w:pPr>
                  <w:r>
                    <w:rPr>
                      <w:szCs w:val="21"/>
                    </w:rPr>
                    <w:t>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pct"/>
                  <w:vMerge w:val="continue"/>
                  <w:tcBorders>
                    <w:tl2br w:val="nil"/>
                    <w:tr2bl w:val="nil"/>
                  </w:tcBorders>
                  <w:vAlign w:val="center"/>
                </w:tcPr>
                <w:p>
                  <w:pPr>
                    <w:jc w:val="center"/>
                    <w:rPr>
                      <w:szCs w:val="21"/>
                    </w:rPr>
                  </w:pPr>
                </w:p>
              </w:tc>
              <w:tc>
                <w:tcPr>
                  <w:tcW w:w="1681" w:type="pct"/>
                  <w:tcBorders>
                    <w:tl2br w:val="nil"/>
                    <w:tr2bl w:val="nil"/>
                  </w:tcBorders>
                  <w:vAlign w:val="center"/>
                </w:tcPr>
                <w:p>
                  <w:pPr>
                    <w:jc w:val="center"/>
                    <w:rPr>
                      <w:szCs w:val="21"/>
                    </w:rPr>
                  </w:pPr>
                  <w:r>
                    <w:rPr>
                      <w:szCs w:val="21"/>
                    </w:rPr>
                    <w:t>岸线距离/m</w:t>
                  </w:r>
                </w:p>
              </w:tc>
              <w:tc>
                <w:tcPr>
                  <w:tcW w:w="1583" w:type="pct"/>
                  <w:tcBorders>
                    <w:tl2br w:val="nil"/>
                    <w:tr2bl w:val="nil"/>
                  </w:tcBorders>
                  <w:vAlign w:val="center"/>
                </w:tcPr>
                <w:p>
                  <w:pPr>
                    <w:jc w:val="center"/>
                    <w:rPr>
                      <w:szCs w:val="21"/>
                    </w:rPr>
                  </w:pPr>
                  <w:r>
                    <w:rPr>
                      <w:szCs w:val="21"/>
                    </w:rPr>
                    <w:t>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34" w:type="pct"/>
                  <w:vMerge w:val="continue"/>
                  <w:tcBorders>
                    <w:tl2br w:val="nil"/>
                    <w:tr2bl w:val="nil"/>
                  </w:tcBorders>
                  <w:vAlign w:val="center"/>
                </w:tcPr>
                <w:p>
                  <w:pPr>
                    <w:jc w:val="center"/>
                    <w:rPr>
                      <w:szCs w:val="21"/>
                    </w:rPr>
                  </w:pPr>
                </w:p>
              </w:tc>
              <w:tc>
                <w:tcPr>
                  <w:tcW w:w="1681" w:type="pct"/>
                  <w:tcBorders>
                    <w:tl2br w:val="nil"/>
                    <w:tr2bl w:val="nil"/>
                  </w:tcBorders>
                  <w:vAlign w:val="center"/>
                </w:tcPr>
                <w:p>
                  <w:pPr>
                    <w:jc w:val="center"/>
                    <w:rPr>
                      <w:szCs w:val="21"/>
                    </w:rPr>
                  </w:pPr>
                  <w:r>
                    <w:rPr>
                      <w:szCs w:val="21"/>
                    </w:rPr>
                    <w:t>岸线方向/°</w:t>
                  </w:r>
                </w:p>
              </w:tc>
              <w:tc>
                <w:tcPr>
                  <w:tcW w:w="1583" w:type="pct"/>
                  <w:tcBorders>
                    <w:tl2br w:val="nil"/>
                    <w:tr2bl w:val="nil"/>
                  </w:tcBorders>
                  <w:vAlign w:val="center"/>
                </w:tcPr>
                <w:p>
                  <w:pPr>
                    <w:jc w:val="center"/>
                    <w:rPr>
                      <w:szCs w:val="21"/>
                    </w:rPr>
                  </w:pPr>
                  <w:r>
                    <w:rPr>
                      <w:szCs w:val="21"/>
                    </w:rPr>
                    <w:t>否</w:t>
                  </w:r>
                </w:p>
              </w:tc>
            </w:tr>
          </w:tbl>
          <w:p>
            <w:pPr>
              <w:pStyle w:val="116"/>
              <w:adjustRightInd w:val="0"/>
              <w:snapToGrid w:val="0"/>
              <w:spacing w:line="440" w:lineRule="exact"/>
              <w:ind w:firstLine="480"/>
              <w:rPr>
                <w:bCs/>
                <w:kern w:val="2"/>
              </w:rPr>
            </w:pPr>
            <w:r>
              <w:rPr>
                <w:bCs/>
                <w:kern w:val="2"/>
              </w:rPr>
              <w:t>（3）污染源调查</w:t>
            </w:r>
          </w:p>
          <w:p>
            <w:pPr>
              <w:adjustRightInd w:val="0"/>
              <w:snapToGrid w:val="0"/>
              <w:spacing w:line="440" w:lineRule="exact"/>
              <w:ind w:firstLine="480" w:firstLineChars="200"/>
              <w:jc w:val="left"/>
              <w:rPr>
                <w:snapToGrid w:val="0"/>
                <w:kern w:val="0"/>
                <w:sz w:val="24"/>
              </w:rPr>
            </w:pPr>
            <w:r>
              <w:rPr>
                <w:rFonts w:hint="eastAsia"/>
                <w:bCs/>
                <w:snapToGrid w:val="0"/>
                <w:kern w:val="0"/>
                <w:sz w:val="24"/>
              </w:rPr>
              <w:t>本</w:t>
            </w:r>
            <w:r>
              <w:rPr>
                <w:bCs/>
                <w:snapToGrid w:val="0"/>
                <w:kern w:val="0"/>
                <w:sz w:val="24"/>
              </w:rPr>
              <w:t>项目完成后</w:t>
            </w:r>
            <w:r>
              <w:rPr>
                <w:rFonts w:hint="eastAsia"/>
                <w:bCs/>
                <w:snapToGrid w:val="0"/>
                <w:kern w:val="0"/>
                <w:sz w:val="24"/>
              </w:rPr>
              <w:t>车间</w:t>
            </w:r>
            <w:r>
              <w:rPr>
                <w:bCs/>
                <w:snapToGrid w:val="0"/>
                <w:kern w:val="0"/>
                <w:sz w:val="24"/>
              </w:rPr>
              <w:t>废气处理装置</w:t>
            </w:r>
            <w:r>
              <w:rPr>
                <w:rFonts w:hint="eastAsia"/>
                <w:bCs/>
                <w:snapToGrid w:val="0"/>
                <w:kern w:val="0"/>
                <w:sz w:val="24"/>
              </w:rPr>
              <w:t>共</w:t>
            </w:r>
            <w:r>
              <w:rPr>
                <w:bCs/>
                <w:snapToGrid w:val="0"/>
                <w:kern w:val="0"/>
                <w:sz w:val="24"/>
              </w:rPr>
              <w:t>设一个15m高排气筒；</w:t>
            </w:r>
            <w:r>
              <w:rPr>
                <w:rFonts w:hint="eastAsia"/>
                <w:bCs/>
                <w:snapToGrid w:val="0"/>
                <w:kern w:val="0"/>
                <w:sz w:val="24"/>
              </w:rPr>
              <w:t>切割、焊接车间位于生产车间内</w:t>
            </w:r>
            <w:r>
              <w:rPr>
                <w:bCs/>
                <w:snapToGrid w:val="0"/>
                <w:kern w:val="0"/>
                <w:sz w:val="24"/>
              </w:rPr>
              <w:t>，因此把</w:t>
            </w:r>
            <w:r>
              <w:rPr>
                <w:rFonts w:hint="eastAsia"/>
                <w:bCs/>
                <w:snapToGrid w:val="0"/>
                <w:kern w:val="0"/>
                <w:sz w:val="24"/>
              </w:rPr>
              <w:t>整个生产车间</w:t>
            </w:r>
            <w:r>
              <w:rPr>
                <w:bCs/>
                <w:snapToGrid w:val="0"/>
                <w:kern w:val="0"/>
                <w:sz w:val="24"/>
              </w:rPr>
              <w:t>作为一个面源。项目污染源参数见表</w:t>
            </w:r>
            <w:r>
              <w:rPr>
                <w:rFonts w:hint="eastAsia"/>
                <w:bCs/>
                <w:snapToGrid w:val="0"/>
                <w:kern w:val="0"/>
                <w:sz w:val="24"/>
              </w:rPr>
              <w:t>26</w:t>
            </w:r>
            <w:r>
              <w:rPr>
                <w:bCs/>
                <w:snapToGrid w:val="0"/>
                <w:kern w:val="0"/>
                <w:sz w:val="24"/>
              </w:rPr>
              <w:t>、表</w:t>
            </w:r>
            <w:r>
              <w:rPr>
                <w:rFonts w:hint="eastAsia"/>
                <w:bCs/>
                <w:snapToGrid w:val="0"/>
                <w:kern w:val="0"/>
                <w:sz w:val="24"/>
              </w:rPr>
              <w:t>27</w:t>
            </w:r>
            <w:r>
              <w:rPr>
                <w:bCs/>
                <w:snapToGrid w:val="0"/>
                <w:kern w:val="0"/>
                <w:sz w:val="24"/>
              </w:rPr>
              <w:t>。</w:t>
            </w:r>
          </w:p>
          <w:p>
            <w:pPr>
              <w:adjustRightInd w:val="0"/>
              <w:snapToGrid w:val="0"/>
              <w:spacing w:line="440" w:lineRule="exact"/>
              <w:ind w:firstLine="480" w:firstLineChars="200"/>
              <w:rPr>
                <w:rFonts w:eastAsia="黑体"/>
                <w:sz w:val="24"/>
                <w:lang w:val="pt-BR"/>
              </w:rPr>
            </w:pPr>
            <w:r>
              <w:rPr>
                <w:rFonts w:eastAsia="黑体"/>
                <w:sz w:val="24"/>
                <w:lang w:val="pt-BR"/>
              </w:rPr>
              <w:t>表</w:t>
            </w:r>
            <w:r>
              <w:rPr>
                <w:rFonts w:hint="eastAsia" w:eastAsia="黑体"/>
                <w:sz w:val="24"/>
              </w:rPr>
              <w:t>26</w:t>
            </w:r>
            <w:r>
              <w:rPr>
                <w:rFonts w:eastAsia="黑体"/>
                <w:sz w:val="24"/>
                <w:lang w:val="pt-BR"/>
              </w:rPr>
              <w:t xml:space="preserve">                  </w:t>
            </w:r>
            <w:r>
              <w:rPr>
                <w:rFonts w:hint="eastAsia" w:eastAsia="黑体"/>
                <w:sz w:val="24"/>
              </w:rPr>
              <w:t xml:space="preserve"> </w:t>
            </w:r>
            <w:r>
              <w:rPr>
                <w:rFonts w:eastAsia="黑体"/>
                <w:sz w:val="24"/>
                <w:lang w:val="pt-BR"/>
              </w:rPr>
              <w:t>点源估算模式参数表</w:t>
            </w:r>
          </w:p>
          <w:tbl>
            <w:tblPr>
              <w:tblStyle w:val="30"/>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624"/>
              <w:gridCol w:w="568"/>
              <w:gridCol w:w="1044"/>
              <w:gridCol w:w="867"/>
              <w:gridCol w:w="915"/>
              <w:gridCol w:w="1060"/>
              <w:gridCol w:w="898"/>
              <w:gridCol w:w="908"/>
              <w:gridCol w:w="740"/>
              <w:gridCol w:w="114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Merge w:val="restart"/>
                  <w:tcBorders>
                    <w:top w:val="single" w:color="auto" w:sz="8" w:space="0"/>
                    <w:left w:val="nil"/>
                    <w:right w:val="single" w:color="auto" w:sz="4" w:space="0"/>
                  </w:tcBorders>
                  <w:vAlign w:val="center"/>
                </w:tcPr>
                <w:p>
                  <w:pPr>
                    <w:adjustRightInd w:val="0"/>
                    <w:snapToGrid w:val="0"/>
                    <w:jc w:val="center"/>
                    <w:rPr>
                      <w:b/>
                      <w:bCs/>
                      <w:szCs w:val="21"/>
                    </w:rPr>
                  </w:pPr>
                  <w:r>
                    <w:rPr>
                      <w:b/>
                      <w:bCs/>
                      <w:szCs w:val="21"/>
                    </w:rPr>
                    <w:t>编号</w:t>
                  </w:r>
                </w:p>
              </w:tc>
              <w:tc>
                <w:tcPr>
                  <w:tcW w:w="640" w:type="pct"/>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排气筒底部中心坐标/m</w:t>
                  </w:r>
                </w:p>
              </w:tc>
              <w:tc>
                <w:tcPr>
                  <w:tcW w:w="560" w:type="pct"/>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排气筒底部海拔高度/m</w:t>
                  </w:r>
                </w:p>
              </w:tc>
              <w:tc>
                <w:tcPr>
                  <w:tcW w:w="465" w:type="pct"/>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排气筒高度/m</w:t>
                  </w:r>
                </w:p>
              </w:tc>
              <w:tc>
                <w:tcPr>
                  <w:tcW w:w="491" w:type="pct"/>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排气筒出口内径/m</w:t>
                  </w:r>
                </w:p>
              </w:tc>
              <w:tc>
                <w:tcPr>
                  <w:tcW w:w="569" w:type="pct"/>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烟气</w:t>
                  </w:r>
                </w:p>
                <w:p>
                  <w:pPr>
                    <w:adjustRightInd w:val="0"/>
                    <w:snapToGrid w:val="0"/>
                    <w:jc w:val="center"/>
                    <w:rPr>
                      <w:b/>
                      <w:bCs/>
                      <w:szCs w:val="21"/>
                    </w:rPr>
                  </w:pPr>
                  <w:r>
                    <w:rPr>
                      <w:b/>
                      <w:bCs/>
                      <w:szCs w:val="21"/>
                    </w:rPr>
                    <w:t>流</w:t>
                  </w:r>
                  <w:r>
                    <w:rPr>
                      <w:rFonts w:hint="eastAsia"/>
                      <w:b/>
                      <w:bCs/>
                      <w:szCs w:val="21"/>
                    </w:rPr>
                    <w:t>速</w:t>
                  </w:r>
                  <w:r>
                    <w:rPr>
                      <w:b/>
                      <w:bCs/>
                      <w:szCs w:val="21"/>
                    </w:rPr>
                    <w:t>/（m/</w:t>
                  </w:r>
                  <w:r>
                    <w:rPr>
                      <w:rFonts w:hint="eastAsia"/>
                      <w:b/>
                      <w:bCs/>
                      <w:szCs w:val="21"/>
                    </w:rPr>
                    <w:t>s</w:t>
                  </w:r>
                  <w:r>
                    <w:rPr>
                      <w:b/>
                      <w:bCs/>
                      <w:szCs w:val="21"/>
                    </w:rPr>
                    <w:t>）</w:t>
                  </w:r>
                </w:p>
              </w:tc>
              <w:tc>
                <w:tcPr>
                  <w:tcW w:w="482" w:type="pct"/>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烟气温度/℃</w:t>
                  </w:r>
                </w:p>
              </w:tc>
              <w:tc>
                <w:tcPr>
                  <w:tcW w:w="487" w:type="pct"/>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年排放小时数/h</w:t>
                  </w:r>
                </w:p>
              </w:tc>
              <w:tc>
                <w:tcPr>
                  <w:tcW w:w="397" w:type="pct"/>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排放工况</w:t>
                  </w:r>
                </w:p>
              </w:tc>
              <w:tc>
                <w:tcPr>
                  <w:tcW w:w="616" w:type="pct"/>
                  <w:tcBorders>
                    <w:top w:val="single" w:color="auto" w:sz="8" w:space="0"/>
                    <w:left w:val="single" w:color="auto" w:sz="4" w:space="0"/>
                    <w:bottom w:val="single" w:color="auto" w:sz="4" w:space="0"/>
                    <w:right w:val="nil"/>
                  </w:tcBorders>
                  <w:vAlign w:val="center"/>
                </w:tcPr>
                <w:p>
                  <w:pPr>
                    <w:adjustRightInd w:val="0"/>
                    <w:snapToGrid w:val="0"/>
                    <w:jc w:val="center"/>
                    <w:rPr>
                      <w:b/>
                      <w:bCs/>
                      <w:szCs w:val="21"/>
                    </w:rPr>
                  </w:pPr>
                  <w:r>
                    <w:rPr>
                      <w:b/>
                      <w:bCs/>
                      <w:szCs w:val="21"/>
                    </w:rPr>
                    <w:t>污染物排放速率（kg/h）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Merge w:val="continue"/>
                  <w:tcBorders>
                    <w:left w:val="nil"/>
                    <w:bottom w:val="single" w:color="auto" w:sz="8" w:space="0"/>
                    <w:right w:val="single" w:color="auto" w:sz="4" w:space="0"/>
                  </w:tcBorders>
                  <w:vAlign w:val="center"/>
                </w:tcPr>
                <w:p>
                  <w:pPr>
                    <w:widowControl/>
                    <w:jc w:val="left"/>
                    <w:rPr>
                      <w:b/>
                      <w:bCs/>
                      <w:szCs w:val="21"/>
                    </w:rPr>
                  </w:pPr>
                </w:p>
              </w:tc>
              <w:tc>
                <w:tcPr>
                  <w:tcW w:w="335"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szCs w:val="21"/>
                    </w:rPr>
                  </w:pPr>
                  <w:r>
                    <w:rPr>
                      <w:b/>
                      <w:bCs/>
                      <w:szCs w:val="21"/>
                    </w:rPr>
                    <w:t>X</w:t>
                  </w:r>
                </w:p>
              </w:tc>
              <w:tc>
                <w:tcPr>
                  <w:tcW w:w="304"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szCs w:val="21"/>
                    </w:rPr>
                  </w:pPr>
                  <w:r>
                    <w:rPr>
                      <w:b/>
                      <w:bCs/>
                      <w:szCs w:val="21"/>
                    </w:rPr>
                    <w:t>Y</w:t>
                  </w:r>
                </w:p>
              </w:tc>
              <w:tc>
                <w:tcPr>
                  <w:tcW w:w="560" w:type="pct"/>
                  <w:vMerge w:val="continue"/>
                  <w:tcBorders>
                    <w:top w:val="single" w:color="auto" w:sz="4" w:space="0"/>
                    <w:left w:val="single" w:color="auto" w:sz="4" w:space="0"/>
                    <w:bottom w:val="single" w:color="auto" w:sz="8" w:space="0"/>
                    <w:right w:val="single" w:color="auto" w:sz="4" w:space="0"/>
                  </w:tcBorders>
                  <w:vAlign w:val="center"/>
                </w:tcPr>
                <w:p>
                  <w:pPr>
                    <w:widowControl/>
                    <w:jc w:val="left"/>
                    <w:rPr>
                      <w:b/>
                      <w:bCs/>
                      <w:szCs w:val="21"/>
                    </w:rPr>
                  </w:pPr>
                </w:p>
              </w:tc>
              <w:tc>
                <w:tcPr>
                  <w:tcW w:w="465" w:type="pct"/>
                  <w:vMerge w:val="continue"/>
                  <w:tcBorders>
                    <w:top w:val="single" w:color="auto" w:sz="4" w:space="0"/>
                    <w:left w:val="single" w:color="auto" w:sz="4" w:space="0"/>
                    <w:bottom w:val="single" w:color="auto" w:sz="8" w:space="0"/>
                    <w:right w:val="single" w:color="auto" w:sz="4" w:space="0"/>
                  </w:tcBorders>
                  <w:vAlign w:val="center"/>
                </w:tcPr>
                <w:p>
                  <w:pPr>
                    <w:widowControl/>
                    <w:jc w:val="left"/>
                    <w:rPr>
                      <w:b/>
                      <w:bCs/>
                      <w:szCs w:val="21"/>
                    </w:rPr>
                  </w:pPr>
                </w:p>
              </w:tc>
              <w:tc>
                <w:tcPr>
                  <w:tcW w:w="491" w:type="pct"/>
                  <w:vMerge w:val="continue"/>
                  <w:tcBorders>
                    <w:top w:val="single" w:color="auto" w:sz="4" w:space="0"/>
                    <w:left w:val="single" w:color="auto" w:sz="4" w:space="0"/>
                    <w:bottom w:val="single" w:color="auto" w:sz="8" w:space="0"/>
                    <w:right w:val="single" w:color="auto" w:sz="4" w:space="0"/>
                  </w:tcBorders>
                  <w:vAlign w:val="center"/>
                </w:tcPr>
                <w:p>
                  <w:pPr>
                    <w:widowControl/>
                    <w:jc w:val="left"/>
                    <w:rPr>
                      <w:b/>
                      <w:bCs/>
                      <w:szCs w:val="21"/>
                    </w:rPr>
                  </w:pPr>
                </w:p>
              </w:tc>
              <w:tc>
                <w:tcPr>
                  <w:tcW w:w="569" w:type="pct"/>
                  <w:vMerge w:val="continue"/>
                  <w:tcBorders>
                    <w:top w:val="single" w:color="auto" w:sz="4" w:space="0"/>
                    <w:left w:val="single" w:color="auto" w:sz="4" w:space="0"/>
                    <w:bottom w:val="single" w:color="auto" w:sz="8" w:space="0"/>
                    <w:right w:val="single" w:color="auto" w:sz="4" w:space="0"/>
                  </w:tcBorders>
                  <w:vAlign w:val="center"/>
                </w:tcPr>
                <w:p>
                  <w:pPr>
                    <w:widowControl/>
                    <w:jc w:val="left"/>
                    <w:rPr>
                      <w:b/>
                      <w:bCs/>
                      <w:szCs w:val="21"/>
                    </w:rPr>
                  </w:pPr>
                </w:p>
              </w:tc>
              <w:tc>
                <w:tcPr>
                  <w:tcW w:w="482" w:type="pct"/>
                  <w:vMerge w:val="continue"/>
                  <w:tcBorders>
                    <w:top w:val="single" w:color="auto" w:sz="4" w:space="0"/>
                    <w:left w:val="single" w:color="auto" w:sz="4" w:space="0"/>
                    <w:bottom w:val="single" w:color="auto" w:sz="8" w:space="0"/>
                    <w:right w:val="single" w:color="auto" w:sz="4" w:space="0"/>
                  </w:tcBorders>
                  <w:vAlign w:val="center"/>
                </w:tcPr>
                <w:p>
                  <w:pPr>
                    <w:widowControl/>
                    <w:jc w:val="left"/>
                    <w:rPr>
                      <w:b/>
                      <w:bCs/>
                      <w:szCs w:val="21"/>
                    </w:rPr>
                  </w:pPr>
                </w:p>
              </w:tc>
              <w:tc>
                <w:tcPr>
                  <w:tcW w:w="487" w:type="pct"/>
                  <w:vMerge w:val="continue"/>
                  <w:tcBorders>
                    <w:top w:val="single" w:color="auto" w:sz="4" w:space="0"/>
                    <w:left w:val="single" w:color="auto" w:sz="4" w:space="0"/>
                    <w:bottom w:val="single" w:color="auto" w:sz="8" w:space="0"/>
                    <w:right w:val="single" w:color="auto" w:sz="4" w:space="0"/>
                  </w:tcBorders>
                  <w:vAlign w:val="center"/>
                </w:tcPr>
                <w:p>
                  <w:pPr>
                    <w:widowControl/>
                    <w:jc w:val="left"/>
                    <w:rPr>
                      <w:b/>
                      <w:bCs/>
                      <w:szCs w:val="21"/>
                    </w:rPr>
                  </w:pPr>
                </w:p>
              </w:tc>
              <w:tc>
                <w:tcPr>
                  <w:tcW w:w="397" w:type="pct"/>
                  <w:vMerge w:val="continue"/>
                  <w:tcBorders>
                    <w:top w:val="single" w:color="auto" w:sz="4" w:space="0"/>
                    <w:left w:val="single" w:color="auto" w:sz="4" w:space="0"/>
                    <w:bottom w:val="single" w:color="auto" w:sz="8" w:space="0"/>
                    <w:right w:val="single" w:color="auto" w:sz="4" w:space="0"/>
                  </w:tcBorders>
                  <w:vAlign w:val="center"/>
                </w:tcPr>
                <w:p>
                  <w:pPr>
                    <w:widowControl/>
                    <w:jc w:val="left"/>
                    <w:rPr>
                      <w:b/>
                      <w:bCs/>
                      <w:szCs w:val="21"/>
                    </w:rPr>
                  </w:pPr>
                </w:p>
              </w:tc>
              <w:tc>
                <w:tcPr>
                  <w:tcW w:w="616" w:type="pct"/>
                  <w:tcBorders>
                    <w:top w:val="single" w:color="auto" w:sz="4" w:space="0"/>
                    <w:left w:val="single" w:color="auto" w:sz="4" w:space="0"/>
                    <w:bottom w:val="single" w:color="auto" w:sz="8" w:space="0"/>
                    <w:right w:val="nil"/>
                  </w:tcBorders>
                  <w:vAlign w:val="center"/>
                </w:tcPr>
                <w:p>
                  <w:pPr>
                    <w:snapToGrid w:val="0"/>
                    <w:jc w:val="center"/>
                    <w:rPr>
                      <w:b/>
                      <w:bCs/>
                      <w:szCs w:val="21"/>
                    </w:rPr>
                  </w:pPr>
                  <w:r>
                    <w:rPr>
                      <w:b/>
                      <w:color w:val="000000"/>
                      <w:szCs w:val="21"/>
                    </w:rPr>
                    <w:t>颗粒物</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tcBorders>
                    <w:top w:val="single" w:color="auto" w:sz="8" w:space="0"/>
                    <w:left w:val="nil"/>
                    <w:bottom w:val="single" w:color="auto" w:sz="8" w:space="0"/>
                    <w:right w:val="single" w:color="auto" w:sz="4" w:space="0"/>
                  </w:tcBorders>
                  <w:vAlign w:val="center"/>
                </w:tcPr>
                <w:p>
                  <w:pPr>
                    <w:adjustRightInd w:val="0"/>
                    <w:snapToGrid w:val="0"/>
                    <w:jc w:val="center"/>
                    <w:rPr>
                      <w:szCs w:val="21"/>
                    </w:rPr>
                  </w:pPr>
                  <w:r>
                    <w:rPr>
                      <w:szCs w:val="21"/>
                    </w:rPr>
                    <w:t>1</w:t>
                  </w:r>
                </w:p>
              </w:tc>
              <w:tc>
                <w:tcPr>
                  <w:tcW w:w="335"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szCs w:val="21"/>
                    </w:rPr>
                  </w:pPr>
                  <w:r>
                    <w:rPr>
                      <w:szCs w:val="21"/>
                    </w:rPr>
                    <w:t>0</w:t>
                  </w:r>
                </w:p>
              </w:tc>
              <w:tc>
                <w:tcPr>
                  <w:tcW w:w="304"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szCs w:val="21"/>
                    </w:rPr>
                  </w:pPr>
                  <w:r>
                    <w:rPr>
                      <w:szCs w:val="21"/>
                    </w:rPr>
                    <w:t>0</w:t>
                  </w:r>
                </w:p>
              </w:tc>
              <w:tc>
                <w:tcPr>
                  <w:tcW w:w="560"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szCs w:val="21"/>
                    </w:rPr>
                  </w:pPr>
                  <w:r>
                    <w:rPr>
                      <w:rFonts w:hint="eastAsia"/>
                      <w:szCs w:val="21"/>
                    </w:rPr>
                    <w:t>76</w:t>
                  </w:r>
                </w:p>
              </w:tc>
              <w:tc>
                <w:tcPr>
                  <w:tcW w:w="465" w:type="pct"/>
                  <w:tcBorders>
                    <w:top w:val="single" w:color="auto" w:sz="8" w:space="0"/>
                    <w:left w:val="single" w:color="auto" w:sz="4" w:space="0"/>
                    <w:bottom w:val="single" w:color="auto" w:sz="8" w:space="0"/>
                    <w:right w:val="single" w:color="auto" w:sz="4" w:space="0"/>
                  </w:tcBorders>
                  <w:vAlign w:val="center"/>
                </w:tcPr>
                <w:p>
                  <w:pPr>
                    <w:snapToGrid w:val="0"/>
                    <w:jc w:val="center"/>
                    <w:rPr>
                      <w:szCs w:val="21"/>
                    </w:rPr>
                  </w:pPr>
                  <w:r>
                    <w:rPr>
                      <w:szCs w:val="21"/>
                    </w:rPr>
                    <w:t>15</w:t>
                  </w:r>
                </w:p>
              </w:tc>
              <w:tc>
                <w:tcPr>
                  <w:tcW w:w="491" w:type="pct"/>
                  <w:tcBorders>
                    <w:top w:val="single" w:color="auto" w:sz="8" w:space="0"/>
                    <w:left w:val="single" w:color="auto" w:sz="4" w:space="0"/>
                    <w:bottom w:val="single" w:color="auto" w:sz="8" w:space="0"/>
                    <w:right w:val="single" w:color="auto" w:sz="4" w:space="0"/>
                  </w:tcBorders>
                  <w:vAlign w:val="center"/>
                </w:tcPr>
                <w:p>
                  <w:pPr>
                    <w:snapToGrid w:val="0"/>
                    <w:jc w:val="center"/>
                    <w:rPr>
                      <w:szCs w:val="21"/>
                    </w:rPr>
                  </w:pPr>
                  <w:r>
                    <w:rPr>
                      <w:rFonts w:hint="eastAsia"/>
                      <w:szCs w:val="21"/>
                    </w:rPr>
                    <w:t>0.3</w:t>
                  </w:r>
                </w:p>
              </w:tc>
              <w:tc>
                <w:tcPr>
                  <w:tcW w:w="569" w:type="pct"/>
                  <w:tcBorders>
                    <w:top w:val="single" w:color="auto" w:sz="8" w:space="0"/>
                    <w:left w:val="single" w:color="auto" w:sz="4" w:space="0"/>
                    <w:bottom w:val="single" w:color="auto" w:sz="8" w:space="0"/>
                    <w:right w:val="single" w:color="auto" w:sz="4" w:space="0"/>
                  </w:tcBorders>
                  <w:vAlign w:val="center"/>
                </w:tcPr>
                <w:p>
                  <w:pPr>
                    <w:snapToGrid w:val="0"/>
                    <w:jc w:val="center"/>
                    <w:rPr>
                      <w:szCs w:val="21"/>
                    </w:rPr>
                  </w:pPr>
                  <w:r>
                    <w:rPr>
                      <w:rFonts w:hint="eastAsia"/>
                      <w:szCs w:val="21"/>
                    </w:rPr>
                    <w:t>9.8</w:t>
                  </w:r>
                </w:p>
              </w:tc>
              <w:tc>
                <w:tcPr>
                  <w:tcW w:w="482" w:type="pct"/>
                  <w:tcBorders>
                    <w:top w:val="single" w:color="auto" w:sz="8" w:space="0"/>
                    <w:left w:val="single" w:color="auto" w:sz="4" w:space="0"/>
                    <w:bottom w:val="single" w:color="auto" w:sz="8" w:space="0"/>
                    <w:right w:val="single" w:color="auto" w:sz="4" w:space="0"/>
                  </w:tcBorders>
                  <w:vAlign w:val="center"/>
                </w:tcPr>
                <w:p>
                  <w:pPr>
                    <w:snapToGrid w:val="0"/>
                    <w:jc w:val="center"/>
                    <w:rPr>
                      <w:szCs w:val="21"/>
                    </w:rPr>
                  </w:pPr>
                  <w:r>
                    <w:rPr>
                      <w:szCs w:val="21"/>
                    </w:rPr>
                    <w:t>20</w:t>
                  </w:r>
                </w:p>
              </w:tc>
              <w:tc>
                <w:tcPr>
                  <w:tcW w:w="487" w:type="pct"/>
                  <w:tcBorders>
                    <w:top w:val="single" w:color="auto" w:sz="8" w:space="0"/>
                    <w:left w:val="single" w:color="auto" w:sz="4" w:space="0"/>
                    <w:bottom w:val="single" w:color="auto" w:sz="8" w:space="0"/>
                    <w:right w:val="single" w:color="auto" w:sz="4" w:space="0"/>
                  </w:tcBorders>
                  <w:vAlign w:val="center"/>
                </w:tcPr>
                <w:p>
                  <w:pPr>
                    <w:snapToGrid w:val="0"/>
                    <w:jc w:val="center"/>
                    <w:rPr>
                      <w:szCs w:val="21"/>
                    </w:rPr>
                  </w:pPr>
                  <w:r>
                    <w:rPr>
                      <w:rFonts w:hint="eastAsia"/>
                      <w:szCs w:val="21"/>
                    </w:rPr>
                    <w:t>600</w:t>
                  </w:r>
                </w:p>
              </w:tc>
              <w:tc>
                <w:tcPr>
                  <w:tcW w:w="397" w:type="pct"/>
                  <w:tcBorders>
                    <w:top w:val="single" w:color="auto" w:sz="8" w:space="0"/>
                    <w:left w:val="single" w:color="auto" w:sz="4" w:space="0"/>
                    <w:bottom w:val="single" w:color="auto" w:sz="8" w:space="0"/>
                    <w:right w:val="single" w:color="auto" w:sz="4" w:space="0"/>
                  </w:tcBorders>
                  <w:vAlign w:val="center"/>
                </w:tcPr>
                <w:p>
                  <w:pPr>
                    <w:snapToGrid w:val="0"/>
                    <w:jc w:val="center"/>
                    <w:rPr>
                      <w:szCs w:val="21"/>
                    </w:rPr>
                  </w:pPr>
                  <w:r>
                    <w:rPr>
                      <w:szCs w:val="21"/>
                    </w:rPr>
                    <w:t>正常</w:t>
                  </w:r>
                </w:p>
              </w:tc>
              <w:tc>
                <w:tcPr>
                  <w:tcW w:w="616" w:type="pct"/>
                  <w:tcBorders>
                    <w:top w:val="single" w:color="auto" w:sz="8" w:space="0"/>
                    <w:left w:val="single" w:color="auto" w:sz="4" w:space="0"/>
                    <w:bottom w:val="single" w:color="auto" w:sz="8" w:space="0"/>
                    <w:right w:val="nil"/>
                  </w:tcBorders>
                  <w:vAlign w:val="center"/>
                </w:tcPr>
                <w:p>
                  <w:pPr>
                    <w:widowControl/>
                    <w:jc w:val="center"/>
                    <w:textAlignment w:val="center"/>
                    <w:rPr>
                      <w:szCs w:val="21"/>
                    </w:rPr>
                  </w:pPr>
                  <w:r>
                    <w:rPr>
                      <w:rFonts w:hint="eastAsia"/>
                      <w:bCs/>
                      <w:szCs w:val="21"/>
                    </w:rPr>
                    <w:t>0.0044</w:t>
                  </w:r>
                </w:p>
              </w:tc>
            </w:tr>
          </w:tbl>
          <w:p>
            <w:pPr>
              <w:adjustRightInd w:val="0"/>
              <w:snapToGrid w:val="0"/>
              <w:spacing w:line="440" w:lineRule="exact"/>
              <w:ind w:firstLine="480" w:firstLineChars="200"/>
              <w:rPr>
                <w:rFonts w:eastAsia="黑体"/>
                <w:sz w:val="24"/>
                <w:lang w:val="pt-BR"/>
              </w:rPr>
            </w:pPr>
            <w:r>
              <w:rPr>
                <w:rFonts w:eastAsia="黑体"/>
                <w:sz w:val="24"/>
                <w:lang w:val="pt-BR"/>
              </w:rPr>
              <w:t>表</w:t>
            </w:r>
            <w:r>
              <w:rPr>
                <w:rFonts w:hint="eastAsia" w:eastAsia="黑体"/>
                <w:sz w:val="24"/>
              </w:rPr>
              <w:t>27</w:t>
            </w:r>
            <w:r>
              <w:rPr>
                <w:rFonts w:eastAsia="黑体"/>
                <w:sz w:val="24"/>
                <w:lang w:val="pt-BR"/>
              </w:rPr>
              <w:t xml:space="preserve">                </w:t>
            </w:r>
            <w:r>
              <w:rPr>
                <w:rFonts w:hint="eastAsia" w:eastAsia="黑体"/>
                <w:sz w:val="24"/>
              </w:rPr>
              <w:t xml:space="preserve">     </w:t>
            </w:r>
            <w:r>
              <w:rPr>
                <w:rFonts w:eastAsia="黑体"/>
                <w:sz w:val="24"/>
                <w:lang w:val="pt-BR"/>
              </w:rPr>
              <w:t xml:space="preserve"> 矩形面源参数表</w:t>
            </w:r>
          </w:p>
          <w:tbl>
            <w:tblPr>
              <w:tblStyle w:val="30"/>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63"/>
              <w:gridCol w:w="1163"/>
              <w:gridCol w:w="1163"/>
              <w:gridCol w:w="1163"/>
              <w:gridCol w:w="1163"/>
              <w:gridCol w:w="1161"/>
              <w:gridCol w:w="1163"/>
              <w:gridCol w:w="1173"/>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4" w:type="pct"/>
                  <w:vMerge w:val="restart"/>
                  <w:vAlign w:val="center"/>
                </w:tcPr>
                <w:p>
                  <w:pPr>
                    <w:snapToGrid w:val="0"/>
                    <w:jc w:val="center"/>
                    <w:rPr>
                      <w:b/>
                      <w:szCs w:val="21"/>
                    </w:rPr>
                  </w:pPr>
                  <w:r>
                    <w:rPr>
                      <w:b/>
                      <w:szCs w:val="21"/>
                    </w:rPr>
                    <w:t>名称</w:t>
                  </w:r>
                </w:p>
              </w:tc>
              <w:tc>
                <w:tcPr>
                  <w:tcW w:w="624" w:type="pct"/>
                  <w:vMerge w:val="restart"/>
                  <w:vAlign w:val="center"/>
                </w:tcPr>
                <w:p>
                  <w:pPr>
                    <w:snapToGrid w:val="0"/>
                    <w:jc w:val="center"/>
                    <w:rPr>
                      <w:b/>
                      <w:szCs w:val="21"/>
                    </w:rPr>
                  </w:pPr>
                  <w:r>
                    <w:rPr>
                      <w:b/>
                      <w:szCs w:val="21"/>
                    </w:rPr>
                    <w:t>面源长度/m</w:t>
                  </w:r>
                </w:p>
              </w:tc>
              <w:tc>
                <w:tcPr>
                  <w:tcW w:w="624" w:type="pct"/>
                  <w:vMerge w:val="restart"/>
                  <w:vAlign w:val="center"/>
                </w:tcPr>
                <w:p>
                  <w:pPr>
                    <w:snapToGrid w:val="0"/>
                    <w:jc w:val="center"/>
                    <w:rPr>
                      <w:b/>
                      <w:szCs w:val="21"/>
                    </w:rPr>
                  </w:pPr>
                  <w:r>
                    <w:rPr>
                      <w:b/>
                      <w:szCs w:val="21"/>
                    </w:rPr>
                    <w:t>面源宽度/m</w:t>
                  </w:r>
                </w:p>
              </w:tc>
              <w:tc>
                <w:tcPr>
                  <w:tcW w:w="624" w:type="pct"/>
                  <w:vMerge w:val="restart"/>
                  <w:vAlign w:val="center"/>
                </w:tcPr>
                <w:p>
                  <w:pPr>
                    <w:snapToGrid w:val="0"/>
                    <w:jc w:val="center"/>
                    <w:rPr>
                      <w:b/>
                      <w:szCs w:val="21"/>
                    </w:rPr>
                  </w:pPr>
                  <w:r>
                    <w:rPr>
                      <w:b/>
                      <w:szCs w:val="21"/>
                    </w:rPr>
                    <w:t>与正北夹角/°</w:t>
                  </w:r>
                </w:p>
              </w:tc>
              <w:tc>
                <w:tcPr>
                  <w:tcW w:w="624" w:type="pct"/>
                  <w:vMerge w:val="restart"/>
                  <w:vAlign w:val="center"/>
                </w:tcPr>
                <w:p>
                  <w:pPr>
                    <w:snapToGrid w:val="0"/>
                    <w:jc w:val="center"/>
                    <w:rPr>
                      <w:b/>
                      <w:szCs w:val="21"/>
                    </w:rPr>
                  </w:pPr>
                  <w:r>
                    <w:rPr>
                      <w:b/>
                      <w:szCs w:val="21"/>
                    </w:rPr>
                    <w:t>面源有效排放高度/m</w:t>
                  </w:r>
                </w:p>
              </w:tc>
              <w:tc>
                <w:tcPr>
                  <w:tcW w:w="623" w:type="pct"/>
                  <w:vMerge w:val="restart"/>
                  <w:vAlign w:val="center"/>
                </w:tcPr>
                <w:p>
                  <w:pPr>
                    <w:snapToGrid w:val="0"/>
                    <w:jc w:val="center"/>
                    <w:rPr>
                      <w:b/>
                      <w:szCs w:val="21"/>
                    </w:rPr>
                  </w:pPr>
                  <w:r>
                    <w:rPr>
                      <w:b/>
                      <w:szCs w:val="21"/>
                    </w:rPr>
                    <w:t>年排放小时数/h</w:t>
                  </w:r>
                </w:p>
              </w:tc>
              <w:tc>
                <w:tcPr>
                  <w:tcW w:w="624" w:type="pct"/>
                  <w:vMerge w:val="restart"/>
                  <w:vAlign w:val="center"/>
                </w:tcPr>
                <w:p>
                  <w:pPr>
                    <w:snapToGrid w:val="0"/>
                    <w:jc w:val="center"/>
                    <w:rPr>
                      <w:b/>
                      <w:szCs w:val="21"/>
                    </w:rPr>
                  </w:pPr>
                  <w:r>
                    <w:rPr>
                      <w:b/>
                      <w:szCs w:val="21"/>
                    </w:rPr>
                    <w:t>排放工况</w:t>
                  </w:r>
                </w:p>
              </w:tc>
              <w:tc>
                <w:tcPr>
                  <w:tcW w:w="629" w:type="pct"/>
                  <w:vAlign w:val="center"/>
                </w:tcPr>
                <w:p>
                  <w:pPr>
                    <w:snapToGrid w:val="0"/>
                    <w:jc w:val="center"/>
                    <w:rPr>
                      <w:b/>
                      <w:szCs w:val="21"/>
                    </w:rPr>
                  </w:pPr>
                  <w:r>
                    <w:rPr>
                      <w:b/>
                      <w:szCs w:val="21"/>
                    </w:rPr>
                    <w:t>污染物排放速率（kg/h）</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4" w:type="pct"/>
                  <w:vMerge w:val="continue"/>
                  <w:tcBorders>
                    <w:bottom w:val="single" w:color="000000" w:sz="8" w:space="0"/>
                  </w:tcBorders>
                  <w:vAlign w:val="center"/>
                </w:tcPr>
                <w:p>
                  <w:pPr>
                    <w:snapToGrid w:val="0"/>
                    <w:jc w:val="center"/>
                    <w:rPr>
                      <w:b/>
                      <w:szCs w:val="21"/>
                    </w:rPr>
                  </w:pPr>
                </w:p>
              </w:tc>
              <w:tc>
                <w:tcPr>
                  <w:tcW w:w="624" w:type="pct"/>
                  <w:vMerge w:val="continue"/>
                  <w:tcBorders>
                    <w:bottom w:val="single" w:color="000000" w:sz="8" w:space="0"/>
                  </w:tcBorders>
                  <w:vAlign w:val="center"/>
                </w:tcPr>
                <w:p>
                  <w:pPr>
                    <w:snapToGrid w:val="0"/>
                    <w:jc w:val="center"/>
                    <w:rPr>
                      <w:b/>
                      <w:szCs w:val="21"/>
                    </w:rPr>
                  </w:pPr>
                </w:p>
              </w:tc>
              <w:tc>
                <w:tcPr>
                  <w:tcW w:w="624" w:type="pct"/>
                  <w:vMerge w:val="continue"/>
                  <w:tcBorders>
                    <w:bottom w:val="single" w:color="000000" w:sz="8" w:space="0"/>
                  </w:tcBorders>
                  <w:vAlign w:val="center"/>
                </w:tcPr>
                <w:p>
                  <w:pPr>
                    <w:snapToGrid w:val="0"/>
                    <w:jc w:val="center"/>
                    <w:rPr>
                      <w:b/>
                      <w:szCs w:val="21"/>
                    </w:rPr>
                  </w:pPr>
                </w:p>
              </w:tc>
              <w:tc>
                <w:tcPr>
                  <w:tcW w:w="624" w:type="pct"/>
                  <w:vMerge w:val="continue"/>
                  <w:tcBorders>
                    <w:bottom w:val="single" w:color="000000" w:sz="8" w:space="0"/>
                  </w:tcBorders>
                  <w:vAlign w:val="center"/>
                </w:tcPr>
                <w:p>
                  <w:pPr>
                    <w:snapToGrid w:val="0"/>
                    <w:jc w:val="center"/>
                    <w:rPr>
                      <w:b/>
                      <w:szCs w:val="21"/>
                    </w:rPr>
                  </w:pPr>
                </w:p>
              </w:tc>
              <w:tc>
                <w:tcPr>
                  <w:tcW w:w="624" w:type="pct"/>
                  <w:vMerge w:val="continue"/>
                  <w:tcBorders>
                    <w:bottom w:val="single" w:color="000000" w:sz="8" w:space="0"/>
                  </w:tcBorders>
                  <w:vAlign w:val="center"/>
                </w:tcPr>
                <w:p>
                  <w:pPr>
                    <w:snapToGrid w:val="0"/>
                    <w:jc w:val="center"/>
                    <w:rPr>
                      <w:b/>
                      <w:szCs w:val="21"/>
                    </w:rPr>
                  </w:pPr>
                </w:p>
              </w:tc>
              <w:tc>
                <w:tcPr>
                  <w:tcW w:w="623" w:type="pct"/>
                  <w:vMerge w:val="continue"/>
                  <w:tcBorders>
                    <w:bottom w:val="single" w:color="000000" w:sz="8" w:space="0"/>
                  </w:tcBorders>
                  <w:vAlign w:val="center"/>
                </w:tcPr>
                <w:p>
                  <w:pPr>
                    <w:snapToGrid w:val="0"/>
                    <w:jc w:val="center"/>
                    <w:rPr>
                      <w:b/>
                      <w:szCs w:val="21"/>
                    </w:rPr>
                  </w:pPr>
                </w:p>
              </w:tc>
              <w:tc>
                <w:tcPr>
                  <w:tcW w:w="624" w:type="pct"/>
                  <w:vMerge w:val="continue"/>
                  <w:tcBorders>
                    <w:bottom w:val="single" w:color="000000" w:sz="8" w:space="0"/>
                  </w:tcBorders>
                  <w:vAlign w:val="center"/>
                </w:tcPr>
                <w:p>
                  <w:pPr>
                    <w:snapToGrid w:val="0"/>
                    <w:jc w:val="center"/>
                    <w:rPr>
                      <w:b/>
                      <w:szCs w:val="21"/>
                    </w:rPr>
                  </w:pPr>
                </w:p>
              </w:tc>
              <w:tc>
                <w:tcPr>
                  <w:tcW w:w="629" w:type="pct"/>
                  <w:tcBorders>
                    <w:bottom w:val="single" w:color="000000" w:sz="8" w:space="0"/>
                  </w:tcBorders>
                  <w:vAlign w:val="center"/>
                </w:tcPr>
                <w:p>
                  <w:pPr>
                    <w:snapToGrid w:val="0"/>
                    <w:jc w:val="center"/>
                    <w:rPr>
                      <w:b/>
                      <w:szCs w:val="21"/>
                    </w:rPr>
                  </w:pPr>
                  <w:r>
                    <w:rPr>
                      <w:rFonts w:hint="eastAsia"/>
                      <w:b/>
                      <w:szCs w:val="21"/>
                      <w:lang w:val="fr-FR"/>
                    </w:rPr>
                    <w:t>颗粒物</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24" w:type="pct"/>
                  <w:vAlign w:val="center"/>
                </w:tcPr>
                <w:p>
                  <w:pPr>
                    <w:snapToGrid w:val="0"/>
                    <w:jc w:val="center"/>
                    <w:rPr>
                      <w:bCs/>
                      <w:szCs w:val="21"/>
                    </w:rPr>
                  </w:pPr>
                  <w:r>
                    <w:rPr>
                      <w:bCs/>
                      <w:szCs w:val="21"/>
                    </w:rPr>
                    <w:t>车间</w:t>
                  </w:r>
                </w:p>
              </w:tc>
              <w:tc>
                <w:tcPr>
                  <w:tcW w:w="624" w:type="pct"/>
                  <w:vAlign w:val="center"/>
                </w:tcPr>
                <w:p>
                  <w:pPr>
                    <w:snapToGrid w:val="0"/>
                    <w:jc w:val="center"/>
                    <w:rPr>
                      <w:bCs/>
                      <w:szCs w:val="21"/>
                    </w:rPr>
                  </w:pPr>
                  <w:r>
                    <w:rPr>
                      <w:rFonts w:hint="eastAsia"/>
                      <w:bCs/>
                      <w:szCs w:val="21"/>
                    </w:rPr>
                    <w:t>30</w:t>
                  </w:r>
                </w:p>
              </w:tc>
              <w:tc>
                <w:tcPr>
                  <w:tcW w:w="624" w:type="pct"/>
                  <w:vAlign w:val="center"/>
                </w:tcPr>
                <w:p>
                  <w:pPr>
                    <w:snapToGrid w:val="0"/>
                    <w:jc w:val="center"/>
                    <w:rPr>
                      <w:bCs/>
                      <w:szCs w:val="21"/>
                    </w:rPr>
                  </w:pPr>
                  <w:r>
                    <w:rPr>
                      <w:rFonts w:hint="eastAsia"/>
                      <w:bCs/>
                      <w:szCs w:val="21"/>
                    </w:rPr>
                    <w:t>20</w:t>
                  </w:r>
                </w:p>
              </w:tc>
              <w:tc>
                <w:tcPr>
                  <w:tcW w:w="624" w:type="pct"/>
                  <w:vAlign w:val="center"/>
                </w:tcPr>
                <w:p>
                  <w:pPr>
                    <w:snapToGrid w:val="0"/>
                    <w:jc w:val="center"/>
                    <w:rPr>
                      <w:bCs/>
                      <w:szCs w:val="21"/>
                    </w:rPr>
                  </w:pPr>
                  <w:r>
                    <w:rPr>
                      <w:bCs/>
                      <w:szCs w:val="21"/>
                    </w:rPr>
                    <w:t>0</w:t>
                  </w:r>
                </w:p>
              </w:tc>
              <w:tc>
                <w:tcPr>
                  <w:tcW w:w="624" w:type="pct"/>
                  <w:vAlign w:val="center"/>
                </w:tcPr>
                <w:p>
                  <w:pPr>
                    <w:snapToGrid w:val="0"/>
                    <w:jc w:val="center"/>
                    <w:rPr>
                      <w:bCs/>
                      <w:szCs w:val="21"/>
                    </w:rPr>
                  </w:pPr>
                  <w:r>
                    <w:rPr>
                      <w:bCs/>
                      <w:szCs w:val="21"/>
                    </w:rPr>
                    <w:t>10</w:t>
                  </w:r>
                </w:p>
              </w:tc>
              <w:tc>
                <w:tcPr>
                  <w:tcW w:w="623" w:type="pct"/>
                  <w:vAlign w:val="center"/>
                </w:tcPr>
                <w:p>
                  <w:pPr>
                    <w:snapToGrid w:val="0"/>
                    <w:jc w:val="center"/>
                    <w:rPr>
                      <w:bCs/>
                      <w:szCs w:val="21"/>
                    </w:rPr>
                  </w:pPr>
                  <w:r>
                    <w:rPr>
                      <w:rFonts w:hint="eastAsia"/>
                      <w:bCs/>
                      <w:szCs w:val="21"/>
                    </w:rPr>
                    <w:t>600</w:t>
                  </w:r>
                </w:p>
              </w:tc>
              <w:tc>
                <w:tcPr>
                  <w:tcW w:w="624" w:type="pct"/>
                  <w:vAlign w:val="center"/>
                </w:tcPr>
                <w:p>
                  <w:pPr>
                    <w:snapToGrid w:val="0"/>
                    <w:jc w:val="center"/>
                    <w:rPr>
                      <w:bCs/>
                      <w:szCs w:val="21"/>
                    </w:rPr>
                  </w:pPr>
                  <w:r>
                    <w:rPr>
                      <w:bCs/>
                      <w:szCs w:val="21"/>
                    </w:rPr>
                    <w:t>正常</w:t>
                  </w:r>
                </w:p>
              </w:tc>
              <w:tc>
                <w:tcPr>
                  <w:tcW w:w="629" w:type="pct"/>
                  <w:vAlign w:val="center"/>
                </w:tcPr>
                <w:p>
                  <w:pPr>
                    <w:snapToGrid w:val="0"/>
                    <w:jc w:val="center"/>
                    <w:rPr>
                      <w:bCs/>
                      <w:szCs w:val="21"/>
                    </w:rPr>
                  </w:pPr>
                  <w:r>
                    <w:rPr>
                      <w:rFonts w:hint="eastAsia"/>
                      <w:bCs/>
                      <w:szCs w:val="21"/>
                    </w:rPr>
                    <w:t>0.0109</w:t>
                  </w:r>
                </w:p>
              </w:tc>
            </w:tr>
          </w:tbl>
          <w:p>
            <w:pPr>
              <w:pStyle w:val="116"/>
              <w:snapToGrid w:val="0"/>
              <w:spacing w:line="440" w:lineRule="exact"/>
              <w:ind w:firstLine="480"/>
              <w:rPr>
                <w:bCs/>
                <w:kern w:val="2"/>
              </w:rPr>
            </w:pPr>
            <w:r>
              <w:rPr>
                <w:bCs/>
                <w:kern w:val="2"/>
              </w:rPr>
              <w:t>（4）预测结果分析</w:t>
            </w:r>
          </w:p>
          <w:p>
            <w:pPr>
              <w:adjustRightInd w:val="0"/>
              <w:snapToGrid w:val="0"/>
              <w:spacing w:line="440" w:lineRule="exact"/>
              <w:ind w:firstLine="480" w:firstLineChars="200"/>
              <w:rPr>
                <w:snapToGrid w:val="0"/>
                <w:color w:val="000000"/>
                <w:kern w:val="0"/>
                <w:sz w:val="24"/>
              </w:rPr>
            </w:pPr>
            <w:r>
              <w:rPr>
                <w:snapToGrid w:val="0"/>
                <w:color w:val="000000"/>
                <w:kern w:val="0"/>
                <w:sz w:val="24"/>
              </w:rPr>
              <w:t>采用《环境影响评价技术导则大气环境》（HJ/2.2-2018）中推荐的估算模型AERSCREEN预测</w:t>
            </w:r>
            <w:r>
              <w:rPr>
                <w:snapToGrid w:val="0"/>
                <w:kern w:val="0"/>
                <w:sz w:val="24"/>
              </w:rPr>
              <w:t>全厂</w:t>
            </w:r>
            <w:r>
              <w:rPr>
                <w:snapToGrid w:val="0"/>
                <w:color w:val="000000"/>
                <w:kern w:val="0"/>
                <w:sz w:val="24"/>
              </w:rPr>
              <w:t>废气排放对周围大气环境的影响，预测结果见下表。</w:t>
            </w:r>
          </w:p>
          <w:p>
            <w:pPr>
              <w:adjustRightInd w:val="0"/>
              <w:snapToGrid w:val="0"/>
              <w:spacing w:line="440" w:lineRule="exact"/>
              <w:ind w:firstLine="480" w:firstLineChars="200"/>
              <w:rPr>
                <w:rFonts w:eastAsia="黑体"/>
                <w:sz w:val="24"/>
                <w:lang w:val="pt-BR"/>
              </w:rPr>
            </w:pPr>
            <w:r>
              <w:rPr>
                <w:rFonts w:eastAsia="黑体"/>
                <w:sz w:val="24"/>
                <w:lang w:val="pt-BR"/>
              </w:rPr>
              <w:t>表</w:t>
            </w:r>
            <w:r>
              <w:rPr>
                <w:rFonts w:hint="eastAsia" w:eastAsia="黑体"/>
                <w:sz w:val="24"/>
              </w:rPr>
              <w:t>28</w:t>
            </w:r>
            <w:r>
              <w:rPr>
                <w:rFonts w:eastAsia="黑体"/>
                <w:sz w:val="24"/>
                <w:lang w:val="pt-BR"/>
              </w:rPr>
              <w:t xml:space="preserve">           AERSCREEN估算模型计算结果一览表</w:t>
            </w:r>
          </w:p>
          <w:tbl>
            <w:tblPr>
              <w:tblStyle w:val="30"/>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69"/>
              <w:gridCol w:w="1290"/>
              <w:gridCol w:w="1558"/>
              <w:gridCol w:w="1558"/>
              <w:gridCol w:w="1133"/>
              <w:gridCol w:w="1638"/>
              <w:gridCol w:w="1364"/>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13" w:type="pct"/>
                  <w:tcBorders>
                    <w:bottom w:val="single" w:color="000000" w:sz="8" w:space="0"/>
                  </w:tcBorders>
                  <w:vAlign w:val="center"/>
                </w:tcPr>
                <w:p>
                  <w:pPr>
                    <w:snapToGrid w:val="0"/>
                    <w:jc w:val="center"/>
                    <w:rPr>
                      <w:b/>
                      <w:color w:val="000000"/>
                      <w:szCs w:val="21"/>
                    </w:rPr>
                  </w:pPr>
                  <w:r>
                    <w:rPr>
                      <w:b/>
                      <w:color w:val="000000"/>
                      <w:szCs w:val="21"/>
                    </w:rPr>
                    <w:t>排放方式</w:t>
                  </w:r>
                </w:p>
              </w:tc>
              <w:tc>
                <w:tcPr>
                  <w:tcW w:w="693" w:type="pct"/>
                  <w:tcBorders>
                    <w:bottom w:val="single" w:color="000000" w:sz="8" w:space="0"/>
                  </w:tcBorders>
                  <w:vAlign w:val="center"/>
                </w:tcPr>
                <w:p>
                  <w:pPr>
                    <w:snapToGrid w:val="0"/>
                    <w:jc w:val="center"/>
                    <w:rPr>
                      <w:b/>
                      <w:color w:val="000000"/>
                      <w:szCs w:val="21"/>
                    </w:rPr>
                  </w:pPr>
                  <w:r>
                    <w:rPr>
                      <w:b/>
                      <w:color w:val="000000"/>
                      <w:szCs w:val="21"/>
                    </w:rPr>
                    <w:t>污染源</w:t>
                  </w:r>
                </w:p>
              </w:tc>
              <w:tc>
                <w:tcPr>
                  <w:tcW w:w="836" w:type="pct"/>
                  <w:tcBorders>
                    <w:bottom w:val="single" w:color="000000" w:sz="8" w:space="0"/>
                  </w:tcBorders>
                  <w:vAlign w:val="center"/>
                </w:tcPr>
                <w:p>
                  <w:pPr>
                    <w:snapToGrid w:val="0"/>
                    <w:jc w:val="center"/>
                    <w:rPr>
                      <w:b/>
                      <w:color w:val="000000"/>
                      <w:szCs w:val="21"/>
                    </w:rPr>
                  </w:pPr>
                  <w:r>
                    <w:rPr>
                      <w:b/>
                      <w:color w:val="000000"/>
                      <w:szCs w:val="21"/>
                    </w:rPr>
                    <w:t>污染物</w:t>
                  </w:r>
                </w:p>
              </w:tc>
              <w:tc>
                <w:tcPr>
                  <w:tcW w:w="836" w:type="pct"/>
                  <w:tcBorders>
                    <w:bottom w:val="single" w:color="000000" w:sz="8" w:space="0"/>
                  </w:tcBorders>
                  <w:vAlign w:val="center"/>
                </w:tcPr>
                <w:p>
                  <w:pPr>
                    <w:snapToGrid w:val="0"/>
                    <w:jc w:val="center"/>
                    <w:rPr>
                      <w:b/>
                      <w:color w:val="000000"/>
                      <w:szCs w:val="21"/>
                    </w:rPr>
                  </w:pPr>
                  <w:r>
                    <w:rPr>
                      <w:b/>
                      <w:color w:val="000000"/>
                      <w:szCs w:val="21"/>
                    </w:rPr>
                    <w:t>下风向质量浓度Ci（μg/m</w:t>
                  </w:r>
                  <w:r>
                    <w:rPr>
                      <w:b/>
                      <w:color w:val="000000"/>
                      <w:szCs w:val="21"/>
                      <w:vertAlign w:val="superscript"/>
                    </w:rPr>
                    <w:t>3</w:t>
                  </w:r>
                  <w:r>
                    <w:rPr>
                      <w:b/>
                      <w:color w:val="000000"/>
                      <w:szCs w:val="21"/>
                    </w:rPr>
                    <w:t>）</w:t>
                  </w:r>
                </w:p>
              </w:tc>
              <w:tc>
                <w:tcPr>
                  <w:tcW w:w="608" w:type="pct"/>
                  <w:tcBorders>
                    <w:bottom w:val="single" w:color="000000" w:sz="8" w:space="0"/>
                  </w:tcBorders>
                  <w:vAlign w:val="center"/>
                </w:tcPr>
                <w:p>
                  <w:pPr>
                    <w:snapToGrid w:val="0"/>
                    <w:jc w:val="center"/>
                    <w:rPr>
                      <w:b/>
                      <w:color w:val="000000"/>
                      <w:szCs w:val="21"/>
                    </w:rPr>
                  </w:pPr>
                  <w:r>
                    <w:rPr>
                      <w:b/>
                      <w:color w:val="000000"/>
                      <w:szCs w:val="21"/>
                    </w:rPr>
                    <w:t>占标率Pi（%）</w:t>
                  </w:r>
                </w:p>
              </w:tc>
              <w:tc>
                <w:tcPr>
                  <w:tcW w:w="879" w:type="pct"/>
                  <w:tcBorders>
                    <w:bottom w:val="single" w:color="000000" w:sz="8" w:space="0"/>
                  </w:tcBorders>
                  <w:vAlign w:val="center"/>
                </w:tcPr>
                <w:p>
                  <w:pPr>
                    <w:snapToGrid w:val="0"/>
                    <w:jc w:val="center"/>
                    <w:rPr>
                      <w:b/>
                      <w:color w:val="000000"/>
                      <w:szCs w:val="21"/>
                    </w:rPr>
                  </w:pPr>
                  <w:r>
                    <w:rPr>
                      <w:b/>
                      <w:color w:val="000000"/>
                      <w:szCs w:val="21"/>
                    </w:rPr>
                    <w:t>最大落地浓度出现距离（m）</w:t>
                  </w:r>
                </w:p>
              </w:tc>
              <w:tc>
                <w:tcPr>
                  <w:tcW w:w="732" w:type="pct"/>
                  <w:tcBorders>
                    <w:bottom w:val="single" w:color="000000" w:sz="8" w:space="0"/>
                  </w:tcBorders>
                  <w:vAlign w:val="center"/>
                </w:tcPr>
                <w:p>
                  <w:pPr>
                    <w:snapToGrid w:val="0"/>
                    <w:jc w:val="center"/>
                    <w:rPr>
                      <w:b/>
                      <w:color w:val="000000"/>
                      <w:szCs w:val="21"/>
                    </w:rPr>
                  </w:pPr>
                  <w:r>
                    <w:rPr>
                      <w:b/>
                      <w:color w:val="000000"/>
                      <w:szCs w:val="21"/>
                    </w:rPr>
                    <w:t>标准值Coi*（μg/m</w:t>
                  </w:r>
                  <w:r>
                    <w:rPr>
                      <w:b/>
                      <w:color w:val="000000"/>
                      <w:szCs w:val="21"/>
                      <w:vertAlign w:val="superscript"/>
                    </w:rPr>
                    <w:t>3</w:t>
                  </w:r>
                  <w:r>
                    <w:rPr>
                      <w:b/>
                      <w:color w:val="000000"/>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13" w:type="pct"/>
                  <w:tcBorders>
                    <w:top w:val="single" w:color="000000" w:sz="8" w:space="0"/>
                  </w:tcBorders>
                  <w:vAlign w:val="center"/>
                </w:tcPr>
                <w:p>
                  <w:pPr>
                    <w:snapToGrid w:val="0"/>
                    <w:jc w:val="center"/>
                    <w:rPr>
                      <w:bCs/>
                      <w:color w:val="000000"/>
                      <w:szCs w:val="21"/>
                    </w:rPr>
                  </w:pPr>
                  <w:r>
                    <w:rPr>
                      <w:szCs w:val="21"/>
                    </w:rPr>
                    <w:t>点源</w:t>
                  </w:r>
                </w:p>
              </w:tc>
              <w:tc>
                <w:tcPr>
                  <w:tcW w:w="693" w:type="pct"/>
                  <w:tcBorders>
                    <w:top w:val="single" w:color="000000" w:sz="8" w:space="0"/>
                  </w:tcBorders>
                  <w:vAlign w:val="center"/>
                </w:tcPr>
                <w:p>
                  <w:pPr>
                    <w:snapToGrid w:val="0"/>
                    <w:jc w:val="center"/>
                    <w:rPr>
                      <w:bCs/>
                      <w:color w:val="000000"/>
                      <w:szCs w:val="21"/>
                    </w:rPr>
                  </w:pPr>
                  <w:r>
                    <w:rPr>
                      <w:szCs w:val="21"/>
                    </w:rPr>
                    <w:t>排气筒</w:t>
                  </w:r>
                </w:p>
              </w:tc>
              <w:tc>
                <w:tcPr>
                  <w:tcW w:w="836" w:type="pct"/>
                  <w:tcBorders>
                    <w:top w:val="single" w:color="000000" w:sz="8" w:space="0"/>
                  </w:tcBorders>
                  <w:vAlign w:val="center"/>
                </w:tcPr>
                <w:p>
                  <w:pPr>
                    <w:snapToGrid w:val="0"/>
                    <w:jc w:val="center"/>
                    <w:rPr>
                      <w:bCs/>
                      <w:color w:val="000000"/>
                      <w:szCs w:val="21"/>
                    </w:rPr>
                  </w:pPr>
                  <w:r>
                    <w:rPr>
                      <w:rFonts w:hint="eastAsia"/>
                      <w:szCs w:val="21"/>
                    </w:rPr>
                    <w:t>颗粒物</w:t>
                  </w:r>
                </w:p>
              </w:tc>
              <w:tc>
                <w:tcPr>
                  <w:tcW w:w="836" w:type="pct"/>
                  <w:tcBorders>
                    <w:top w:val="single" w:color="000000" w:sz="8" w:space="0"/>
                  </w:tcBorders>
                  <w:vAlign w:val="center"/>
                </w:tcPr>
                <w:p>
                  <w:pPr>
                    <w:snapToGrid w:val="0"/>
                    <w:jc w:val="center"/>
                    <w:rPr>
                      <w:bCs/>
                      <w:color w:val="000000"/>
                      <w:szCs w:val="21"/>
                    </w:rPr>
                  </w:pPr>
                  <w:r>
                    <w:rPr>
                      <w:rFonts w:hint="eastAsia"/>
                      <w:bCs/>
                      <w:color w:val="000000"/>
                      <w:szCs w:val="21"/>
                    </w:rPr>
                    <w:t>0.2982</w:t>
                  </w:r>
                </w:p>
              </w:tc>
              <w:tc>
                <w:tcPr>
                  <w:tcW w:w="608" w:type="pct"/>
                  <w:tcBorders>
                    <w:top w:val="single" w:color="000000" w:sz="8" w:space="0"/>
                  </w:tcBorders>
                  <w:vAlign w:val="center"/>
                </w:tcPr>
                <w:p>
                  <w:pPr>
                    <w:snapToGrid w:val="0"/>
                    <w:jc w:val="center"/>
                    <w:rPr>
                      <w:bCs/>
                      <w:color w:val="000000"/>
                      <w:szCs w:val="21"/>
                    </w:rPr>
                  </w:pPr>
                  <w:r>
                    <w:rPr>
                      <w:rFonts w:hint="eastAsia"/>
                      <w:bCs/>
                      <w:color w:val="000000"/>
                      <w:szCs w:val="21"/>
                    </w:rPr>
                    <w:t>0.07</w:t>
                  </w:r>
                </w:p>
              </w:tc>
              <w:tc>
                <w:tcPr>
                  <w:tcW w:w="879" w:type="pct"/>
                  <w:tcBorders>
                    <w:top w:val="single" w:color="000000" w:sz="8" w:space="0"/>
                  </w:tcBorders>
                  <w:vAlign w:val="center"/>
                </w:tcPr>
                <w:p>
                  <w:pPr>
                    <w:snapToGrid w:val="0"/>
                    <w:jc w:val="center"/>
                    <w:rPr>
                      <w:bCs/>
                      <w:color w:val="000000"/>
                      <w:szCs w:val="21"/>
                    </w:rPr>
                  </w:pPr>
                  <w:r>
                    <w:rPr>
                      <w:rFonts w:hint="eastAsia"/>
                      <w:bCs/>
                      <w:color w:val="000000"/>
                      <w:szCs w:val="21"/>
                    </w:rPr>
                    <w:t>236</w:t>
                  </w:r>
                </w:p>
              </w:tc>
              <w:tc>
                <w:tcPr>
                  <w:tcW w:w="732" w:type="pct"/>
                  <w:tcBorders>
                    <w:top w:val="single" w:color="000000" w:sz="8" w:space="0"/>
                  </w:tcBorders>
                  <w:vAlign w:val="center"/>
                </w:tcPr>
                <w:p>
                  <w:pPr>
                    <w:snapToGrid w:val="0"/>
                    <w:jc w:val="center"/>
                    <w:rPr>
                      <w:color w:val="000000"/>
                      <w:szCs w:val="21"/>
                    </w:rPr>
                  </w:pPr>
                  <w:r>
                    <w:rPr>
                      <w:rFonts w:hint="eastAsia"/>
                      <w:bCs/>
                      <w:color w:val="000000"/>
                      <w:szCs w:val="21"/>
                    </w:rPr>
                    <w:t>450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13" w:type="pct"/>
                  <w:vAlign w:val="center"/>
                </w:tcPr>
                <w:p>
                  <w:pPr>
                    <w:snapToGrid w:val="0"/>
                    <w:jc w:val="center"/>
                    <w:rPr>
                      <w:color w:val="000000"/>
                      <w:szCs w:val="21"/>
                    </w:rPr>
                  </w:pPr>
                  <w:r>
                    <w:rPr>
                      <w:color w:val="000000"/>
                      <w:szCs w:val="21"/>
                    </w:rPr>
                    <w:t>面源</w:t>
                  </w:r>
                </w:p>
              </w:tc>
              <w:tc>
                <w:tcPr>
                  <w:tcW w:w="693" w:type="pct"/>
                  <w:vAlign w:val="center"/>
                </w:tcPr>
                <w:p>
                  <w:pPr>
                    <w:snapToGrid w:val="0"/>
                    <w:jc w:val="center"/>
                    <w:rPr>
                      <w:color w:val="000000"/>
                      <w:szCs w:val="21"/>
                    </w:rPr>
                  </w:pPr>
                  <w:r>
                    <w:rPr>
                      <w:color w:val="000000"/>
                      <w:szCs w:val="21"/>
                    </w:rPr>
                    <w:t>车间</w:t>
                  </w:r>
                </w:p>
              </w:tc>
              <w:tc>
                <w:tcPr>
                  <w:tcW w:w="836" w:type="pct"/>
                  <w:vAlign w:val="center"/>
                </w:tcPr>
                <w:p>
                  <w:pPr>
                    <w:snapToGrid w:val="0"/>
                    <w:jc w:val="center"/>
                    <w:rPr>
                      <w:color w:val="000000"/>
                      <w:szCs w:val="21"/>
                    </w:rPr>
                  </w:pPr>
                  <w:r>
                    <w:rPr>
                      <w:rFonts w:hint="eastAsia"/>
                      <w:szCs w:val="21"/>
                    </w:rPr>
                    <w:t>颗粒物</w:t>
                  </w:r>
                </w:p>
              </w:tc>
              <w:tc>
                <w:tcPr>
                  <w:tcW w:w="836" w:type="pct"/>
                  <w:vAlign w:val="center"/>
                </w:tcPr>
                <w:p>
                  <w:pPr>
                    <w:snapToGrid w:val="0"/>
                    <w:jc w:val="center"/>
                    <w:rPr>
                      <w:bCs/>
                      <w:color w:val="000000"/>
                      <w:szCs w:val="21"/>
                    </w:rPr>
                  </w:pPr>
                  <w:r>
                    <w:rPr>
                      <w:rFonts w:hint="eastAsia"/>
                      <w:bCs/>
                      <w:color w:val="000000"/>
                      <w:szCs w:val="21"/>
                    </w:rPr>
                    <w:t>3.752</w:t>
                  </w:r>
                </w:p>
              </w:tc>
              <w:tc>
                <w:tcPr>
                  <w:tcW w:w="608" w:type="pct"/>
                  <w:vAlign w:val="center"/>
                </w:tcPr>
                <w:p>
                  <w:pPr>
                    <w:snapToGrid w:val="0"/>
                    <w:jc w:val="center"/>
                    <w:rPr>
                      <w:bCs/>
                      <w:color w:val="000000"/>
                      <w:szCs w:val="21"/>
                    </w:rPr>
                  </w:pPr>
                  <w:r>
                    <w:rPr>
                      <w:rFonts w:hint="eastAsia"/>
                      <w:bCs/>
                      <w:color w:val="000000"/>
                      <w:szCs w:val="21"/>
                    </w:rPr>
                    <w:t>0.83</w:t>
                  </w:r>
                </w:p>
              </w:tc>
              <w:tc>
                <w:tcPr>
                  <w:tcW w:w="879" w:type="pct"/>
                  <w:vAlign w:val="center"/>
                </w:tcPr>
                <w:p>
                  <w:pPr>
                    <w:snapToGrid w:val="0"/>
                    <w:jc w:val="center"/>
                    <w:rPr>
                      <w:bCs/>
                      <w:color w:val="000000"/>
                      <w:szCs w:val="21"/>
                    </w:rPr>
                  </w:pPr>
                  <w:r>
                    <w:rPr>
                      <w:rFonts w:hint="eastAsia"/>
                      <w:bCs/>
                      <w:color w:val="000000"/>
                      <w:szCs w:val="21"/>
                    </w:rPr>
                    <w:t>102</w:t>
                  </w:r>
                </w:p>
              </w:tc>
              <w:tc>
                <w:tcPr>
                  <w:tcW w:w="732" w:type="pct"/>
                  <w:vAlign w:val="center"/>
                </w:tcPr>
                <w:p>
                  <w:pPr>
                    <w:snapToGrid w:val="0"/>
                    <w:jc w:val="center"/>
                    <w:rPr>
                      <w:color w:val="000000"/>
                      <w:szCs w:val="21"/>
                    </w:rPr>
                  </w:pPr>
                  <w:r>
                    <w:rPr>
                      <w:rFonts w:hint="eastAsia"/>
                      <w:bCs/>
                      <w:color w:val="000000"/>
                      <w:szCs w:val="21"/>
                    </w:rPr>
                    <w:t>450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06" w:type="pct"/>
                  <w:gridSpan w:val="2"/>
                  <w:vAlign w:val="center"/>
                </w:tcPr>
                <w:p>
                  <w:pPr>
                    <w:snapToGrid w:val="0"/>
                    <w:jc w:val="center"/>
                    <w:rPr>
                      <w:color w:val="000000"/>
                      <w:szCs w:val="21"/>
                    </w:rPr>
                  </w:pPr>
                  <w:r>
                    <w:rPr>
                      <w:szCs w:val="21"/>
                    </w:rPr>
                    <w:t>各源最大值</w:t>
                  </w:r>
                </w:p>
              </w:tc>
              <w:tc>
                <w:tcPr>
                  <w:tcW w:w="836" w:type="pct"/>
                  <w:vAlign w:val="center"/>
                </w:tcPr>
                <w:p>
                  <w:pPr>
                    <w:snapToGrid w:val="0"/>
                    <w:jc w:val="center"/>
                    <w:rPr>
                      <w:szCs w:val="21"/>
                    </w:rPr>
                  </w:pPr>
                  <w:r>
                    <w:rPr>
                      <w:rFonts w:hint="eastAsia"/>
                      <w:szCs w:val="21"/>
                    </w:rPr>
                    <w:t>颗粒物</w:t>
                  </w:r>
                </w:p>
              </w:tc>
              <w:tc>
                <w:tcPr>
                  <w:tcW w:w="836" w:type="pct"/>
                  <w:vAlign w:val="center"/>
                </w:tcPr>
                <w:p>
                  <w:pPr>
                    <w:snapToGrid w:val="0"/>
                    <w:jc w:val="center"/>
                    <w:rPr>
                      <w:color w:val="000000"/>
                      <w:szCs w:val="21"/>
                    </w:rPr>
                  </w:pPr>
                  <w:r>
                    <w:rPr>
                      <w:rFonts w:hint="eastAsia"/>
                      <w:bCs/>
                      <w:color w:val="000000"/>
                      <w:szCs w:val="21"/>
                    </w:rPr>
                    <w:t>3.752</w:t>
                  </w:r>
                </w:p>
              </w:tc>
              <w:tc>
                <w:tcPr>
                  <w:tcW w:w="608" w:type="pct"/>
                  <w:vAlign w:val="center"/>
                </w:tcPr>
                <w:p>
                  <w:pPr>
                    <w:snapToGrid w:val="0"/>
                    <w:jc w:val="center"/>
                    <w:rPr>
                      <w:color w:val="000000"/>
                      <w:szCs w:val="21"/>
                    </w:rPr>
                  </w:pPr>
                  <w:r>
                    <w:rPr>
                      <w:rFonts w:hint="eastAsia"/>
                      <w:bCs/>
                      <w:color w:val="000000"/>
                      <w:szCs w:val="21"/>
                    </w:rPr>
                    <w:t>0.83</w:t>
                  </w:r>
                </w:p>
              </w:tc>
              <w:tc>
                <w:tcPr>
                  <w:tcW w:w="879" w:type="pct"/>
                  <w:vAlign w:val="center"/>
                </w:tcPr>
                <w:p>
                  <w:pPr>
                    <w:snapToGrid w:val="0"/>
                    <w:jc w:val="center"/>
                    <w:rPr>
                      <w:color w:val="000000"/>
                      <w:szCs w:val="21"/>
                    </w:rPr>
                  </w:pPr>
                  <w:r>
                    <w:rPr>
                      <w:rFonts w:hint="eastAsia"/>
                      <w:bCs/>
                      <w:color w:val="000000"/>
                      <w:szCs w:val="21"/>
                    </w:rPr>
                    <w:t>102</w:t>
                  </w:r>
                </w:p>
              </w:tc>
              <w:tc>
                <w:tcPr>
                  <w:tcW w:w="732" w:type="pct"/>
                  <w:vAlign w:val="center"/>
                </w:tcPr>
                <w:p>
                  <w:pPr>
                    <w:snapToGrid w:val="0"/>
                    <w:jc w:val="center"/>
                    <w:rPr>
                      <w:color w:val="000000"/>
                      <w:szCs w:val="21"/>
                    </w:rPr>
                  </w:pPr>
                  <w:r>
                    <w:rPr>
                      <w:rFonts w:hint="eastAsia"/>
                      <w:bCs/>
                      <w:color w:val="000000"/>
                      <w:szCs w:val="21"/>
                    </w:rPr>
                    <w:t>450</w:t>
                  </w:r>
                </w:p>
              </w:tc>
            </w:tr>
          </w:tbl>
          <w:p>
            <w:pPr>
              <w:adjustRightInd w:val="0"/>
              <w:snapToGrid w:val="0"/>
              <w:spacing w:line="440" w:lineRule="exact"/>
              <w:ind w:firstLine="480" w:firstLineChars="200"/>
              <w:jc w:val="left"/>
              <w:rPr>
                <w:bCs/>
                <w:snapToGrid w:val="0"/>
                <w:kern w:val="0"/>
                <w:sz w:val="24"/>
              </w:rPr>
            </w:pPr>
            <w:r>
              <w:rPr>
                <w:snapToGrid w:val="0"/>
                <w:color w:val="000000"/>
                <w:sz w:val="24"/>
              </w:rPr>
              <w:t>由上表结果看出：</w:t>
            </w:r>
            <w:r>
              <w:rPr>
                <w:bCs/>
                <w:iCs/>
                <w:sz w:val="24"/>
              </w:rPr>
              <w:t>本项目无组织粉尘厂界最大落地浓度为</w:t>
            </w:r>
            <w:r>
              <w:rPr>
                <w:rFonts w:hint="eastAsia"/>
                <w:bCs/>
                <w:iCs/>
                <w:sz w:val="24"/>
              </w:rPr>
              <w:t>0.0037528</w:t>
            </w:r>
            <w:r>
              <w:rPr>
                <w:bCs/>
                <w:iCs/>
                <w:sz w:val="24"/>
              </w:rPr>
              <w:t>mg/m</w:t>
            </w:r>
            <w:r>
              <w:rPr>
                <w:bCs/>
                <w:iCs/>
                <w:sz w:val="24"/>
                <w:vertAlign w:val="superscript"/>
              </w:rPr>
              <w:t>3</w:t>
            </w:r>
            <w:r>
              <w:rPr>
                <w:bCs/>
                <w:iCs/>
                <w:sz w:val="24"/>
              </w:rPr>
              <w:t>，</w:t>
            </w:r>
            <w:r>
              <w:rPr>
                <w:rFonts w:hint="eastAsia"/>
                <w:bCs/>
                <w:snapToGrid w:val="0"/>
                <w:kern w:val="0"/>
                <w:sz w:val="24"/>
              </w:rPr>
              <w:t>能够满足2020年7月31日《新乡市生态环境局关于进一步规范工业颗粒物排放限值的通知》厂界颗粒物排放浓度不高于0.5mg/m</w:t>
            </w:r>
            <w:r>
              <w:rPr>
                <w:rFonts w:hint="eastAsia"/>
                <w:bCs/>
                <w:snapToGrid w:val="0"/>
                <w:kern w:val="0"/>
                <w:sz w:val="24"/>
                <w:vertAlign w:val="superscript"/>
              </w:rPr>
              <w:t>3</w:t>
            </w:r>
            <w:r>
              <w:rPr>
                <w:rFonts w:hint="eastAsia"/>
                <w:bCs/>
                <w:snapToGrid w:val="0"/>
                <w:kern w:val="0"/>
                <w:sz w:val="24"/>
              </w:rPr>
              <w:t>的标准要求。</w:t>
            </w:r>
          </w:p>
          <w:p>
            <w:pPr>
              <w:spacing w:line="440" w:lineRule="exact"/>
              <w:ind w:firstLine="480" w:firstLineChars="200"/>
              <w:textAlignment w:val="baseline"/>
              <w:rPr>
                <w:bCs/>
                <w:color w:val="000000"/>
                <w:sz w:val="24"/>
              </w:rPr>
            </w:pPr>
            <w:r>
              <w:rPr>
                <w:bCs/>
                <w:sz w:val="24"/>
              </w:rPr>
              <w:t>（5）评价等级判定</w:t>
            </w:r>
          </w:p>
          <w:p>
            <w:pPr>
              <w:adjustRightInd w:val="0"/>
              <w:snapToGrid w:val="0"/>
              <w:spacing w:line="440" w:lineRule="exact"/>
              <w:ind w:firstLine="480" w:firstLineChars="200"/>
              <w:rPr>
                <w:snapToGrid w:val="0"/>
                <w:color w:val="000000"/>
                <w:kern w:val="0"/>
                <w:sz w:val="24"/>
              </w:rPr>
            </w:pPr>
            <w:r>
              <w:rPr>
                <w:snapToGrid w:val="0"/>
                <w:color w:val="000000"/>
                <w:kern w:val="0"/>
                <w:sz w:val="24"/>
              </w:rPr>
              <w:t>由上表结果看出：</w:t>
            </w:r>
            <w:r>
              <w:rPr>
                <w:rFonts w:hint="eastAsia"/>
                <w:snapToGrid w:val="0"/>
                <w:kern w:val="0"/>
                <w:sz w:val="24"/>
              </w:rPr>
              <w:t>本项目</w:t>
            </w:r>
            <w:r>
              <w:rPr>
                <w:snapToGrid w:val="0"/>
                <w:color w:val="000000"/>
                <w:kern w:val="0"/>
                <w:sz w:val="24"/>
              </w:rPr>
              <w:t>大气污染源排放的污染物经估算模式预测，本项目污染源最大值为车间</w:t>
            </w:r>
            <w:r>
              <w:rPr>
                <w:snapToGrid w:val="0"/>
                <w:kern w:val="0"/>
                <w:sz w:val="24"/>
              </w:rPr>
              <w:t>颗粒物</w:t>
            </w:r>
            <w:r>
              <w:rPr>
                <w:snapToGrid w:val="0"/>
                <w:color w:val="000000"/>
                <w:kern w:val="0"/>
                <w:sz w:val="24"/>
              </w:rPr>
              <w:t>最大落地浓度值以及占标率分别为</w:t>
            </w:r>
            <w:r>
              <w:rPr>
                <w:rFonts w:hint="eastAsia"/>
                <w:snapToGrid w:val="0"/>
                <w:color w:val="000000"/>
                <w:kern w:val="0"/>
                <w:sz w:val="24"/>
              </w:rPr>
              <w:t>3.752</w:t>
            </w:r>
            <w:r>
              <w:rPr>
                <w:snapToGrid w:val="0"/>
                <w:color w:val="000000"/>
                <w:kern w:val="0"/>
                <w:sz w:val="24"/>
              </w:rPr>
              <w:t>μg/m</w:t>
            </w:r>
            <w:r>
              <w:rPr>
                <w:snapToGrid w:val="0"/>
                <w:color w:val="000000"/>
                <w:kern w:val="0"/>
                <w:sz w:val="24"/>
                <w:vertAlign w:val="superscript"/>
              </w:rPr>
              <w:t>3</w:t>
            </w:r>
            <w:r>
              <w:rPr>
                <w:snapToGrid w:val="0"/>
                <w:color w:val="000000"/>
                <w:kern w:val="0"/>
                <w:sz w:val="24"/>
              </w:rPr>
              <w:t>和</w:t>
            </w:r>
            <w:r>
              <w:rPr>
                <w:rFonts w:hint="eastAsia"/>
                <w:snapToGrid w:val="0"/>
                <w:color w:val="000000"/>
                <w:kern w:val="0"/>
                <w:sz w:val="24"/>
              </w:rPr>
              <w:t>0.83</w:t>
            </w:r>
            <w:r>
              <w:rPr>
                <w:snapToGrid w:val="0"/>
                <w:color w:val="000000"/>
                <w:kern w:val="0"/>
                <w:sz w:val="24"/>
              </w:rPr>
              <w:t>%；根据《环境影响评价技术导则大气环境》（HJ/2.2-2018）的大气评价工作分级依据，分级依据见下表。</w:t>
            </w:r>
          </w:p>
          <w:p>
            <w:pPr>
              <w:adjustRightInd w:val="0"/>
              <w:snapToGrid w:val="0"/>
              <w:spacing w:line="440" w:lineRule="exact"/>
              <w:ind w:firstLine="480" w:firstLineChars="200"/>
              <w:rPr>
                <w:rFonts w:eastAsia="黑体"/>
                <w:sz w:val="24"/>
                <w:lang w:val="pt-BR"/>
              </w:rPr>
            </w:pPr>
            <w:r>
              <w:rPr>
                <w:rFonts w:eastAsia="黑体"/>
                <w:sz w:val="24"/>
                <w:lang w:val="pt-BR"/>
              </w:rPr>
              <w:t>表</w:t>
            </w:r>
            <w:r>
              <w:rPr>
                <w:rFonts w:hint="eastAsia" w:eastAsia="黑体"/>
                <w:sz w:val="24"/>
              </w:rPr>
              <w:t>29</w:t>
            </w:r>
            <w:r>
              <w:rPr>
                <w:rFonts w:eastAsia="黑体"/>
                <w:sz w:val="24"/>
                <w:lang w:val="pt-BR"/>
              </w:rPr>
              <w:t xml:space="preserve">            </w:t>
            </w:r>
            <w:r>
              <w:rPr>
                <w:rFonts w:hint="eastAsia" w:eastAsia="黑体"/>
                <w:sz w:val="24"/>
              </w:rPr>
              <w:t xml:space="preserve">   </w:t>
            </w:r>
            <w:r>
              <w:rPr>
                <w:rFonts w:eastAsia="黑体"/>
                <w:sz w:val="24"/>
                <w:lang w:val="pt-BR"/>
              </w:rPr>
              <w:t xml:space="preserve">   大气评价工作分级判据</w:t>
            </w:r>
          </w:p>
          <w:tbl>
            <w:tblPr>
              <w:tblStyle w:val="30"/>
              <w:tblW w:w="4999"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132"/>
              <w:gridCol w:w="5182"/>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18" w:type="pct"/>
                  <w:tcBorders>
                    <w:bottom w:val="single" w:color="000000" w:sz="8" w:space="0"/>
                  </w:tcBorders>
                </w:tcPr>
                <w:p>
                  <w:pPr>
                    <w:pStyle w:val="100"/>
                    <w:kinsoku w:val="0"/>
                    <w:overflowPunct w:val="0"/>
                    <w:spacing w:before="56"/>
                    <w:ind w:left="101"/>
                    <w:jc w:val="center"/>
                    <w:rPr>
                      <w:rFonts w:ascii="Times New Roman" w:hAnsi="Times New Roman" w:cs="Times New Roman"/>
                      <w:b/>
                      <w:color w:val="000000"/>
                      <w:kern w:val="2"/>
                      <w:sz w:val="21"/>
                      <w:szCs w:val="21"/>
                    </w:rPr>
                  </w:pPr>
                  <w:r>
                    <w:rPr>
                      <w:rFonts w:ascii="Times New Roman" w:hAnsi="Times New Roman" w:cs="Times New Roman"/>
                      <w:b/>
                      <w:color w:val="000000"/>
                      <w:kern w:val="2"/>
                      <w:sz w:val="21"/>
                      <w:szCs w:val="21"/>
                    </w:rPr>
                    <w:t>评价工作等级</w:t>
                  </w:r>
                </w:p>
              </w:tc>
              <w:tc>
                <w:tcPr>
                  <w:tcW w:w="2781" w:type="pct"/>
                  <w:tcBorders>
                    <w:bottom w:val="single" w:color="000000" w:sz="8" w:space="0"/>
                  </w:tcBorders>
                </w:tcPr>
                <w:p>
                  <w:pPr>
                    <w:pStyle w:val="100"/>
                    <w:kinsoku w:val="0"/>
                    <w:overflowPunct w:val="0"/>
                    <w:spacing w:before="56"/>
                    <w:ind w:left="1591"/>
                    <w:rPr>
                      <w:rFonts w:ascii="Times New Roman" w:hAnsi="Times New Roman" w:cs="Times New Roman"/>
                      <w:b/>
                      <w:color w:val="000000"/>
                      <w:kern w:val="2"/>
                      <w:sz w:val="21"/>
                      <w:szCs w:val="21"/>
                    </w:rPr>
                  </w:pPr>
                  <w:r>
                    <w:rPr>
                      <w:rFonts w:ascii="Times New Roman" w:hAnsi="Times New Roman" w:cs="Times New Roman"/>
                      <w:b/>
                      <w:color w:val="000000"/>
                      <w:kern w:val="2"/>
                      <w:sz w:val="21"/>
                      <w:szCs w:val="21"/>
                    </w:rPr>
                    <w:t>评价工作分级依据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18" w:type="pct"/>
                  <w:tcBorders>
                    <w:top w:val="single" w:color="000000" w:sz="8" w:space="0"/>
                  </w:tcBorders>
                </w:tcPr>
                <w:p>
                  <w:pPr>
                    <w:pStyle w:val="100"/>
                    <w:kinsoku w:val="0"/>
                    <w:overflowPunct w:val="0"/>
                    <w:spacing w:before="28"/>
                    <w:ind w:left="96"/>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一级</w:t>
                  </w:r>
                </w:p>
              </w:tc>
              <w:tc>
                <w:tcPr>
                  <w:tcW w:w="2781" w:type="pct"/>
                  <w:tcBorders>
                    <w:top w:val="single" w:color="000000" w:sz="8" w:space="0"/>
                  </w:tcBorders>
                </w:tcPr>
                <w:p>
                  <w:pPr>
                    <w:pStyle w:val="100"/>
                    <w:kinsoku w:val="0"/>
                    <w:overflowPunct w:val="0"/>
                    <w:spacing w:before="28"/>
                    <w:ind w:left="1898"/>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Pmax≥10%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18" w:type="pct"/>
                </w:tcPr>
                <w:p>
                  <w:pPr>
                    <w:pStyle w:val="100"/>
                    <w:kinsoku w:val="0"/>
                    <w:overflowPunct w:val="0"/>
                    <w:spacing w:before="27"/>
                    <w:ind w:left="96"/>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二级</w:t>
                  </w:r>
                </w:p>
              </w:tc>
              <w:tc>
                <w:tcPr>
                  <w:tcW w:w="2781" w:type="pct"/>
                </w:tcPr>
                <w:p>
                  <w:pPr>
                    <w:pStyle w:val="100"/>
                    <w:kinsoku w:val="0"/>
                    <w:overflowPunct w:val="0"/>
                    <w:spacing w:before="27"/>
                    <w:ind w:left="1651"/>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1%≤Pmax＜10%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218" w:type="pct"/>
                </w:tcPr>
                <w:p>
                  <w:pPr>
                    <w:pStyle w:val="100"/>
                    <w:kinsoku w:val="0"/>
                    <w:overflowPunct w:val="0"/>
                    <w:spacing w:before="28"/>
                    <w:ind w:left="96"/>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三级</w:t>
                  </w:r>
                </w:p>
              </w:tc>
              <w:tc>
                <w:tcPr>
                  <w:tcW w:w="2781" w:type="pct"/>
                </w:tcPr>
                <w:p>
                  <w:pPr>
                    <w:pStyle w:val="100"/>
                    <w:kinsoku w:val="0"/>
                    <w:overflowPunct w:val="0"/>
                    <w:spacing w:before="28"/>
                    <w:ind w:firstLine="1890" w:firstLineChars="9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Pmax＜1%</w:t>
                  </w:r>
                </w:p>
              </w:tc>
            </w:tr>
          </w:tbl>
          <w:p>
            <w:pPr>
              <w:snapToGrid w:val="0"/>
              <w:spacing w:line="440" w:lineRule="exact"/>
              <w:ind w:firstLine="480" w:firstLineChars="200"/>
              <w:jc w:val="left"/>
              <w:rPr>
                <w:color w:val="000000"/>
                <w:sz w:val="24"/>
              </w:rPr>
            </w:pPr>
            <w:r>
              <w:rPr>
                <w:color w:val="000000"/>
                <w:sz w:val="24"/>
              </w:rPr>
              <w:t>结合估算结果可知</w:t>
            </w:r>
            <w:r>
              <w:rPr>
                <w:rFonts w:hint="eastAsia"/>
                <w:color w:val="000000"/>
                <w:sz w:val="24"/>
                <w:szCs w:val="20"/>
              </w:rPr>
              <w:t>，本项目大气评价等级为三级，根据《环境影响评价技术导则大气环境》（HJ2.2-2018）的要求：</w:t>
            </w:r>
            <w:r>
              <w:rPr>
                <w:rFonts w:hint="eastAsia"/>
                <w:color w:val="000000"/>
                <w:sz w:val="24"/>
              </w:rPr>
              <w:t>“三</w:t>
            </w:r>
            <w:r>
              <w:rPr>
                <w:color w:val="000000"/>
                <w:sz w:val="24"/>
              </w:rPr>
              <w:t>级</w:t>
            </w:r>
            <w:r>
              <w:rPr>
                <w:rFonts w:hint="eastAsia"/>
                <w:color w:val="000000"/>
                <w:sz w:val="24"/>
              </w:rPr>
              <w:t>评价不</w:t>
            </w:r>
            <w:r>
              <w:rPr>
                <w:color w:val="000000"/>
                <w:sz w:val="24"/>
              </w:rPr>
              <w:t>进行进一步预测与评价</w:t>
            </w:r>
            <w:r>
              <w:rPr>
                <w:rFonts w:hint="eastAsia"/>
                <w:color w:val="000000"/>
                <w:sz w:val="24"/>
              </w:rPr>
              <w:t>”</w:t>
            </w:r>
            <w:r>
              <w:rPr>
                <w:color w:val="000000"/>
                <w:sz w:val="24"/>
              </w:rPr>
              <w:t>。</w:t>
            </w:r>
          </w:p>
          <w:p>
            <w:pPr>
              <w:pStyle w:val="14"/>
              <w:kinsoku w:val="0"/>
              <w:overflowPunct w:val="0"/>
              <w:snapToGrid w:val="0"/>
              <w:spacing w:after="0" w:line="440" w:lineRule="exact"/>
              <w:ind w:firstLine="482" w:firstLineChars="200"/>
              <w:rPr>
                <w:b/>
                <w:bCs/>
                <w:color w:val="000000"/>
                <w:sz w:val="24"/>
              </w:rPr>
            </w:pPr>
            <w:r>
              <w:rPr>
                <w:rFonts w:hint="eastAsia"/>
                <w:b/>
                <w:bCs/>
                <w:color w:val="000000"/>
                <w:sz w:val="24"/>
              </w:rPr>
              <w:t>3</w:t>
            </w:r>
            <w:r>
              <w:rPr>
                <w:b/>
                <w:bCs/>
                <w:color w:val="000000"/>
                <w:sz w:val="24"/>
              </w:rPr>
              <w:t>、污染物排放量核算</w:t>
            </w:r>
          </w:p>
          <w:p>
            <w:pPr>
              <w:pStyle w:val="14"/>
              <w:kinsoku w:val="0"/>
              <w:overflowPunct w:val="0"/>
              <w:snapToGrid w:val="0"/>
              <w:spacing w:after="0" w:line="440" w:lineRule="exact"/>
              <w:ind w:firstLine="480" w:firstLineChars="200"/>
              <w:rPr>
                <w:color w:val="000000"/>
                <w:sz w:val="24"/>
              </w:rPr>
            </w:pPr>
            <w:r>
              <w:rPr>
                <w:color w:val="000000"/>
                <w:sz w:val="24"/>
              </w:rPr>
              <w:t>根据工程分析，对</w:t>
            </w:r>
            <w:r>
              <w:rPr>
                <w:rFonts w:hint="eastAsia"/>
                <w:color w:val="000000"/>
                <w:sz w:val="24"/>
              </w:rPr>
              <w:t>全厂</w:t>
            </w:r>
            <w:r>
              <w:rPr>
                <w:color w:val="000000"/>
                <w:sz w:val="24"/>
              </w:rPr>
              <w:t>排放污染物进行核算，具体的核算排放浓度、排放速率及污染物年排放量见表</w:t>
            </w:r>
            <w:r>
              <w:rPr>
                <w:rFonts w:hint="eastAsia"/>
                <w:color w:val="000000"/>
                <w:sz w:val="24"/>
              </w:rPr>
              <w:t>30、31、32</w:t>
            </w:r>
            <w:r>
              <w:rPr>
                <w:color w:val="000000"/>
                <w:sz w:val="24"/>
              </w:rPr>
              <w:t>。</w:t>
            </w:r>
          </w:p>
          <w:p>
            <w:pPr>
              <w:adjustRightInd w:val="0"/>
              <w:snapToGrid w:val="0"/>
              <w:spacing w:line="440" w:lineRule="exact"/>
              <w:ind w:firstLine="480" w:firstLineChars="200"/>
              <w:rPr>
                <w:rFonts w:eastAsia="黑体"/>
                <w:sz w:val="24"/>
                <w:lang w:val="pt-BR"/>
              </w:rPr>
            </w:pPr>
            <w:r>
              <w:rPr>
                <w:rFonts w:eastAsia="黑体"/>
                <w:sz w:val="24"/>
                <w:lang w:val="pt-BR"/>
              </w:rPr>
              <w:t>表</w:t>
            </w:r>
            <w:r>
              <w:rPr>
                <w:rFonts w:hint="eastAsia" w:eastAsia="黑体"/>
                <w:sz w:val="24"/>
              </w:rPr>
              <w:t xml:space="preserve">30               </w:t>
            </w:r>
            <w:r>
              <w:rPr>
                <w:rFonts w:eastAsia="黑体"/>
                <w:sz w:val="24"/>
                <w:lang w:val="pt-BR"/>
              </w:rPr>
              <w:t>大气污染物有组织排放量核算表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433"/>
              <w:gridCol w:w="1235"/>
              <w:gridCol w:w="1548"/>
              <w:gridCol w:w="1550"/>
              <w:gridCol w:w="154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3" w:type="pct"/>
                  <w:tcBorders>
                    <w:bottom w:val="single" w:color="auto" w:sz="8" w:space="0"/>
                  </w:tcBorders>
                  <w:vAlign w:val="center"/>
                </w:tcPr>
                <w:p>
                  <w:pPr>
                    <w:widowControl/>
                    <w:jc w:val="center"/>
                    <w:rPr>
                      <w:b/>
                      <w:kern w:val="0"/>
                      <w:szCs w:val="21"/>
                    </w:rPr>
                  </w:pPr>
                  <w:r>
                    <w:rPr>
                      <w:b/>
                      <w:kern w:val="0"/>
                      <w:szCs w:val="21"/>
                    </w:rPr>
                    <w:t>排放口编号</w:t>
                  </w:r>
                </w:p>
              </w:tc>
              <w:tc>
                <w:tcPr>
                  <w:tcW w:w="663" w:type="pct"/>
                  <w:tcBorders>
                    <w:bottom w:val="single" w:color="auto" w:sz="8" w:space="0"/>
                  </w:tcBorders>
                  <w:vAlign w:val="center"/>
                </w:tcPr>
                <w:p>
                  <w:pPr>
                    <w:widowControl/>
                    <w:jc w:val="center"/>
                    <w:rPr>
                      <w:b/>
                      <w:kern w:val="0"/>
                      <w:szCs w:val="21"/>
                    </w:rPr>
                  </w:pPr>
                  <w:r>
                    <w:rPr>
                      <w:b/>
                      <w:kern w:val="0"/>
                      <w:szCs w:val="21"/>
                    </w:rPr>
                    <w:t>污染物</w:t>
                  </w:r>
                </w:p>
              </w:tc>
              <w:tc>
                <w:tcPr>
                  <w:tcW w:w="831" w:type="pct"/>
                  <w:tcBorders>
                    <w:bottom w:val="single" w:color="auto" w:sz="8" w:space="0"/>
                  </w:tcBorders>
                  <w:vAlign w:val="center"/>
                </w:tcPr>
                <w:p>
                  <w:pPr>
                    <w:widowControl/>
                    <w:jc w:val="center"/>
                    <w:rPr>
                      <w:b/>
                      <w:kern w:val="0"/>
                      <w:szCs w:val="21"/>
                    </w:rPr>
                  </w:pPr>
                  <w:r>
                    <w:rPr>
                      <w:b/>
                      <w:kern w:val="0"/>
                      <w:szCs w:val="21"/>
                    </w:rPr>
                    <w:t>核算排放浓度</w:t>
                  </w:r>
                  <w:r>
                    <w:rPr>
                      <w:b/>
                      <w:szCs w:val="21"/>
                    </w:rPr>
                    <w:t>（</w:t>
                  </w:r>
                  <w:r>
                    <w:rPr>
                      <w:rFonts w:hint="eastAsia"/>
                      <w:b/>
                      <w:szCs w:val="21"/>
                    </w:rPr>
                    <w:t>m</w:t>
                  </w:r>
                  <w:r>
                    <w:rPr>
                      <w:b/>
                      <w:szCs w:val="21"/>
                    </w:rPr>
                    <w:t>g/m</w:t>
                  </w:r>
                  <w:r>
                    <w:rPr>
                      <w:b/>
                      <w:szCs w:val="21"/>
                      <w:vertAlign w:val="superscript"/>
                    </w:rPr>
                    <w:t>3</w:t>
                  </w:r>
                  <w:r>
                    <w:rPr>
                      <w:b/>
                      <w:szCs w:val="21"/>
                    </w:rPr>
                    <w:t>）</w:t>
                  </w:r>
                </w:p>
              </w:tc>
              <w:tc>
                <w:tcPr>
                  <w:tcW w:w="832" w:type="pct"/>
                  <w:tcBorders>
                    <w:bottom w:val="single" w:color="auto" w:sz="8" w:space="0"/>
                  </w:tcBorders>
                  <w:vAlign w:val="center"/>
                </w:tcPr>
                <w:p>
                  <w:pPr>
                    <w:widowControl/>
                    <w:jc w:val="center"/>
                    <w:rPr>
                      <w:b/>
                      <w:kern w:val="0"/>
                      <w:szCs w:val="21"/>
                    </w:rPr>
                  </w:pPr>
                  <w:r>
                    <w:rPr>
                      <w:b/>
                      <w:kern w:val="0"/>
                      <w:szCs w:val="21"/>
                    </w:rPr>
                    <w:t>核算排放速率（kg/h）</w:t>
                  </w:r>
                </w:p>
              </w:tc>
              <w:tc>
                <w:tcPr>
                  <w:tcW w:w="830" w:type="pct"/>
                  <w:tcBorders>
                    <w:bottom w:val="single" w:color="auto" w:sz="8" w:space="0"/>
                  </w:tcBorders>
                  <w:vAlign w:val="center"/>
                </w:tcPr>
                <w:p>
                  <w:pPr>
                    <w:widowControl/>
                    <w:jc w:val="center"/>
                    <w:rPr>
                      <w:b/>
                      <w:kern w:val="0"/>
                      <w:szCs w:val="21"/>
                    </w:rPr>
                  </w:pPr>
                  <w:r>
                    <w:rPr>
                      <w:b/>
                      <w:kern w:val="0"/>
                      <w:szCs w:val="21"/>
                    </w:rPr>
                    <w:t>核算年排放量（t/a）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3" w:type="pct"/>
                  <w:tcBorders>
                    <w:top w:val="single" w:color="auto" w:sz="8" w:space="0"/>
                    <w:tl2br w:val="nil"/>
                    <w:tr2bl w:val="nil"/>
                  </w:tcBorders>
                  <w:vAlign w:val="center"/>
                </w:tcPr>
                <w:p>
                  <w:pPr>
                    <w:widowControl/>
                    <w:jc w:val="center"/>
                    <w:rPr>
                      <w:bCs/>
                      <w:kern w:val="0"/>
                      <w:szCs w:val="21"/>
                    </w:rPr>
                  </w:pPr>
                </w:p>
                <w:p>
                  <w:pPr>
                    <w:widowControl/>
                    <w:jc w:val="center"/>
                    <w:rPr>
                      <w:bCs/>
                      <w:kern w:val="0"/>
                      <w:szCs w:val="21"/>
                    </w:rPr>
                  </w:pPr>
                  <w:r>
                    <w:rPr>
                      <w:bCs/>
                      <w:kern w:val="0"/>
                      <w:szCs w:val="21"/>
                    </w:rPr>
                    <w:t>排气筒</w:t>
                  </w:r>
                  <w:r>
                    <w:rPr>
                      <w:rFonts w:hint="eastAsia"/>
                      <w:bCs/>
                      <w:kern w:val="0"/>
                      <w:szCs w:val="21"/>
                    </w:rPr>
                    <w:t>切割、焊接工序</w:t>
                  </w:r>
                </w:p>
              </w:tc>
              <w:tc>
                <w:tcPr>
                  <w:tcW w:w="663" w:type="pct"/>
                  <w:tcBorders>
                    <w:top w:val="single" w:color="auto" w:sz="8" w:space="0"/>
                    <w:tl2br w:val="nil"/>
                    <w:tr2bl w:val="nil"/>
                  </w:tcBorders>
                  <w:vAlign w:val="center"/>
                </w:tcPr>
                <w:p>
                  <w:pPr>
                    <w:adjustRightInd w:val="0"/>
                    <w:snapToGrid w:val="0"/>
                    <w:jc w:val="center"/>
                    <w:rPr>
                      <w:bCs/>
                      <w:kern w:val="0"/>
                      <w:szCs w:val="21"/>
                    </w:rPr>
                  </w:pPr>
                  <w:r>
                    <w:rPr>
                      <w:bCs/>
                      <w:szCs w:val="21"/>
                    </w:rPr>
                    <w:t>颗粒物</w:t>
                  </w:r>
                </w:p>
              </w:tc>
              <w:tc>
                <w:tcPr>
                  <w:tcW w:w="831" w:type="pct"/>
                  <w:tcBorders>
                    <w:top w:val="single" w:color="auto" w:sz="8" w:space="0"/>
                    <w:tl2br w:val="nil"/>
                    <w:tr2bl w:val="nil"/>
                  </w:tcBorders>
                  <w:vAlign w:val="center"/>
                </w:tcPr>
                <w:p>
                  <w:pPr>
                    <w:adjustRightInd w:val="0"/>
                    <w:snapToGrid w:val="0"/>
                    <w:jc w:val="center"/>
                    <w:rPr>
                      <w:bCs/>
                      <w:kern w:val="0"/>
                      <w:szCs w:val="21"/>
                    </w:rPr>
                  </w:pPr>
                  <w:r>
                    <w:rPr>
                      <w:rFonts w:hint="eastAsia"/>
                      <w:bCs/>
                      <w:szCs w:val="21"/>
                    </w:rPr>
                    <w:t>1.7472</w:t>
                  </w:r>
                </w:p>
              </w:tc>
              <w:tc>
                <w:tcPr>
                  <w:tcW w:w="832" w:type="pct"/>
                  <w:tcBorders>
                    <w:top w:val="single" w:color="auto" w:sz="8" w:space="0"/>
                    <w:tl2br w:val="nil"/>
                    <w:tr2bl w:val="nil"/>
                  </w:tcBorders>
                  <w:vAlign w:val="center"/>
                </w:tcPr>
                <w:p>
                  <w:pPr>
                    <w:adjustRightInd w:val="0"/>
                    <w:snapToGrid w:val="0"/>
                    <w:jc w:val="center"/>
                    <w:rPr>
                      <w:bCs/>
                      <w:kern w:val="0"/>
                      <w:szCs w:val="21"/>
                    </w:rPr>
                  </w:pPr>
                  <w:r>
                    <w:rPr>
                      <w:rFonts w:hint="eastAsia"/>
                      <w:bCs/>
                      <w:szCs w:val="21"/>
                    </w:rPr>
                    <w:t>0.0044</w:t>
                  </w:r>
                </w:p>
              </w:tc>
              <w:tc>
                <w:tcPr>
                  <w:tcW w:w="830" w:type="pct"/>
                  <w:tcBorders>
                    <w:top w:val="single" w:color="auto" w:sz="8" w:space="0"/>
                    <w:tl2br w:val="nil"/>
                    <w:tr2bl w:val="nil"/>
                  </w:tcBorders>
                  <w:vAlign w:val="center"/>
                </w:tcPr>
                <w:p>
                  <w:pPr>
                    <w:adjustRightInd w:val="0"/>
                    <w:snapToGrid w:val="0"/>
                    <w:jc w:val="center"/>
                    <w:rPr>
                      <w:bCs/>
                      <w:kern w:val="0"/>
                      <w:szCs w:val="21"/>
                    </w:rPr>
                  </w:pPr>
                  <w:r>
                    <w:rPr>
                      <w:rFonts w:hint="eastAsia"/>
                      <w:bCs/>
                      <w:szCs w:val="21"/>
                    </w:rPr>
                    <w:t>0.0009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3" w:type="pct"/>
                  <w:tcBorders>
                    <w:tl2br w:val="nil"/>
                    <w:tr2bl w:val="nil"/>
                  </w:tcBorders>
                  <w:vAlign w:val="center"/>
                </w:tcPr>
                <w:p>
                  <w:pPr>
                    <w:widowControl/>
                    <w:jc w:val="center"/>
                    <w:rPr>
                      <w:bCs/>
                      <w:kern w:val="0"/>
                      <w:szCs w:val="21"/>
                    </w:rPr>
                  </w:pPr>
                  <w:r>
                    <w:rPr>
                      <w:bCs/>
                      <w:kern w:val="0"/>
                      <w:szCs w:val="21"/>
                    </w:rPr>
                    <w:t>有组织排放总计</w:t>
                  </w:r>
                </w:p>
              </w:tc>
              <w:tc>
                <w:tcPr>
                  <w:tcW w:w="2326" w:type="pct"/>
                  <w:gridSpan w:val="3"/>
                  <w:tcBorders>
                    <w:tl2br w:val="nil"/>
                    <w:tr2bl w:val="nil"/>
                  </w:tcBorders>
                  <w:vAlign w:val="center"/>
                </w:tcPr>
                <w:p>
                  <w:pPr>
                    <w:adjustRightInd w:val="0"/>
                    <w:snapToGrid w:val="0"/>
                    <w:jc w:val="center"/>
                    <w:rPr>
                      <w:bCs/>
                      <w:szCs w:val="21"/>
                    </w:rPr>
                  </w:pPr>
                  <w:r>
                    <w:rPr>
                      <w:bCs/>
                      <w:szCs w:val="21"/>
                    </w:rPr>
                    <w:t>颗粒物</w:t>
                  </w:r>
                </w:p>
              </w:tc>
              <w:tc>
                <w:tcPr>
                  <w:tcW w:w="830" w:type="pct"/>
                  <w:tcBorders>
                    <w:tl2br w:val="nil"/>
                    <w:tr2bl w:val="nil"/>
                  </w:tcBorders>
                  <w:vAlign w:val="center"/>
                </w:tcPr>
                <w:p>
                  <w:pPr>
                    <w:adjustRightInd w:val="0"/>
                    <w:snapToGrid w:val="0"/>
                    <w:jc w:val="center"/>
                    <w:rPr>
                      <w:bCs/>
                      <w:kern w:val="0"/>
                      <w:szCs w:val="21"/>
                    </w:rPr>
                  </w:pPr>
                  <w:r>
                    <w:rPr>
                      <w:rFonts w:hint="eastAsia"/>
                      <w:bCs/>
                      <w:kern w:val="0"/>
                      <w:szCs w:val="21"/>
                    </w:rPr>
                    <w:t>0.0009</w:t>
                  </w:r>
                </w:p>
              </w:tc>
            </w:tr>
          </w:tbl>
          <w:p>
            <w:pPr>
              <w:adjustRightInd w:val="0"/>
              <w:snapToGrid w:val="0"/>
              <w:spacing w:line="440" w:lineRule="exact"/>
              <w:ind w:firstLine="480" w:firstLineChars="200"/>
              <w:rPr>
                <w:rFonts w:eastAsia="黑体"/>
                <w:sz w:val="24"/>
                <w:lang w:val="pt-BR"/>
              </w:rPr>
            </w:pPr>
            <w:r>
              <w:rPr>
                <w:rFonts w:eastAsia="黑体"/>
                <w:sz w:val="24"/>
                <w:lang w:val="pt-BR"/>
              </w:rPr>
              <w:t>表</w:t>
            </w:r>
            <w:r>
              <w:rPr>
                <w:rFonts w:hint="eastAsia" w:eastAsia="黑体"/>
                <w:sz w:val="24"/>
              </w:rPr>
              <w:t xml:space="preserve">31               </w:t>
            </w:r>
            <w:r>
              <w:rPr>
                <w:rFonts w:eastAsia="黑体"/>
                <w:sz w:val="24"/>
                <w:lang w:val="pt-BR"/>
              </w:rPr>
              <w:t>大气污染物无组织排放量核算表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08"/>
              <w:gridCol w:w="848"/>
              <w:gridCol w:w="991"/>
              <w:gridCol w:w="859"/>
              <w:gridCol w:w="1785"/>
              <w:gridCol w:w="1832"/>
              <w:gridCol w:w="1211"/>
              <w:gridCol w:w="12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3" w:type="pct"/>
                  <w:vMerge w:val="restart"/>
                  <w:tcBorders>
                    <w:tl2br w:val="nil"/>
                    <w:tr2bl w:val="nil"/>
                  </w:tcBorders>
                  <w:vAlign w:val="center"/>
                </w:tcPr>
                <w:p>
                  <w:pPr>
                    <w:widowControl/>
                    <w:jc w:val="center"/>
                    <w:rPr>
                      <w:b/>
                      <w:kern w:val="0"/>
                      <w:szCs w:val="21"/>
                    </w:rPr>
                  </w:pPr>
                  <w:r>
                    <w:rPr>
                      <w:b/>
                      <w:kern w:val="0"/>
                      <w:szCs w:val="21"/>
                    </w:rPr>
                    <w:t>序号</w:t>
                  </w:r>
                </w:p>
              </w:tc>
              <w:tc>
                <w:tcPr>
                  <w:tcW w:w="455" w:type="pct"/>
                  <w:vMerge w:val="restart"/>
                  <w:tcBorders>
                    <w:tl2br w:val="nil"/>
                    <w:tr2bl w:val="nil"/>
                  </w:tcBorders>
                  <w:vAlign w:val="center"/>
                </w:tcPr>
                <w:p>
                  <w:pPr>
                    <w:widowControl/>
                    <w:jc w:val="center"/>
                    <w:rPr>
                      <w:b/>
                      <w:kern w:val="0"/>
                      <w:szCs w:val="21"/>
                    </w:rPr>
                  </w:pPr>
                  <w:r>
                    <w:rPr>
                      <w:b/>
                      <w:kern w:val="0"/>
                      <w:szCs w:val="21"/>
                    </w:rPr>
                    <w:t>排放口</w:t>
                  </w:r>
                </w:p>
                <w:p>
                  <w:pPr>
                    <w:widowControl/>
                    <w:jc w:val="center"/>
                    <w:rPr>
                      <w:b/>
                      <w:kern w:val="0"/>
                      <w:szCs w:val="21"/>
                    </w:rPr>
                  </w:pPr>
                  <w:r>
                    <w:rPr>
                      <w:b/>
                      <w:kern w:val="0"/>
                      <w:szCs w:val="21"/>
                    </w:rPr>
                    <w:t>编号</w:t>
                  </w:r>
                </w:p>
              </w:tc>
              <w:tc>
                <w:tcPr>
                  <w:tcW w:w="532" w:type="pct"/>
                  <w:vMerge w:val="restart"/>
                  <w:tcBorders>
                    <w:tl2br w:val="nil"/>
                    <w:tr2bl w:val="nil"/>
                  </w:tcBorders>
                  <w:vAlign w:val="center"/>
                </w:tcPr>
                <w:p>
                  <w:pPr>
                    <w:widowControl/>
                    <w:jc w:val="center"/>
                    <w:rPr>
                      <w:b/>
                      <w:kern w:val="0"/>
                      <w:szCs w:val="21"/>
                    </w:rPr>
                  </w:pPr>
                  <w:r>
                    <w:rPr>
                      <w:b/>
                      <w:kern w:val="0"/>
                      <w:szCs w:val="21"/>
                    </w:rPr>
                    <w:t>产污环节</w:t>
                  </w:r>
                </w:p>
              </w:tc>
              <w:tc>
                <w:tcPr>
                  <w:tcW w:w="460" w:type="pct"/>
                  <w:vMerge w:val="restart"/>
                  <w:tcBorders>
                    <w:tl2br w:val="nil"/>
                    <w:tr2bl w:val="nil"/>
                  </w:tcBorders>
                  <w:vAlign w:val="center"/>
                </w:tcPr>
                <w:p>
                  <w:pPr>
                    <w:widowControl/>
                    <w:jc w:val="center"/>
                    <w:rPr>
                      <w:b/>
                      <w:kern w:val="0"/>
                      <w:szCs w:val="21"/>
                    </w:rPr>
                  </w:pPr>
                  <w:r>
                    <w:rPr>
                      <w:b/>
                      <w:kern w:val="0"/>
                      <w:szCs w:val="21"/>
                    </w:rPr>
                    <w:t>污染物</w:t>
                  </w:r>
                </w:p>
              </w:tc>
              <w:tc>
                <w:tcPr>
                  <w:tcW w:w="958" w:type="pct"/>
                  <w:vMerge w:val="restart"/>
                  <w:tcBorders>
                    <w:tl2br w:val="nil"/>
                    <w:tr2bl w:val="nil"/>
                  </w:tcBorders>
                  <w:vAlign w:val="center"/>
                </w:tcPr>
                <w:p>
                  <w:pPr>
                    <w:widowControl/>
                    <w:jc w:val="center"/>
                    <w:rPr>
                      <w:b/>
                      <w:kern w:val="0"/>
                      <w:szCs w:val="21"/>
                    </w:rPr>
                  </w:pPr>
                  <w:r>
                    <w:rPr>
                      <w:b/>
                      <w:kern w:val="0"/>
                      <w:szCs w:val="21"/>
                    </w:rPr>
                    <w:t>主要防治措施</w:t>
                  </w:r>
                </w:p>
              </w:tc>
              <w:tc>
                <w:tcPr>
                  <w:tcW w:w="1633" w:type="pct"/>
                  <w:gridSpan w:val="2"/>
                  <w:tcBorders>
                    <w:tl2br w:val="nil"/>
                    <w:tr2bl w:val="nil"/>
                  </w:tcBorders>
                  <w:vAlign w:val="center"/>
                </w:tcPr>
                <w:p>
                  <w:pPr>
                    <w:widowControl/>
                    <w:jc w:val="center"/>
                    <w:rPr>
                      <w:b/>
                      <w:kern w:val="0"/>
                      <w:szCs w:val="21"/>
                    </w:rPr>
                  </w:pPr>
                  <w:r>
                    <w:rPr>
                      <w:b/>
                      <w:kern w:val="0"/>
                      <w:szCs w:val="21"/>
                    </w:rPr>
                    <w:t>国家或地方污染物排放标准</w:t>
                  </w:r>
                </w:p>
              </w:tc>
              <w:tc>
                <w:tcPr>
                  <w:tcW w:w="686" w:type="pct"/>
                  <w:vMerge w:val="restart"/>
                  <w:tcBorders>
                    <w:tl2br w:val="nil"/>
                    <w:tr2bl w:val="nil"/>
                  </w:tcBorders>
                  <w:vAlign w:val="center"/>
                </w:tcPr>
                <w:p>
                  <w:pPr>
                    <w:widowControl/>
                    <w:jc w:val="center"/>
                    <w:rPr>
                      <w:b/>
                      <w:kern w:val="0"/>
                      <w:szCs w:val="21"/>
                    </w:rPr>
                  </w:pPr>
                  <w:r>
                    <w:rPr>
                      <w:b/>
                      <w:kern w:val="0"/>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3" w:type="pct"/>
                  <w:vMerge w:val="continue"/>
                  <w:tcBorders>
                    <w:bottom w:val="single" w:color="auto" w:sz="8" w:space="0"/>
                    <w:tl2br w:val="nil"/>
                    <w:tr2bl w:val="nil"/>
                  </w:tcBorders>
                  <w:vAlign w:val="center"/>
                </w:tcPr>
                <w:p>
                  <w:pPr>
                    <w:widowControl/>
                    <w:jc w:val="center"/>
                    <w:rPr>
                      <w:bCs/>
                    </w:rPr>
                  </w:pPr>
                </w:p>
              </w:tc>
              <w:tc>
                <w:tcPr>
                  <w:tcW w:w="455" w:type="pct"/>
                  <w:vMerge w:val="continue"/>
                  <w:tcBorders>
                    <w:bottom w:val="single" w:color="auto" w:sz="8" w:space="0"/>
                    <w:tl2br w:val="nil"/>
                    <w:tr2bl w:val="nil"/>
                  </w:tcBorders>
                  <w:vAlign w:val="center"/>
                </w:tcPr>
                <w:p>
                  <w:pPr>
                    <w:widowControl/>
                    <w:jc w:val="center"/>
                    <w:rPr>
                      <w:bCs/>
                    </w:rPr>
                  </w:pPr>
                </w:p>
              </w:tc>
              <w:tc>
                <w:tcPr>
                  <w:tcW w:w="532" w:type="pct"/>
                  <w:vMerge w:val="continue"/>
                  <w:tcBorders>
                    <w:bottom w:val="single" w:color="auto" w:sz="8" w:space="0"/>
                    <w:tl2br w:val="nil"/>
                    <w:tr2bl w:val="nil"/>
                  </w:tcBorders>
                  <w:vAlign w:val="center"/>
                </w:tcPr>
                <w:p>
                  <w:pPr>
                    <w:widowControl/>
                    <w:jc w:val="center"/>
                    <w:rPr>
                      <w:bCs/>
                    </w:rPr>
                  </w:pPr>
                </w:p>
              </w:tc>
              <w:tc>
                <w:tcPr>
                  <w:tcW w:w="460" w:type="pct"/>
                  <w:vMerge w:val="continue"/>
                  <w:tcBorders>
                    <w:bottom w:val="single" w:color="auto" w:sz="8" w:space="0"/>
                    <w:tl2br w:val="nil"/>
                    <w:tr2bl w:val="nil"/>
                  </w:tcBorders>
                  <w:vAlign w:val="center"/>
                </w:tcPr>
                <w:p>
                  <w:pPr>
                    <w:widowControl/>
                    <w:jc w:val="center"/>
                    <w:rPr>
                      <w:bCs/>
                    </w:rPr>
                  </w:pPr>
                </w:p>
              </w:tc>
              <w:tc>
                <w:tcPr>
                  <w:tcW w:w="958" w:type="pct"/>
                  <w:vMerge w:val="continue"/>
                  <w:tcBorders>
                    <w:bottom w:val="single" w:color="auto" w:sz="8" w:space="0"/>
                    <w:tl2br w:val="nil"/>
                    <w:tr2bl w:val="nil"/>
                  </w:tcBorders>
                  <w:vAlign w:val="center"/>
                </w:tcPr>
                <w:p>
                  <w:pPr>
                    <w:widowControl/>
                    <w:jc w:val="center"/>
                    <w:rPr>
                      <w:bCs/>
                    </w:rPr>
                  </w:pPr>
                </w:p>
              </w:tc>
              <w:tc>
                <w:tcPr>
                  <w:tcW w:w="983" w:type="pct"/>
                  <w:tcBorders>
                    <w:bottom w:val="single" w:color="auto" w:sz="8" w:space="0"/>
                    <w:tl2br w:val="nil"/>
                    <w:tr2bl w:val="nil"/>
                  </w:tcBorders>
                  <w:vAlign w:val="center"/>
                </w:tcPr>
                <w:p>
                  <w:pPr>
                    <w:widowControl/>
                    <w:adjustRightInd w:val="0"/>
                    <w:snapToGrid w:val="0"/>
                    <w:jc w:val="center"/>
                    <w:rPr>
                      <w:b/>
                      <w:kern w:val="0"/>
                      <w:szCs w:val="21"/>
                    </w:rPr>
                  </w:pPr>
                  <w:r>
                    <w:rPr>
                      <w:b/>
                      <w:kern w:val="0"/>
                      <w:szCs w:val="21"/>
                    </w:rPr>
                    <w:t>标准名称</w:t>
                  </w:r>
                </w:p>
              </w:tc>
              <w:tc>
                <w:tcPr>
                  <w:tcW w:w="650" w:type="pct"/>
                  <w:tcBorders>
                    <w:bottom w:val="single" w:color="auto" w:sz="8" w:space="0"/>
                    <w:tl2br w:val="nil"/>
                    <w:tr2bl w:val="nil"/>
                  </w:tcBorders>
                  <w:vAlign w:val="center"/>
                </w:tcPr>
                <w:p>
                  <w:pPr>
                    <w:widowControl/>
                    <w:adjustRightInd w:val="0"/>
                    <w:snapToGrid w:val="0"/>
                    <w:jc w:val="center"/>
                    <w:rPr>
                      <w:b/>
                      <w:kern w:val="0"/>
                      <w:szCs w:val="21"/>
                    </w:rPr>
                  </w:pPr>
                  <w:r>
                    <w:rPr>
                      <w:b/>
                      <w:kern w:val="0"/>
                      <w:szCs w:val="21"/>
                    </w:rPr>
                    <w:t>浓度</w:t>
                  </w:r>
                  <w:r>
                    <w:rPr>
                      <w:b/>
                      <w:szCs w:val="21"/>
                    </w:rPr>
                    <w:t>（mg/m</w:t>
                  </w:r>
                  <w:r>
                    <w:rPr>
                      <w:b/>
                      <w:szCs w:val="21"/>
                      <w:vertAlign w:val="superscript"/>
                    </w:rPr>
                    <w:t>3</w:t>
                  </w:r>
                  <w:r>
                    <w:rPr>
                      <w:b/>
                      <w:szCs w:val="21"/>
                    </w:rPr>
                    <w:t>）</w:t>
                  </w:r>
                </w:p>
              </w:tc>
              <w:tc>
                <w:tcPr>
                  <w:tcW w:w="686" w:type="pct"/>
                  <w:vMerge w:val="continue"/>
                  <w:tcBorders>
                    <w:bottom w:val="single" w:color="auto" w:sz="8" w:space="0"/>
                    <w:tl2br w:val="nil"/>
                    <w:tr2bl w:val="nil"/>
                  </w:tcBorders>
                  <w:vAlign w:val="center"/>
                </w:tcPr>
                <w:p>
                  <w:pPr>
                    <w:widowControl/>
                    <w:jc w:val="center"/>
                    <w:rPr>
                      <w:bCs/>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3" w:type="pct"/>
                  <w:tcBorders>
                    <w:top w:val="single" w:color="auto" w:sz="8" w:space="0"/>
                  </w:tcBorders>
                  <w:vAlign w:val="center"/>
                </w:tcPr>
                <w:p>
                  <w:pPr>
                    <w:widowControl/>
                    <w:jc w:val="center"/>
                    <w:rPr>
                      <w:bCs/>
                    </w:rPr>
                  </w:pPr>
                  <w:r>
                    <w:rPr>
                      <w:rFonts w:hint="eastAsia"/>
                      <w:bCs/>
                      <w:kern w:val="0"/>
                      <w:szCs w:val="21"/>
                    </w:rPr>
                    <w:t>1</w:t>
                  </w:r>
                </w:p>
              </w:tc>
              <w:tc>
                <w:tcPr>
                  <w:tcW w:w="455" w:type="pct"/>
                  <w:tcBorders>
                    <w:top w:val="single" w:color="auto" w:sz="8" w:space="0"/>
                  </w:tcBorders>
                  <w:vAlign w:val="center"/>
                </w:tcPr>
                <w:p>
                  <w:pPr>
                    <w:widowControl/>
                    <w:jc w:val="center"/>
                    <w:rPr>
                      <w:bCs/>
                    </w:rPr>
                  </w:pPr>
                  <w:r>
                    <w:rPr>
                      <w:bCs/>
                      <w:kern w:val="0"/>
                      <w:szCs w:val="21"/>
                    </w:rPr>
                    <w:t>排气筒</w:t>
                  </w:r>
                  <w:r>
                    <w:rPr>
                      <w:rFonts w:hint="eastAsia"/>
                      <w:bCs/>
                      <w:kern w:val="0"/>
                      <w:szCs w:val="21"/>
                    </w:rPr>
                    <w:t>切割、焊接工序</w:t>
                  </w:r>
                </w:p>
              </w:tc>
              <w:tc>
                <w:tcPr>
                  <w:tcW w:w="532" w:type="pct"/>
                  <w:tcBorders>
                    <w:top w:val="single" w:color="auto" w:sz="8" w:space="0"/>
                  </w:tcBorders>
                  <w:vAlign w:val="center"/>
                </w:tcPr>
                <w:p>
                  <w:pPr>
                    <w:widowControl/>
                    <w:jc w:val="center"/>
                    <w:rPr>
                      <w:bCs/>
                    </w:rPr>
                  </w:pPr>
                  <w:r>
                    <w:rPr>
                      <w:rFonts w:hint="eastAsia"/>
                      <w:bCs/>
                      <w:kern w:val="0"/>
                      <w:szCs w:val="21"/>
                    </w:rPr>
                    <w:t>切割、焊接工序</w:t>
                  </w:r>
                </w:p>
              </w:tc>
              <w:tc>
                <w:tcPr>
                  <w:tcW w:w="460" w:type="pct"/>
                  <w:tcBorders>
                    <w:top w:val="single" w:color="auto" w:sz="8" w:space="0"/>
                  </w:tcBorders>
                  <w:vAlign w:val="center"/>
                </w:tcPr>
                <w:p>
                  <w:pPr>
                    <w:widowControl/>
                    <w:jc w:val="center"/>
                    <w:rPr>
                      <w:bCs/>
                    </w:rPr>
                  </w:pPr>
                  <w:r>
                    <w:rPr>
                      <w:bCs/>
                      <w:szCs w:val="21"/>
                    </w:rPr>
                    <w:t>颗粒物</w:t>
                  </w:r>
                </w:p>
              </w:tc>
              <w:tc>
                <w:tcPr>
                  <w:tcW w:w="958" w:type="pct"/>
                  <w:tcBorders>
                    <w:top w:val="single" w:color="auto" w:sz="8" w:space="0"/>
                  </w:tcBorders>
                  <w:vAlign w:val="center"/>
                </w:tcPr>
                <w:p>
                  <w:pPr>
                    <w:adjustRightInd w:val="0"/>
                    <w:snapToGrid w:val="0"/>
                    <w:jc w:val="center"/>
                    <w:rPr>
                      <w:bCs/>
                    </w:rPr>
                  </w:pPr>
                  <w:r>
                    <w:rPr>
                      <w:rFonts w:hint="eastAsia"/>
                      <w:bCs/>
                      <w:szCs w:val="21"/>
                    </w:rPr>
                    <w:t>切割、焊接工序采用集气罩收集，收集后废气采用1台袋式除尘器处理，处理后经1根15m高排气筒排放。</w:t>
                  </w:r>
                </w:p>
              </w:tc>
              <w:tc>
                <w:tcPr>
                  <w:tcW w:w="983" w:type="pct"/>
                  <w:tcBorders>
                    <w:top w:val="single" w:color="auto" w:sz="8" w:space="0"/>
                  </w:tcBorders>
                  <w:vAlign w:val="center"/>
                </w:tcPr>
                <w:p>
                  <w:pPr>
                    <w:adjustRightInd w:val="0"/>
                    <w:snapToGrid w:val="0"/>
                    <w:jc w:val="center"/>
                    <w:rPr>
                      <w:bCs/>
                      <w:kern w:val="0"/>
                      <w:szCs w:val="21"/>
                    </w:rPr>
                  </w:pPr>
                  <w:r>
                    <w:rPr>
                      <w:bCs/>
                      <w:kern w:val="0"/>
                      <w:szCs w:val="21"/>
                    </w:rPr>
                    <w:t>《大气污染物综合排放标准》（GB16297-1996）</w:t>
                  </w:r>
                </w:p>
              </w:tc>
              <w:tc>
                <w:tcPr>
                  <w:tcW w:w="650" w:type="pct"/>
                  <w:tcBorders>
                    <w:top w:val="single" w:color="auto" w:sz="8" w:space="0"/>
                  </w:tcBorders>
                  <w:vAlign w:val="center"/>
                </w:tcPr>
                <w:p>
                  <w:pPr>
                    <w:adjustRightInd w:val="0"/>
                    <w:snapToGrid w:val="0"/>
                    <w:jc w:val="center"/>
                    <w:rPr>
                      <w:bCs/>
                      <w:kern w:val="0"/>
                      <w:szCs w:val="21"/>
                    </w:rPr>
                  </w:pPr>
                  <w:r>
                    <w:rPr>
                      <w:rFonts w:hint="eastAsia"/>
                      <w:bCs/>
                      <w:szCs w:val="21"/>
                    </w:rPr>
                    <w:t>1.0</w:t>
                  </w:r>
                </w:p>
              </w:tc>
              <w:tc>
                <w:tcPr>
                  <w:tcW w:w="686" w:type="pct"/>
                  <w:tcBorders>
                    <w:top w:val="single" w:color="auto" w:sz="8" w:space="0"/>
                  </w:tcBorders>
                  <w:vAlign w:val="center"/>
                </w:tcPr>
                <w:p>
                  <w:pPr>
                    <w:adjustRightInd w:val="0"/>
                    <w:snapToGrid w:val="0"/>
                    <w:jc w:val="center"/>
                    <w:rPr>
                      <w:bCs/>
                      <w:kern w:val="0"/>
                      <w:szCs w:val="21"/>
                    </w:rPr>
                  </w:pPr>
                  <w:r>
                    <w:rPr>
                      <w:rFonts w:hint="eastAsia"/>
                      <w:bCs/>
                      <w:szCs w:val="21"/>
                    </w:rPr>
                    <w:t>0.0023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21" w:type="pct"/>
                  <w:gridSpan w:val="4"/>
                  <w:tcBorders>
                    <w:tl2br w:val="nil"/>
                    <w:tr2bl w:val="nil"/>
                  </w:tcBorders>
                  <w:vAlign w:val="center"/>
                </w:tcPr>
                <w:p>
                  <w:pPr>
                    <w:widowControl/>
                    <w:jc w:val="center"/>
                    <w:rPr>
                      <w:bCs/>
                      <w:kern w:val="0"/>
                      <w:szCs w:val="21"/>
                    </w:rPr>
                  </w:pPr>
                  <w:r>
                    <w:rPr>
                      <w:bCs/>
                      <w:kern w:val="0"/>
                      <w:szCs w:val="21"/>
                    </w:rPr>
                    <w:t>无组织排放合计</w:t>
                  </w:r>
                </w:p>
              </w:tc>
              <w:tc>
                <w:tcPr>
                  <w:tcW w:w="1941" w:type="pct"/>
                  <w:gridSpan w:val="2"/>
                  <w:tcBorders>
                    <w:tl2br w:val="nil"/>
                    <w:tr2bl w:val="nil"/>
                  </w:tcBorders>
                  <w:vAlign w:val="center"/>
                </w:tcPr>
                <w:p>
                  <w:pPr>
                    <w:adjustRightInd w:val="0"/>
                    <w:snapToGrid w:val="0"/>
                    <w:jc w:val="center"/>
                    <w:rPr>
                      <w:bCs/>
                      <w:szCs w:val="21"/>
                    </w:rPr>
                  </w:pPr>
                  <w:r>
                    <w:rPr>
                      <w:bCs/>
                      <w:szCs w:val="21"/>
                    </w:rPr>
                    <w:t>颗粒物</w:t>
                  </w:r>
                </w:p>
              </w:tc>
              <w:tc>
                <w:tcPr>
                  <w:tcW w:w="1336" w:type="pct"/>
                  <w:gridSpan w:val="2"/>
                  <w:tcBorders>
                    <w:tl2br w:val="nil"/>
                    <w:tr2bl w:val="nil"/>
                  </w:tcBorders>
                  <w:vAlign w:val="center"/>
                </w:tcPr>
                <w:p>
                  <w:pPr>
                    <w:adjustRightInd w:val="0"/>
                    <w:snapToGrid w:val="0"/>
                    <w:jc w:val="center"/>
                    <w:rPr>
                      <w:bCs/>
                      <w:kern w:val="0"/>
                      <w:szCs w:val="21"/>
                    </w:rPr>
                  </w:pPr>
                  <w:r>
                    <w:rPr>
                      <w:rFonts w:hint="eastAsia"/>
                      <w:bCs/>
                      <w:szCs w:val="21"/>
                    </w:rPr>
                    <w:t>0.0023</w:t>
                  </w:r>
                </w:p>
              </w:tc>
            </w:tr>
          </w:tbl>
          <w:p>
            <w:pPr>
              <w:adjustRightInd w:val="0"/>
              <w:snapToGrid w:val="0"/>
              <w:spacing w:line="440" w:lineRule="exact"/>
              <w:ind w:firstLine="480" w:firstLineChars="200"/>
              <w:rPr>
                <w:rFonts w:eastAsia="黑体"/>
                <w:sz w:val="24"/>
                <w:lang w:val="pt-BR"/>
              </w:rPr>
            </w:pPr>
            <w:r>
              <w:rPr>
                <w:rFonts w:eastAsia="黑体"/>
                <w:sz w:val="24"/>
                <w:lang w:val="pt-BR"/>
              </w:rPr>
              <w:t>表</w:t>
            </w:r>
            <w:r>
              <w:rPr>
                <w:rFonts w:hint="eastAsia" w:eastAsia="黑体"/>
                <w:sz w:val="24"/>
              </w:rPr>
              <w:t xml:space="preserve">32                  </w:t>
            </w:r>
            <w:r>
              <w:rPr>
                <w:rFonts w:eastAsia="黑体"/>
                <w:sz w:val="24"/>
                <w:lang w:val="pt-BR"/>
              </w:rPr>
              <w:t>大气污染物年排放量核算表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106"/>
              <w:gridCol w:w="3106"/>
              <w:gridCol w:w="310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67" w:type="pct"/>
                  <w:tcBorders>
                    <w:bottom w:val="single" w:color="auto" w:sz="8" w:space="0"/>
                  </w:tcBorders>
                  <w:vAlign w:val="center"/>
                </w:tcPr>
                <w:p>
                  <w:pPr>
                    <w:widowControl/>
                    <w:jc w:val="center"/>
                    <w:rPr>
                      <w:b/>
                      <w:kern w:val="0"/>
                      <w:szCs w:val="21"/>
                    </w:rPr>
                  </w:pPr>
                  <w:r>
                    <w:rPr>
                      <w:b/>
                      <w:kern w:val="0"/>
                      <w:szCs w:val="21"/>
                    </w:rPr>
                    <w:t>序号</w:t>
                  </w:r>
                </w:p>
              </w:tc>
              <w:tc>
                <w:tcPr>
                  <w:tcW w:w="1667" w:type="pct"/>
                  <w:tcBorders>
                    <w:bottom w:val="single" w:color="auto" w:sz="8" w:space="0"/>
                  </w:tcBorders>
                  <w:vAlign w:val="center"/>
                </w:tcPr>
                <w:p>
                  <w:pPr>
                    <w:widowControl/>
                    <w:jc w:val="center"/>
                    <w:rPr>
                      <w:b/>
                      <w:kern w:val="0"/>
                      <w:szCs w:val="21"/>
                    </w:rPr>
                  </w:pPr>
                  <w:r>
                    <w:rPr>
                      <w:b/>
                      <w:kern w:val="0"/>
                      <w:szCs w:val="21"/>
                    </w:rPr>
                    <w:t>污染物</w:t>
                  </w:r>
                </w:p>
              </w:tc>
              <w:tc>
                <w:tcPr>
                  <w:tcW w:w="1664" w:type="pct"/>
                  <w:tcBorders>
                    <w:bottom w:val="single" w:color="auto" w:sz="8" w:space="0"/>
                  </w:tcBorders>
                  <w:vAlign w:val="center"/>
                </w:tcPr>
                <w:p>
                  <w:pPr>
                    <w:widowControl/>
                    <w:jc w:val="center"/>
                    <w:rPr>
                      <w:b/>
                      <w:kern w:val="0"/>
                      <w:szCs w:val="21"/>
                    </w:rPr>
                  </w:pPr>
                  <w:r>
                    <w:rPr>
                      <w:b/>
                      <w:kern w:val="0"/>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67" w:type="pct"/>
                  <w:tcBorders>
                    <w:top w:val="single" w:color="auto" w:sz="8" w:space="0"/>
                    <w:tl2br w:val="nil"/>
                    <w:tr2bl w:val="nil"/>
                  </w:tcBorders>
                  <w:vAlign w:val="center"/>
                </w:tcPr>
                <w:p>
                  <w:pPr>
                    <w:widowControl/>
                    <w:jc w:val="center"/>
                    <w:rPr>
                      <w:bCs/>
                      <w:kern w:val="0"/>
                      <w:szCs w:val="21"/>
                    </w:rPr>
                  </w:pPr>
                  <w:r>
                    <w:rPr>
                      <w:bCs/>
                      <w:kern w:val="0"/>
                      <w:szCs w:val="21"/>
                    </w:rPr>
                    <w:t>1</w:t>
                  </w:r>
                  <w:r>
                    <w:rPr>
                      <w:rFonts w:hint="eastAsia"/>
                      <w:bCs/>
                      <w:szCs w:val="21"/>
                    </w:rPr>
                    <w:t>（</w:t>
                  </w:r>
                  <w:r>
                    <w:rPr>
                      <w:rFonts w:hint="eastAsia"/>
                      <w:bCs/>
                      <w:kern w:val="0"/>
                      <w:szCs w:val="21"/>
                    </w:rPr>
                    <w:t>全厂</w:t>
                  </w:r>
                  <w:r>
                    <w:rPr>
                      <w:rFonts w:hint="eastAsia"/>
                      <w:bCs/>
                      <w:szCs w:val="21"/>
                    </w:rPr>
                    <w:t>）</w:t>
                  </w:r>
                </w:p>
              </w:tc>
              <w:tc>
                <w:tcPr>
                  <w:tcW w:w="1667" w:type="pct"/>
                  <w:tcBorders>
                    <w:top w:val="single" w:color="auto" w:sz="8" w:space="0"/>
                    <w:tl2br w:val="nil"/>
                    <w:tr2bl w:val="nil"/>
                  </w:tcBorders>
                  <w:vAlign w:val="center"/>
                </w:tcPr>
                <w:p>
                  <w:pPr>
                    <w:adjustRightInd w:val="0"/>
                    <w:snapToGrid w:val="0"/>
                    <w:jc w:val="center"/>
                    <w:rPr>
                      <w:bCs/>
                      <w:kern w:val="0"/>
                      <w:szCs w:val="21"/>
                    </w:rPr>
                  </w:pPr>
                  <w:r>
                    <w:rPr>
                      <w:bCs/>
                      <w:szCs w:val="21"/>
                    </w:rPr>
                    <w:t>颗粒物</w:t>
                  </w:r>
                </w:p>
              </w:tc>
              <w:tc>
                <w:tcPr>
                  <w:tcW w:w="1664" w:type="pct"/>
                  <w:tcBorders>
                    <w:top w:val="single" w:color="auto" w:sz="8" w:space="0"/>
                    <w:tl2br w:val="nil"/>
                    <w:tr2bl w:val="nil"/>
                  </w:tcBorders>
                  <w:vAlign w:val="center"/>
                </w:tcPr>
                <w:p>
                  <w:pPr>
                    <w:widowControl/>
                    <w:jc w:val="center"/>
                    <w:rPr>
                      <w:bCs/>
                      <w:kern w:val="0"/>
                      <w:szCs w:val="21"/>
                    </w:rPr>
                  </w:pPr>
                  <w:r>
                    <w:rPr>
                      <w:rFonts w:hint="eastAsia"/>
                      <w:bCs/>
                      <w:kern w:val="0"/>
                      <w:szCs w:val="21"/>
                    </w:rPr>
                    <w:t>0.0032</w:t>
                  </w:r>
                </w:p>
              </w:tc>
            </w:tr>
          </w:tbl>
          <w:p>
            <w:pPr>
              <w:autoSpaceDE w:val="0"/>
              <w:autoSpaceDN w:val="0"/>
              <w:adjustRightInd w:val="0"/>
              <w:spacing w:line="440" w:lineRule="exact"/>
              <w:ind w:firstLine="480" w:firstLineChars="200"/>
              <w:jc w:val="left"/>
              <w:rPr>
                <w:sz w:val="24"/>
              </w:rPr>
            </w:pPr>
            <w:r>
              <w:rPr>
                <w:rFonts w:hint="eastAsia"/>
                <w:sz w:val="24"/>
              </w:rPr>
              <w:t>项目大气环境自查表见附件5。</w:t>
            </w:r>
          </w:p>
          <w:p>
            <w:pPr>
              <w:pStyle w:val="14"/>
              <w:kinsoku w:val="0"/>
              <w:overflowPunct w:val="0"/>
              <w:snapToGrid w:val="0"/>
              <w:spacing w:after="0" w:line="440" w:lineRule="exact"/>
              <w:ind w:firstLine="482" w:firstLineChars="200"/>
              <w:rPr>
                <w:b/>
                <w:bCs/>
                <w:color w:val="000000"/>
                <w:sz w:val="24"/>
              </w:rPr>
            </w:pPr>
            <w:r>
              <w:rPr>
                <w:rFonts w:hint="eastAsia"/>
                <w:b/>
                <w:bCs/>
                <w:color w:val="000000"/>
                <w:sz w:val="24"/>
              </w:rPr>
              <w:t>4、 防护距离</w:t>
            </w:r>
          </w:p>
          <w:p>
            <w:pPr>
              <w:adjustRightInd w:val="0"/>
              <w:snapToGrid w:val="0"/>
              <w:spacing w:line="440" w:lineRule="exact"/>
              <w:ind w:firstLine="480" w:firstLineChars="200"/>
              <w:rPr>
                <w:sz w:val="24"/>
              </w:rPr>
            </w:pPr>
            <w:r>
              <w:rPr>
                <w:rFonts w:hint="eastAsia"/>
                <w:sz w:val="24"/>
              </w:rPr>
              <w:t>（1）</w:t>
            </w:r>
            <w:r>
              <w:rPr>
                <w:sz w:val="24"/>
              </w:rPr>
              <w:t>大气环境防护距离</w:t>
            </w:r>
          </w:p>
          <w:p>
            <w:pPr>
              <w:adjustRightInd w:val="0"/>
              <w:snapToGrid w:val="0"/>
              <w:spacing w:line="440" w:lineRule="exact"/>
              <w:ind w:firstLine="480" w:firstLineChars="200"/>
              <w:rPr>
                <w:snapToGrid w:val="0"/>
                <w:color w:val="000000"/>
                <w:kern w:val="0"/>
                <w:sz w:val="24"/>
              </w:rPr>
            </w:pPr>
            <w:r>
              <w:rPr>
                <w:sz w:val="24"/>
              </w:rPr>
              <w:t>根据《环境影响评价技术导则 大气环境》（HJ2.2-2018）中的相关要求，根据</w:t>
            </w:r>
            <w:r>
              <w:rPr>
                <w:snapToGrid w:val="0"/>
                <w:kern w:val="0"/>
                <w:sz w:val="24"/>
              </w:rPr>
              <w:t>估算模型AERSCREEN预测</w:t>
            </w:r>
            <w:r>
              <w:rPr>
                <w:sz w:val="24"/>
              </w:rPr>
              <w:t>本项目无组织最大落地浓度为</w:t>
            </w:r>
            <w:r>
              <w:rPr>
                <w:rFonts w:hint="eastAsia"/>
                <w:snapToGrid w:val="0"/>
                <w:kern w:val="0"/>
                <w:sz w:val="24"/>
              </w:rPr>
              <w:t>3.752</w:t>
            </w:r>
            <w:r>
              <w:rPr>
                <w:sz w:val="24"/>
              </w:rPr>
              <w:t>μg/m</w:t>
            </w:r>
            <w:r>
              <w:rPr>
                <w:sz w:val="24"/>
                <w:vertAlign w:val="superscript"/>
              </w:rPr>
              <w:t>3</w:t>
            </w:r>
            <w:r>
              <w:rPr>
                <w:sz w:val="24"/>
              </w:rPr>
              <w:t>，</w:t>
            </w:r>
            <w:r>
              <w:rPr>
                <w:snapToGrid w:val="0"/>
                <w:sz w:val="24"/>
              </w:rPr>
              <w:t>粉尘最大落地浓度远小于《</w:t>
            </w:r>
            <w:r>
              <w:rPr>
                <w:sz w:val="24"/>
              </w:rPr>
              <w:t>环境空气质量标准</w:t>
            </w:r>
            <w:r>
              <w:rPr>
                <w:snapToGrid w:val="0"/>
                <w:sz w:val="24"/>
              </w:rPr>
              <w:t>》（</w:t>
            </w:r>
            <w:r>
              <w:rPr>
                <w:sz w:val="24"/>
              </w:rPr>
              <w:t>GB3095-2012</w:t>
            </w:r>
            <w:r>
              <w:rPr>
                <w:snapToGrid w:val="0"/>
                <w:sz w:val="24"/>
              </w:rPr>
              <w:t>）</w:t>
            </w:r>
            <w:r>
              <w:rPr>
                <w:rFonts w:hint="eastAsia"/>
                <w:snapToGrid w:val="0"/>
                <w:color w:val="000000"/>
                <w:sz w:val="24"/>
              </w:rPr>
              <w:t>及期2018年修改单</w:t>
            </w:r>
            <w:r>
              <w:rPr>
                <w:sz w:val="24"/>
              </w:rPr>
              <w:t>限值要求（450</w:t>
            </w:r>
            <w:r>
              <w:rPr>
                <w:bCs/>
                <w:color w:val="000000"/>
                <w:sz w:val="24"/>
              </w:rPr>
              <w:t>µ</w:t>
            </w:r>
            <w:r>
              <w:rPr>
                <w:sz w:val="24"/>
              </w:rPr>
              <w:t>g/m</w:t>
            </w:r>
            <w:r>
              <w:rPr>
                <w:sz w:val="24"/>
                <w:vertAlign w:val="superscript"/>
              </w:rPr>
              <w:t>3</w:t>
            </w:r>
            <w:r>
              <w:rPr>
                <w:sz w:val="24"/>
              </w:rPr>
              <w:t>）</w:t>
            </w:r>
            <w:r>
              <w:rPr>
                <w:color w:val="000000"/>
                <w:sz w:val="24"/>
              </w:rPr>
              <w:t>，因此无需设置大气环境防护距离。</w:t>
            </w:r>
          </w:p>
          <w:p>
            <w:pPr>
              <w:adjustRightInd w:val="0"/>
              <w:snapToGrid w:val="0"/>
              <w:spacing w:line="440" w:lineRule="exact"/>
              <w:ind w:firstLine="480" w:firstLineChars="200"/>
              <w:rPr>
                <w:sz w:val="24"/>
              </w:rPr>
            </w:pPr>
            <w:r>
              <w:rPr>
                <w:rFonts w:hint="eastAsia"/>
                <w:sz w:val="24"/>
              </w:rPr>
              <w:t>（2）</w:t>
            </w:r>
            <w:r>
              <w:rPr>
                <w:sz w:val="24"/>
              </w:rPr>
              <w:t>卫生防护距离</w:t>
            </w:r>
          </w:p>
          <w:p>
            <w:pPr>
              <w:adjustRightInd w:val="0"/>
              <w:snapToGrid w:val="0"/>
              <w:spacing w:line="440" w:lineRule="exact"/>
              <w:ind w:firstLine="480" w:firstLineChars="200"/>
              <w:rPr>
                <w:sz w:val="24"/>
              </w:rPr>
            </w:pPr>
            <w:r>
              <w:rPr>
                <w:sz w:val="24"/>
              </w:rPr>
              <w:t>依据《制定地方大气污染物排放标准的技术方法》(GB/T 13201-91)的规定，无组织排放源所在的生产单元与居住区之间应设置卫生防护距离，其计算公式为：</w:t>
            </w:r>
          </w:p>
          <w:p>
            <w:pPr>
              <w:adjustRightInd w:val="0"/>
              <w:snapToGrid w:val="0"/>
              <w:spacing w:line="360" w:lineRule="auto"/>
              <w:ind w:firstLine="480" w:firstLineChars="200"/>
              <w:jc w:val="center"/>
              <w:rPr>
                <w:sz w:val="24"/>
              </w:rPr>
            </w:pPr>
            <w:r>
              <w:rPr>
                <w:position w:val="-30"/>
                <w:sz w:val="24"/>
              </w:rPr>
              <w:drawing>
                <wp:anchor distT="0" distB="0" distL="114300" distR="114300" simplePos="0" relativeHeight="251639808" behindDoc="0" locked="0" layoutInCell="1" allowOverlap="1">
                  <wp:simplePos x="0" y="0"/>
                  <wp:positionH relativeFrom="column">
                    <wp:posOffset>1390015</wp:posOffset>
                  </wp:positionH>
                  <wp:positionV relativeFrom="paragraph">
                    <wp:posOffset>0</wp:posOffset>
                  </wp:positionV>
                  <wp:extent cx="2693670" cy="439420"/>
                  <wp:effectExtent l="0" t="0" r="0" b="17780"/>
                  <wp:wrapSquare wrapText="bothSides"/>
                  <wp:docPr id="27" name="对象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对象 81"/>
                          <pic:cNvPicPr>
                            <a:picLocks noChangeAspect="1"/>
                          </pic:cNvPicPr>
                        </pic:nvPicPr>
                        <pic:blipFill>
                          <a:blip r:embed="rId18" cstate="print"/>
                          <a:stretch>
                            <a:fillRect/>
                          </a:stretch>
                        </pic:blipFill>
                        <pic:spPr>
                          <a:xfrm>
                            <a:off x="0" y="0"/>
                            <a:ext cx="2693670" cy="439420"/>
                          </a:xfrm>
                          <a:prstGeom prst="rect">
                            <a:avLst/>
                          </a:prstGeom>
                          <a:noFill/>
                          <a:ln>
                            <a:noFill/>
                          </a:ln>
                        </pic:spPr>
                      </pic:pic>
                    </a:graphicData>
                  </a:graphic>
                </wp:anchor>
              </w:drawing>
            </w:r>
          </w:p>
          <w:p>
            <w:pPr>
              <w:adjustRightInd w:val="0"/>
              <w:snapToGrid w:val="0"/>
              <w:spacing w:line="440" w:lineRule="exact"/>
              <w:ind w:firstLine="480" w:firstLineChars="200"/>
              <w:rPr>
                <w:sz w:val="24"/>
              </w:rPr>
            </w:pPr>
            <w:r>
              <w:rPr>
                <w:sz w:val="24"/>
              </w:rPr>
              <w:t>式中：</w:t>
            </w:r>
          </w:p>
          <w:p>
            <w:pPr>
              <w:adjustRightInd w:val="0"/>
              <w:snapToGrid w:val="0"/>
              <w:spacing w:line="440" w:lineRule="exact"/>
              <w:ind w:firstLine="480" w:firstLineChars="200"/>
              <w:rPr>
                <w:sz w:val="24"/>
              </w:rPr>
            </w:pPr>
            <w:r>
              <w:rPr>
                <w:sz w:val="24"/>
              </w:rPr>
              <w:t>Cm—标准浓度限值，mg/m</w:t>
            </w:r>
            <w:r>
              <w:rPr>
                <w:sz w:val="24"/>
                <w:vertAlign w:val="superscript"/>
              </w:rPr>
              <w:t>3</w:t>
            </w:r>
            <w:r>
              <w:rPr>
                <w:sz w:val="24"/>
              </w:rPr>
              <w:t>；</w:t>
            </w:r>
          </w:p>
          <w:p>
            <w:pPr>
              <w:adjustRightInd w:val="0"/>
              <w:snapToGrid w:val="0"/>
              <w:spacing w:line="440" w:lineRule="exact"/>
              <w:ind w:firstLine="480" w:firstLineChars="200"/>
              <w:rPr>
                <w:sz w:val="24"/>
              </w:rPr>
            </w:pPr>
            <w:r>
              <w:rPr>
                <w:sz w:val="24"/>
              </w:rPr>
              <w:t>L—工业企业所需卫生防护距离，m；</w:t>
            </w:r>
          </w:p>
          <w:p>
            <w:pPr>
              <w:adjustRightInd w:val="0"/>
              <w:snapToGrid w:val="0"/>
              <w:spacing w:line="440" w:lineRule="exact"/>
              <w:ind w:firstLine="480" w:firstLineChars="200"/>
              <w:rPr>
                <w:sz w:val="24"/>
              </w:rPr>
            </w:pPr>
            <w:r>
              <w:rPr>
                <w:sz w:val="24"/>
              </w:rPr>
              <w:t>r—有害气体无组织排放源所在生产单元的等效半径，m。根据该生产单元占地面积S(m</w:t>
            </w:r>
            <w:r>
              <w:rPr>
                <w:sz w:val="24"/>
                <w:vertAlign w:val="superscript"/>
              </w:rPr>
              <w:t>2</w:t>
            </w:r>
            <w:r>
              <w:rPr>
                <w:sz w:val="24"/>
              </w:rPr>
              <w:t>)计算，r=(S/π)</w:t>
            </w:r>
            <w:r>
              <w:rPr>
                <w:sz w:val="24"/>
                <w:vertAlign w:val="superscript"/>
              </w:rPr>
              <w:t>0.5</w:t>
            </w:r>
            <w:r>
              <w:rPr>
                <w:sz w:val="24"/>
              </w:rPr>
              <w:t>；</w:t>
            </w:r>
          </w:p>
          <w:p>
            <w:pPr>
              <w:adjustRightInd w:val="0"/>
              <w:snapToGrid w:val="0"/>
              <w:spacing w:line="440" w:lineRule="exact"/>
              <w:ind w:firstLine="480" w:firstLineChars="200"/>
              <w:rPr>
                <w:sz w:val="24"/>
              </w:rPr>
            </w:pPr>
            <w:r>
              <w:rPr>
                <w:sz w:val="24"/>
              </w:rPr>
              <w:t>A，B，C，D—卫生防护距离计算系数，无因次，根据工业企业所在地区近五年平均风速及工业企业大气污染源构成类别确定；</w:t>
            </w:r>
          </w:p>
          <w:p>
            <w:pPr>
              <w:adjustRightInd w:val="0"/>
              <w:snapToGrid w:val="0"/>
              <w:spacing w:line="440" w:lineRule="exact"/>
              <w:ind w:firstLine="480" w:firstLineChars="200"/>
              <w:rPr>
                <w:sz w:val="24"/>
              </w:rPr>
            </w:pPr>
            <w:r>
              <w:rPr>
                <w:sz w:val="24"/>
              </w:rPr>
              <w:t>Qc—工业企业有害气体无组织排放量可以达到的控制水平，kg/h。</w:t>
            </w:r>
          </w:p>
          <w:p>
            <w:pPr>
              <w:adjustRightInd w:val="0"/>
              <w:snapToGrid w:val="0"/>
              <w:spacing w:line="440" w:lineRule="exact"/>
              <w:ind w:firstLine="480" w:firstLineChars="200"/>
              <w:rPr>
                <w:sz w:val="24"/>
              </w:rPr>
            </w:pPr>
            <w:r>
              <w:rPr>
                <w:sz w:val="24"/>
              </w:rPr>
              <w:t>无组织排放卫生防护距离计算结果见</w:t>
            </w:r>
            <w:r>
              <w:rPr>
                <w:rFonts w:hint="eastAsia"/>
                <w:sz w:val="24"/>
              </w:rPr>
              <w:t>下</w:t>
            </w:r>
            <w:r>
              <w:rPr>
                <w:sz w:val="24"/>
              </w:rPr>
              <w:t>表。</w:t>
            </w:r>
          </w:p>
          <w:p>
            <w:pPr>
              <w:adjustRightInd w:val="0"/>
              <w:snapToGrid w:val="0"/>
              <w:spacing w:line="440" w:lineRule="exact"/>
              <w:ind w:firstLine="480" w:firstLineChars="200"/>
              <w:rPr>
                <w:rFonts w:eastAsia="黑体"/>
                <w:sz w:val="24"/>
                <w:lang w:val="pt-BR"/>
              </w:rPr>
            </w:pPr>
            <w:r>
              <w:rPr>
                <w:rFonts w:eastAsia="黑体"/>
                <w:sz w:val="24"/>
                <w:lang w:val="pt-BR"/>
              </w:rPr>
              <w:t>表3</w:t>
            </w:r>
            <w:r>
              <w:rPr>
                <w:rFonts w:hint="eastAsia" w:eastAsia="黑体"/>
                <w:sz w:val="24"/>
              </w:rPr>
              <w:t>3</w:t>
            </w:r>
            <w:r>
              <w:rPr>
                <w:rFonts w:eastAsia="黑体"/>
                <w:sz w:val="24"/>
                <w:lang w:val="pt-BR"/>
              </w:rPr>
              <w:t xml:space="preserve">            </w:t>
            </w:r>
            <w:r>
              <w:rPr>
                <w:rFonts w:hint="eastAsia" w:eastAsia="黑体"/>
                <w:sz w:val="24"/>
              </w:rPr>
              <w:t xml:space="preserve">   </w:t>
            </w:r>
            <w:r>
              <w:rPr>
                <w:rFonts w:eastAsia="黑体"/>
                <w:sz w:val="24"/>
                <w:lang w:val="pt-BR"/>
              </w:rPr>
              <w:t>卫生防护距离计算参数及结果</w:t>
            </w:r>
          </w:p>
          <w:tbl>
            <w:tblPr>
              <w:tblStyle w:val="30"/>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68"/>
              <w:gridCol w:w="1180"/>
              <w:gridCol w:w="595"/>
              <w:gridCol w:w="593"/>
              <w:gridCol w:w="580"/>
              <w:gridCol w:w="455"/>
              <w:gridCol w:w="585"/>
              <w:gridCol w:w="904"/>
              <w:gridCol w:w="1098"/>
              <w:gridCol w:w="1132"/>
              <w:gridCol w:w="1122"/>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73" w:type="pct"/>
                  <w:vMerge w:val="restart"/>
                  <w:tcBorders>
                    <w:tl2br w:val="nil"/>
                    <w:tr2bl w:val="nil"/>
                  </w:tcBorders>
                  <w:vAlign w:val="center"/>
                </w:tcPr>
                <w:p>
                  <w:pPr>
                    <w:jc w:val="center"/>
                    <w:rPr>
                      <w:b/>
                      <w:bCs/>
                      <w:szCs w:val="21"/>
                    </w:rPr>
                  </w:pPr>
                  <w:r>
                    <w:rPr>
                      <w:b/>
                      <w:bCs/>
                      <w:szCs w:val="21"/>
                    </w:rPr>
                    <w:t>排放源</w:t>
                  </w:r>
                </w:p>
              </w:tc>
              <w:tc>
                <w:tcPr>
                  <w:tcW w:w="633" w:type="pct"/>
                  <w:vMerge w:val="restart"/>
                  <w:tcBorders>
                    <w:tl2br w:val="nil"/>
                    <w:tr2bl w:val="nil"/>
                  </w:tcBorders>
                  <w:vAlign w:val="center"/>
                </w:tcPr>
                <w:p>
                  <w:pPr>
                    <w:jc w:val="center"/>
                    <w:rPr>
                      <w:b/>
                      <w:bCs/>
                      <w:szCs w:val="21"/>
                    </w:rPr>
                  </w:pPr>
                  <w:r>
                    <w:rPr>
                      <w:b/>
                      <w:bCs/>
                      <w:szCs w:val="21"/>
                    </w:rPr>
                    <w:t>污染</w:t>
                  </w:r>
                </w:p>
                <w:p>
                  <w:pPr>
                    <w:jc w:val="center"/>
                    <w:rPr>
                      <w:b/>
                      <w:bCs/>
                      <w:szCs w:val="21"/>
                    </w:rPr>
                  </w:pPr>
                  <w:r>
                    <w:rPr>
                      <w:b/>
                      <w:bCs/>
                      <w:szCs w:val="21"/>
                    </w:rPr>
                    <w:t>因子</w:t>
                  </w:r>
                </w:p>
              </w:tc>
              <w:tc>
                <w:tcPr>
                  <w:tcW w:w="1192" w:type="pct"/>
                  <w:gridSpan w:val="4"/>
                  <w:tcBorders>
                    <w:tl2br w:val="nil"/>
                    <w:tr2bl w:val="nil"/>
                  </w:tcBorders>
                  <w:vAlign w:val="center"/>
                </w:tcPr>
                <w:p>
                  <w:pPr>
                    <w:jc w:val="center"/>
                    <w:rPr>
                      <w:b/>
                      <w:bCs/>
                      <w:szCs w:val="21"/>
                    </w:rPr>
                  </w:pPr>
                  <w:r>
                    <w:rPr>
                      <w:b/>
                      <w:bCs/>
                      <w:szCs w:val="21"/>
                    </w:rPr>
                    <w:t>计算系数</w:t>
                  </w:r>
                </w:p>
              </w:tc>
              <w:tc>
                <w:tcPr>
                  <w:tcW w:w="314" w:type="pct"/>
                  <w:vMerge w:val="restart"/>
                  <w:tcBorders>
                    <w:tl2br w:val="nil"/>
                    <w:tr2bl w:val="nil"/>
                  </w:tcBorders>
                  <w:vAlign w:val="center"/>
                </w:tcPr>
                <w:p>
                  <w:pPr>
                    <w:adjustRightInd w:val="0"/>
                    <w:snapToGrid w:val="0"/>
                    <w:jc w:val="center"/>
                    <w:rPr>
                      <w:b/>
                      <w:bCs/>
                      <w:szCs w:val="21"/>
                    </w:rPr>
                  </w:pPr>
                  <w:r>
                    <w:rPr>
                      <w:b/>
                      <w:bCs/>
                      <w:szCs w:val="21"/>
                    </w:rPr>
                    <w:t>S</w:t>
                  </w:r>
                </w:p>
                <w:p>
                  <w:pPr>
                    <w:adjustRightInd w:val="0"/>
                    <w:snapToGrid w:val="0"/>
                    <w:jc w:val="center"/>
                    <w:rPr>
                      <w:b/>
                      <w:bCs/>
                      <w:szCs w:val="21"/>
                    </w:rPr>
                  </w:pPr>
                  <w:r>
                    <w:rPr>
                      <w:b/>
                      <w:bCs/>
                      <w:szCs w:val="21"/>
                    </w:rPr>
                    <w:t>(m</w:t>
                  </w:r>
                  <w:r>
                    <w:rPr>
                      <w:b/>
                      <w:bCs/>
                      <w:szCs w:val="21"/>
                      <w:vertAlign w:val="superscript"/>
                    </w:rPr>
                    <w:t>2</w:t>
                  </w:r>
                  <w:r>
                    <w:rPr>
                      <w:b/>
                      <w:bCs/>
                      <w:szCs w:val="21"/>
                    </w:rPr>
                    <w:t>)</w:t>
                  </w:r>
                </w:p>
              </w:tc>
              <w:tc>
                <w:tcPr>
                  <w:tcW w:w="485" w:type="pct"/>
                  <w:vMerge w:val="restart"/>
                  <w:tcBorders>
                    <w:tl2br w:val="nil"/>
                    <w:tr2bl w:val="nil"/>
                  </w:tcBorders>
                  <w:vAlign w:val="center"/>
                </w:tcPr>
                <w:p>
                  <w:pPr>
                    <w:adjustRightInd w:val="0"/>
                    <w:snapToGrid w:val="0"/>
                    <w:jc w:val="center"/>
                    <w:rPr>
                      <w:b/>
                      <w:bCs/>
                      <w:szCs w:val="21"/>
                    </w:rPr>
                  </w:pPr>
                  <w:r>
                    <w:rPr>
                      <w:b/>
                      <w:bCs/>
                      <w:szCs w:val="21"/>
                    </w:rPr>
                    <w:t>Qc</w:t>
                  </w:r>
                </w:p>
                <w:p>
                  <w:pPr>
                    <w:adjustRightInd w:val="0"/>
                    <w:snapToGrid w:val="0"/>
                    <w:jc w:val="center"/>
                    <w:rPr>
                      <w:b/>
                      <w:bCs/>
                      <w:szCs w:val="21"/>
                    </w:rPr>
                  </w:pPr>
                  <w:r>
                    <w:rPr>
                      <w:b/>
                      <w:bCs/>
                      <w:szCs w:val="21"/>
                    </w:rPr>
                    <w:t>（kg/h）</w:t>
                  </w:r>
                </w:p>
              </w:tc>
              <w:tc>
                <w:tcPr>
                  <w:tcW w:w="589" w:type="pct"/>
                  <w:vMerge w:val="restart"/>
                  <w:tcBorders>
                    <w:tl2br w:val="nil"/>
                    <w:tr2bl w:val="nil"/>
                  </w:tcBorders>
                  <w:vAlign w:val="center"/>
                </w:tcPr>
                <w:p>
                  <w:pPr>
                    <w:adjustRightInd w:val="0"/>
                    <w:snapToGrid w:val="0"/>
                    <w:jc w:val="center"/>
                    <w:rPr>
                      <w:b/>
                      <w:bCs/>
                      <w:szCs w:val="21"/>
                    </w:rPr>
                  </w:pPr>
                  <w:r>
                    <w:rPr>
                      <w:b/>
                      <w:bCs/>
                      <w:szCs w:val="21"/>
                    </w:rPr>
                    <w:t>Cm</w:t>
                  </w:r>
                </w:p>
                <w:p>
                  <w:pPr>
                    <w:adjustRightInd w:val="0"/>
                    <w:snapToGrid w:val="0"/>
                    <w:jc w:val="center"/>
                    <w:rPr>
                      <w:b/>
                      <w:bCs/>
                      <w:szCs w:val="21"/>
                    </w:rPr>
                  </w:pPr>
                  <w:r>
                    <w:rPr>
                      <w:b/>
                      <w:bCs/>
                      <w:szCs w:val="21"/>
                    </w:rPr>
                    <w:t>（mg/m</w:t>
                  </w:r>
                  <w:r>
                    <w:rPr>
                      <w:b/>
                      <w:bCs/>
                      <w:szCs w:val="21"/>
                      <w:vertAlign w:val="superscript"/>
                    </w:rPr>
                    <w:t>3</w:t>
                  </w:r>
                  <w:r>
                    <w:rPr>
                      <w:b/>
                      <w:bCs/>
                      <w:szCs w:val="21"/>
                    </w:rPr>
                    <w:t>）</w:t>
                  </w:r>
                </w:p>
              </w:tc>
              <w:tc>
                <w:tcPr>
                  <w:tcW w:w="607" w:type="pct"/>
                  <w:vMerge w:val="restart"/>
                  <w:tcBorders>
                    <w:tl2br w:val="nil"/>
                    <w:tr2bl w:val="nil"/>
                  </w:tcBorders>
                  <w:vAlign w:val="center"/>
                </w:tcPr>
                <w:p>
                  <w:pPr>
                    <w:adjustRightInd w:val="0"/>
                    <w:snapToGrid w:val="0"/>
                    <w:jc w:val="center"/>
                    <w:rPr>
                      <w:b/>
                      <w:bCs/>
                      <w:szCs w:val="21"/>
                    </w:rPr>
                  </w:pPr>
                  <w:r>
                    <w:rPr>
                      <w:b/>
                      <w:bCs/>
                      <w:szCs w:val="21"/>
                    </w:rPr>
                    <w:t>计算卫生防护距离(m)</w:t>
                  </w:r>
                </w:p>
              </w:tc>
              <w:tc>
                <w:tcPr>
                  <w:tcW w:w="602" w:type="pct"/>
                  <w:vMerge w:val="restart"/>
                  <w:tcBorders>
                    <w:tl2br w:val="nil"/>
                    <w:tr2bl w:val="nil"/>
                  </w:tcBorders>
                  <w:vAlign w:val="center"/>
                </w:tcPr>
                <w:p>
                  <w:pPr>
                    <w:adjustRightInd w:val="0"/>
                    <w:snapToGrid w:val="0"/>
                    <w:jc w:val="center"/>
                    <w:rPr>
                      <w:b/>
                      <w:bCs/>
                      <w:szCs w:val="21"/>
                    </w:rPr>
                  </w:pPr>
                  <w:r>
                    <w:rPr>
                      <w:b/>
                      <w:bCs/>
                      <w:szCs w:val="21"/>
                    </w:rPr>
                    <w:t>确定卫生防护距离(m)</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73" w:type="pct"/>
                  <w:vMerge w:val="continue"/>
                  <w:tcBorders>
                    <w:bottom w:val="single" w:color="auto" w:sz="8" w:space="0"/>
                    <w:tl2br w:val="nil"/>
                    <w:tr2bl w:val="nil"/>
                  </w:tcBorders>
                  <w:vAlign w:val="center"/>
                </w:tcPr>
                <w:p>
                  <w:pPr>
                    <w:jc w:val="center"/>
                    <w:rPr>
                      <w:szCs w:val="21"/>
                    </w:rPr>
                  </w:pPr>
                </w:p>
              </w:tc>
              <w:tc>
                <w:tcPr>
                  <w:tcW w:w="633" w:type="pct"/>
                  <w:vMerge w:val="continue"/>
                  <w:tcBorders>
                    <w:bottom w:val="single" w:color="auto" w:sz="8" w:space="0"/>
                    <w:tl2br w:val="nil"/>
                    <w:tr2bl w:val="nil"/>
                  </w:tcBorders>
                  <w:vAlign w:val="center"/>
                </w:tcPr>
                <w:p>
                  <w:pPr>
                    <w:jc w:val="center"/>
                    <w:rPr>
                      <w:szCs w:val="21"/>
                    </w:rPr>
                  </w:pPr>
                </w:p>
              </w:tc>
              <w:tc>
                <w:tcPr>
                  <w:tcW w:w="319" w:type="pct"/>
                  <w:tcBorders>
                    <w:bottom w:val="single" w:color="auto" w:sz="8" w:space="0"/>
                    <w:tl2br w:val="nil"/>
                    <w:tr2bl w:val="nil"/>
                  </w:tcBorders>
                  <w:vAlign w:val="center"/>
                </w:tcPr>
                <w:p>
                  <w:pPr>
                    <w:jc w:val="center"/>
                    <w:rPr>
                      <w:b/>
                      <w:bCs/>
                      <w:szCs w:val="21"/>
                    </w:rPr>
                  </w:pPr>
                  <w:r>
                    <w:rPr>
                      <w:b/>
                      <w:bCs/>
                      <w:szCs w:val="21"/>
                    </w:rPr>
                    <w:t>A</w:t>
                  </w:r>
                </w:p>
              </w:tc>
              <w:tc>
                <w:tcPr>
                  <w:tcW w:w="318" w:type="pct"/>
                  <w:tcBorders>
                    <w:bottom w:val="single" w:color="auto" w:sz="8" w:space="0"/>
                    <w:tl2br w:val="nil"/>
                    <w:tr2bl w:val="nil"/>
                  </w:tcBorders>
                  <w:vAlign w:val="center"/>
                </w:tcPr>
                <w:p>
                  <w:pPr>
                    <w:jc w:val="center"/>
                    <w:rPr>
                      <w:b/>
                      <w:bCs/>
                      <w:szCs w:val="21"/>
                    </w:rPr>
                  </w:pPr>
                  <w:r>
                    <w:rPr>
                      <w:b/>
                      <w:bCs/>
                      <w:szCs w:val="21"/>
                    </w:rPr>
                    <w:t>B</w:t>
                  </w:r>
                </w:p>
              </w:tc>
              <w:tc>
                <w:tcPr>
                  <w:tcW w:w="311" w:type="pct"/>
                  <w:tcBorders>
                    <w:bottom w:val="single" w:color="auto" w:sz="8" w:space="0"/>
                    <w:tl2br w:val="nil"/>
                    <w:tr2bl w:val="nil"/>
                  </w:tcBorders>
                  <w:vAlign w:val="center"/>
                </w:tcPr>
                <w:p>
                  <w:pPr>
                    <w:jc w:val="center"/>
                    <w:rPr>
                      <w:b/>
                      <w:bCs/>
                      <w:szCs w:val="21"/>
                    </w:rPr>
                  </w:pPr>
                  <w:r>
                    <w:rPr>
                      <w:b/>
                      <w:bCs/>
                      <w:szCs w:val="21"/>
                    </w:rPr>
                    <w:t>C</w:t>
                  </w:r>
                </w:p>
              </w:tc>
              <w:tc>
                <w:tcPr>
                  <w:tcW w:w="242" w:type="pct"/>
                  <w:tcBorders>
                    <w:bottom w:val="single" w:color="auto" w:sz="8" w:space="0"/>
                    <w:tl2br w:val="nil"/>
                    <w:tr2bl w:val="nil"/>
                  </w:tcBorders>
                  <w:vAlign w:val="center"/>
                </w:tcPr>
                <w:p>
                  <w:pPr>
                    <w:jc w:val="center"/>
                    <w:rPr>
                      <w:b/>
                      <w:bCs/>
                      <w:szCs w:val="21"/>
                    </w:rPr>
                  </w:pPr>
                  <w:r>
                    <w:rPr>
                      <w:b/>
                      <w:bCs/>
                      <w:szCs w:val="21"/>
                    </w:rPr>
                    <w:t>D</w:t>
                  </w:r>
                </w:p>
              </w:tc>
              <w:tc>
                <w:tcPr>
                  <w:tcW w:w="314" w:type="pct"/>
                  <w:vMerge w:val="continue"/>
                  <w:tcBorders>
                    <w:bottom w:val="single" w:color="auto" w:sz="8" w:space="0"/>
                    <w:tl2br w:val="nil"/>
                    <w:tr2bl w:val="nil"/>
                  </w:tcBorders>
                  <w:vAlign w:val="center"/>
                </w:tcPr>
                <w:p>
                  <w:pPr>
                    <w:jc w:val="center"/>
                    <w:rPr>
                      <w:szCs w:val="21"/>
                    </w:rPr>
                  </w:pPr>
                </w:p>
              </w:tc>
              <w:tc>
                <w:tcPr>
                  <w:tcW w:w="485" w:type="pct"/>
                  <w:vMerge w:val="continue"/>
                  <w:tcBorders>
                    <w:bottom w:val="single" w:color="auto" w:sz="8" w:space="0"/>
                    <w:tl2br w:val="nil"/>
                    <w:tr2bl w:val="nil"/>
                  </w:tcBorders>
                  <w:vAlign w:val="center"/>
                </w:tcPr>
                <w:p>
                  <w:pPr>
                    <w:jc w:val="center"/>
                    <w:rPr>
                      <w:szCs w:val="21"/>
                    </w:rPr>
                  </w:pPr>
                </w:p>
              </w:tc>
              <w:tc>
                <w:tcPr>
                  <w:tcW w:w="589" w:type="pct"/>
                  <w:vMerge w:val="continue"/>
                  <w:tcBorders>
                    <w:bottom w:val="single" w:color="auto" w:sz="8" w:space="0"/>
                    <w:tl2br w:val="nil"/>
                    <w:tr2bl w:val="nil"/>
                  </w:tcBorders>
                  <w:vAlign w:val="center"/>
                </w:tcPr>
                <w:p>
                  <w:pPr>
                    <w:jc w:val="center"/>
                    <w:rPr>
                      <w:szCs w:val="21"/>
                    </w:rPr>
                  </w:pPr>
                </w:p>
              </w:tc>
              <w:tc>
                <w:tcPr>
                  <w:tcW w:w="607" w:type="pct"/>
                  <w:vMerge w:val="continue"/>
                  <w:tcBorders>
                    <w:bottom w:val="single" w:color="auto" w:sz="8" w:space="0"/>
                    <w:tl2br w:val="nil"/>
                    <w:tr2bl w:val="nil"/>
                  </w:tcBorders>
                  <w:vAlign w:val="center"/>
                </w:tcPr>
                <w:p>
                  <w:pPr>
                    <w:jc w:val="center"/>
                    <w:rPr>
                      <w:szCs w:val="21"/>
                    </w:rPr>
                  </w:pPr>
                </w:p>
              </w:tc>
              <w:tc>
                <w:tcPr>
                  <w:tcW w:w="602" w:type="pct"/>
                  <w:vMerge w:val="continue"/>
                  <w:tcBorders>
                    <w:bottom w:val="single" w:color="auto" w:sz="8" w:space="0"/>
                    <w:tl2br w:val="nil"/>
                    <w:tr2bl w:val="nil"/>
                  </w:tcBorders>
                  <w:vAlign w:val="center"/>
                </w:tcPr>
                <w:p>
                  <w:pPr>
                    <w:jc w:val="center"/>
                    <w:rPr>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73" w:type="pct"/>
                  <w:tcBorders>
                    <w:top w:val="single" w:color="auto" w:sz="8" w:space="0"/>
                    <w:tl2br w:val="nil"/>
                    <w:tr2bl w:val="nil"/>
                  </w:tcBorders>
                  <w:vAlign w:val="center"/>
                </w:tcPr>
                <w:p>
                  <w:pPr>
                    <w:adjustRightInd w:val="0"/>
                    <w:snapToGrid w:val="0"/>
                    <w:jc w:val="center"/>
                    <w:rPr>
                      <w:szCs w:val="21"/>
                    </w:rPr>
                  </w:pPr>
                  <w:r>
                    <w:rPr>
                      <w:szCs w:val="21"/>
                    </w:rPr>
                    <w:t>焊接车间</w:t>
                  </w:r>
                </w:p>
              </w:tc>
              <w:tc>
                <w:tcPr>
                  <w:tcW w:w="633" w:type="pct"/>
                  <w:tcBorders>
                    <w:top w:val="single" w:color="auto" w:sz="8" w:space="0"/>
                    <w:tl2br w:val="nil"/>
                    <w:tr2bl w:val="nil"/>
                  </w:tcBorders>
                  <w:vAlign w:val="center"/>
                </w:tcPr>
                <w:p>
                  <w:pPr>
                    <w:adjustRightInd w:val="0"/>
                    <w:snapToGrid w:val="0"/>
                    <w:jc w:val="center"/>
                    <w:rPr>
                      <w:szCs w:val="21"/>
                    </w:rPr>
                  </w:pPr>
                  <w:r>
                    <w:rPr>
                      <w:szCs w:val="21"/>
                    </w:rPr>
                    <w:t>颗粒物</w:t>
                  </w:r>
                </w:p>
              </w:tc>
              <w:tc>
                <w:tcPr>
                  <w:tcW w:w="319" w:type="pct"/>
                  <w:tcBorders>
                    <w:top w:val="single" w:color="auto" w:sz="8" w:space="0"/>
                    <w:tl2br w:val="nil"/>
                    <w:tr2bl w:val="nil"/>
                  </w:tcBorders>
                  <w:vAlign w:val="center"/>
                </w:tcPr>
                <w:p>
                  <w:pPr>
                    <w:jc w:val="center"/>
                    <w:rPr>
                      <w:szCs w:val="21"/>
                    </w:rPr>
                  </w:pPr>
                  <w:r>
                    <w:rPr>
                      <w:szCs w:val="21"/>
                    </w:rPr>
                    <w:t>470</w:t>
                  </w:r>
                </w:p>
              </w:tc>
              <w:tc>
                <w:tcPr>
                  <w:tcW w:w="318" w:type="pct"/>
                  <w:tcBorders>
                    <w:top w:val="single" w:color="auto" w:sz="8" w:space="0"/>
                    <w:tl2br w:val="nil"/>
                    <w:tr2bl w:val="nil"/>
                  </w:tcBorders>
                  <w:vAlign w:val="center"/>
                </w:tcPr>
                <w:p>
                  <w:pPr>
                    <w:jc w:val="center"/>
                    <w:rPr>
                      <w:szCs w:val="21"/>
                    </w:rPr>
                  </w:pPr>
                  <w:r>
                    <w:rPr>
                      <w:szCs w:val="21"/>
                    </w:rPr>
                    <w:t>0.021</w:t>
                  </w:r>
                </w:p>
              </w:tc>
              <w:tc>
                <w:tcPr>
                  <w:tcW w:w="311" w:type="pct"/>
                  <w:tcBorders>
                    <w:top w:val="single" w:color="auto" w:sz="8" w:space="0"/>
                    <w:tl2br w:val="nil"/>
                    <w:tr2bl w:val="nil"/>
                  </w:tcBorders>
                  <w:vAlign w:val="center"/>
                </w:tcPr>
                <w:p>
                  <w:pPr>
                    <w:jc w:val="center"/>
                    <w:rPr>
                      <w:szCs w:val="21"/>
                    </w:rPr>
                  </w:pPr>
                  <w:r>
                    <w:rPr>
                      <w:szCs w:val="21"/>
                    </w:rPr>
                    <w:t>1.85</w:t>
                  </w:r>
                </w:p>
              </w:tc>
              <w:tc>
                <w:tcPr>
                  <w:tcW w:w="242" w:type="pct"/>
                  <w:tcBorders>
                    <w:top w:val="single" w:color="auto" w:sz="8" w:space="0"/>
                    <w:tl2br w:val="nil"/>
                    <w:tr2bl w:val="nil"/>
                  </w:tcBorders>
                  <w:vAlign w:val="center"/>
                </w:tcPr>
                <w:p>
                  <w:pPr>
                    <w:jc w:val="center"/>
                    <w:rPr>
                      <w:szCs w:val="21"/>
                    </w:rPr>
                  </w:pPr>
                  <w:r>
                    <w:rPr>
                      <w:szCs w:val="21"/>
                    </w:rPr>
                    <w:t>0.84</w:t>
                  </w:r>
                </w:p>
              </w:tc>
              <w:tc>
                <w:tcPr>
                  <w:tcW w:w="314" w:type="pct"/>
                  <w:tcBorders>
                    <w:top w:val="single" w:color="auto" w:sz="8" w:space="0"/>
                    <w:tl2br w:val="nil"/>
                    <w:tr2bl w:val="nil"/>
                  </w:tcBorders>
                  <w:vAlign w:val="center"/>
                </w:tcPr>
                <w:p>
                  <w:pPr>
                    <w:jc w:val="center"/>
                    <w:rPr>
                      <w:szCs w:val="21"/>
                    </w:rPr>
                  </w:pPr>
                  <w:r>
                    <w:rPr>
                      <w:rFonts w:hint="eastAsia"/>
                      <w:szCs w:val="21"/>
                    </w:rPr>
                    <w:t>600</w:t>
                  </w:r>
                </w:p>
              </w:tc>
              <w:tc>
                <w:tcPr>
                  <w:tcW w:w="485" w:type="pct"/>
                  <w:tcBorders>
                    <w:top w:val="single" w:color="auto" w:sz="8" w:space="0"/>
                    <w:tl2br w:val="nil"/>
                    <w:tr2bl w:val="nil"/>
                  </w:tcBorders>
                  <w:vAlign w:val="center"/>
                </w:tcPr>
                <w:p>
                  <w:pPr>
                    <w:pStyle w:val="100"/>
                    <w:kinsoku w:val="0"/>
                    <w:overflowPunct w:val="0"/>
                    <w:snapToGrid w:val="0"/>
                    <w:jc w:val="center"/>
                    <w:rPr>
                      <w:rFonts w:ascii="Times New Roman" w:hAnsi="Times New Roman" w:cs="Times New Roman"/>
                      <w:sz w:val="21"/>
                      <w:szCs w:val="21"/>
                    </w:rPr>
                  </w:pPr>
                  <w:r>
                    <w:rPr>
                      <w:rFonts w:hint="eastAsia" w:ascii="Times New Roman" w:hAnsi="Times New Roman" w:cs="Times New Roman"/>
                      <w:sz w:val="21"/>
                      <w:szCs w:val="21"/>
                    </w:rPr>
                    <w:t>0.0109</w:t>
                  </w:r>
                </w:p>
              </w:tc>
              <w:tc>
                <w:tcPr>
                  <w:tcW w:w="589" w:type="pct"/>
                  <w:tcBorders>
                    <w:top w:val="single" w:color="auto" w:sz="8" w:space="0"/>
                    <w:tl2br w:val="nil"/>
                    <w:tr2bl w:val="nil"/>
                  </w:tcBorders>
                  <w:vAlign w:val="center"/>
                </w:tcPr>
                <w:p>
                  <w:pPr>
                    <w:jc w:val="center"/>
                    <w:rPr>
                      <w:szCs w:val="21"/>
                    </w:rPr>
                  </w:pPr>
                  <w:r>
                    <w:rPr>
                      <w:rFonts w:hint="eastAsia"/>
                      <w:szCs w:val="21"/>
                    </w:rPr>
                    <w:t>0.45</w:t>
                  </w:r>
                </w:p>
              </w:tc>
              <w:tc>
                <w:tcPr>
                  <w:tcW w:w="607" w:type="pct"/>
                  <w:tcBorders>
                    <w:top w:val="single" w:color="auto" w:sz="8" w:space="0"/>
                    <w:tl2br w:val="nil"/>
                    <w:tr2bl w:val="nil"/>
                  </w:tcBorders>
                  <w:vAlign w:val="center"/>
                </w:tcPr>
                <w:p>
                  <w:pPr>
                    <w:jc w:val="center"/>
                    <w:rPr>
                      <w:szCs w:val="21"/>
                    </w:rPr>
                  </w:pPr>
                  <w:r>
                    <w:rPr>
                      <w:rFonts w:hint="eastAsia"/>
                      <w:szCs w:val="21"/>
                    </w:rPr>
                    <w:t>1.811</w:t>
                  </w:r>
                </w:p>
              </w:tc>
              <w:tc>
                <w:tcPr>
                  <w:tcW w:w="602" w:type="pct"/>
                  <w:tcBorders>
                    <w:top w:val="single" w:color="auto" w:sz="8" w:space="0"/>
                    <w:tl2br w:val="nil"/>
                    <w:tr2bl w:val="nil"/>
                  </w:tcBorders>
                  <w:vAlign w:val="center"/>
                </w:tcPr>
                <w:p>
                  <w:pPr>
                    <w:jc w:val="center"/>
                    <w:rPr>
                      <w:szCs w:val="21"/>
                    </w:rPr>
                  </w:pPr>
                  <w:r>
                    <w:rPr>
                      <w:szCs w:val="21"/>
                    </w:rPr>
                    <w:t>50</w:t>
                  </w:r>
                </w:p>
              </w:tc>
            </w:tr>
          </w:tbl>
          <w:p>
            <w:pPr>
              <w:pStyle w:val="19"/>
              <w:spacing w:line="440" w:lineRule="exact"/>
              <w:ind w:firstLine="480"/>
              <w:rPr>
                <w:sz w:val="24"/>
              </w:rPr>
            </w:pPr>
            <w:r>
              <w:rPr>
                <w:kern w:val="0"/>
                <w:sz w:val="24"/>
              </w:rPr>
              <w:t>由</w:t>
            </w:r>
            <w:r>
              <w:rPr>
                <w:rFonts w:hint="eastAsia"/>
                <w:kern w:val="0"/>
                <w:sz w:val="24"/>
              </w:rPr>
              <w:t>上</w:t>
            </w:r>
            <w:r>
              <w:rPr>
                <w:kern w:val="0"/>
                <w:sz w:val="24"/>
              </w:rPr>
              <w:t>表可知，本项目无组织排放</w:t>
            </w:r>
            <w:r>
              <w:rPr>
                <w:spacing w:val="6"/>
                <w:sz w:val="24"/>
              </w:rPr>
              <w:t>颗粒物</w:t>
            </w:r>
            <w:r>
              <w:rPr>
                <w:kern w:val="0"/>
                <w:sz w:val="24"/>
              </w:rPr>
              <w:t>的卫生防护距离计算结果为50m，根据项目平面布置及周围环境可知，项目各厂界外的设防距离分别为：东厂界：</w:t>
            </w:r>
            <w:r>
              <w:rPr>
                <w:rFonts w:hint="eastAsia"/>
                <w:kern w:val="0"/>
                <w:sz w:val="24"/>
              </w:rPr>
              <w:t>5</w:t>
            </w:r>
            <w:r>
              <w:rPr>
                <w:kern w:val="0"/>
                <w:sz w:val="24"/>
              </w:rPr>
              <w:t>0m，南厂界：4</w:t>
            </w:r>
            <w:r>
              <w:rPr>
                <w:rFonts w:hint="eastAsia"/>
                <w:kern w:val="0"/>
                <w:sz w:val="24"/>
              </w:rPr>
              <w:t>2</w:t>
            </w:r>
            <w:r>
              <w:rPr>
                <w:kern w:val="0"/>
                <w:sz w:val="24"/>
              </w:rPr>
              <w:t>m；西厂界：</w:t>
            </w:r>
            <w:r>
              <w:rPr>
                <w:rFonts w:hint="eastAsia"/>
                <w:kern w:val="0"/>
                <w:sz w:val="24"/>
              </w:rPr>
              <w:t>40</w:t>
            </w:r>
            <w:r>
              <w:rPr>
                <w:kern w:val="0"/>
                <w:sz w:val="24"/>
              </w:rPr>
              <w:t>m；北厂界：45m。项目卫生防护距离内无敏感点分布，符合卫生防护距离要求（卫生防护距离包络图见</w:t>
            </w:r>
            <w:r>
              <w:rPr>
                <w:kern w:val="0"/>
                <w:sz w:val="24"/>
                <w:highlight w:val="none"/>
              </w:rPr>
              <w:t>附图</w:t>
            </w:r>
            <w:r>
              <w:rPr>
                <w:rFonts w:hint="eastAsia"/>
                <w:kern w:val="0"/>
                <w:sz w:val="24"/>
                <w:highlight w:val="none"/>
              </w:rPr>
              <w:t>5</w:t>
            </w:r>
            <w:r>
              <w:rPr>
                <w:kern w:val="0"/>
                <w:sz w:val="24"/>
              </w:rPr>
              <w:t>）。</w:t>
            </w:r>
            <w:r>
              <w:rPr>
                <w:sz w:val="24"/>
              </w:rPr>
              <w:t>项目厂址四周为工业企业，周边无食品加工厂等其他与本项目不相容的企业存在，</w:t>
            </w:r>
            <w:r>
              <w:rPr>
                <w:kern w:val="0"/>
                <w:sz w:val="24"/>
              </w:rPr>
              <w:t>同时评价要求，在卫生防护距离范围内不得新建居民住宅、医院、机关、科研单位等环境敏感点。</w:t>
            </w:r>
          </w:p>
          <w:p>
            <w:pPr>
              <w:adjustRightInd w:val="0"/>
              <w:snapToGrid w:val="0"/>
              <w:spacing w:line="440" w:lineRule="exact"/>
              <w:ind w:firstLine="480" w:firstLineChars="200"/>
              <w:rPr>
                <w:b/>
                <w:sz w:val="24"/>
              </w:rPr>
            </w:pPr>
            <w:r>
              <w:rPr>
                <w:sz w:val="24"/>
              </w:rPr>
              <w:t>综上所述，项目生产过程中产生的废气在采取相应的防治措施后均可以达标排放，对周边环境影响较小。</w:t>
            </w:r>
          </w:p>
          <w:p>
            <w:pPr>
              <w:pStyle w:val="106"/>
              <w:adjustRightInd w:val="0"/>
              <w:snapToGrid w:val="0"/>
              <w:spacing w:line="440" w:lineRule="exact"/>
              <w:ind w:firstLine="482"/>
              <w:rPr>
                <w:rFonts w:cs="Times New Roman"/>
                <w:color w:val="auto"/>
                <w:szCs w:val="24"/>
              </w:rPr>
            </w:pPr>
            <w:r>
              <w:rPr>
                <w:rFonts w:cs="Times New Roman"/>
                <w:b/>
                <w:szCs w:val="24"/>
              </w:rPr>
              <w:t>二、废水</w:t>
            </w:r>
          </w:p>
          <w:p>
            <w:pPr>
              <w:pStyle w:val="4"/>
              <w:spacing w:line="440" w:lineRule="exact"/>
              <w:ind w:firstLine="482"/>
              <w:rPr>
                <w:b/>
                <w:bCs/>
                <w:sz w:val="24"/>
              </w:rPr>
            </w:pPr>
            <w:r>
              <w:rPr>
                <w:b/>
                <w:bCs/>
                <w:sz w:val="24"/>
              </w:rPr>
              <w:t>1、地表水环境影响分析</w:t>
            </w:r>
          </w:p>
          <w:p>
            <w:pPr>
              <w:spacing w:line="440" w:lineRule="exact"/>
              <w:ind w:firstLine="480" w:firstLineChars="200"/>
              <w:rPr>
                <w:sz w:val="24"/>
              </w:rPr>
            </w:pPr>
            <w:r>
              <w:rPr>
                <w:sz w:val="24"/>
              </w:rPr>
              <w:t>本项目无工艺废水产生，废水主要为职工</w:t>
            </w:r>
            <w:r>
              <w:rPr>
                <w:rFonts w:hint="eastAsia"/>
                <w:sz w:val="24"/>
              </w:rPr>
              <w:t>生活污水</w:t>
            </w:r>
            <w:r>
              <w:rPr>
                <w:sz w:val="24"/>
              </w:rPr>
              <w:t>。</w:t>
            </w:r>
          </w:p>
          <w:p>
            <w:pPr>
              <w:spacing w:line="440" w:lineRule="exact"/>
              <w:ind w:firstLine="480" w:firstLineChars="200"/>
              <w:rPr>
                <w:sz w:val="24"/>
              </w:rPr>
            </w:pPr>
            <w:r>
              <w:rPr>
                <w:kern w:val="0"/>
                <w:sz w:val="24"/>
              </w:rPr>
              <w:t>本项目劳动定员共计13人，均不在厂区住宿。职工办公生活用水量按每人每天30 L计算，则生活用水量为</w:t>
            </w:r>
            <w:r>
              <w:rPr>
                <w:rFonts w:hint="eastAsia"/>
                <w:kern w:val="0"/>
                <w:sz w:val="24"/>
              </w:rPr>
              <w:t>78</w:t>
            </w:r>
            <w:r>
              <w:rPr>
                <w:kern w:val="0"/>
                <w:sz w:val="24"/>
              </w:rPr>
              <w:t>m</w:t>
            </w:r>
            <w:r>
              <w:rPr>
                <w:kern w:val="0"/>
                <w:sz w:val="24"/>
                <w:vertAlign w:val="superscript"/>
              </w:rPr>
              <w:t>3</w:t>
            </w:r>
            <w:r>
              <w:rPr>
                <w:kern w:val="0"/>
                <w:sz w:val="24"/>
              </w:rPr>
              <w:t>/a（0.39m</w:t>
            </w:r>
            <w:r>
              <w:rPr>
                <w:kern w:val="0"/>
                <w:sz w:val="24"/>
                <w:vertAlign w:val="superscript"/>
              </w:rPr>
              <w:t>3</w:t>
            </w:r>
            <w:r>
              <w:rPr>
                <w:kern w:val="0"/>
                <w:sz w:val="24"/>
              </w:rPr>
              <w:t>/d），排水系数按0.8计，则生活污水排放量为</w:t>
            </w:r>
            <w:r>
              <w:rPr>
                <w:rFonts w:hint="eastAsia"/>
                <w:kern w:val="0"/>
                <w:sz w:val="24"/>
              </w:rPr>
              <w:t>62.4</w:t>
            </w:r>
            <w:r>
              <w:rPr>
                <w:kern w:val="0"/>
                <w:sz w:val="24"/>
              </w:rPr>
              <w:t>m</w:t>
            </w:r>
            <w:r>
              <w:rPr>
                <w:kern w:val="0"/>
                <w:sz w:val="24"/>
                <w:vertAlign w:val="superscript"/>
              </w:rPr>
              <w:t>3</w:t>
            </w:r>
            <w:r>
              <w:rPr>
                <w:kern w:val="0"/>
                <w:sz w:val="24"/>
              </w:rPr>
              <w:t>/a（0.312m</w:t>
            </w:r>
            <w:r>
              <w:rPr>
                <w:kern w:val="0"/>
                <w:sz w:val="24"/>
                <w:vertAlign w:val="superscript"/>
              </w:rPr>
              <w:t>3</w:t>
            </w:r>
            <w:r>
              <w:rPr>
                <w:kern w:val="0"/>
                <w:sz w:val="24"/>
              </w:rPr>
              <w:t>/d），</w:t>
            </w:r>
            <w:r>
              <w:rPr>
                <w:sz w:val="24"/>
              </w:rPr>
              <w:t>根据同类水质资料可知，废水中各污染物浓度分别为COD300mg/L、NH</w:t>
            </w:r>
            <w:r>
              <w:rPr>
                <w:sz w:val="24"/>
                <w:vertAlign w:val="subscript"/>
              </w:rPr>
              <w:t>3</w:t>
            </w:r>
            <w:r>
              <w:rPr>
                <w:sz w:val="24"/>
              </w:rPr>
              <w:t>-N</w:t>
            </w:r>
            <w:r>
              <w:rPr>
                <w:rFonts w:hint="eastAsia"/>
                <w:sz w:val="24"/>
              </w:rPr>
              <w:t xml:space="preserve"> </w:t>
            </w:r>
            <w:r>
              <w:rPr>
                <w:sz w:val="24"/>
              </w:rPr>
              <w:t>25mg/L、TP</w:t>
            </w:r>
            <w:r>
              <w:rPr>
                <w:rFonts w:hint="eastAsia"/>
                <w:sz w:val="24"/>
              </w:rPr>
              <w:t xml:space="preserve"> 3</w:t>
            </w:r>
            <w:r>
              <w:rPr>
                <w:sz w:val="24"/>
              </w:rPr>
              <w:t>mg/L、TN</w:t>
            </w:r>
            <w:r>
              <w:rPr>
                <w:rFonts w:hint="eastAsia"/>
                <w:sz w:val="24"/>
              </w:rPr>
              <w:t xml:space="preserve"> </w:t>
            </w:r>
            <w:r>
              <w:rPr>
                <w:sz w:val="24"/>
              </w:rPr>
              <w:t>35mg/L</w:t>
            </w:r>
            <w:r>
              <w:rPr>
                <w:rFonts w:hint="eastAsia"/>
                <w:sz w:val="24"/>
              </w:rPr>
              <w:t>、</w:t>
            </w:r>
            <w:r>
              <w:rPr>
                <w:sz w:val="24"/>
              </w:rPr>
              <w:t>SS</w:t>
            </w:r>
            <w:r>
              <w:rPr>
                <w:rFonts w:hint="eastAsia"/>
                <w:sz w:val="24"/>
              </w:rPr>
              <w:t xml:space="preserve"> </w:t>
            </w:r>
            <w:r>
              <w:rPr>
                <w:sz w:val="24"/>
              </w:rPr>
              <w:t>250mg/L，污染物产生量分别为COD</w:t>
            </w:r>
            <w:r>
              <w:rPr>
                <w:rFonts w:hint="eastAsia"/>
                <w:sz w:val="24"/>
              </w:rPr>
              <w:t>0.0187</w:t>
            </w:r>
            <w:r>
              <w:rPr>
                <w:sz w:val="24"/>
              </w:rPr>
              <w:t>t/a、NH</w:t>
            </w:r>
            <w:r>
              <w:rPr>
                <w:sz w:val="24"/>
                <w:vertAlign w:val="subscript"/>
              </w:rPr>
              <w:t>3</w:t>
            </w:r>
            <w:r>
              <w:rPr>
                <w:sz w:val="24"/>
              </w:rPr>
              <w:t>-N0.00</w:t>
            </w:r>
            <w:r>
              <w:rPr>
                <w:rFonts w:hint="eastAsia"/>
                <w:sz w:val="24"/>
              </w:rPr>
              <w:t>16</w:t>
            </w:r>
            <w:r>
              <w:rPr>
                <w:sz w:val="24"/>
              </w:rPr>
              <w:t>t/a、TP0.000</w:t>
            </w:r>
            <w:r>
              <w:rPr>
                <w:rFonts w:hint="eastAsia"/>
                <w:sz w:val="24"/>
              </w:rPr>
              <w:t>2</w:t>
            </w:r>
            <w:r>
              <w:rPr>
                <w:sz w:val="24"/>
              </w:rPr>
              <w:t>t/a、TN0.00</w:t>
            </w:r>
            <w:r>
              <w:rPr>
                <w:rFonts w:hint="eastAsia"/>
                <w:sz w:val="24"/>
              </w:rPr>
              <w:t>22</w:t>
            </w:r>
            <w:r>
              <w:rPr>
                <w:sz w:val="24"/>
              </w:rPr>
              <w:t>t/a</w:t>
            </w:r>
            <w:r>
              <w:rPr>
                <w:rFonts w:hint="eastAsia"/>
                <w:sz w:val="24"/>
              </w:rPr>
              <w:t>、</w:t>
            </w:r>
            <w:r>
              <w:rPr>
                <w:sz w:val="24"/>
              </w:rPr>
              <w:t>SS0.0</w:t>
            </w:r>
            <w:r>
              <w:rPr>
                <w:rFonts w:hint="eastAsia"/>
                <w:sz w:val="24"/>
              </w:rPr>
              <w:t>156</w:t>
            </w:r>
            <w:r>
              <w:rPr>
                <w:sz w:val="24"/>
              </w:rPr>
              <w:t>t/a。项目生活污水经</w:t>
            </w:r>
            <w:r>
              <w:rPr>
                <w:bCs/>
                <w:sz w:val="24"/>
              </w:rPr>
              <w:t>现有</w:t>
            </w:r>
            <w:r>
              <w:rPr>
                <w:sz w:val="24"/>
              </w:rPr>
              <w:t>5m</w:t>
            </w:r>
            <w:r>
              <w:rPr>
                <w:sz w:val="24"/>
                <w:vertAlign w:val="superscript"/>
              </w:rPr>
              <w:t>3</w:t>
            </w:r>
            <w:r>
              <w:rPr>
                <w:sz w:val="24"/>
              </w:rPr>
              <w:t>化粪池处理后定期清运。</w:t>
            </w:r>
          </w:p>
          <w:p>
            <w:pPr>
              <w:adjustRightInd w:val="0"/>
              <w:snapToGrid w:val="0"/>
              <w:spacing w:line="440" w:lineRule="exact"/>
              <w:ind w:firstLine="480" w:firstLineChars="200"/>
              <w:rPr>
                <w:b/>
                <w:snapToGrid w:val="0"/>
                <w:kern w:val="0"/>
                <w:sz w:val="24"/>
              </w:rPr>
            </w:pPr>
            <w:r>
              <w:rPr>
                <w:color w:val="000000"/>
                <w:sz w:val="24"/>
              </w:rPr>
              <w:t>评价要求：</w:t>
            </w:r>
            <w:r>
              <w:rPr>
                <w:bCs/>
                <w:iCs/>
                <w:sz w:val="24"/>
              </w:rPr>
              <w:t>化粪池池底、池壁要好水泥硬化、防渗防漏工作</w:t>
            </w:r>
            <w:r>
              <w:rPr>
                <w:color w:val="000000"/>
                <w:sz w:val="24"/>
              </w:rPr>
              <w:t>，避免污染地下水。生活污水经以上措施处理后，不会对项目周围地表水环境产生影响。</w:t>
            </w:r>
          </w:p>
          <w:p>
            <w:pPr>
              <w:pStyle w:val="4"/>
              <w:spacing w:line="440" w:lineRule="exact"/>
              <w:ind w:firstLine="482"/>
              <w:rPr>
                <w:rFonts w:eastAsiaTheme="minorEastAsia"/>
                <w:b/>
                <w:bCs/>
                <w:sz w:val="24"/>
              </w:rPr>
            </w:pPr>
            <w:r>
              <w:rPr>
                <w:rFonts w:eastAsiaTheme="minorEastAsia"/>
                <w:b/>
                <w:bCs/>
                <w:sz w:val="24"/>
              </w:rPr>
              <w:t>2、地下水环境影响分析</w:t>
            </w:r>
          </w:p>
          <w:p>
            <w:pPr>
              <w:adjustRightInd w:val="0"/>
              <w:snapToGrid w:val="0"/>
              <w:spacing w:line="440" w:lineRule="exact"/>
              <w:ind w:firstLine="480" w:firstLineChars="200"/>
              <w:textAlignment w:val="baseline"/>
              <w:rPr>
                <w:rFonts w:eastAsiaTheme="minorEastAsia"/>
                <w:sz w:val="24"/>
              </w:rPr>
            </w:pPr>
            <w:r>
              <w:rPr>
                <w:rFonts w:eastAsiaTheme="minorEastAsia"/>
                <w:sz w:val="24"/>
              </w:rPr>
              <w:t>本项目属于文教、体育、娱乐用品制造项目。根据《环境影响评价技术导则——地下水环境》（HJ610-2016），本项目属于IV类建设项目，因此不再对地下水环境影响进行分析。</w:t>
            </w:r>
          </w:p>
          <w:p>
            <w:pPr>
              <w:adjustRightInd w:val="0"/>
              <w:snapToGrid w:val="0"/>
              <w:spacing w:line="400" w:lineRule="exact"/>
              <w:ind w:firstLine="482" w:firstLineChars="200"/>
              <w:rPr>
                <w:rFonts w:eastAsiaTheme="minorEastAsia"/>
                <w:b/>
                <w:color w:val="000000"/>
                <w:sz w:val="24"/>
              </w:rPr>
            </w:pPr>
            <w:r>
              <w:rPr>
                <w:rFonts w:eastAsiaTheme="minorEastAsia"/>
                <w:b/>
                <w:color w:val="000000"/>
                <w:sz w:val="24"/>
              </w:rPr>
              <w:t>三、噪声</w:t>
            </w:r>
          </w:p>
          <w:p>
            <w:pPr>
              <w:adjustRightInd w:val="0"/>
              <w:snapToGrid w:val="0"/>
              <w:spacing w:line="440" w:lineRule="exact"/>
              <w:ind w:firstLine="482" w:firstLineChars="200"/>
              <w:rPr>
                <w:b/>
                <w:bCs/>
                <w:sz w:val="24"/>
              </w:rPr>
            </w:pPr>
            <w:bookmarkStart w:id="5" w:name="OLE_LINK5"/>
            <w:bookmarkStart w:id="6" w:name="OLE_LINK4"/>
            <w:r>
              <w:rPr>
                <w:b/>
                <w:bCs/>
                <w:sz w:val="24"/>
              </w:rPr>
              <w:t>1、源强分析</w:t>
            </w:r>
          </w:p>
          <w:p>
            <w:pPr>
              <w:adjustRightInd w:val="0"/>
              <w:snapToGrid w:val="0"/>
              <w:spacing w:line="440" w:lineRule="exact"/>
              <w:ind w:firstLine="480" w:firstLineChars="200"/>
              <w:rPr>
                <w:kern w:val="0"/>
                <w:sz w:val="24"/>
              </w:rPr>
            </w:pPr>
            <w:r>
              <w:rPr>
                <w:rFonts w:eastAsiaTheme="minorEastAsia"/>
                <w:color w:val="000000"/>
                <w:sz w:val="24"/>
              </w:rPr>
              <w:t>该</w:t>
            </w:r>
            <w:r>
              <w:rPr>
                <w:rFonts w:hint="eastAsia" w:eastAsiaTheme="minorEastAsia"/>
                <w:color w:val="000000"/>
                <w:sz w:val="24"/>
              </w:rPr>
              <w:t>项目营运期主要高噪声设备为切割机、折弯机、电锯等，</w:t>
            </w:r>
            <w:r>
              <w:rPr>
                <w:sz w:val="24"/>
              </w:rPr>
              <w:t>噪声源强在</w:t>
            </w:r>
            <w:r>
              <w:rPr>
                <w:rFonts w:hint="eastAsia"/>
                <w:sz w:val="24"/>
              </w:rPr>
              <w:t>70</w:t>
            </w:r>
            <w:r>
              <w:rPr>
                <w:sz w:val="24"/>
              </w:rPr>
              <w:t>~</w:t>
            </w:r>
            <w:r>
              <w:rPr>
                <w:rFonts w:hint="eastAsia"/>
                <w:sz w:val="24"/>
              </w:rPr>
              <w:t>85</w:t>
            </w:r>
            <w:r>
              <w:rPr>
                <w:sz w:val="24"/>
              </w:rPr>
              <w:t>dB(A)之间。</w:t>
            </w:r>
            <w:r>
              <w:rPr>
                <w:kern w:val="0"/>
                <w:sz w:val="24"/>
                <w:lang w:val="zh-CN"/>
              </w:rPr>
              <w:t>评价建议</w:t>
            </w:r>
            <w:r>
              <w:rPr>
                <w:rFonts w:hint="eastAsia"/>
                <w:kern w:val="0"/>
                <w:sz w:val="24"/>
                <w:lang w:val="zh-CN"/>
              </w:rPr>
              <w:t>采用合理布局</w:t>
            </w:r>
            <w:r>
              <w:rPr>
                <w:kern w:val="0"/>
                <w:sz w:val="24"/>
                <w:lang w:val="zh-CN"/>
              </w:rPr>
              <w:t>、</w:t>
            </w:r>
            <w:r>
              <w:rPr>
                <w:kern w:val="0"/>
                <w:sz w:val="24"/>
              </w:rPr>
              <w:t>厂房隔音等降噪措施，</w:t>
            </w:r>
            <w:r>
              <w:rPr>
                <w:rFonts w:hint="eastAsia"/>
                <w:kern w:val="0"/>
                <w:sz w:val="24"/>
              </w:rPr>
              <w:t>治理后</w:t>
            </w:r>
            <w:r>
              <w:rPr>
                <w:kern w:val="0"/>
                <w:sz w:val="24"/>
                <w:lang w:val="zh-CN"/>
              </w:rPr>
              <w:t>噪声源强在</w:t>
            </w:r>
            <w:r>
              <w:rPr>
                <w:rFonts w:hint="eastAsia"/>
                <w:kern w:val="0"/>
                <w:sz w:val="24"/>
              </w:rPr>
              <w:t>50</w:t>
            </w:r>
            <w:r>
              <w:rPr>
                <w:kern w:val="0"/>
                <w:sz w:val="24"/>
              </w:rPr>
              <w:t>-</w:t>
            </w:r>
            <w:r>
              <w:rPr>
                <w:rFonts w:hint="eastAsia"/>
                <w:kern w:val="0"/>
                <w:sz w:val="24"/>
              </w:rPr>
              <w:t>65</w:t>
            </w:r>
            <w:r>
              <w:rPr>
                <w:kern w:val="0"/>
                <w:sz w:val="24"/>
              </w:rPr>
              <w:t>dB</w:t>
            </w:r>
            <w:r>
              <w:rPr>
                <w:kern w:val="0"/>
                <w:sz w:val="24"/>
                <w:lang w:val="zh-CN"/>
              </w:rPr>
              <w:t>(A)之间</w:t>
            </w:r>
            <w:r>
              <w:rPr>
                <w:kern w:val="0"/>
                <w:sz w:val="24"/>
              </w:rPr>
              <w:t>。</w:t>
            </w:r>
          </w:p>
          <w:p>
            <w:pPr>
              <w:pStyle w:val="4"/>
              <w:spacing w:line="440" w:lineRule="exact"/>
              <w:ind w:firstLine="480"/>
              <w:rPr>
                <w:kern w:val="0"/>
                <w:sz w:val="24"/>
                <w:lang w:val="zh-CN"/>
              </w:rPr>
            </w:pPr>
            <w:r>
              <w:rPr>
                <w:kern w:val="0"/>
                <w:sz w:val="24"/>
                <w:lang w:val="zh-CN"/>
              </w:rPr>
              <w:t>项目</w:t>
            </w:r>
            <w:r>
              <w:rPr>
                <w:rFonts w:hint="eastAsia"/>
                <w:kern w:val="0"/>
                <w:sz w:val="24"/>
                <w:lang w:val="zh-CN"/>
              </w:rPr>
              <w:t>高</w:t>
            </w:r>
            <w:r>
              <w:rPr>
                <w:kern w:val="0"/>
                <w:sz w:val="24"/>
                <w:lang w:val="zh-CN"/>
              </w:rPr>
              <w:t>噪声</w:t>
            </w:r>
            <w:r>
              <w:rPr>
                <w:rFonts w:hint="eastAsia"/>
                <w:kern w:val="0"/>
                <w:sz w:val="24"/>
                <w:lang w:val="zh-CN"/>
              </w:rPr>
              <w:t>设备</w:t>
            </w:r>
            <w:r>
              <w:rPr>
                <w:kern w:val="0"/>
                <w:sz w:val="24"/>
                <w:lang w:val="zh-CN"/>
              </w:rPr>
              <w:t>污染源源强见</w:t>
            </w:r>
            <w:r>
              <w:rPr>
                <w:rFonts w:hint="eastAsia"/>
                <w:kern w:val="0"/>
                <w:sz w:val="24"/>
                <w:lang w:val="zh-CN"/>
              </w:rPr>
              <w:t>下</w:t>
            </w:r>
            <w:r>
              <w:rPr>
                <w:kern w:val="0"/>
                <w:sz w:val="24"/>
                <w:lang w:val="zh-CN"/>
              </w:rPr>
              <w:t>表。</w:t>
            </w:r>
          </w:p>
          <w:p>
            <w:pPr>
              <w:adjustRightInd w:val="0"/>
              <w:snapToGrid w:val="0"/>
              <w:spacing w:line="440" w:lineRule="exact"/>
              <w:ind w:firstLine="480" w:firstLineChars="200"/>
              <w:rPr>
                <w:rFonts w:eastAsia="黑体"/>
                <w:sz w:val="24"/>
                <w:lang w:val="zh-CN"/>
              </w:rPr>
            </w:pPr>
            <w:r>
              <w:rPr>
                <w:rFonts w:eastAsia="黑体"/>
                <w:sz w:val="24"/>
                <w:lang w:val="zh-CN"/>
              </w:rPr>
              <w:t>表</w:t>
            </w:r>
            <w:r>
              <w:rPr>
                <w:rFonts w:hint="eastAsia" w:eastAsia="黑体"/>
                <w:sz w:val="24"/>
              </w:rPr>
              <w:t>34</w:t>
            </w:r>
            <w:r>
              <w:rPr>
                <w:rFonts w:eastAsia="黑体"/>
                <w:sz w:val="24"/>
                <w:lang w:val="zh-CN"/>
              </w:rPr>
              <w:t xml:space="preserve"> </w:t>
            </w:r>
            <w:r>
              <w:rPr>
                <w:rFonts w:eastAsia="黑体"/>
                <w:sz w:val="24"/>
                <w:lang w:val="pt-BR"/>
              </w:rPr>
              <w:t xml:space="preserve">         </w:t>
            </w:r>
            <w:r>
              <w:rPr>
                <w:rFonts w:eastAsia="黑体"/>
                <w:sz w:val="24"/>
                <w:lang w:val="zh-CN"/>
              </w:rPr>
              <w:t xml:space="preserve"> </w:t>
            </w:r>
            <w:r>
              <w:rPr>
                <w:rFonts w:hint="eastAsia" w:eastAsia="黑体"/>
                <w:sz w:val="24"/>
              </w:rPr>
              <w:t xml:space="preserve">      </w:t>
            </w:r>
            <w:r>
              <w:rPr>
                <w:rFonts w:eastAsia="黑体"/>
                <w:sz w:val="24"/>
                <w:lang w:val="zh-CN"/>
              </w:rPr>
              <w:t>项目噪声污染源源强一览表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769"/>
              <w:gridCol w:w="1282"/>
              <w:gridCol w:w="1359"/>
              <w:gridCol w:w="2138"/>
              <w:gridCol w:w="179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0" w:type="pct"/>
                  <w:tcBorders>
                    <w:bottom w:val="single" w:color="auto" w:sz="8" w:space="0"/>
                  </w:tcBorders>
                  <w:vAlign w:val="center"/>
                </w:tcPr>
                <w:p>
                  <w:pPr>
                    <w:tabs>
                      <w:tab w:val="left" w:pos="8370"/>
                      <w:tab w:val="left" w:pos="8600"/>
                    </w:tabs>
                    <w:jc w:val="center"/>
                    <w:rPr>
                      <w:b/>
                      <w:szCs w:val="21"/>
                    </w:rPr>
                  </w:pPr>
                  <w:r>
                    <w:rPr>
                      <w:b/>
                      <w:szCs w:val="21"/>
                    </w:rPr>
                    <w:t>序号</w:t>
                  </w:r>
                </w:p>
              </w:tc>
              <w:tc>
                <w:tcPr>
                  <w:tcW w:w="949" w:type="pct"/>
                  <w:tcBorders>
                    <w:bottom w:val="single" w:color="auto" w:sz="8" w:space="0"/>
                  </w:tcBorders>
                  <w:vAlign w:val="center"/>
                </w:tcPr>
                <w:p>
                  <w:pPr>
                    <w:tabs>
                      <w:tab w:val="left" w:pos="8370"/>
                      <w:tab w:val="left" w:pos="8600"/>
                    </w:tabs>
                    <w:jc w:val="center"/>
                    <w:rPr>
                      <w:b/>
                      <w:szCs w:val="21"/>
                    </w:rPr>
                  </w:pPr>
                  <w:r>
                    <w:rPr>
                      <w:b/>
                      <w:szCs w:val="21"/>
                    </w:rPr>
                    <w:t>设备名称</w:t>
                  </w:r>
                </w:p>
              </w:tc>
              <w:tc>
                <w:tcPr>
                  <w:tcW w:w="688" w:type="pct"/>
                  <w:tcBorders>
                    <w:bottom w:val="single" w:color="auto" w:sz="8" w:space="0"/>
                  </w:tcBorders>
                  <w:vAlign w:val="center"/>
                </w:tcPr>
                <w:p>
                  <w:pPr>
                    <w:tabs>
                      <w:tab w:val="left" w:pos="8370"/>
                      <w:tab w:val="left" w:pos="8600"/>
                    </w:tabs>
                    <w:jc w:val="center"/>
                    <w:rPr>
                      <w:b/>
                      <w:szCs w:val="21"/>
                    </w:rPr>
                  </w:pPr>
                  <w:r>
                    <w:rPr>
                      <w:b/>
                      <w:szCs w:val="21"/>
                    </w:rPr>
                    <w:t>台数</w:t>
                  </w:r>
                </w:p>
              </w:tc>
              <w:tc>
                <w:tcPr>
                  <w:tcW w:w="729" w:type="pct"/>
                  <w:tcBorders>
                    <w:bottom w:val="single" w:color="auto" w:sz="8" w:space="0"/>
                  </w:tcBorders>
                  <w:vAlign w:val="center"/>
                </w:tcPr>
                <w:p>
                  <w:pPr>
                    <w:tabs>
                      <w:tab w:val="left" w:pos="8370"/>
                      <w:tab w:val="left" w:pos="8600"/>
                    </w:tabs>
                    <w:jc w:val="center"/>
                    <w:rPr>
                      <w:b/>
                      <w:szCs w:val="21"/>
                    </w:rPr>
                  </w:pPr>
                  <w:r>
                    <w:rPr>
                      <w:b/>
                      <w:szCs w:val="21"/>
                    </w:rPr>
                    <w:t>源强</w:t>
                  </w:r>
                </w:p>
              </w:tc>
              <w:tc>
                <w:tcPr>
                  <w:tcW w:w="1147" w:type="pct"/>
                  <w:tcBorders>
                    <w:bottom w:val="single" w:color="auto" w:sz="8" w:space="0"/>
                  </w:tcBorders>
                  <w:vAlign w:val="center"/>
                </w:tcPr>
                <w:p>
                  <w:pPr>
                    <w:tabs>
                      <w:tab w:val="left" w:pos="8370"/>
                      <w:tab w:val="left" w:pos="8600"/>
                    </w:tabs>
                    <w:jc w:val="center"/>
                    <w:rPr>
                      <w:b/>
                      <w:szCs w:val="21"/>
                    </w:rPr>
                  </w:pPr>
                  <w:r>
                    <w:rPr>
                      <w:b/>
                      <w:szCs w:val="21"/>
                    </w:rPr>
                    <w:t>治理措施</w:t>
                  </w:r>
                </w:p>
              </w:tc>
              <w:tc>
                <w:tcPr>
                  <w:tcW w:w="963" w:type="pct"/>
                  <w:tcBorders>
                    <w:bottom w:val="single" w:color="auto" w:sz="8" w:space="0"/>
                  </w:tcBorders>
                  <w:vAlign w:val="center"/>
                </w:tcPr>
                <w:p>
                  <w:pPr>
                    <w:tabs>
                      <w:tab w:val="left" w:pos="8370"/>
                      <w:tab w:val="left" w:pos="8600"/>
                    </w:tabs>
                    <w:jc w:val="center"/>
                    <w:rPr>
                      <w:b/>
                      <w:szCs w:val="21"/>
                    </w:rPr>
                  </w:pPr>
                  <w:r>
                    <w:rPr>
                      <w:b/>
                      <w:szCs w:val="21"/>
                    </w:rPr>
                    <w:t>治理后源强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0" w:type="pct"/>
                  <w:tcBorders>
                    <w:top w:val="single" w:color="auto" w:sz="8" w:space="0"/>
                  </w:tcBorders>
                  <w:vAlign w:val="center"/>
                </w:tcPr>
                <w:p>
                  <w:pPr>
                    <w:tabs>
                      <w:tab w:val="left" w:pos="8370"/>
                      <w:tab w:val="left" w:pos="8600"/>
                    </w:tabs>
                    <w:jc w:val="center"/>
                    <w:rPr>
                      <w:szCs w:val="21"/>
                    </w:rPr>
                  </w:pPr>
                  <w:r>
                    <w:rPr>
                      <w:szCs w:val="21"/>
                    </w:rPr>
                    <w:t>1</w:t>
                  </w:r>
                </w:p>
              </w:tc>
              <w:tc>
                <w:tcPr>
                  <w:tcW w:w="949" w:type="pct"/>
                  <w:tcBorders>
                    <w:top w:val="single" w:color="auto" w:sz="8" w:space="0"/>
                  </w:tcBorders>
                  <w:vAlign w:val="center"/>
                </w:tcPr>
                <w:p>
                  <w:pPr>
                    <w:tabs>
                      <w:tab w:val="left" w:pos="8370"/>
                      <w:tab w:val="left" w:pos="8600"/>
                    </w:tabs>
                    <w:jc w:val="center"/>
                    <w:rPr>
                      <w:szCs w:val="21"/>
                    </w:rPr>
                  </w:pPr>
                  <w:r>
                    <w:rPr>
                      <w:rFonts w:hint="eastAsia"/>
                      <w:color w:val="333333"/>
                      <w:szCs w:val="21"/>
                      <w:shd w:val="clear" w:color="auto" w:fill="FFFFFF"/>
                    </w:rPr>
                    <w:t>切割机</w:t>
                  </w:r>
                </w:p>
              </w:tc>
              <w:tc>
                <w:tcPr>
                  <w:tcW w:w="688" w:type="pct"/>
                  <w:tcBorders>
                    <w:top w:val="single" w:color="auto" w:sz="8" w:space="0"/>
                  </w:tcBorders>
                  <w:vAlign w:val="center"/>
                </w:tcPr>
                <w:p>
                  <w:pPr>
                    <w:tabs>
                      <w:tab w:val="left" w:pos="8370"/>
                      <w:tab w:val="left" w:pos="8600"/>
                    </w:tabs>
                    <w:jc w:val="center"/>
                    <w:rPr>
                      <w:szCs w:val="21"/>
                    </w:rPr>
                  </w:pPr>
                  <w:r>
                    <w:rPr>
                      <w:rFonts w:hint="eastAsia"/>
                      <w:szCs w:val="21"/>
                    </w:rPr>
                    <w:t>2</w:t>
                  </w:r>
                </w:p>
              </w:tc>
              <w:tc>
                <w:tcPr>
                  <w:tcW w:w="729" w:type="pct"/>
                  <w:tcBorders>
                    <w:top w:val="single" w:color="auto" w:sz="8" w:space="0"/>
                  </w:tcBorders>
                  <w:vAlign w:val="center"/>
                </w:tcPr>
                <w:p>
                  <w:pPr>
                    <w:tabs>
                      <w:tab w:val="left" w:pos="8370"/>
                      <w:tab w:val="left" w:pos="8600"/>
                    </w:tabs>
                    <w:jc w:val="center"/>
                    <w:rPr>
                      <w:szCs w:val="21"/>
                    </w:rPr>
                  </w:pPr>
                  <w:r>
                    <w:rPr>
                      <w:rFonts w:hint="eastAsia"/>
                      <w:szCs w:val="21"/>
                    </w:rPr>
                    <w:t>85</w:t>
                  </w:r>
                </w:p>
              </w:tc>
              <w:tc>
                <w:tcPr>
                  <w:tcW w:w="1147" w:type="pct"/>
                  <w:vMerge w:val="restart"/>
                  <w:tcBorders>
                    <w:top w:val="single" w:color="auto" w:sz="8" w:space="0"/>
                  </w:tcBorders>
                  <w:vAlign w:val="center"/>
                </w:tcPr>
                <w:p>
                  <w:pPr>
                    <w:tabs>
                      <w:tab w:val="left" w:pos="8370"/>
                      <w:tab w:val="left" w:pos="8600"/>
                    </w:tabs>
                    <w:jc w:val="center"/>
                    <w:rPr>
                      <w:szCs w:val="21"/>
                    </w:rPr>
                  </w:pPr>
                  <w:r>
                    <w:rPr>
                      <w:szCs w:val="21"/>
                    </w:rPr>
                    <w:t>合理布局、厂房隔音</w:t>
                  </w:r>
                </w:p>
              </w:tc>
              <w:tc>
                <w:tcPr>
                  <w:tcW w:w="963" w:type="pct"/>
                  <w:tcBorders>
                    <w:top w:val="single" w:color="auto" w:sz="8" w:space="0"/>
                  </w:tcBorders>
                  <w:vAlign w:val="center"/>
                </w:tcPr>
                <w:p>
                  <w:pPr>
                    <w:tabs>
                      <w:tab w:val="left" w:pos="8370"/>
                      <w:tab w:val="left" w:pos="8600"/>
                    </w:tabs>
                    <w:jc w:val="center"/>
                    <w:rPr>
                      <w:szCs w:val="21"/>
                    </w:rPr>
                  </w:pPr>
                  <w:r>
                    <w:rPr>
                      <w:rFonts w:hint="eastAsia"/>
                      <w:szCs w:val="21"/>
                    </w:rPr>
                    <w:t>65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0" w:type="pct"/>
                  <w:vAlign w:val="center"/>
                </w:tcPr>
                <w:p>
                  <w:pPr>
                    <w:tabs>
                      <w:tab w:val="left" w:pos="8370"/>
                      <w:tab w:val="left" w:pos="8600"/>
                    </w:tabs>
                    <w:jc w:val="center"/>
                    <w:rPr>
                      <w:szCs w:val="21"/>
                    </w:rPr>
                  </w:pPr>
                  <w:r>
                    <w:rPr>
                      <w:szCs w:val="21"/>
                    </w:rPr>
                    <w:t>2</w:t>
                  </w:r>
                </w:p>
              </w:tc>
              <w:tc>
                <w:tcPr>
                  <w:tcW w:w="949" w:type="pct"/>
                  <w:vAlign w:val="center"/>
                </w:tcPr>
                <w:p>
                  <w:pPr>
                    <w:tabs>
                      <w:tab w:val="left" w:pos="8370"/>
                      <w:tab w:val="left" w:pos="8600"/>
                    </w:tabs>
                    <w:jc w:val="center"/>
                    <w:rPr>
                      <w:szCs w:val="21"/>
                    </w:rPr>
                  </w:pPr>
                  <w:r>
                    <w:rPr>
                      <w:rFonts w:hint="eastAsia"/>
                      <w:color w:val="333333"/>
                      <w:szCs w:val="21"/>
                      <w:shd w:val="clear" w:color="auto" w:fill="FFFFFF"/>
                    </w:rPr>
                    <w:t>折弯机</w:t>
                  </w:r>
                </w:p>
              </w:tc>
              <w:tc>
                <w:tcPr>
                  <w:tcW w:w="688" w:type="pct"/>
                  <w:vAlign w:val="center"/>
                </w:tcPr>
                <w:p>
                  <w:pPr>
                    <w:tabs>
                      <w:tab w:val="left" w:pos="8370"/>
                      <w:tab w:val="left" w:pos="8600"/>
                    </w:tabs>
                    <w:jc w:val="center"/>
                    <w:rPr>
                      <w:szCs w:val="21"/>
                    </w:rPr>
                  </w:pPr>
                  <w:r>
                    <w:rPr>
                      <w:rFonts w:hint="eastAsia"/>
                      <w:szCs w:val="21"/>
                    </w:rPr>
                    <w:t>1</w:t>
                  </w:r>
                </w:p>
              </w:tc>
              <w:tc>
                <w:tcPr>
                  <w:tcW w:w="729" w:type="pct"/>
                  <w:vAlign w:val="center"/>
                </w:tcPr>
                <w:p>
                  <w:pPr>
                    <w:tabs>
                      <w:tab w:val="left" w:pos="8370"/>
                      <w:tab w:val="left" w:pos="8600"/>
                    </w:tabs>
                    <w:jc w:val="center"/>
                    <w:rPr>
                      <w:szCs w:val="21"/>
                    </w:rPr>
                  </w:pPr>
                  <w:r>
                    <w:rPr>
                      <w:rFonts w:hint="eastAsia"/>
                      <w:szCs w:val="21"/>
                    </w:rPr>
                    <w:t>70</w:t>
                  </w:r>
                </w:p>
              </w:tc>
              <w:tc>
                <w:tcPr>
                  <w:tcW w:w="1147" w:type="pct"/>
                  <w:vMerge w:val="continue"/>
                  <w:vAlign w:val="center"/>
                </w:tcPr>
                <w:p>
                  <w:pPr>
                    <w:tabs>
                      <w:tab w:val="left" w:pos="8370"/>
                      <w:tab w:val="left" w:pos="8600"/>
                    </w:tabs>
                    <w:jc w:val="center"/>
                    <w:rPr>
                      <w:kern w:val="0"/>
                      <w:szCs w:val="21"/>
                    </w:rPr>
                  </w:pPr>
                </w:p>
              </w:tc>
              <w:tc>
                <w:tcPr>
                  <w:tcW w:w="963" w:type="pct"/>
                  <w:vAlign w:val="center"/>
                </w:tcPr>
                <w:p>
                  <w:pPr>
                    <w:tabs>
                      <w:tab w:val="left" w:pos="8370"/>
                      <w:tab w:val="left" w:pos="8600"/>
                    </w:tabs>
                    <w:jc w:val="center"/>
                    <w:rPr>
                      <w:szCs w:val="21"/>
                    </w:rPr>
                  </w:pPr>
                  <w:r>
                    <w:rPr>
                      <w:rFonts w:hint="eastAsia"/>
                      <w:szCs w:val="21"/>
                    </w:rPr>
                    <w:t>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0" w:type="pct"/>
                  <w:vAlign w:val="center"/>
                </w:tcPr>
                <w:p>
                  <w:pPr>
                    <w:tabs>
                      <w:tab w:val="left" w:pos="8370"/>
                      <w:tab w:val="left" w:pos="8600"/>
                    </w:tabs>
                    <w:jc w:val="center"/>
                    <w:rPr>
                      <w:szCs w:val="21"/>
                    </w:rPr>
                  </w:pPr>
                  <w:r>
                    <w:rPr>
                      <w:rFonts w:hint="eastAsia"/>
                      <w:szCs w:val="21"/>
                    </w:rPr>
                    <w:t>3</w:t>
                  </w:r>
                </w:p>
              </w:tc>
              <w:tc>
                <w:tcPr>
                  <w:tcW w:w="949" w:type="pct"/>
                  <w:vAlign w:val="center"/>
                </w:tcPr>
                <w:p>
                  <w:pPr>
                    <w:jc w:val="center"/>
                    <w:rPr>
                      <w:szCs w:val="21"/>
                    </w:rPr>
                  </w:pPr>
                  <w:r>
                    <w:rPr>
                      <w:rFonts w:hint="eastAsia"/>
                      <w:color w:val="333333"/>
                      <w:szCs w:val="21"/>
                      <w:shd w:val="clear" w:color="auto" w:fill="FFFFFF"/>
                    </w:rPr>
                    <w:t>电锯</w:t>
                  </w:r>
                </w:p>
              </w:tc>
              <w:tc>
                <w:tcPr>
                  <w:tcW w:w="688" w:type="pct"/>
                  <w:vAlign w:val="center"/>
                </w:tcPr>
                <w:p>
                  <w:pPr>
                    <w:tabs>
                      <w:tab w:val="left" w:pos="8370"/>
                      <w:tab w:val="left" w:pos="8600"/>
                    </w:tabs>
                    <w:jc w:val="center"/>
                    <w:rPr>
                      <w:szCs w:val="21"/>
                    </w:rPr>
                  </w:pPr>
                  <w:r>
                    <w:rPr>
                      <w:rFonts w:hint="eastAsia"/>
                      <w:szCs w:val="21"/>
                    </w:rPr>
                    <w:t>1</w:t>
                  </w:r>
                </w:p>
              </w:tc>
              <w:tc>
                <w:tcPr>
                  <w:tcW w:w="729" w:type="pct"/>
                  <w:vAlign w:val="center"/>
                </w:tcPr>
                <w:p>
                  <w:pPr>
                    <w:tabs>
                      <w:tab w:val="left" w:pos="8370"/>
                      <w:tab w:val="left" w:pos="8600"/>
                    </w:tabs>
                    <w:jc w:val="center"/>
                    <w:rPr>
                      <w:szCs w:val="21"/>
                    </w:rPr>
                  </w:pPr>
                  <w:r>
                    <w:rPr>
                      <w:rFonts w:hint="eastAsia"/>
                      <w:szCs w:val="21"/>
                    </w:rPr>
                    <w:t>85</w:t>
                  </w:r>
                </w:p>
              </w:tc>
              <w:tc>
                <w:tcPr>
                  <w:tcW w:w="1147" w:type="pct"/>
                  <w:vMerge w:val="continue"/>
                  <w:vAlign w:val="center"/>
                </w:tcPr>
                <w:p>
                  <w:pPr>
                    <w:tabs>
                      <w:tab w:val="left" w:pos="8370"/>
                      <w:tab w:val="left" w:pos="8600"/>
                    </w:tabs>
                    <w:jc w:val="center"/>
                    <w:rPr>
                      <w:kern w:val="0"/>
                      <w:szCs w:val="21"/>
                    </w:rPr>
                  </w:pPr>
                </w:p>
              </w:tc>
              <w:tc>
                <w:tcPr>
                  <w:tcW w:w="963" w:type="pct"/>
                  <w:vAlign w:val="center"/>
                </w:tcPr>
                <w:p>
                  <w:pPr>
                    <w:tabs>
                      <w:tab w:val="left" w:pos="8370"/>
                      <w:tab w:val="left" w:pos="8600"/>
                    </w:tabs>
                    <w:jc w:val="center"/>
                    <w:rPr>
                      <w:szCs w:val="21"/>
                    </w:rPr>
                  </w:pPr>
                  <w:r>
                    <w:rPr>
                      <w:rFonts w:hint="eastAsia"/>
                      <w:szCs w:val="21"/>
                    </w:rPr>
                    <w:t>65</w:t>
                  </w:r>
                </w:p>
              </w:tc>
            </w:tr>
          </w:tbl>
          <w:p>
            <w:pPr>
              <w:adjustRightInd w:val="0"/>
              <w:snapToGrid w:val="0"/>
              <w:spacing w:line="440" w:lineRule="exact"/>
              <w:ind w:firstLine="482" w:firstLineChars="200"/>
              <w:rPr>
                <w:b/>
                <w:bCs/>
                <w:sz w:val="24"/>
              </w:rPr>
            </w:pPr>
            <w:r>
              <w:rPr>
                <w:b/>
                <w:bCs/>
                <w:sz w:val="24"/>
              </w:rPr>
              <w:t>2、 预测模式</w:t>
            </w:r>
          </w:p>
          <w:p>
            <w:pPr>
              <w:spacing w:line="440" w:lineRule="exact"/>
              <w:ind w:firstLine="480" w:firstLineChars="200"/>
              <w:rPr>
                <w:sz w:val="24"/>
              </w:rPr>
            </w:pPr>
            <w:r>
              <w:rPr>
                <w:sz w:val="24"/>
              </w:rPr>
              <w:t>点声源影响预测公式：</w:t>
            </w:r>
          </w:p>
          <w:p>
            <w:pPr>
              <w:spacing w:line="440" w:lineRule="exact"/>
              <w:jc w:val="center"/>
              <w:rPr>
                <w:sz w:val="24"/>
              </w:rPr>
            </w:pPr>
            <w:r>
              <w:rPr>
                <w:bCs/>
                <w:position w:val="-14"/>
                <w:sz w:val="24"/>
              </w:rPr>
              <w:object>
                <v:shape id="_x0000_i1025" o:spt="75" type="#_x0000_t75" style="height:19.5pt;width:127.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pPr>
              <w:spacing w:line="440" w:lineRule="exact"/>
              <w:ind w:firstLine="480" w:firstLineChars="200"/>
              <w:rPr>
                <w:sz w:val="24"/>
              </w:rPr>
            </w:pPr>
            <w:r>
              <w:rPr>
                <w:sz w:val="24"/>
              </w:rPr>
              <w:t>多源叠加公式：</w:t>
            </w:r>
          </w:p>
          <w:p>
            <w:pPr>
              <w:spacing w:line="440" w:lineRule="exact"/>
              <w:ind w:firstLine="3240" w:firstLineChars="1350"/>
              <w:rPr>
                <w:bCs/>
                <w:sz w:val="24"/>
              </w:rPr>
            </w:pPr>
            <w:r>
              <w:rPr>
                <w:bCs/>
                <w:position w:val="-16"/>
                <w:sz w:val="24"/>
              </w:rPr>
              <w:object>
                <v:shape id="_x0000_i1026" o:spt="75" type="#_x0000_t75" style="height:19.5pt;width:82.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pPr>
              <w:spacing w:line="440" w:lineRule="exact"/>
              <w:ind w:firstLine="480" w:firstLineChars="200"/>
              <w:rPr>
                <w:sz w:val="24"/>
              </w:rPr>
            </w:pPr>
            <w:r>
              <w:rPr>
                <w:sz w:val="24"/>
              </w:rPr>
              <w:t>式中：L</w:t>
            </w:r>
            <w:r>
              <w:rPr>
                <w:sz w:val="24"/>
                <w:vertAlign w:val="subscript"/>
              </w:rPr>
              <w:t>(r)</w:t>
            </w:r>
            <w:r>
              <w:rPr>
                <w:sz w:val="24"/>
              </w:rPr>
              <w:t>——距离噪声源r处的等效A声级值，dB(A)；</w:t>
            </w:r>
          </w:p>
          <w:p>
            <w:pPr>
              <w:spacing w:line="440" w:lineRule="exact"/>
              <w:ind w:firstLine="1200" w:firstLineChars="500"/>
              <w:rPr>
                <w:sz w:val="24"/>
              </w:rPr>
            </w:pPr>
            <w:r>
              <w:rPr>
                <w:sz w:val="24"/>
              </w:rPr>
              <w:t>L</w:t>
            </w:r>
            <w:r>
              <w:rPr>
                <w:sz w:val="24"/>
                <w:vertAlign w:val="subscript"/>
              </w:rPr>
              <w:t>(r0)</w:t>
            </w:r>
            <w:r>
              <w:rPr>
                <w:sz w:val="24"/>
              </w:rPr>
              <w:t>——距离噪声源r</w:t>
            </w:r>
            <w:r>
              <w:rPr>
                <w:sz w:val="24"/>
                <w:vertAlign w:val="subscript"/>
              </w:rPr>
              <w:t>0</w:t>
            </w:r>
            <w:r>
              <w:rPr>
                <w:sz w:val="24"/>
              </w:rPr>
              <w:t>处的等效A声级值，dB(A)；</w:t>
            </w:r>
          </w:p>
          <w:p>
            <w:pPr>
              <w:spacing w:line="440" w:lineRule="exact"/>
              <w:ind w:firstLine="1200" w:firstLineChars="500"/>
              <w:rPr>
                <w:sz w:val="24"/>
              </w:rPr>
            </w:pPr>
            <w:r>
              <w:rPr>
                <w:sz w:val="24"/>
              </w:rPr>
              <w:t>r ——预测点距噪声源距离，m；</w:t>
            </w:r>
          </w:p>
          <w:p>
            <w:pPr>
              <w:spacing w:line="440" w:lineRule="exact"/>
              <w:ind w:firstLine="1200" w:firstLineChars="500"/>
              <w:rPr>
                <w:sz w:val="24"/>
              </w:rPr>
            </w:pPr>
            <w:r>
              <w:rPr>
                <w:sz w:val="24"/>
              </w:rPr>
              <w:t>r</w:t>
            </w:r>
            <w:r>
              <w:rPr>
                <w:sz w:val="24"/>
                <w:vertAlign w:val="subscript"/>
              </w:rPr>
              <w:t>0</w:t>
            </w:r>
            <w:r>
              <w:rPr>
                <w:sz w:val="24"/>
              </w:rPr>
              <w:t>——源强外1m处；</w:t>
            </w:r>
          </w:p>
          <w:p>
            <w:pPr>
              <w:spacing w:line="440" w:lineRule="exact"/>
              <w:ind w:firstLine="1200" w:firstLineChars="500"/>
              <w:rPr>
                <w:sz w:val="24"/>
              </w:rPr>
            </w:pPr>
            <w:r>
              <w:rPr>
                <w:sz w:val="24"/>
              </w:rPr>
              <w:t>L——总等效A声级值，dB(A)；</w:t>
            </w:r>
          </w:p>
          <w:p>
            <w:pPr>
              <w:spacing w:line="440" w:lineRule="exact"/>
              <w:ind w:firstLine="1200" w:firstLineChars="500"/>
              <w:rPr>
                <w:sz w:val="24"/>
              </w:rPr>
            </w:pPr>
            <w:r>
              <w:rPr>
                <w:sz w:val="24"/>
              </w:rPr>
              <w:t>L</w:t>
            </w:r>
            <w:r>
              <w:rPr>
                <w:sz w:val="24"/>
                <w:vertAlign w:val="subscript"/>
              </w:rPr>
              <w:t>i</w:t>
            </w:r>
            <w:r>
              <w:rPr>
                <w:sz w:val="24"/>
              </w:rPr>
              <w:t>——第i个声源的等效A声压级值，dB(A)；</w:t>
            </w:r>
          </w:p>
          <w:p>
            <w:pPr>
              <w:spacing w:line="440" w:lineRule="exact"/>
              <w:ind w:firstLine="1200" w:firstLineChars="500"/>
              <w:rPr>
                <w:sz w:val="24"/>
              </w:rPr>
            </w:pPr>
            <w:r>
              <w:rPr>
                <w:sz w:val="24"/>
              </w:rPr>
              <w:t>△L——其它各种因素引起的附加衰减量（包括遮挡物、空气吸收、地面效应等引起的衰减量），dB(A)；</w:t>
            </w:r>
          </w:p>
          <w:p>
            <w:pPr>
              <w:spacing w:line="440" w:lineRule="exact"/>
              <w:ind w:firstLine="1200" w:firstLineChars="500"/>
              <w:rPr>
                <w:sz w:val="24"/>
              </w:rPr>
            </w:pPr>
            <w:r>
              <w:rPr>
                <w:sz w:val="24"/>
              </w:rPr>
              <w:t>n——声源数量。</w:t>
            </w:r>
          </w:p>
          <w:p>
            <w:pPr>
              <w:adjustRightInd w:val="0"/>
              <w:snapToGrid w:val="0"/>
              <w:spacing w:line="440" w:lineRule="exact"/>
              <w:ind w:firstLine="482" w:firstLineChars="200"/>
              <w:rPr>
                <w:b/>
                <w:bCs/>
                <w:sz w:val="24"/>
              </w:rPr>
            </w:pPr>
            <w:r>
              <w:rPr>
                <w:b/>
                <w:bCs/>
                <w:sz w:val="24"/>
              </w:rPr>
              <w:t>3、预测结果</w:t>
            </w:r>
          </w:p>
          <w:p>
            <w:pPr>
              <w:pStyle w:val="15"/>
              <w:tabs>
                <w:tab w:val="left" w:pos="210"/>
              </w:tabs>
              <w:snapToGrid w:val="0"/>
              <w:spacing w:line="440" w:lineRule="exact"/>
              <w:ind w:firstLine="480"/>
              <w:rPr>
                <w:sz w:val="24"/>
              </w:rPr>
            </w:pPr>
            <w:r>
              <w:rPr>
                <w:sz w:val="24"/>
              </w:rPr>
              <w:t>项目建成后，项目主要噪声源对各厂界预测结果见</w:t>
            </w:r>
            <w:r>
              <w:rPr>
                <w:rFonts w:hint="eastAsia"/>
                <w:sz w:val="24"/>
              </w:rPr>
              <w:t>下</w:t>
            </w:r>
            <w:r>
              <w:rPr>
                <w:sz w:val="24"/>
              </w:rPr>
              <w:t>表。</w:t>
            </w:r>
          </w:p>
          <w:p>
            <w:pPr>
              <w:adjustRightInd w:val="0"/>
              <w:snapToGrid w:val="0"/>
              <w:spacing w:line="440" w:lineRule="exact"/>
              <w:ind w:firstLine="480" w:firstLineChars="200"/>
              <w:rPr>
                <w:rFonts w:eastAsia="黑体"/>
                <w:sz w:val="24"/>
                <w:lang w:val="zh-CN"/>
              </w:rPr>
            </w:pPr>
            <w:r>
              <w:rPr>
                <w:rFonts w:eastAsia="黑体"/>
                <w:sz w:val="24"/>
                <w:lang w:val="zh-CN"/>
              </w:rPr>
              <w:t>表</w:t>
            </w:r>
            <w:r>
              <w:rPr>
                <w:rFonts w:hint="eastAsia" w:eastAsia="黑体"/>
                <w:sz w:val="24"/>
              </w:rPr>
              <w:t>35</w:t>
            </w:r>
            <w:r>
              <w:rPr>
                <w:rFonts w:eastAsia="黑体"/>
                <w:sz w:val="24"/>
                <w:lang w:val="zh-CN"/>
              </w:rPr>
              <w:t xml:space="preserve">                </w:t>
            </w:r>
            <w:r>
              <w:rPr>
                <w:rFonts w:hint="eastAsia" w:eastAsia="黑体"/>
                <w:sz w:val="24"/>
              </w:rPr>
              <w:t xml:space="preserve">  </w:t>
            </w:r>
            <w:r>
              <w:rPr>
                <w:rFonts w:eastAsia="黑体"/>
                <w:sz w:val="24"/>
                <w:lang w:val="zh-CN"/>
              </w:rPr>
              <w:t xml:space="preserve">  噪声预测结果表           </w:t>
            </w:r>
            <w:r>
              <w:rPr>
                <w:rFonts w:hint="eastAsia" w:eastAsia="黑体"/>
                <w:sz w:val="24"/>
              </w:rPr>
              <w:t xml:space="preserve">   </w:t>
            </w:r>
            <w:r>
              <w:rPr>
                <w:rFonts w:eastAsia="黑体"/>
                <w:sz w:val="24"/>
                <w:lang w:val="zh-CN"/>
              </w:rPr>
              <w:t xml:space="preserve">      单位：dB(A)</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742"/>
              <w:gridCol w:w="1528"/>
              <w:gridCol w:w="2876"/>
              <w:gridCol w:w="167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pct"/>
                  <w:tcBorders>
                    <w:bottom w:val="single" w:color="auto" w:sz="8" w:space="0"/>
                  </w:tcBorders>
                  <w:vAlign w:val="center"/>
                </w:tcPr>
                <w:p>
                  <w:pPr>
                    <w:widowControl/>
                    <w:tabs>
                      <w:tab w:val="left" w:pos="1110"/>
                    </w:tabs>
                    <w:jc w:val="center"/>
                    <w:rPr>
                      <w:b/>
                      <w:bCs/>
                      <w:szCs w:val="21"/>
                    </w:rPr>
                  </w:pPr>
                  <w:r>
                    <w:rPr>
                      <w:b/>
                      <w:bCs/>
                      <w:szCs w:val="21"/>
                    </w:rPr>
                    <w:t>项目预测点</w:t>
                  </w:r>
                </w:p>
              </w:tc>
              <w:tc>
                <w:tcPr>
                  <w:tcW w:w="935" w:type="pct"/>
                  <w:tcBorders>
                    <w:bottom w:val="single" w:color="auto" w:sz="8" w:space="0"/>
                  </w:tcBorders>
                  <w:vAlign w:val="center"/>
                </w:tcPr>
                <w:p>
                  <w:pPr>
                    <w:widowControl/>
                    <w:jc w:val="center"/>
                    <w:rPr>
                      <w:b/>
                      <w:bCs/>
                      <w:szCs w:val="21"/>
                    </w:rPr>
                  </w:pPr>
                  <w:r>
                    <w:rPr>
                      <w:b/>
                      <w:bCs/>
                      <w:szCs w:val="21"/>
                    </w:rPr>
                    <w:t>距厂界的距离</w:t>
                  </w:r>
                </w:p>
              </w:tc>
              <w:tc>
                <w:tcPr>
                  <w:tcW w:w="820" w:type="pct"/>
                  <w:tcBorders>
                    <w:bottom w:val="single" w:color="auto" w:sz="8" w:space="0"/>
                  </w:tcBorders>
                  <w:vAlign w:val="center"/>
                </w:tcPr>
                <w:p>
                  <w:pPr>
                    <w:widowControl/>
                    <w:jc w:val="center"/>
                    <w:rPr>
                      <w:b/>
                      <w:bCs/>
                      <w:szCs w:val="21"/>
                    </w:rPr>
                  </w:pPr>
                  <w:r>
                    <w:rPr>
                      <w:b/>
                      <w:bCs/>
                      <w:szCs w:val="21"/>
                    </w:rPr>
                    <w:t>贡献值dB(A)</w:t>
                  </w:r>
                </w:p>
              </w:tc>
              <w:tc>
                <w:tcPr>
                  <w:tcW w:w="1543" w:type="pct"/>
                  <w:tcBorders>
                    <w:bottom w:val="single" w:color="auto" w:sz="8" w:space="0"/>
                  </w:tcBorders>
                  <w:vAlign w:val="center"/>
                </w:tcPr>
                <w:p>
                  <w:pPr>
                    <w:widowControl/>
                    <w:jc w:val="center"/>
                    <w:rPr>
                      <w:b/>
                      <w:bCs/>
                      <w:szCs w:val="21"/>
                    </w:rPr>
                  </w:pPr>
                  <w:r>
                    <w:rPr>
                      <w:b/>
                      <w:bCs/>
                      <w:szCs w:val="21"/>
                    </w:rPr>
                    <w:t>执行标准</w:t>
                  </w:r>
                </w:p>
              </w:tc>
              <w:tc>
                <w:tcPr>
                  <w:tcW w:w="901" w:type="pct"/>
                  <w:tcBorders>
                    <w:bottom w:val="single" w:color="auto" w:sz="8" w:space="0"/>
                  </w:tcBorders>
                  <w:vAlign w:val="center"/>
                </w:tcPr>
                <w:p>
                  <w:pPr>
                    <w:widowControl/>
                    <w:jc w:val="center"/>
                    <w:rPr>
                      <w:b/>
                      <w:bCs/>
                      <w:szCs w:val="21"/>
                    </w:rPr>
                  </w:pPr>
                  <w:r>
                    <w:rPr>
                      <w:b/>
                      <w:bCs/>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pct"/>
                  <w:tcBorders>
                    <w:top w:val="single" w:color="auto" w:sz="8" w:space="0"/>
                  </w:tcBorders>
                  <w:vAlign w:val="center"/>
                </w:tcPr>
                <w:p>
                  <w:pPr>
                    <w:widowControl/>
                    <w:jc w:val="center"/>
                    <w:rPr>
                      <w:szCs w:val="21"/>
                    </w:rPr>
                  </w:pPr>
                  <w:r>
                    <w:rPr>
                      <w:szCs w:val="21"/>
                    </w:rPr>
                    <w:t>东厂界</w:t>
                  </w:r>
                </w:p>
              </w:tc>
              <w:tc>
                <w:tcPr>
                  <w:tcW w:w="935" w:type="pct"/>
                  <w:tcBorders>
                    <w:top w:val="single" w:color="auto" w:sz="8" w:space="0"/>
                  </w:tcBorders>
                  <w:vAlign w:val="center"/>
                </w:tcPr>
                <w:p>
                  <w:pPr>
                    <w:widowControl/>
                    <w:jc w:val="center"/>
                    <w:rPr>
                      <w:szCs w:val="21"/>
                    </w:rPr>
                  </w:pPr>
                  <w:r>
                    <w:rPr>
                      <w:rFonts w:hint="eastAsia"/>
                      <w:szCs w:val="21"/>
                    </w:rPr>
                    <w:t>10</w:t>
                  </w:r>
                </w:p>
              </w:tc>
              <w:tc>
                <w:tcPr>
                  <w:tcW w:w="820" w:type="pct"/>
                  <w:tcBorders>
                    <w:top w:val="single" w:color="auto" w:sz="8" w:space="0"/>
                  </w:tcBorders>
                  <w:vAlign w:val="center"/>
                </w:tcPr>
                <w:p>
                  <w:pPr>
                    <w:widowControl/>
                    <w:jc w:val="center"/>
                    <w:rPr>
                      <w:szCs w:val="21"/>
                    </w:rPr>
                  </w:pPr>
                  <w:r>
                    <w:rPr>
                      <w:rFonts w:hint="eastAsia"/>
                      <w:szCs w:val="21"/>
                    </w:rPr>
                    <w:t>48</w:t>
                  </w:r>
                </w:p>
              </w:tc>
              <w:tc>
                <w:tcPr>
                  <w:tcW w:w="1543" w:type="pct"/>
                  <w:vMerge w:val="restart"/>
                  <w:tcBorders>
                    <w:top w:val="single" w:color="auto" w:sz="8" w:space="0"/>
                  </w:tcBorders>
                  <w:vAlign w:val="center"/>
                </w:tcPr>
                <w:p>
                  <w:pPr>
                    <w:widowControl/>
                    <w:jc w:val="center"/>
                    <w:rPr>
                      <w:szCs w:val="21"/>
                    </w:rPr>
                  </w:pPr>
                  <w:r>
                    <w:rPr>
                      <w:szCs w:val="21"/>
                    </w:rPr>
                    <w:t>《工业企业厂界环境噪声排放标准》（GB12348-2008）2类标准：（昼间≤60dB(A)）</w:t>
                  </w:r>
                </w:p>
              </w:tc>
              <w:tc>
                <w:tcPr>
                  <w:tcW w:w="901" w:type="pct"/>
                  <w:tcBorders>
                    <w:top w:val="single" w:color="auto" w:sz="8" w:space="0"/>
                  </w:tcBorders>
                  <w:vAlign w:val="center"/>
                </w:tcPr>
                <w:p>
                  <w:pPr>
                    <w:widowControl/>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pct"/>
                  <w:vAlign w:val="center"/>
                </w:tcPr>
                <w:p>
                  <w:pPr>
                    <w:widowControl/>
                    <w:jc w:val="center"/>
                    <w:rPr>
                      <w:szCs w:val="21"/>
                    </w:rPr>
                  </w:pPr>
                  <w:r>
                    <w:rPr>
                      <w:szCs w:val="21"/>
                    </w:rPr>
                    <w:t>南厂界</w:t>
                  </w:r>
                </w:p>
              </w:tc>
              <w:tc>
                <w:tcPr>
                  <w:tcW w:w="935" w:type="pct"/>
                  <w:vAlign w:val="center"/>
                </w:tcPr>
                <w:p>
                  <w:pPr>
                    <w:widowControl/>
                    <w:jc w:val="center"/>
                    <w:rPr>
                      <w:szCs w:val="21"/>
                    </w:rPr>
                  </w:pPr>
                  <w:r>
                    <w:rPr>
                      <w:rFonts w:hint="eastAsia"/>
                      <w:szCs w:val="21"/>
                    </w:rPr>
                    <w:t>8</w:t>
                  </w:r>
                </w:p>
              </w:tc>
              <w:tc>
                <w:tcPr>
                  <w:tcW w:w="820" w:type="pct"/>
                  <w:vAlign w:val="center"/>
                </w:tcPr>
                <w:p>
                  <w:pPr>
                    <w:widowControl/>
                    <w:jc w:val="center"/>
                    <w:rPr>
                      <w:szCs w:val="21"/>
                    </w:rPr>
                  </w:pPr>
                  <w:r>
                    <w:rPr>
                      <w:rFonts w:hint="eastAsia"/>
                      <w:szCs w:val="21"/>
                    </w:rPr>
                    <w:t>49.9</w:t>
                  </w:r>
                </w:p>
              </w:tc>
              <w:tc>
                <w:tcPr>
                  <w:tcW w:w="1543" w:type="pct"/>
                  <w:vMerge w:val="continue"/>
                  <w:vAlign w:val="center"/>
                </w:tcPr>
                <w:p>
                  <w:pPr>
                    <w:widowControl/>
                    <w:jc w:val="center"/>
                    <w:rPr>
                      <w:szCs w:val="21"/>
                    </w:rPr>
                  </w:pPr>
                </w:p>
              </w:tc>
              <w:tc>
                <w:tcPr>
                  <w:tcW w:w="901" w:type="pct"/>
                  <w:vAlign w:val="center"/>
                </w:tcPr>
                <w:p>
                  <w:pPr>
                    <w:widowControl/>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pct"/>
                  <w:vAlign w:val="center"/>
                </w:tcPr>
                <w:p>
                  <w:pPr>
                    <w:widowControl/>
                    <w:jc w:val="center"/>
                    <w:rPr>
                      <w:szCs w:val="21"/>
                    </w:rPr>
                  </w:pPr>
                  <w:r>
                    <w:rPr>
                      <w:szCs w:val="21"/>
                    </w:rPr>
                    <w:t>西厂界</w:t>
                  </w:r>
                </w:p>
              </w:tc>
              <w:tc>
                <w:tcPr>
                  <w:tcW w:w="935" w:type="pct"/>
                  <w:vAlign w:val="center"/>
                </w:tcPr>
                <w:p>
                  <w:pPr>
                    <w:widowControl/>
                    <w:jc w:val="center"/>
                    <w:rPr>
                      <w:szCs w:val="21"/>
                    </w:rPr>
                  </w:pPr>
                  <w:r>
                    <w:rPr>
                      <w:rFonts w:hint="eastAsia"/>
                      <w:szCs w:val="21"/>
                    </w:rPr>
                    <w:t>10</w:t>
                  </w:r>
                </w:p>
              </w:tc>
              <w:tc>
                <w:tcPr>
                  <w:tcW w:w="820" w:type="pct"/>
                  <w:vAlign w:val="center"/>
                </w:tcPr>
                <w:p>
                  <w:pPr>
                    <w:widowControl/>
                    <w:jc w:val="center"/>
                    <w:rPr>
                      <w:szCs w:val="21"/>
                    </w:rPr>
                  </w:pPr>
                  <w:r>
                    <w:rPr>
                      <w:rFonts w:hint="eastAsia"/>
                      <w:szCs w:val="21"/>
                    </w:rPr>
                    <w:t>48</w:t>
                  </w:r>
                </w:p>
              </w:tc>
              <w:tc>
                <w:tcPr>
                  <w:tcW w:w="1543" w:type="pct"/>
                  <w:vMerge w:val="continue"/>
                  <w:vAlign w:val="center"/>
                </w:tcPr>
                <w:p>
                  <w:pPr>
                    <w:widowControl/>
                    <w:jc w:val="center"/>
                    <w:rPr>
                      <w:szCs w:val="21"/>
                    </w:rPr>
                  </w:pPr>
                </w:p>
              </w:tc>
              <w:tc>
                <w:tcPr>
                  <w:tcW w:w="901" w:type="pct"/>
                  <w:vAlign w:val="center"/>
                </w:tcPr>
                <w:p>
                  <w:pPr>
                    <w:widowControl/>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pct"/>
                  <w:vAlign w:val="center"/>
                </w:tcPr>
                <w:p>
                  <w:pPr>
                    <w:widowControl/>
                    <w:jc w:val="center"/>
                    <w:rPr>
                      <w:szCs w:val="21"/>
                    </w:rPr>
                  </w:pPr>
                  <w:r>
                    <w:rPr>
                      <w:szCs w:val="21"/>
                    </w:rPr>
                    <w:t>北厂界</w:t>
                  </w:r>
                </w:p>
              </w:tc>
              <w:tc>
                <w:tcPr>
                  <w:tcW w:w="935" w:type="pct"/>
                  <w:vAlign w:val="center"/>
                </w:tcPr>
                <w:p>
                  <w:pPr>
                    <w:widowControl/>
                    <w:jc w:val="center"/>
                    <w:rPr>
                      <w:szCs w:val="21"/>
                    </w:rPr>
                  </w:pPr>
                  <w:r>
                    <w:rPr>
                      <w:rFonts w:hint="eastAsia"/>
                      <w:szCs w:val="21"/>
                    </w:rPr>
                    <w:t>5</w:t>
                  </w:r>
                </w:p>
              </w:tc>
              <w:tc>
                <w:tcPr>
                  <w:tcW w:w="820" w:type="pct"/>
                  <w:vAlign w:val="center"/>
                </w:tcPr>
                <w:p>
                  <w:pPr>
                    <w:widowControl/>
                    <w:jc w:val="center"/>
                    <w:rPr>
                      <w:szCs w:val="21"/>
                    </w:rPr>
                  </w:pPr>
                  <w:r>
                    <w:rPr>
                      <w:rFonts w:hint="eastAsia"/>
                      <w:szCs w:val="21"/>
                    </w:rPr>
                    <w:t>54</w:t>
                  </w:r>
                </w:p>
              </w:tc>
              <w:tc>
                <w:tcPr>
                  <w:tcW w:w="1543" w:type="pct"/>
                  <w:vMerge w:val="continue"/>
                  <w:vAlign w:val="center"/>
                </w:tcPr>
                <w:p>
                  <w:pPr>
                    <w:widowControl/>
                    <w:jc w:val="center"/>
                    <w:rPr>
                      <w:szCs w:val="21"/>
                    </w:rPr>
                  </w:pPr>
                </w:p>
              </w:tc>
              <w:tc>
                <w:tcPr>
                  <w:tcW w:w="901" w:type="pct"/>
                  <w:vAlign w:val="center"/>
                </w:tcPr>
                <w:p>
                  <w:pPr>
                    <w:widowControl/>
                    <w:jc w:val="center"/>
                    <w:rPr>
                      <w:szCs w:val="21"/>
                    </w:rPr>
                  </w:pPr>
                  <w:r>
                    <w:rPr>
                      <w:szCs w:val="21"/>
                    </w:rPr>
                    <w:t>达标</w:t>
                  </w:r>
                </w:p>
              </w:tc>
            </w:tr>
          </w:tbl>
          <w:p>
            <w:pPr>
              <w:snapToGrid w:val="0"/>
              <w:spacing w:line="440" w:lineRule="exact"/>
              <w:ind w:firstLine="480" w:firstLineChars="200"/>
              <w:rPr>
                <w:sz w:val="24"/>
              </w:rPr>
            </w:pPr>
            <w:r>
              <w:rPr>
                <w:sz w:val="24"/>
              </w:rPr>
              <w:t>注：本项目夜间不进行生产。</w:t>
            </w:r>
          </w:p>
          <w:p>
            <w:pPr>
              <w:snapToGrid w:val="0"/>
              <w:spacing w:line="440" w:lineRule="exact"/>
              <w:ind w:firstLine="480" w:firstLineChars="200"/>
              <w:rPr>
                <w:rFonts w:eastAsiaTheme="minorEastAsia"/>
                <w:sz w:val="24"/>
              </w:rPr>
            </w:pPr>
            <w:r>
              <w:rPr>
                <w:sz w:val="24"/>
              </w:rPr>
              <w:t>由上表可知，通过合理布局及厂房隔音后，项目建设各厂界噪声预测值能满足《工业企业厂界环境噪声排放标准》（GB12348-2008）2类标准［昼间≤60dB（A）]要求。</w:t>
            </w:r>
          </w:p>
          <w:bookmarkEnd w:id="5"/>
          <w:bookmarkEnd w:id="6"/>
          <w:p>
            <w:pPr>
              <w:adjustRightInd w:val="0"/>
              <w:snapToGrid w:val="0"/>
              <w:spacing w:line="440" w:lineRule="exact"/>
              <w:ind w:firstLine="482" w:firstLineChars="200"/>
              <w:rPr>
                <w:rFonts w:eastAsiaTheme="minorEastAsia"/>
                <w:b/>
                <w:sz w:val="24"/>
              </w:rPr>
            </w:pPr>
            <w:r>
              <w:rPr>
                <w:rFonts w:eastAsiaTheme="minorEastAsia"/>
                <w:b/>
                <w:sz w:val="24"/>
              </w:rPr>
              <w:t>四、固废</w:t>
            </w:r>
          </w:p>
          <w:p>
            <w:pPr>
              <w:pStyle w:val="72"/>
              <w:snapToGrid w:val="0"/>
              <w:spacing w:line="440" w:lineRule="exact"/>
              <w:ind w:firstLine="480" w:firstLineChars="200"/>
              <w:rPr>
                <w:rFonts w:eastAsiaTheme="minorEastAsia"/>
              </w:rPr>
            </w:pPr>
            <w:r>
              <w:rPr>
                <w:rFonts w:eastAsiaTheme="minorEastAsia"/>
              </w:rPr>
              <w:t>本项目营运期固废主要有废边角料、除尘器</w:t>
            </w:r>
            <w:r>
              <w:rPr>
                <w:rFonts w:hint="eastAsia" w:eastAsiaTheme="minorEastAsia"/>
              </w:rPr>
              <w:t>收集粉尘</w:t>
            </w:r>
            <w:r>
              <w:rPr>
                <w:rFonts w:eastAsiaTheme="minorEastAsia"/>
              </w:rPr>
              <w:t>。</w:t>
            </w:r>
          </w:p>
          <w:p>
            <w:pPr>
              <w:pStyle w:val="72"/>
              <w:snapToGrid w:val="0"/>
              <w:spacing w:line="420" w:lineRule="exact"/>
              <w:ind w:firstLine="480" w:firstLineChars="200"/>
              <w:rPr>
                <w:rFonts w:eastAsiaTheme="minorEastAsia"/>
                <w:szCs w:val="24"/>
              </w:rPr>
            </w:pPr>
            <w:r>
              <w:rPr>
                <w:rFonts w:eastAsiaTheme="minorEastAsia"/>
                <w:bCs/>
                <w:szCs w:val="24"/>
              </w:rPr>
              <w:fldChar w:fldCharType="begin"/>
            </w:r>
            <w:r>
              <w:rPr>
                <w:rFonts w:eastAsiaTheme="minorEastAsia"/>
                <w:bCs/>
                <w:szCs w:val="24"/>
              </w:rPr>
              <w:instrText xml:space="preserve"> = 1 \* GB3 \* MERGEFORMAT </w:instrText>
            </w:r>
            <w:r>
              <w:rPr>
                <w:rFonts w:eastAsiaTheme="minorEastAsia"/>
                <w:bCs/>
                <w:szCs w:val="24"/>
              </w:rPr>
              <w:fldChar w:fldCharType="separate"/>
            </w:r>
            <w:r>
              <w:rPr>
                <w:rFonts w:ascii="宋体"/>
                <w:szCs w:val="24"/>
              </w:rPr>
              <w:t>①</w:t>
            </w:r>
            <w:r>
              <w:rPr>
                <w:rFonts w:eastAsiaTheme="minorEastAsia"/>
                <w:bCs/>
                <w:szCs w:val="24"/>
              </w:rPr>
              <w:fldChar w:fldCharType="end"/>
            </w:r>
            <w:r>
              <w:rPr>
                <w:rFonts w:eastAsiaTheme="minorEastAsia"/>
                <w:bCs/>
                <w:szCs w:val="24"/>
              </w:rPr>
              <w:t>切割工序产生的废</w:t>
            </w:r>
            <w:r>
              <w:rPr>
                <w:rFonts w:eastAsiaTheme="minorEastAsia"/>
                <w:szCs w:val="24"/>
              </w:rPr>
              <w:t>边角料</w:t>
            </w:r>
          </w:p>
          <w:p>
            <w:pPr>
              <w:pStyle w:val="72"/>
              <w:snapToGrid w:val="0"/>
              <w:spacing w:line="420" w:lineRule="exact"/>
              <w:ind w:firstLine="480" w:firstLineChars="200"/>
              <w:rPr>
                <w:rFonts w:eastAsiaTheme="minorEastAsia"/>
                <w:bCs/>
                <w:color w:val="FF0000"/>
              </w:rPr>
            </w:pPr>
            <w:r>
              <w:rPr>
                <w:rFonts w:eastAsiaTheme="minorEastAsia"/>
              </w:rPr>
              <w:t>本项目废边角来自切割工序中产生的边角料，根据机加工生产行业生产经验，</w:t>
            </w:r>
            <w:r>
              <w:rPr>
                <w:rFonts w:eastAsiaTheme="minorEastAsia"/>
                <w:bCs/>
              </w:rPr>
              <w:t>边角料产生量平均取原料年用量1%，本项目</w:t>
            </w:r>
            <w:r>
              <w:rPr>
                <w:rFonts w:eastAsiaTheme="minorEastAsia"/>
              </w:rPr>
              <w:t>金属原料的用量为</w:t>
            </w:r>
            <w:r>
              <w:rPr>
                <w:rFonts w:hint="eastAsia" w:eastAsiaTheme="minorEastAsia"/>
                <w:bCs/>
                <w:color w:val="000000"/>
              </w:rPr>
              <w:t>105</w:t>
            </w:r>
            <w:r>
              <w:rPr>
                <w:rFonts w:eastAsiaTheme="minorEastAsia"/>
              </w:rPr>
              <w:t>t/a，</w:t>
            </w:r>
            <w:r>
              <w:rPr>
                <w:rFonts w:eastAsiaTheme="minorEastAsia"/>
                <w:bCs/>
              </w:rPr>
              <w:t>则</w:t>
            </w:r>
            <w:r>
              <w:rPr>
                <w:rFonts w:eastAsiaTheme="minorEastAsia"/>
              </w:rPr>
              <w:t>边角料</w:t>
            </w:r>
            <w:r>
              <w:rPr>
                <w:rFonts w:eastAsiaTheme="minorEastAsia"/>
                <w:bCs/>
              </w:rPr>
              <w:t>产生量为</w:t>
            </w:r>
            <w:r>
              <w:rPr>
                <w:rFonts w:hint="eastAsia" w:eastAsiaTheme="minorEastAsia"/>
                <w:bCs/>
              </w:rPr>
              <w:t>1.05</w:t>
            </w:r>
            <w:r>
              <w:rPr>
                <w:rFonts w:eastAsiaTheme="minorEastAsia"/>
                <w:bCs/>
              </w:rPr>
              <w:t>t/a</w:t>
            </w:r>
            <w:r>
              <w:rPr>
                <w:rFonts w:hint="eastAsia" w:eastAsiaTheme="minorEastAsia"/>
                <w:bCs/>
              </w:rPr>
              <w:t>，处理措施为收集后出售。</w:t>
            </w:r>
          </w:p>
          <w:p>
            <w:pPr>
              <w:adjustRightInd w:val="0"/>
              <w:snapToGrid w:val="0"/>
              <w:spacing w:line="420" w:lineRule="exact"/>
              <w:ind w:firstLine="480" w:firstLineChars="200"/>
              <w:rPr>
                <w:rFonts w:eastAsiaTheme="minorEastAsia"/>
                <w:bCs/>
                <w:sz w:val="24"/>
              </w:rPr>
            </w:pPr>
            <w:r>
              <w:rPr>
                <w:rFonts w:eastAsiaTheme="minorEastAsia"/>
                <w:bCs/>
                <w:sz w:val="24"/>
              </w:rPr>
              <w:fldChar w:fldCharType="begin"/>
            </w:r>
            <w:r>
              <w:rPr>
                <w:rFonts w:eastAsiaTheme="minorEastAsia"/>
                <w:bCs/>
                <w:sz w:val="24"/>
              </w:rPr>
              <w:instrText xml:space="preserve"> = 2 \* GB3 \* MERGEFORMAT </w:instrText>
            </w:r>
            <w:r>
              <w:rPr>
                <w:rFonts w:eastAsiaTheme="minorEastAsia"/>
                <w:bCs/>
                <w:sz w:val="24"/>
              </w:rPr>
              <w:fldChar w:fldCharType="separate"/>
            </w:r>
            <w:r>
              <w:rPr>
                <w:rFonts w:ascii="宋体"/>
                <w:sz w:val="24"/>
              </w:rPr>
              <w:t>②</w:t>
            </w:r>
            <w:r>
              <w:rPr>
                <w:rFonts w:eastAsiaTheme="minorEastAsia"/>
                <w:bCs/>
                <w:sz w:val="24"/>
              </w:rPr>
              <w:fldChar w:fldCharType="end"/>
            </w:r>
            <w:r>
              <w:rPr>
                <w:rFonts w:eastAsiaTheme="minorEastAsia"/>
                <w:bCs/>
                <w:sz w:val="24"/>
              </w:rPr>
              <w:t>除尘器</w:t>
            </w:r>
            <w:r>
              <w:rPr>
                <w:rFonts w:hint="eastAsia" w:eastAsiaTheme="minorEastAsia"/>
                <w:bCs/>
                <w:sz w:val="24"/>
              </w:rPr>
              <w:t>收集粉尘</w:t>
            </w:r>
          </w:p>
          <w:p>
            <w:pPr>
              <w:adjustRightInd w:val="0"/>
              <w:snapToGrid w:val="0"/>
              <w:spacing w:line="420" w:lineRule="exact"/>
              <w:ind w:firstLine="480" w:firstLineChars="200"/>
              <w:rPr>
                <w:rFonts w:eastAsiaTheme="minorEastAsia"/>
                <w:bCs/>
                <w:sz w:val="24"/>
              </w:rPr>
            </w:pPr>
            <w:r>
              <w:rPr>
                <w:rFonts w:eastAsiaTheme="minorEastAsia"/>
                <w:bCs/>
                <w:sz w:val="24"/>
              </w:rPr>
              <w:t>本项目</w:t>
            </w:r>
            <w:r>
              <w:rPr>
                <w:rFonts w:hint="eastAsia" w:eastAsiaTheme="minorEastAsia"/>
                <w:bCs/>
                <w:sz w:val="24"/>
              </w:rPr>
              <w:t>袋式</w:t>
            </w:r>
            <w:r>
              <w:rPr>
                <w:rFonts w:eastAsiaTheme="minorEastAsia"/>
                <w:bCs/>
                <w:sz w:val="24"/>
              </w:rPr>
              <w:t>除尘器收集的粉尘量约</w:t>
            </w:r>
            <w:r>
              <w:rPr>
                <w:rFonts w:hint="eastAsia" w:eastAsiaTheme="minorEastAsia"/>
                <w:bCs/>
                <w:sz w:val="24"/>
              </w:rPr>
              <w:t>0.0898</w:t>
            </w:r>
            <w:r>
              <w:rPr>
                <w:rFonts w:eastAsiaTheme="minorEastAsia"/>
                <w:bCs/>
                <w:sz w:val="24"/>
              </w:rPr>
              <w:t>t/a，</w:t>
            </w:r>
            <w:r>
              <w:rPr>
                <w:rFonts w:hint="eastAsia" w:eastAsiaTheme="minorEastAsia"/>
                <w:bCs/>
                <w:sz w:val="24"/>
              </w:rPr>
              <w:t>处理措施为收集后出售。</w:t>
            </w:r>
          </w:p>
          <w:p>
            <w:pPr>
              <w:adjustRightInd w:val="0"/>
              <w:snapToGrid w:val="0"/>
              <w:spacing w:line="420" w:lineRule="exact"/>
              <w:ind w:firstLine="480" w:firstLineChars="200"/>
              <w:rPr>
                <w:rFonts w:eastAsiaTheme="minorEastAsia"/>
                <w:color w:val="000000"/>
                <w:sz w:val="24"/>
              </w:rPr>
            </w:pPr>
            <w:r>
              <w:rPr>
                <w:rFonts w:eastAsiaTheme="minorEastAsia"/>
                <w:color w:val="000000"/>
                <w:sz w:val="24"/>
              </w:rPr>
              <w:t>评价建议：建设单位应在厂区内建设一般工业固废暂存间1座，面积为14m</w:t>
            </w:r>
            <w:r>
              <w:rPr>
                <w:rFonts w:eastAsiaTheme="minorEastAsia"/>
                <w:color w:val="000000"/>
                <w:sz w:val="24"/>
                <w:vertAlign w:val="superscript"/>
              </w:rPr>
              <w:t>2</w:t>
            </w:r>
            <w:r>
              <w:rPr>
                <w:rFonts w:eastAsiaTheme="minorEastAsia"/>
                <w:color w:val="000000"/>
                <w:sz w:val="24"/>
              </w:rPr>
              <w:t>，做到</w:t>
            </w:r>
            <w:r>
              <w:rPr>
                <w:rFonts w:hint="eastAsia" w:eastAsiaTheme="minorEastAsia"/>
                <w:color w:val="000000"/>
                <w:sz w:val="24"/>
              </w:rPr>
              <w:t>“</w:t>
            </w:r>
            <w:r>
              <w:rPr>
                <w:rFonts w:eastAsiaTheme="minorEastAsia"/>
                <w:color w:val="000000"/>
                <w:sz w:val="24"/>
              </w:rPr>
              <w:t>防风、防雨、防晒</w:t>
            </w:r>
            <w:r>
              <w:rPr>
                <w:rFonts w:hint="eastAsia" w:eastAsiaTheme="minorEastAsia"/>
                <w:color w:val="000000"/>
                <w:sz w:val="24"/>
              </w:rPr>
              <w:t>”</w:t>
            </w:r>
            <w:r>
              <w:rPr>
                <w:rFonts w:eastAsiaTheme="minorEastAsia"/>
                <w:color w:val="000000"/>
                <w:sz w:val="24"/>
              </w:rPr>
              <w:t>措施，一般固废暂存间满足《一般工业固体废物贮存、处理场污染控制标准》(GB18599-2001)及其2013年修改单要求。</w:t>
            </w:r>
          </w:p>
          <w:p>
            <w:pPr>
              <w:adjustRightInd w:val="0"/>
              <w:snapToGrid w:val="0"/>
              <w:spacing w:line="420" w:lineRule="exact"/>
              <w:ind w:firstLine="482" w:firstLineChars="200"/>
              <w:rPr>
                <w:b/>
                <w:sz w:val="24"/>
              </w:rPr>
            </w:pPr>
            <w:r>
              <w:rPr>
                <w:b/>
                <w:sz w:val="24"/>
              </w:rPr>
              <w:t>五、土壤</w:t>
            </w:r>
          </w:p>
          <w:p>
            <w:pPr>
              <w:adjustRightInd w:val="0"/>
              <w:snapToGrid w:val="0"/>
              <w:spacing w:line="420" w:lineRule="exact"/>
              <w:ind w:firstLine="512" w:firstLineChars="200"/>
              <w:rPr>
                <w:spacing w:val="8"/>
                <w:sz w:val="24"/>
                <w:szCs w:val="22"/>
              </w:rPr>
            </w:pPr>
            <w:r>
              <w:rPr>
                <w:spacing w:val="8"/>
                <w:sz w:val="24"/>
                <w:szCs w:val="22"/>
              </w:rPr>
              <w:t>根据《环境影响评价技术导则 土壤环境（试行）》（HJ964-2018）评价等级划分依据，建设项目评价等级由项目类别、占地规模和环境敏感程度共同判定：</w:t>
            </w:r>
          </w:p>
          <w:p>
            <w:pPr>
              <w:pStyle w:val="101"/>
              <w:adjustRightInd w:val="0"/>
              <w:snapToGrid w:val="0"/>
              <w:spacing w:line="420" w:lineRule="exact"/>
              <w:ind w:firstLine="512"/>
              <w:rPr>
                <w:spacing w:val="8"/>
                <w:sz w:val="24"/>
                <w:szCs w:val="22"/>
              </w:rPr>
            </w:pPr>
            <w:r>
              <w:rPr>
                <w:spacing w:val="8"/>
                <w:sz w:val="24"/>
                <w:szCs w:val="22"/>
              </w:rPr>
              <w:t>（1）土壤环境影响评价项目类别：根据《环境影响评价技术导则 土壤环境（试行）》（HJ964-2018）附录A“土壤环境影响评价项目类别”，本项目行业类别属于“金属制品加工制造”中的“其他”类，因此本项目土壤环境影响评价项目类别为Ⅲ类：</w:t>
            </w:r>
          </w:p>
          <w:p>
            <w:pPr>
              <w:adjustRightInd w:val="0"/>
              <w:snapToGrid w:val="0"/>
              <w:spacing w:line="440" w:lineRule="exact"/>
              <w:ind w:firstLine="480" w:firstLineChars="200"/>
              <w:rPr>
                <w:rFonts w:eastAsia="黑体"/>
                <w:sz w:val="24"/>
                <w:lang w:val="zh-CN"/>
              </w:rPr>
            </w:pPr>
            <w:r>
              <w:rPr>
                <w:rFonts w:eastAsia="黑体"/>
                <w:sz w:val="24"/>
                <w:lang w:val="zh-CN"/>
              </w:rPr>
              <w:t>表3</w:t>
            </w:r>
            <w:r>
              <w:rPr>
                <w:rFonts w:hint="eastAsia" w:eastAsia="黑体"/>
                <w:sz w:val="24"/>
              </w:rPr>
              <w:t>6</w:t>
            </w:r>
            <w:r>
              <w:rPr>
                <w:rFonts w:eastAsia="黑体"/>
                <w:sz w:val="24"/>
                <w:lang w:val="zh-CN"/>
              </w:rPr>
              <w:t xml:space="preserve">               污染影响型敏感程度分级表</w:t>
            </w:r>
          </w:p>
          <w:tbl>
            <w:tblPr>
              <w:tblStyle w:val="30"/>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2255"/>
              <w:gridCol w:w="3273"/>
              <w:gridCol w:w="1914"/>
              <w:gridCol w:w="124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9" w:type="pct"/>
                  <w:gridSpan w:val="2"/>
                  <w:tcBorders>
                    <w:top w:val="single" w:color="auto" w:sz="8" w:space="0"/>
                    <w:left w:val="nil"/>
                    <w:bottom w:val="single" w:color="auto" w:sz="8" w:space="0"/>
                    <w:right w:val="single" w:color="auto" w:sz="4" w:space="0"/>
                  </w:tcBorders>
                  <w:vAlign w:val="center"/>
                </w:tcPr>
                <w:p>
                  <w:pPr>
                    <w:adjustRightInd w:val="0"/>
                    <w:snapToGrid w:val="0"/>
                    <w:jc w:val="center"/>
                    <w:rPr>
                      <w:b/>
                      <w:bCs/>
                      <w:color w:val="000000"/>
                      <w:kern w:val="24"/>
                      <w:szCs w:val="21"/>
                    </w:rPr>
                  </w:pPr>
                  <w:r>
                    <w:rPr>
                      <w:b/>
                      <w:bCs/>
                      <w:color w:val="000000"/>
                      <w:kern w:val="24"/>
                      <w:szCs w:val="21"/>
                    </w:rPr>
                    <w:t>行业类别</w:t>
                  </w:r>
                </w:p>
              </w:tc>
              <w:tc>
                <w:tcPr>
                  <w:tcW w:w="1756"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color w:val="000000"/>
                      <w:kern w:val="24"/>
                      <w:szCs w:val="21"/>
                    </w:rPr>
                  </w:pPr>
                  <w:r>
                    <w:rPr>
                      <w:b/>
                      <w:bCs/>
                      <w:color w:val="000000"/>
                      <w:kern w:val="24"/>
                      <w:szCs w:val="21"/>
                    </w:rPr>
                    <w:t>项目类别</w:t>
                  </w:r>
                </w:p>
              </w:tc>
              <w:tc>
                <w:tcPr>
                  <w:tcW w:w="1027"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color w:val="000000"/>
                      <w:kern w:val="24"/>
                      <w:szCs w:val="21"/>
                    </w:rPr>
                  </w:pPr>
                  <w:r>
                    <w:rPr>
                      <w:b/>
                      <w:bCs/>
                      <w:color w:val="000000"/>
                      <w:kern w:val="24"/>
                      <w:szCs w:val="21"/>
                    </w:rPr>
                    <w:t>项目情况</w:t>
                  </w:r>
                </w:p>
              </w:tc>
              <w:tc>
                <w:tcPr>
                  <w:tcW w:w="666" w:type="pct"/>
                  <w:tcBorders>
                    <w:top w:val="single" w:color="auto" w:sz="8" w:space="0"/>
                    <w:left w:val="single" w:color="auto" w:sz="4" w:space="0"/>
                    <w:bottom w:val="single" w:color="auto" w:sz="8" w:space="0"/>
                    <w:right w:val="nil"/>
                  </w:tcBorders>
                  <w:vAlign w:val="center"/>
                </w:tcPr>
                <w:p>
                  <w:pPr>
                    <w:adjustRightInd w:val="0"/>
                    <w:snapToGrid w:val="0"/>
                    <w:jc w:val="center"/>
                    <w:rPr>
                      <w:b/>
                      <w:bCs/>
                      <w:color w:val="000000"/>
                      <w:kern w:val="24"/>
                      <w:szCs w:val="21"/>
                    </w:rPr>
                  </w:pPr>
                  <w:r>
                    <w:rPr>
                      <w:b/>
                      <w:bCs/>
                      <w:color w:val="000000"/>
                      <w:kern w:val="24"/>
                      <w:szCs w:val="21"/>
                    </w:rPr>
                    <w:t>符合性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 w:type="pct"/>
                  <w:vMerge w:val="restart"/>
                  <w:tcBorders>
                    <w:top w:val="nil"/>
                    <w:left w:val="nil"/>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szCs w:val="21"/>
                    </w:rPr>
                    <w:t>制造业</w:t>
                  </w:r>
                </w:p>
              </w:tc>
              <w:tc>
                <w:tcPr>
                  <w:tcW w:w="1209" w:type="pct"/>
                  <w:vMerge w:val="restart"/>
                  <w:tcBorders>
                    <w:top w:val="nil"/>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szCs w:val="21"/>
                    </w:rPr>
                    <w:t>设备制造、金属制品、汽车制造及其他用品制造</w:t>
                  </w:r>
                </w:p>
              </w:tc>
              <w:tc>
                <w:tcPr>
                  <w:tcW w:w="1756"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szCs w:val="21"/>
                    </w:rPr>
                    <w:t>有电镀工艺；金属制品表面处理及热处理加工的；使用有机涂层的（喷粉、喷塑和电泳除外）；有钝化工艺的热镀锌</w:t>
                  </w:r>
                </w:p>
              </w:tc>
              <w:tc>
                <w:tcPr>
                  <w:tcW w:w="1027" w:type="pct"/>
                  <w:vMerge w:val="restart"/>
                  <w:tcBorders>
                    <w:top w:val="nil"/>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szCs w:val="21"/>
                    </w:rPr>
                    <w:t>本项目属于金属制品制造业</w:t>
                  </w:r>
                  <w:r>
                    <w:rPr>
                      <w:szCs w:val="21"/>
                    </w:rPr>
                    <w:t>，不涉及喷塑和喷漆。</w:t>
                  </w:r>
                  <w:r>
                    <w:rPr>
                      <w:color w:val="000000"/>
                      <w:szCs w:val="21"/>
                    </w:rPr>
                    <w:t>属于其他。</w:t>
                  </w:r>
                </w:p>
              </w:tc>
              <w:tc>
                <w:tcPr>
                  <w:tcW w:w="666" w:type="pct"/>
                  <w:tcBorders>
                    <w:top w:val="single" w:color="auto" w:sz="8" w:space="0"/>
                    <w:left w:val="single" w:color="auto" w:sz="4" w:space="0"/>
                    <w:bottom w:val="single" w:color="auto" w:sz="4" w:space="0"/>
                    <w:right w:val="nil"/>
                  </w:tcBorders>
                  <w:vAlign w:val="center"/>
                </w:tcPr>
                <w:p>
                  <w:pPr>
                    <w:adjustRightInd w:val="0"/>
                    <w:snapToGrid w:val="0"/>
                    <w:jc w:val="center"/>
                    <w:rPr>
                      <w:color w:val="000000"/>
                      <w:kern w:val="24"/>
                      <w:szCs w:val="21"/>
                    </w:rPr>
                  </w:pPr>
                  <w:r>
                    <w:rPr>
                      <w:color w:val="000000"/>
                      <w:kern w:val="24"/>
                      <w:szCs w:val="21"/>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 w:type="pct"/>
                  <w:vMerge w:val="continue"/>
                  <w:tcBorders>
                    <w:top w:val="nil"/>
                    <w:left w:val="nil"/>
                    <w:bottom w:val="single" w:color="auto" w:sz="4" w:space="0"/>
                    <w:right w:val="single" w:color="auto" w:sz="4" w:space="0"/>
                  </w:tcBorders>
                  <w:vAlign w:val="center"/>
                </w:tcPr>
                <w:p>
                  <w:pPr>
                    <w:widowControl/>
                    <w:adjustRightInd w:val="0"/>
                    <w:snapToGrid w:val="0"/>
                    <w:jc w:val="left"/>
                    <w:rPr>
                      <w:color w:val="000000"/>
                      <w:kern w:val="24"/>
                      <w:szCs w:val="21"/>
                    </w:rPr>
                  </w:pPr>
                </w:p>
              </w:tc>
              <w:tc>
                <w:tcPr>
                  <w:tcW w:w="1209"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color w:val="000000"/>
                      <w:kern w:val="24"/>
                      <w:szCs w:val="21"/>
                    </w:rPr>
                  </w:pPr>
                </w:p>
              </w:tc>
              <w:tc>
                <w:tcPr>
                  <w:tcW w:w="175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szCs w:val="21"/>
                    </w:rPr>
                    <w:t>有化学处理工艺的</w:t>
                  </w:r>
                </w:p>
              </w:tc>
              <w:tc>
                <w:tcPr>
                  <w:tcW w:w="1027"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color w:val="000000"/>
                      <w:kern w:val="24"/>
                      <w:szCs w:val="21"/>
                    </w:rPr>
                  </w:pPr>
                </w:p>
              </w:tc>
              <w:tc>
                <w:tcPr>
                  <w:tcW w:w="666" w:type="pct"/>
                  <w:tcBorders>
                    <w:top w:val="single" w:color="auto" w:sz="4" w:space="0"/>
                    <w:left w:val="single" w:color="auto" w:sz="4" w:space="0"/>
                    <w:bottom w:val="single" w:color="auto" w:sz="4" w:space="0"/>
                    <w:right w:val="nil"/>
                  </w:tcBorders>
                  <w:vAlign w:val="center"/>
                </w:tcPr>
                <w:p>
                  <w:pPr>
                    <w:adjustRightInd w:val="0"/>
                    <w:snapToGrid w:val="0"/>
                    <w:jc w:val="center"/>
                    <w:rPr>
                      <w:color w:val="000000"/>
                      <w:szCs w:val="21"/>
                    </w:rPr>
                  </w:pPr>
                  <w:r>
                    <w:rPr>
                      <w:color w:val="000000"/>
                      <w:kern w:val="24"/>
                      <w:szCs w:val="21"/>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 w:type="pct"/>
                  <w:vMerge w:val="continue"/>
                  <w:tcBorders>
                    <w:top w:val="nil"/>
                    <w:left w:val="nil"/>
                    <w:bottom w:val="single" w:color="auto" w:sz="8" w:space="0"/>
                    <w:right w:val="single" w:color="auto" w:sz="4" w:space="0"/>
                  </w:tcBorders>
                  <w:vAlign w:val="center"/>
                </w:tcPr>
                <w:p>
                  <w:pPr>
                    <w:widowControl/>
                    <w:adjustRightInd w:val="0"/>
                    <w:snapToGrid w:val="0"/>
                    <w:jc w:val="left"/>
                    <w:rPr>
                      <w:color w:val="000000"/>
                      <w:kern w:val="24"/>
                      <w:szCs w:val="21"/>
                    </w:rPr>
                  </w:pPr>
                </w:p>
              </w:tc>
              <w:tc>
                <w:tcPr>
                  <w:tcW w:w="1209" w:type="pct"/>
                  <w:vMerge w:val="continue"/>
                  <w:tcBorders>
                    <w:top w:val="nil"/>
                    <w:left w:val="single" w:color="auto" w:sz="4" w:space="0"/>
                    <w:bottom w:val="single" w:color="auto" w:sz="8" w:space="0"/>
                    <w:right w:val="single" w:color="auto" w:sz="4" w:space="0"/>
                  </w:tcBorders>
                  <w:vAlign w:val="center"/>
                </w:tcPr>
                <w:p>
                  <w:pPr>
                    <w:widowControl/>
                    <w:adjustRightInd w:val="0"/>
                    <w:snapToGrid w:val="0"/>
                    <w:jc w:val="left"/>
                    <w:rPr>
                      <w:color w:val="000000"/>
                      <w:kern w:val="24"/>
                      <w:szCs w:val="21"/>
                    </w:rPr>
                  </w:pPr>
                </w:p>
              </w:tc>
              <w:tc>
                <w:tcPr>
                  <w:tcW w:w="1756"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kern w:val="24"/>
                      <w:szCs w:val="21"/>
                    </w:rPr>
                  </w:pPr>
                  <w:r>
                    <w:rPr>
                      <w:color w:val="000000"/>
                      <w:kern w:val="24"/>
                      <w:szCs w:val="21"/>
                    </w:rPr>
                    <w:t>其他</w:t>
                  </w:r>
                </w:p>
              </w:tc>
              <w:tc>
                <w:tcPr>
                  <w:tcW w:w="1027" w:type="pct"/>
                  <w:vMerge w:val="continue"/>
                  <w:tcBorders>
                    <w:top w:val="nil"/>
                    <w:left w:val="single" w:color="auto" w:sz="4" w:space="0"/>
                    <w:bottom w:val="single" w:color="auto" w:sz="8" w:space="0"/>
                    <w:right w:val="single" w:color="auto" w:sz="4" w:space="0"/>
                  </w:tcBorders>
                  <w:vAlign w:val="center"/>
                </w:tcPr>
                <w:p>
                  <w:pPr>
                    <w:widowControl/>
                    <w:adjustRightInd w:val="0"/>
                    <w:snapToGrid w:val="0"/>
                    <w:jc w:val="left"/>
                    <w:rPr>
                      <w:color w:val="000000"/>
                      <w:kern w:val="24"/>
                      <w:szCs w:val="21"/>
                    </w:rPr>
                  </w:pPr>
                </w:p>
              </w:tc>
              <w:tc>
                <w:tcPr>
                  <w:tcW w:w="666" w:type="pct"/>
                  <w:tcBorders>
                    <w:top w:val="single" w:color="auto" w:sz="4" w:space="0"/>
                    <w:left w:val="single" w:color="auto" w:sz="4" w:space="0"/>
                    <w:bottom w:val="single" w:color="auto" w:sz="8" w:space="0"/>
                    <w:right w:val="nil"/>
                  </w:tcBorders>
                  <w:vAlign w:val="center"/>
                </w:tcPr>
                <w:p>
                  <w:pPr>
                    <w:adjustRightInd w:val="0"/>
                    <w:snapToGrid w:val="0"/>
                    <w:jc w:val="center"/>
                    <w:rPr>
                      <w:color w:val="000000"/>
                      <w:szCs w:val="21"/>
                    </w:rPr>
                  </w:pPr>
                  <w:r>
                    <w:rPr>
                      <w:color w:val="000000"/>
                      <w:kern w:val="24"/>
                      <w:szCs w:val="21"/>
                    </w:rPr>
                    <w:t>符合</w:t>
                  </w:r>
                </w:p>
              </w:tc>
            </w:tr>
          </w:tbl>
          <w:p>
            <w:pPr>
              <w:adjustRightInd w:val="0"/>
              <w:snapToGrid w:val="0"/>
              <w:spacing w:line="400" w:lineRule="exact"/>
              <w:ind w:firstLine="512" w:firstLineChars="200"/>
              <w:rPr>
                <w:rFonts w:eastAsiaTheme="minorEastAsia"/>
                <w:spacing w:val="8"/>
                <w:sz w:val="24"/>
                <w:szCs w:val="22"/>
              </w:rPr>
            </w:pPr>
            <w:r>
              <w:rPr>
                <w:rFonts w:eastAsiaTheme="minorEastAsia"/>
                <w:spacing w:val="8"/>
                <w:sz w:val="24"/>
                <w:szCs w:val="22"/>
              </w:rPr>
              <w:t>（2）建设项目土壤环境影响类型：根据《环境影响评价技术导则 土壤环境（试行）》（HJ964-2018），建设项目土壤环境影响类型为污染影响性。</w:t>
            </w:r>
          </w:p>
          <w:p>
            <w:pPr>
              <w:adjustRightInd w:val="0"/>
              <w:snapToGrid w:val="0"/>
              <w:spacing w:line="400" w:lineRule="exact"/>
              <w:ind w:firstLine="512" w:firstLineChars="200"/>
              <w:rPr>
                <w:rFonts w:eastAsiaTheme="minorEastAsia"/>
                <w:spacing w:val="8"/>
                <w:sz w:val="24"/>
                <w:szCs w:val="22"/>
              </w:rPr>
            </w:pPr>
            <w:r>
              <w:rPr>
                <w:rFonts w:eastAsiaTheme="minorEastAsia"/>
                <w:spacing w:val="8"/>
                <w:sz w:val="24"/>
                <w:szCs w:val="22"/>
              </w:rPr>
              <w:t>（3）建设项目占地规模：分为大型（≥50hm</w:t>
            </w:r>
            <w:r>
              <w:rPr>
                <w:rFonts w:eastAsiaTheme="minorEastAsia"/>
                <w:spacing w:val="8"/>
                <w:sz w:val="24"/>
                <w:szCs w:val="22"/>
                <w:vertAlign w:val="superscript"/>
              </w:rPr>
              <w:t>2</w:t>
            </w:r>
            <w:r>
              <w:rPr>
                <w:rFonts w:eastAsiaTheme="minorEastAsia"/>
                <w:spacing w:val="8"/>
                <w:sz w:val="24"/>
                <w:szCs w:val="22"/>
              </w:rPr>
              <w:t>）、中型（5~50hm</w:t>
            </w:r>
            <w:r>
              <w:rPr>
                <w:rFonts w:eastAsiaTheme="minorEastAsia"/>
                <w:spacing w:val="8"/>
                <w:sz w:val="24"/>
                <w:szCs w:val="22"/>
                <w:vertAlign w:val="superscript"/>
              </w:rPr>
              <w:t>2</w:t>
            </w:r>
            <w:r>
              <w:rPr>
                <w:rFonts w:eastAsiaTheme="minorEastAsia"/>
                <w:spacing w:val="8"/>
                <w:sz w:val="24"/>
                <w:szCs w:val="22"/>
              </w:rPr>
              <w:t>）、小型（≤5hm</w:t>
            </w:r>
            <w:r>
              <w:rPr>
                <w:rFonts w:eastAsiaTheme="minorEastAsia"/>
                <w:spacing w:val="8"/>
                <w:sz w:val="24"/>
                <w:szCs w:val="22"/>
                <w:vertAlign w:val="superscript"/>
              </w:rPr>
              <w:t>2</w:t>
            </w:r>
            <w:r>
              <w:rPr>
                <w:rFonts w:eastAsiaTheme="minorEastAsia"/>
                <w:spacing w:val="8"/>
                <w:sz w:val="24"/>
                <w:szCs w:val="22"/>
              </w:rPr>
              <w:t>），本项目占地面积为1400m</w:t>
            </w:r>
            <w:r>
              <w:rPr>
                <w:rFonts w:eastAsiaTheme="minorEastAsia"/>
                <w:spacing w:val="8"/>
                <w:sz w:val="24"/>
                <w:szCs w:val="22"/>
                <w:vertAlign w:val="superscript"/>
              </w:rPr>
              <w:t>2</w:t>
            </w:r>
            <w:r>
              <w:rPr>
                <w:rFonts w:eastAsiaTheme="minorEastAsia"/>
                <w:spacing w:val="8"/>
                <w:sz w:val="24"/>
                <w:szCs w:val="22"/>
              </w:rPr>
              <w:t>，根据项目占地规模分类，本项目属于小型规模。</w:t>
            </w:r>
          </w:p>
          <w:p>
            <w:pPr>
              <w:adjustRightInd w:val="0"/>
              <w:snapToGrid w:val="0"/>
              <w:spacing w:line="440" w:lineRule="exact"/>
              <w:ind w:firstLine="480" w:firstLineChars="200"/>
              <w:rPr>
                <w:rFonts w:eastAsia="黑体"/>
                <w:sz w:val="24"/>
                <w:lang w:val="zh-CN"/>
              </w:rPr>
            </w:pPr>
            <w:r>
              <w:rPr>
                <w:rFonts w:eastAsia="黑体"/>
                <w:sz w:val="24"/>
                <w:lang w:val="zh-CN"/>
              </w:rPr>
              <w:t>表3</w:t>
            </w:r>
            <w:r>
              <w:rPr>
                <w:rFonts w:hint="eastAsia" w:eastAsia="黑体"/>
                <w:sz w:val="24"/>
              </w:rPr>
              <w:t>7</w:t>
            </w:r>
            <w:r>
              <w:rPr>
                <w:rFonts w:eastAsia="黑体"/>
                <w:sz w:val="24"/>
                <w:lang w:val="zh-CN"/>
              </w:rPr>
              <w:t xml:space="preserve">                    建设项目占地规模</w:t>
            </w:r>
          </w:p>
          <w:tbl>
            <w:tblPr>
              <w:tblStyle w:val="30"/>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6"/>
              <w:gridCol w:w="2349"/>
              <w:gridCol w:w="2349"/>
              <w:gridCol w:w="227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pct"/>
                  <w:tcBorders>
                    <w:top w:val="single" w:color="auto" w:sz="8" w:space="0"/>
                    <w:left w:val="nil"/>
                    <w:bottom w:val="single" w:color="auto" w:sz="8" w:space="0"/>
                    <w:right w:val="single" w:color="auto" w:sz="4" w:space="0"/>
                  </w:tcBorders>
                  <w:vAlign w:val="center"/>
                </w:tcPr>
                <w:p>
                  <w:pPr>
                    <w:adjustRightInd w:val="0"/>
                    <w:snapToGrid w:val="0"/>
                    <w:jc w:val="center"/>
                    <w:rPr>
                      <w:b/>
                      <w:bCs/>
                      <w:color w:val="000000"/>
                      <w:kern w:val="24"/>
                      <w:szCs w:val="21"/>
                    </w:rPr>
                  </w:pPr>
                  <w:r>
                    <w:rPr>
                      <w:b/>
                      <w:bCs/>
                      <w:color w:val="000000"/>
                      <w:kern w:val="24"/>
                    </w:rPr>
                    <w:t>类别</w:t>
                  </w:r>
                </w:p>
              </w:tc>
              <w:tc>
                <w:tcPr>
                  <w:tcW w:w="1260"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color w:val="000000"/>
                      <w:kern w:val="24"/>
                      <w:szCs w:val="21"/>
                    </w:rPr>
                  </w:pPr>
                  <w:r>
                    <w:rPr>
                      <w:b/>
                      <w:bCs/>
                      <w:color w:val="000000"/>
                      <w:kern w:val="24"/>
                    </w:rPr>
                    <w:t>占地要求</w:t>
                  </w:r>
                </w:p>
              </w:tc>
              <w:tc>
                <w:tcPr>
                  <w:tcW w:w="1260"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color w:val="000000"/>
                      <w:kern w:val="24"/>
                      <w:szCs w:val="21"/>
                    </w:rPr>
                  </w:pPr>
                  <w:r>
                    <w:rPr>
                      <w:b/>
                      <w:bCs/>
                      <w:color w:val="000000"/>
                      <w:kern w:val="24"/>
                    </w:rPr>
                    <w:t>项目情况</w:t>
                  </w:r>
                </w:p>
              </w:tc>
              <w:tc>
                <w:tcPr>
                  <w:tcW w:w="1219" w:type="pct"/>
                  <w:tcBorders>
                    <w:top w:val="single" w:color="auto" w:sz="8" w:space="0"/>
                    <w:left w:val="single" w:color="auto" w:sz="4" w:space="0"/>
                    <w:bottom w:val="single" w:color="auto" w:sz="8" w:space="0"/>
                    <w:right w:val="nil"/>
                  </w:tcBorders>
                  <w:vAlign w:val="center"/>
                </w:tcPr>
                <w:p>
                  <w:pPr>
                    <w:adjustRightInd w:val="0"/>
                    <w:snapToGrid w:val="0"/>
                    <w:jc w:val="center"/>
                    <w:rPr>
                      <w:b/>
                      <w:bCs/>
                      <w:color w:val="000000"/>
                      <w:kern w:val="24"/>
                      <w:szCs w:val="21"/>
                    </w:rPr>
                  </w:pPr>
                  <w:r>
                    <w:rPr>
                      <w:b/>
                      <w:bCs/>
                      <w:color w:val="000000"/>
                      <w:kern w:val="24"/>
                    </w:rPr>
                    <w:t>符合性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pct"/>
                  <w:tcBorders>
                    <w:top w:val="single" w:color="auto" w:sz="8" w:space="0"/>
                    <w:left w:val="nil"/>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rPr>
                    <w:t>大型</w:t>
                  </w:r>
                </w:p>
              </w:tc>
              <w:tc>
                <w:tcPr>
                  <w:tcW w:w="1260"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rPr>
                    <w:t>≥50hm</w:t>
                  </w:r>
                  <w:r>
                    <w:rPr>
                      <w:color w:val="000000"/>
                      <w:kern w:val="24"/>
                      <w:vertAlign w:val="superscript"/>
                    </w:rPr>
                    <w:t>2</w:t>
                  </w:r>
                </w:p>
              </w:tc>
              <w:tc>
                <w:tcPr>
                  <w:tcW w:w="1260" w:type="pct"/>
                  <w:vMerge w:val="restart"/>
                  <w:tcBorders>
                    <w:top w:val="nil"/>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rPr>
                    <w:t>本项目占地面积为</w:t>
                  </w:r>
                  <w:r>
                    <w:rPr>
                      <w:color w:val="000000"/>
                    </w:rPr>
                    <w:t>1400m</w:t>
                  </w:r>
                  <w:r>
                    <w:rPr>
                      <w:color w:val="000000"/>
                      <w:vertAlign w:val="superscript"/>
                    </w:rPr>
                    <w:t>2</w:t>
                  </w:r>
                  <w:r>
                    <w:rPr>
                      <w:color w:val="000000"/>
                    </w:rPr>
                    <w:t>，属于小型。</w:t>
                  </w:r>
                </w:p>
              </w:tc>
              <w:tc>
                <w:tcPr>
                  <w:tcW w:w="1219" w:type="pct"/>
                  <w:tcBorders>
                    <w:top w:val="single" w:color="auto" w:sz="8" w:space="0"/>
                    <w:left w:val="single" w:color="auto" w:sz="4" w:space="0"/>
                    <w:bottom w:val="single" w:color="auto" w:sz="4" w:space="0"/>
                    <w:right w:val="nil"/>
                  </w:tcBorders>
                  <w:vAlign w:val="center"/>
                </w:tcPr>
                <w:p>
                  <w:pPr>
                    <w:adjustRightInd w:val="0"/>
                    <w:snapToGrid w:val="0"/>
                    <w:jc w:val="center"/>
                    <w:rPr>
                      <w:color w:val="000000"/>
                      <w:kern w:val="24"/>
                      <w:szCs w:val="21"/>
                    </w:rPr>
                  </w:pPr>
                  <w:r>
                    <w:rPr>
                      <w:color w:val="000000"/>
                      <w:kern w:val="24"/>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pct"/>
                  <w:tcBorders>
                    <w:top w:val="single" w:color="auto" w:sz="4" w:space="0"/>
                    <w:left w:val="nil"/>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rPr>
                    <w:t>中型</w:t>
                  </w:r>
                </w:p>
              </w:tc>
              <w:tc>
                <w:tcPr>
                  <w:tcW w:w="12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rPr>
                    <w:t>5~50hm</w:t>
                  </w:r>
                  <w:r>
                    <w:rPr>
                      <w:color w:val="000000"/>
                      <w:kern w:val="24"/>
                      <w:vertAlign w:val="superscript"/>
                    </w:rPr>
                    <w:t>2</w:t>
                  </w:r>
                </w:p>
              </w:tc>
              <w:tc>
                <w:tcPr>
                  <w:tcW w:w="1260"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24"/>
                      <w:szCs w:val="21"/>
                    </w:rPr>
                  </w:pPr>
                </w:p>
              </w:tc>
              <w:tc>
                <w:tcPr>
                  <w:tcW w:w="1219" w:type="pct"/>
                  <w:tcBorders>
                    <w:top w:val="single" w:color="auto" w:sz="4" w:space="0"/>
                    <w:left w:val="single" w:color="auto" w:sz="4" w:space="0"/>
                    <w:bottom w:val="single" w:color="auto" w:sz="4" w:space="0"/>
                    <w:right w:val="nil"/>
                  </w:tcBorders>
                  <w:vAlign w:val="center"/>
                </w:tcPr>
                <w:p>
                  <w:pPr>
                    <w:jc w:val="center"/>
                    <w:rPr>
                      <w:szCs w:val="21"/>
                    </w:rPr>
                  </w:pPr>
                  <w:r>
                    <w:rPr>
                      <w:color w:val="000000"/>
                      <w:kern w:val="24"/>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pct"/>
                  <w:tcBorders>
                    <w:top w:val="single" w:color="auto" w:sz="4" w:space="0"/>
                    <w:left w:val="nil"/>
                    <w:bottom w:val="single" w:color="auto" w:sz="8" w:space="0"/>
                    <w:right w:val="single" w:color="auto" w:sz="4" w:space="0"/>
                  </w:tcBorders>
                  <w:vAlign w:val="center"/>
                </w:tcPr>
                <w:p>
                  <w:pPr>
                    <w:adjustRightInd w:val="0"/>
                    <w:snapToGrid w:val="0"/>
                    <w:jc w:val="center"/>
                    <w:rPr>
                      <w:color w:val="000000"/>
                      <w:kern w:val="24"/>
                      <w:szCs w:val="21"/>
                    </w:rPr>
                  </w:pPr>
                  <w:r>
                    <w:rPr>
                      <w:color w:val="000000"/>
                      <w:kern w:val="24"/>
                    </w:rPr>
                    <w:t>小型</w:t>
                  </w:r>
                </w:p>
              </w:tc>
              <w:tc>
                <w:tcPr>
                  <w:tcW w:w="1260"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kern w:val="24"/>
                      <w:szCs w:val="21"/>
                    </w:rPr>
                  </w:pPr>
                  <w:r>
                    <w:rPr>
                      <w:color w:val="000000"/>
                      <w:kern w:val="24"/>
                    </w:rPr>
                    <w:t>≤5hm</w:t>
                  </w:r>
                  <w:r>
                    <w:rPr>
                      <w:color w:val="000000"/>
                      <w:kern w:val="24"/>
                      <w:vertAlign w:val="superscript"/>
                    </w:rPr>
                    <w:t>2</w:t>
                  </w:r>
                </w:p>
              </w:tc>
              <w:tc>
                <w:tcPr>
                  <w:tcW w:w="1260" w:type="pct"/>
                  <w:vMerge w:val="continue"/>
                  <w:tcBorders>
                    <w:top w:val="nil"/>
                    <w:left w:val="single" w:color="auto" w:sz="4" w:space="0"/>
                    <w:bottom w:val="single" w:color="auto" w:sz="8" w:space="0"/>
                    <w:right w:val="single" w:color="auto" w:sz="4" w:space="0"/>
                  </w:tcBorders>
                  <w:vAlign w:val="center"/>
                </w:tcPr>
                <w:p>
                  <w:pPr>
                    <w:widowControl/>
                    <w:jc w:val="left"/>
                    <w:rPr>
                      <w:color w:val="000000"/>
                      <w:kern w:val="24"/>
                      <w:szCs w:val="21"/>
                    </w:rPr>
                  </w:pPr>
                </w:p>
              </w:tc>
              <w:tc>
                <w:tcPr>
                  <w:tcW w:w="1219" w:type="pct"/>
                  <w:tcBorders>
                    <w:top w:val="single" w:color="auto" w:sz="4" w:space="0"/>
                    <w:left w:val="single" w:color="auto" w:sz="4" w:space="0"/>
                    <w:bottom w:val="single" w:color="auto" w:sz="8" w:space="0"/>
                    <w:right w:val="nil"/>
                  </w:tcBorders>
                  <w:vAlign w:val="center"/>
                </w:tcPr>
                <w:p>
                  <w:pPr>
                    <w:jc w:val="center"/>
                    <w:rPr>
                      <w:szCs w:val="21"/>
                    </w:rPr>
                  </w:pPr>
                  <w:r>
                    <w:rPr>
                      <w:color w:val="000000"/>
                      <w:kern w:val="24"/>
                    </w:rPr>
                    <w:t>符合</w:t>
                  </w:r>
                </w:p>
              </w:tc>
            </w:tr>
          </w:tbl>
          <w:p>
            <w:pPr>
              <w:adjustRightInd w:val="0"/>
              <w:snapToGrid w:val="0"/>
              <w:spacing w:line="400" w:lineRule="exact"/>
              <w:ind w:firstLine="512" w:firstLineChars="200"/>
              <w:rPr>
                <w:rFonts w:eastAsiaTheme="minorEastAsia"/>
                <w:spacing w:val="8"/>
                <w:sz w:val="24"/>
                <w:szCs w:val="22"/>
              </w:rPr>
            </w:pPr>
            <w:r>
              <w:rPr>
                <w:rFonts w:eastAsiaTheme="minorEastAsia"/>
                <w:spacing w:val="8"/>
                <w:sz w:val="24"/>
                <w:szCs w:val="22"/>
              </w:rPr>
              <w:t>（4）建设项目所在地周边的土壤环境敏感程度：经调查，本项目位于河南省新乡市新乡县合河乡西河村老纸厂旧址院内</w:t>
            </w:r>
            <w:r>
              <w:rPr>
                <w:rFonts w:eastAsiaTheme="minorEastAsia"/>
                <w:color w:val="000000"/>
                <w:sz w:val="24"/>
              </w:rPr>
              <w:t>，</w:t>
            </w:r>
            <w:r>
              <w:rPr>
                <w:rFonts w:hint="eastAsia" w:eastAsiaTheme="minorEastAsia"/>
                <w:color w:val="000000"/>
                <w:sz w:val="24"/>
              </w:rPr>
              <w:t>经调查，企业</w:t>
            </w:r>
            <w:r>
              <w:rPr>
                <w:rFonts w:eastAsiaTheme="minorEastAsia"/>
                <w:spacing w:val="8"/>
                <w:sz w:val="24"/>
                <w:szCs w:val="22"/>
              </w:rPr>
              <w:t>周围均为其他工业企业，</w:t>
            </w:r>
            <w:r>
              <w:rPr>
                <w:rFonts w:hint="eastAsia" w:eastAsiaTheme="minorEastAsia"/>
                <w:spacing w:val="8"/>
                <w:sz w:val="24"/>
                <w:szCs w:val="22"/>
              </w:rPr>
              <w:t>5</w:t>
            </w:r>
            <w:r>
              <w:rPr>
                <w:rFonts w:eastAsiaTheme="minorEastAsia"/>
                <w:spacing w:val="8"/>
                <w:sz w:val="24"/>
                <w:szCs w:val="22"/>
              </w:rPr>
              <w:t>0米</w:t>
            </w:r>
            <w:r>
              <w:rPr>
                <w:rFonts w:hint="eastAsia" w:eastAsiaTheme="minorEastAsia"/>
                <w:spacing w:val="8"/>
                <w:sz w:val="24"/>
                <w:szCs w:val="22"/>
              </w:rPr>
              <w:t>范围</w:t>
            </w:r>
            <w:r>
              <w:rPr>
                <w:rFonts w:eastAsiaTheme="minorEastAsia"/>
                <w:spacing w:val="8"/>
                <w:sz w:val="24"/>
                <w:szCs w:val="22"/>
              </w:rPr>
              <w:t>内</w:t>
            </w:r>
            <w:r>
              <w:rPr>
                <w:rFonts w:hint="eastAsia" w:eastAsiaTheme="minorEastAsia"/>
                <w:spacing w:val="8"/>
                <w:sz w:val="24"/>
                <w:szCs w:val="22"/>
              </w:rPr>
              <w:t>无</w:t>
            </w:r>
            <w:r>
              <w:rPr>
                <w:rFonts w:eastAsiaTheme="minorEastAsia"/>
                <w:spacing w:val="8"/>
                <w:sz w:val="24"/>
                <w:szCs w:val="22"/>
              </w:rPr>
              <w:t>耕地</w:t>
            </w:r>
            <w:r>
              <w:rPr>
                <w:rFonts w:hint="eastAsia" w:eastAsiaTheme="minorEastAsia"/>
                <w:spacing w:val="8"/>
                <w:sz w:val="24"/>
                <w:szCs w:val="22"/>
              </w:rPr>
              <w:t>、</w:t>
            </w:r>
            <w:r>
              <w:rPr>
                <w:rFonts w:eastAsiaTheme="minorEastAsia"/>
                <w:spacing w:val="8"/>
                <w:sz w:val="24"/>
                <w:szCs w:val="22"/>
              </w:rPr>
              <w:t>园地、牧草地、饮用水水源地</w:t>
            </w:r>
            <w:r>
              <w:rPr>
                <w:rFonts w:hint="eastAsia" w:eastAsiaTheme="minorEastAsia"/>
                <w:spacing w:val="8"/>
                <w:sz w:val="24"/>
                <w:szCs w:val="22"/>
              </w:rPr>
              <w:t>及</w:t>
            </w:r>
            <w:r>
              <w:rPr>
                <w:rFonts w:eastAsiaTheme="minorEastAsia"/>
                <w:spacing w:val="8"/>
                <w:sz w:val="24"/>
                <w:szCs w:val="22"/>
              </w:rPr>
              <w:t>居民区、学校、医院、疗养院、养老院等土壤环境敏感目标。因此本项目敏感程度为不敏感。具体指标判断见下表：</w:t>
            </w:r>
          </w:p>
          <w:p>
            <w:pPr>
              <w:adjustRightInd w:val="0"/>
              <w:snapToGrid w:val="0"/>
              <w:spacing w:line="440" w:lineRule="exact"/>
              <w:ind w:firstLine="480" w:firstLineChars="200"/>
              <w:rPr>
                <w:rFonts w:eastAsia="黑体"/>
                <w:sz w:val="24"/>
                <w:lang w:val="zh-CN"/>
              </w:rPr>
            </w:pPr>
            <w:r>
              <w:rPr>
                <w:rFonts w:eastAsia="黑体"/>
                <w:sz w:val="24"/>
                <w:lang w:val="zh-CN"/>
              </w:rPr>
              <w:t>表3</w:t>
            </w:r>
            <w:r>
              <w:rPr>
                <w:rFonts w:hint="eastAsia" w:eastAsia="黑体"/>
                <w:sz w:val="24"/>
              </w:rPr>
              <w:t>8</w:t>
            </w:r>
            <w:r>
              <w:rPr>
                <w:rFonts w:eastAsia="黑体"/>
                <w:sz w:val="24"/>
                <w:lang w:val="zh-CN"/>
              </w:rPr>
              <w:t xml:space="preserve">                 污染影响型敏感程度分级表</w:t>
            </w:r>
          </w:p>
          <w:tbl>
            <w:tblPr>
              <w:tblStyle w:val="30"/>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4406"/>
              <w:gridCol w:w="2947"/>
              <w:gridCol w:w="102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tcBorders>
                    <w:top w:val="single" w:color="auto" w:sz="8" w:space="0"/>
                    <w:left w:val="nil"/>
                    <w:bottom w:val="single" w:color="auto" w:sz="8" w:space="0"/>
                    <w:right w:val="single" w:color="auto" w:sz="4" w:space="0"/>
                  </w:tcBorders>
                  <w:vAlign w:val="center"/>
                </w:tcPr>
                <w:p>
                  <w:pPr>
                    <w:adjustRightInd w:val="0"/>
                    <w:snapToGrid w:val="0"/>
                    <w:jc w:val="center"/>
                    <w:rPr>
                      <w:b/>
                      <w:bCs/>
                      <w:color w:val="000000"/>
                      <w:kern w:val="24"/>
                      <w:szCs w:val="21"/>
                    </w:rPr>
                  </w:pPr>
                  <w:r>
                    <w:rPr>
                      <w:b/>
                      <w:bCs/>
                      <w:color w:val="000000"/>
                      <w:kern w:val="24"/>
                    </w:rPr>
                    <w:t>类别</w:t>
                  </w:r>
                </w:p>
              </w:tc>
              <w:tc>
                <w:tcPr>
                  <w:tcW w:w="2365"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color w:val="000000"/>
                      <w:kern w:val="24"/>
                      <w:szCs w:val="21"/>
                    </w:rPr>
                  </w:pPr>
                  <w:r>
                    <w:rPr>
                      <w:b/>
                      <w:bCs/>
                      <w:color w:val="000000"/>
                      <w:kern w:val="24"/>
                    </w:rPr>
                    <w:t>判别依据</w:t>
                  </w:r>
                </w:p>
              </w:tc>
              <w:tc>
                <w:tcPr>
                  <w:tcW w:w="1582"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color w:val="000000"/>
                      <w:kern w:val="24"/>
                      <w:szCs w:val="21"/>
                    </w:rPr>
                  </w:pPr>
                  <w:r>
                    <w:rPr>
                      <w:b/>
                      <w:bCs/>
                      <w:color w:val="000000"/>
                      <w:kern w:val="24"/>
                    </w:rPr>
                    <w:t>项目情况</w:t>
                  </w:r>
                </w:p>
              </w:tc>
              <w:tc>
                <w:tcPr>
                  <w:tcW w:w="550" w:type="pct"/>
                  <w:tcBorders>
                    <w:top w:val="single" w:color="auto" w:sz="8" w:space="0"/>
                    <w:left w:val="single" w:color="auto" w:sz="4" w:space="0"/>
                    <w:bottom w:val="single" w:color="auto" w:sz="8" w:space="0"/>
                    <w:right w:val="nil"/>
                  </w:tcBorders>
                  <w:vAlign w:val="center"/>
                </w:tcPr>
                <w:p>
                  <w:pPr>
                    <w:adjustRightInd w:val="0"/>
                    <w:snapToGrid w:val="0"/>
                    <w:jc w:val="center"/>
                    <w:rPr>
                      <w:b/>
                      <w:bCs/>
                      <w:color w:val="000000"/>
                      <w:kern w:val="24"/>
                      <w:szCs w:val="21"/>
                    </w:rPr>
                  </w:pPr>
                  <w:r>
                    <w:rPr>
                      <w:b/>
                      <w:bCs/>
                      <w:color w:val="000000"/>
                      <w:kern w:val="24"/>
                    </w:rPr>
                    <w:t>符合性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tcBorders>
                    <w:top w:val="single" w:color="auto" w:sz="8" w:space="0"/>
                    <w:left w:val="nil"/>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rPr>
                    <w:t>敏感</w:t>
                  </w:r>
                </w:p>
              </w:tc>
              <w:tc>
                <w:tcPr>
                  <w:tcW w:w="2365"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rPr>
                    <w:t>建设项目周边存在耕地、园地、牧草地、饮用水水源地或居民区、学校、医院、疗养院等土壤环境敏感目标的</w:t>
                  </w:r>
                </w:p>
              </w:tc>
              <w:tc>
                <w:tcPr>
                  <w:tcW w:w="1582" w:type="pct"/>
                  <w:vMerge w:val="restart"/>
                  <w:tcBorders>
                    <w:top w:val="nil"/>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rPr>
                    <w:t>本项目南侧为废弃机加工厂，东部西部分别是空厂房，北临林场。故本项目属于</w:t>
                  </w:r>
                  <w:r>
                    <w:rPr>
                      <w:rFonts w:hint="eastAsia"/>
                      <w:color w:val="000000"/>
                    </w:rPr>
                    <w:t>较</w:t>
                  </w:r>
                  <w:r>
                    <w:rPr>
                      <w:color w:val="000000"/>
                    </w:rPr>
                    <w:t>敏感。</w:t>
                  </w:r>
                </w:p>
              </w:tc>
              <w:tc>
                <w:tcPr>
                  <w:tcW w:w="550" w:type="pct"/>
                  <w:tcBorders>
                    <w:top w:val="single" w:color="auto" w:sz="8" w:space="0"/>
                    <w:left w:val="single" w:color="auto" w:sz="4" w:space="0"/>
                    <w:bottom w:val="single" w:color="auto" w:sz="4" w:space="0"/>
                    <w:right w:val="nil"/>
                  </w:tcBorders>
                  <w:vAlign w:val="center"/>
                </w:tcPr>
                <w:p>
                  <w:pPr>
                    <w:adjustRightInd w:val="0"/>
                    <w:snapToGrid w:val="0"/>
                    <w:jc w:val="center"/>
                    <w:rPr>
                      <w:color w:val="000000"/>
                      <w:kern w:val="24"/>
                      <w:szCs w:val="21"/>
                    </w:rPr>
                  </w:pPr>
                  <w:r>
                    <w:rPr>
                      <w:color w:val="000000"/>
                      <w:kern w:val="24"/>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tcBorders>
                    <w:top w:val="single" w:color="auto" w:sz="4" w:space="0"/>
                    <w:left w:val="nil"/>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rPr>
                    <w:t>较敏感</w:t>
                  </w:r>
                </w:p>
              </w:tc>
              <w:tc>
                <w:tcPr>
                  <w:tcW w:w="236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kern w:val="24"/>
                      <w:szCs w:val="21"/>
                    </w:rPr>
                  </w:pPr>
                  <w:r>
                    <w:rPr>
                      <w:color w:val="000000"/>
                      <w:kern w:val="24"/>
                    </w:rPr>
                    <w:t>建设项目周边存在其他土壤环境敏感目标的</w:t>
                  </w:r>
                </w:p>
              </w:tc>
              <w:tc>
                <w:tcPr>
                  <w:tcW w:w="1582" w:type="pct"/>
                  <w:vMerge w:val="continue"/>
                  <w:tcBorders>
                    <w:top w:val="nil"/>
                    <w:left w:val="single" w:color="auto" w:sz="4" w:space="0"/>
                    <w:bottom w:val="single" w:color="auto" w:sz="4" w:space="0"/>
                    <w:right w:val="single" w:color="auto" w:sz="4" w:space="0"/>
                  </w:tcBorders>
                  <w:vAlign w:val="center"/>
                </w:tcPr>
                <w:p>
                  <w:pPr>
                    <w:widowControl/>
                    <w:jc w:val="left"/>
                    <w:rPr>
                      <w:color w:val="000000"/>
                      <w:kern w:val="24"/>
                      <w:szCs w:val="21"/>
                    </w:rPr>
                  </w:pPr>
                </w:p>
              </w:tc>
              <w:tc>
                <w:tcPr>
                  <w:tcW w:w="550" w:type="pct"/>
                  <w:tcBorders>
                    <w:top w:val="single" w:color="auto" w:sz="4" w:space="0"/>
                    <w:left w:val="single" w:color="auto" w:sz="4" w:space="0"/>
                    <w:bottom w:val="single" w:color="auto" w:sz="4" w:space="0"/>
                    <w:right w:val="nil"/>
                  </w:tcBorders>
                  <w:vAlign w:val="center"/>
                </w:tcPr>
                <w:p>
                  <w:pPr>
                    <w:jc w:val="center"/>
                    <w:rPr>
                      <w:szCs w:val="21"/>
                    </w:rPr>
                  </w:pPr>
                  <w:r>
                    <w:rPr>
                      <w:color w:val="000000"/>
                      <w:kern w:val="24"/>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tcBorders>
                    <w:top w:val="single" w:color="auto" w:sz="4" w:space="0"/>
                    <w:left w:val="nil"/>
                    <w:bottom w:val="single" w:color="auto" w:sz="8" w:space="0"/>
                    <w:right w:val="single" w:color="auto" w:sz="4" w:space="0"/>
                  </w:tcBorders>
                  <w:vAlign w:val="center"/>
                </w:tcPr>
                <w:p>
                  <w:pPr>
                    <w:adjustRightInd w:val="0"/>
                    <w:snapToGrid w:val="0"/>
                    <w:jc w:val="center"/>
                    <w:rPr>
                      <w:color w:val="000000"/>
                      <w:kern w:val="24"/>
                      <w:szCs w:val="21"/>
                    </w:rPr>
                  </w:pPr>
                  <w:r>
                    <w:rPr>
                      <w:color w:val="000000"/>
                      <w:kern w:val="24"/>
                    </w:rPr>
                    <w:t>不敏感</w:t>
                  </w:r>
                </w:p>
              </w:tc>
              <w:tc>
                <w:tcPr>
                  <w:tcW w:w="2365"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kern w:val="24"/>
                      <w:szCs w:val="21"/>
                    </w:rPr>
                  </w:pPr>
                  <w:r>
                    <w:rPr>
                      <w:color w:val="000000"/>
                      <w:kern w:val="24"/>
                    </w:rPr>
                    <w:t>其他情况</w:t>
                  </w:r>
                </w:p>
              </w:tc>
              <w:tc>
                <w:tcPr>
                  <w:tcW w:w="1582" w:type="pct"/>
                  <w:vMerge w:val="continue"/>
                  <w:tcBorders>
                    <w:top w:val="nil"/>
                    <w:left w:val="single" w:color="auto" w:sz="4" w:space="0"/>
                    <w:bottom w:val="single" w:color="auto" w:sz="8" w:space="0"/>
                    <w:right w:val="single" w:color="auto" w:sz="4" w:space="0"/>
                  </w:tcBorders>
                  <w:vAlign w:val="center"/>
                </w:tcPr>
                <w:p>
                  <w:pPr>
                    <w:widowControl/>
                    <w:jc w:val="left"/>
                    <w:rPr>
                      <w:color w:val="000000"/>
                      <w:kern w:val="24"/>
                      <w:szCs w:val="21"/>
                    </w:rPr>
                  </w:pPr>
                </w:p>
              </w:tc>
              <w:tc>
                <w:tcPr>
                  <w:tcW w:w="550" w:type="pct"/>
                  <w:tcBorders>
                    <w:top w:val="single" w:color="auto" w:sz="4" w:space="0"/>
                    <w:left w:val="single" w:color="auto" w:sz="4" w:space="0"/>
                    <w:bottom w:val="single" w:color="auto" w:sz="8" w:space="0"/>
                    <w:right w:val="nil"/>
                  </w:tcBorders>
                  <w:vAlign w:val="center"/>
                </w:tcPr>
                <w:p>
                  <w:pPr>
                    <w:jc w:val="center"/>
                    <w:rPr>
                      <w:szCs w:val="21"/>
                    </w:rPr>
                  </w:pPr>
                  <w:r>
                    <w:rPr>
                      <w:color w:val="000000"/>
                      <w:kern w:val="24"/>
                    </w:rPr>
                    <w:t>符合</w:t>
                  </w:r>
                </w:p>
              </w:tc>
            </w:tr>
          </w:tbl>
          <w:p>
            <w:pPr>
              <w:adjustRightInd w:val="0"/>
              <w:snapToGrid w:val="0"/>
              <w:spacing w:line="440" w:lineRule="exact"/>
              <w:ind w:firstLine="512" w:firstLineChars="200"/>
              <w:rPr>
                <w:spacing w:val="8"/>
                <w:sz w:val="24"/>
                <w:szCs w:val="22"/>
              </w:rPr>
            </w:pPr>
            <w:r>
              <w:rPr>
                <w:spacing w:val="8"/>
                <w:sz w:val="24"/>
                <w:szCs w:val="22"/>
              </w:rPr>
              <w:t>（5）评价工作等级</w:t>
            </w:r>
          </w:p>
          <w:p>
            <w:pPr>
              <w:adjustRightInd w:val="0"/>
              <w:snapToGrid w:val="0"/>
              <w:spacing w:line="440" w:lineRule="exact"/>
              <w:ind w:firstLine="480" w:firstLineChars="200"/>
              <w:rPr>
                <w:rFonts w:eastAsia="黑体"/>
                <w:sz w:val="24"/>
                <w:lang w:val="zh-CN"/>
              </w:rPr>
            </w:pPr>
            <w:r>
              <w:rPr>
                <w:rFonts w:eastAsia="黑体"/>
                <w:sz w:val="24"/>
                <w:lang w:val="zh-CN"/>
              </w:rPr>
              <w:t>表3</w:t>
            </w:r>
            <w:r>
              <w:rPr>
                <w:rFonts w:hint="eastAsia" w:eastAsia="黑体"/>
                <w:sz w:val="24"/>
              </w:rPr>
              <w:t>9</w:t>
            </w:r>
            <w:r>
              <w:rPr>
                <w:rFonts w:eastAsia="黑体"/>
                <w:sz w:val="24"/>
                <w:lang w:val="zh-CN"/>
              </w:rPr>
              <w:tab/>
            </w:r>
            <w:r>
              <w:rPr>
                <w:rFonts w:eastAsia="黑体"/>
                <w:sz w:val="24"/>
                <w:lang w:val="zh-CN"/>
              </w:rPr>
              <w:tab/>
            </w:r>
            <w:r>
              <w:rPr>
                <w:rFonts w:eastAsia="黑体"/>
                <w:sz w:val="24"/>
                <w:lang w:val="zh-CN"/>
              </w:rPr>
              <w:tab/>
            </w:r>
            <w:r>
              <w:rPr>
                <w:rFonts w:eastAsia="黑体"/>
                <w:sz w:val="24"/>
                <w:lang w:val="zh-CN"/>
              </w:rPr>
              <w:t xml:space="preserve">     污染影响型评价工作等级划分表</w:t>
            </w:r>
          </w:p>
          <w:tbl>
            <w:tblPr>
              <w:tblStyle w:val="30"/>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862"/>
              <w:gridCol w:w="871"/>
              <w:gridCol w:w="876"/>
              <w:gridCol w:w="871"/>
              <w:gridCol w:w="869"/>
              <w:gridCol w:w="875"/>
              <w:gridCol w:w="869"/>
              <w:gridCol w:w="871"/>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pct"/>
                  <w:vMerge w:val="restart"/>
                  <w:tcBorders>
                    <w:top w:val="single" w:color="auto" w:sz="8" w:space="0"/>
                    <w:left w:val="single" w:color="auto" w:sz="8" w:space="0"/>
                    <w:right w:val="single" w:color="auto" w:sz="4" w:space="0"/>
                  </w:tcBorders>
                  <w:vAlign w:val="center"/>
                </w:tcPr>
                <w:p>
                  <w:pPr>
                    <w:adjustRightInd w:val="0"/>
                    <w:snapToGrid w:val="0"/>
                    <w:rPr>
                      <w:b/>
                      <w:bCs/>
                      <w:kern w:val="0"/>
                      <w:szCs w:val="21"/>
                    </w:rPr>
                  </w:pPr>
                  <w:r>
                    <w:rPr>
                      <w:b/>
                      <w:bCs/>
                    </w:rPr>
                    <w:pict>
                      <v:line id="_x0000_s2085" o:spid="_x0000_s2085" o:spt="20" style="position:absolute;left:0pt;margin-left:22pt;margin-top:0.05pt;height:54pt;width:46.6pt;z-index:251648000;mso-width-relative:page;mso-height-relative:page;" coordsize="21600,21600" o:gfxdata="UEsDBAoAAAAAAIdO4kAAAAAAAAAAAAAAAAAEAAAAZHJzL1BLAwQUAAAACACHTuJAxlp+m9UAAAAH&#10;AQAADwAAAGRycy9kb3ducmV2LnhtbE2PzU7DMBCE70i8g7VIXKrWThohlMbpoSU3LpQirtt4SSLi&#10;dRq7P/D0dU5w29lZzXxbrK+2F2cafedYQ7JQIIhrZzpuNOzfq/kzCB+QDfaOScMPeViX93cF5sZd&#10;+I3Ou9CIGMI+Rw1tCEMupa9bsugXbiCO3pcbLYYox0aaES8x3PYyVepJWuw4NrQ40Kal+nt3shp8&#10;9UHH6ndWz9TnsnGUHrevL6j140OiViACXcPfMUz4ER3KyHRwJzZe9BqyLL4Spr2Y3CxNQRzikCgF&#10;sizkf/7yBlBLAwQUAAAACACHTuJA8/BiXtEBAACSAwAADgAAAGRycy9lMm9Eb2MueG1srVNLjhMx&#10;EN0jcQfLe9JJRklmWunMYsKwQTAScICKP92W/JPLk07OwjVYseE4cw3KTsjw2SBEL9xl1/Nzvefy&#10;+vbgLNurhCb4js8mU86UF0Ea33f808f7V9ecYQYvwQavOn5UyG83L1+sx9iqeRiClSoxIvHYjrHj&#10;Q86xbRoUg3KAkxCVp6QOyUGmaeobmWAkdmeb+XS6bMaQZExBKERa3Z6SfFP5tVYiv9caVWa241Rb&#10;rmOq466MzWYNbZ8gDkacy4B/qMKB8XTohWoLGdhjMn9QOSNSwKDzRATXBK2NUFUDqZlNf1PzYYCo&#10;qhYyB+PFJvx/tOLd/iExIzu+4syDoyt6+vzl6es3drUq5owRW8Lc+Yd0nmF8SEXpQSdX/qSBHaqh&#10;x4uh6pCZoMXl/GqxItsFpZY3q+vlonA2z5tjwvxGBcdK0HFrfNELLezfYj5Bf0DKsvVs7PjNYr4g&#10;TqB20RYyhS6SAPR93YvBGnlvrC07MPW7O5vYHkoD1O9cwi+wcsgWcDjhaqrAoB0UyNdesnyMZI2n&#10;HualBKckZ1ZRy5eoIjMY+zdIUm89mVCcPXlZol2QR7qIx5hMP5ATs1plydDFV8vOTVo66+d5ZXp+&#10;Sp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p+m9UAAAAHAQAADwAAAAAAAAABACAAAAAiAAAA&#10;ZHJzL2Rvd25yZXYueG1sUEsBAhQAFAAAAAgAh07iQPPwYl7RAQAAkgMAAA4AAAAAAAAAAQAgAAAA&#10;JAEAAGRycy9lMm9Eb2MueG1sUEsFBgAAAAAGAAYAWQEAAGcFAAAAAA==&#10;">
                        <v:path arrowok="t"/>
                        <v:fill focussize="0,0"/>
                        <v:stroke/>
                        <v:imagedata o:title=""/>
                        <o:lock v:ext="edit"/>
                      </v:line>
                    </w:pict>
                  </w:r>
                  <w:r>
                    <w:rPr>
                      <w:b/>
                      <w:bCs/>
                      <w:kern w:val="0"/>
                      <w:szCs w:val="21"/>
                    </w:rPr>
                    <w:t>评价    占地</w:t>
                  </w:r>
                </w:p>
                <w:p>
                  <w:pPr>
                    <w:adjustRightInd w:val="0"/>
                    <w:snapToGrid w:val="0"/>
                    <w:rPr>
                      <w:b/>
                      <w:bCs/>
                      <w:kern w:val="0"/>
                      <w:szCs w:val="21"/>
                    </w:rPr>
                  </w:pPr>
                  <w:r>
                    <w:rPr>
                      <w:b/>
                      <w:bCs/>
                    </w:rPr>
                    <w:pict>
                      <v:line id="_x0000_s2086" o:spid="_x0000_s2086" o:spt="20" style="position:absolute;left:0pt;margin-left:-4.8pt;margin-top:9.4pt;height:30.45pt;width:73.45pt;z-index:251645952;mso-width-relative:page;mso-height-relative:page;" coordsize="21600,21600" o:gfxdata="UEsDBAoAAAAAAIdO4kAAAAAAAAAAAAAAAAAEAAAAZHJzL1BLAwQUAAAACACHTuJALbFzFtYAAAAI&#10;AQAADwAAAGRycy9kb3ducmV2LnhtbE2PvU7DQBCEeyTe4bRINFFytomCMT6nANzREEC0G99iW/j2&#10;HN/lB56eTQXlzoxmvynXJzeoA02h92wgXSSgiBtve24NvL3W8xxUiMgWB89k4JsCrKvLixIL64/8&#10;QodNbJWUcCjQQBfjWGgdmo4choUficX79JPDKOfUajvhUcrdoLMkWWmHPcuHDkd66Kj52uydgVC/&#10;067+mTWz5OOm9ZTtHp+f0JjrqzS5BxXpFP/CcMYXdKiEaev3bIMaDMzvVpIUPZcFZ3+5zEBtDeTp&#10;Leiq1P8HVL9QSwMEFAAAAAgAh07iQGIaA6nRAQAAkgMAAA4AAABkcnMvZTJvRG9jLnhtbK1TS27b&#10;MBDdF+gdCO5r+RO7sWA5izjppmgNtD3AmKQkAvyBw1j2WXqNrrrpcXKNDmnX6WdTBNGCGnIeH+c9&#10;Dlc3B2vYXkXU3jV8MhpzppzwUruu4V8+37+55gwTOAnGO9Xwo0J+s379ajWEWk19741UkRGJw3oI&#10;De9TCnVVoeiVBRz5oBwlWx8tJJrGrpIRBmK3ppqOx4tq8FGG6IVCpNXNKcnXhb9tlUgf2xZVYqbh&#10;VFsqYyzjLo/VegV1FyH0WpzLgGdUYUE7OvRCtYEE7CHqf6isFtGjb9NIeFv5ttVCFQ2kZjL+S82n&#10;HoIqWsgcDBeb8OVoxYf9NjItG77gzIGlK3r8+u3x+w82u87mDAFrwty6bTzPMGxjVnpoo81/0sAO&#10;xdDjxVB1SEzQ4vLtYjEj2wWlZsvl1WSeOaunzSFieqe8ZTlouNEu64Ua9u8xnaC/IHnZODYQ63w6&#10;J06gdmkNJAptIAHourIXvdHyXhuTd2Dsdrcmsj3kBijfuYQ/YPmQDWB/wpVUhkHdK5B3TrJ0DGSN&#10;ox7muQSrJGdGUcvnqCATaPM/SFJvHJmQnT15maOdl0e6iIcQddeTE5NSZc7QxRfLzk2aO+v3eWF6&#10;ekr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2xcxbWAAAACAEAAA8AAAAAAAAAAQAgAAAAIgAA&#10;AGRycy9kb3ducmV2LnhtbFBLAQIUABQAAAAIAIdO4kBiGgOp0QEAAJIDAAAOAAAAAAAAAAEAIAAA&#10;ACUBAABkcnMvZTJvRG9jLnhtbFBLBQYAAAAABgAGAFkBAABoBQAAAAA=&#10;">
                        <v:path arrowok="t"/>
                        <v:fill focussize="0,0"/>
                        <v:stroke/>
                        <v:imagedata o:title=""/>
                        <o:lock v:ext="edit"/>
                      </v:line>
                    </w:pict>
                  </w:r>
                  <w:r>
                    <w:rPr>
                      <w:b/>
                      <w:bCs/>
                      <w:kern w:val="0"/>
                      <w:szCs w:val="21"/>
                    </w:rPr>
                    <w:t>工作等  规模</w:t>
                  </w:r>
                </w:p>
                <w:p>
                  <w:pPr>
                    <w:adjustRightInd w:val="0"/>
                    <w:snapToGrid w:val="0"/>
                    <w:rPr>
                      <w:b/>
                      <w:bCs/>
                      <w:kern w:val="0"/>
                      <w:szCs w:val="21"/>
                    </w:rPr>
                  </w:pPr>
                  <w:r>
                    <w:rPr>
                      <w:b/>
                      <w:bCs/>
                      <w:kern w:val="0"/>
                      <w:szCs w:val="21"/>
                    </w:rPr>
                    <w:t xml:space="preserve">      级</w:t>
                  </w:r>
                </w:p>
                <w:p>
                  <w:pPr>
                    <w:adjustRightInd w:val="0"/>
                    <w:snapToGrid w:val="0"/>
                    <w:rPr>
                      <w:b/>
                      <w:bCs/>
                      <w:kern w:val="0"/>
                      <w:szCs w:val="21"/>
                    </w:rPr>
                  </w:pPr>
                  <w:r>
                    <w:rPr>
                      <w:b/>
                      <w:bCs/>
                      <w:kern w:val="0"/>
                      <w:szCs w:val="21"/>
                    </w:rPr>
                    <w:t>敏感程度</w:t>
                  </w:r>
                </w:p>
              </w:tc>
              <w:tc>
                <w:tcPr>
                  <w:tcW w:w="1402" w:type="pct"/>
                  <w:gridSpan w:val="3"/>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kern w:val="0"/>
                      <w:szCs w:val="21"/>
                    </w:rPr>
                  </w:pPr>
                  <w:r>
                    <w:rPr>
                      <w:b/>
                      <w:bCs/>
                      <w:kern w:val="0"/>
                      <w:szCs w:val="21"/>
                    </w:rPr>
                    <w:fldChar w:fldCharType="begin"/>
                  </w:r>
                  <w:r>
                    <w:rPr>
                      <w:b/>
                      <w:bCs/>
                      <w:kern w:val="0"/>
                      <w:szCs w:val="21"/>
                    </w:rPr>
                    <w:instrText xml:space="preserve"> = 1 \* ROMAN </w:instrText>
                  </w:r>
                  <w:r>
                    <w:rPr>
                      <w:b/>
                      <w:bCs/>
                      <w:kern w:val="0"/>
                      <w:szCs w:val="21"/>
                    </w:rPr>
                    <w:fldChar w:fldCharType="separate"/>
                  </w:r>
                  <w:r>
                    <w:rPr>
                      <w:b/>
                      <w:bCs/>
                      <w:kern w:val="0"/>
                      <w:szCs w:val="21"/>
                    </w:rPr>
                    <w:t>I</w:t>
                  </w:r>
                  <w:r>
                    <w:rPr>
                      <w:b/>
                      <w:bCs/>
                      <w:kern w:val="0"/>
                      <w:szCs w:val="21"/>
                    </w:rPr>
                    <w:fldChar w:fldCharType="end"/>
                  </w:r>
                  <w:r>
                    <w:rPr>
                      <w:b/>
                      <w:bCs/>
                      <w:kern w:val="0"/>
                      <w:szCs w:val="21"/>
                    </w:rPr>
                    <w:t>类</w:t>
                  </w:r>
                </w:p>
              </w:tc>
              <w:tc>
                <w:tcPr>
                  <w:tcW w:w="1405" w:type="pct"/>
                  <w:gridSpan w:val="3"/>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bCs/>
                      <w:kern w:val="0"/>
                      <w:szCs w:val="21"/>
                    </w:rPr>
                  </w:pPr>
                  <w:r>
                    <w:rPr>
                      <w:b/>
                      <w:bCs/>
                      <w:kern w:val="0"/>
                      <w:szCs w:val="21"/>
                    </w:rPr>
                    <w:fldChar w:fldCharType="begin"/>
                  </w:r>
                  <w:r>
                    <w:rPr>
                      <w:b/>
                      <w:bCs/>
                      <w:kern w:val="0"/>
                      <w:szCs w:val="21"/>
                    </w:rPr>
                    <w:instrText xml:space="preserve"> = 2 \* ROMAN </w:instrText>
                  </w:r>
                  <w:r>
                    <w:rPr>
                      <w:b/>
                      <w:bCs/>
                      <w:kern w:val="0"/>
                      <w:szCs w:val="21"/>
                    </w:rPr>
                    <w:fldChar w:fldCharType="separate"/>
                  </w:r>
                  <w:r>
                    <w:rPr>
                      <w:b/>
                      <w:bCs/>
                      <w:kern w:val="0"/>
                      <w:szCs w:val="21"/>
                    </w:rPr>
                    <w:t>II</w:t>
                  </w:r>
                  <w:r>
                    <w:rPr>
                      <w:b/>
                      <w:bCs/>
                      <w:kern w:val="0"/>
                      <w:szCs w:val="21"/>
                    </w:rPr>
                    <w:fldChar w:fldCharType="end"/>
                  </w:r>
                  <w:r>
                    <w:rPr>
                      <w:b/>
                      <w:bCs/>
                      <w:kern w:val="0"/>
                      <w:szCs w:val="21"/>
                    </w:rPr>
                    <w:t>类</w:t>
                  </w:r>
                </w:p>
              </w:tc>
              <w:tc>
                <w:tcPr>
                  <w:tcW w:w="1390" w:type="pct"/>
                  <w:gridSpan w:val="3"/>
                  <w:tcBorders>
                    <w:top w:val="single" w:color="auto" w:sz="8" w:space="0"/>
                    <w:left w:val="single" w:color="auto" w:sz="4" w:space="0"/>
                    <w:bottom w:val="single" w:color="auto" w:sz="4" w:space="0"/>
                    <w:right w:val="nil"/>
                  </w:tcBorders>
                  <w:vAlign w:val="center"/>
                </w:tcPr>
                <w:p>
                  <w:pPr>
                    <w:adjustRightInd w:val="0"/>
                    <w:snapToGrid w:val="0"/>
                    <w:jc w:val="center"/>
                    <w:rPr>
                      <w:b/>
                      <w:bCs/>
                      <w:kern w:val="0"/>
                      <w:szCs w:val="21"/>
                    </w:rPr>
                  </w:pPr>
                  <w:r>
                    <w:rPr>
                      <w:b/>
                      <w:bCs/>
                      <w:kern w:val="0"/>
                      <w:szCs w:val="21"/>
                    </w:rPr>
                    <w:fldChar w:fldCharType="begin"/>
                  </w:r>
                  <w:r>
                    <w:rPr>
                      <w:b/>
                      <w:bCs/>
                      <w:kern w:val="0"/>
                      <w:szCs w:val="21"/>
                    </w:rPr>
                    <w:instrText xml:space="preserve"> = 3 \* ROMAN </w:instrText>
                  </w:r>
                  <w:r>
                    <w:rPr>
                      <w:b/>
                      <w:bCs/>
                      <w:kern w:val="0"/>
                      <w:szCs w:val="21"/>
                    </w:rPr>
                    <w:fldChar w:fldCharType="separate"/>
                  </w:r>
                  <w:r>
                    <w:rPr>
                      <w:b/>
                      <w:bCs/>
                      <w:kern w:val="0"/>
                      <w:szCs w:val="21"/>
                    </w:rPr>
                    <w:t>III</w:t>
                  </w:r>
                  <w:r>
                    <w:rPr>
                      <w:b/>
                      <w:bCs/>
                      <w:kern w:val="0"/>
                      <w:szCs w:val="21"/>
                    </w:rPr>
                    <w:fldChar w:fldCharType="end"/>
                  </w:r>
                  <w:r>
                    <w:rPr>
                      <w:b/>
                      <w:bCs/>
                      <w:kern w:val="0"/>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pct"/>
                  <w:vMerge w:val="continue"/>
                  <w:tcBorders>
                    <w:left w:val="nil"/>
                    <w:bottom w:val="single" w:color="auto" w:sz="8" w:space="0"/>
                    <w:right w:val="single" w:color="auto" w:sz="4" w:space="0"/>
                  </w:tcBorders>
                  <w:vAlign w:val="center"/>
                </w:tcPr>
                <w:p>
                  <w:pPr>
                    <w:widowControl/>
                    <w:adjustRightInd w:val="0"/>
                    <w:snapToGrid w:val="0"/>
                    <w:jc w:val="left"/>
                    <w:rPr>
                      <w:b/>
                      <w:bCs/>
                      <w:kern w:val="0"/>
                      <w:szCs w:val="21"/>
                    </w:rPr>
                  </w:pPr>
                </w:p>
              </w:tc>
              <w:tc>
                <w:tcPr>
                  <w:tcW w:w="463"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kern w:val="0"/>
                      <w:szCs w:val="21"/>
                    </w:rPr>
                  </w:pPr>
                  <w:r>
                    <w:rPr>
                      <w:b/>
                      <w:bCs/>
                      <w:kern w:val="0"/>
                      <w:szCs w:val="21"/>
                    </w:rPr>
                    <w:t>大</w:t>
                  </w:r>
                </w:p>
              </w:tc>
              <w:tc>
                <w:tcPr>
                  <w:tcW w:w="468"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kern w:val="0"/>
                      <w:szCs w:val="21"/>
                    </w:rPr>
                  </w:pPr>
                  <w:r>
                    <w:rPr>
                      <w:b/>
                      <w:bCs/>
                      <w:kern w:val="0"/>
                      <w:szCs w:val="21"/>
                    </w:rPr>
                    <w:t>中</w:t>
                  </w:r>
                </w:p>
              </w:tc>
              <w:tc>
                <w:tcPr>
                  <w:tcW w:w="470"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kern w:val="0"/>
                      <w:szCs w:val="21"/>
                    </w:rPr>
                  </w:pPr>
                  <w:r>
                    <w:rPr>
                      <w:b/>
                      <w:bCs/>
                      <w:kern w:val="0"/>
                      <w:szCs w:val="21"/>
                    </w:rPr>
                    <w:t>小</w:t>
                  </w:r>
                </w:p>
              </w:tc>
              <w:tc>
                <w:tcPr>
                  <w:tcW w:w="468"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kern w:val="0"/>
                      <w:szCs w:val="21"/>
                    </w:rPr>
                  </w:pPr>
                  <w:r>
                    <w:rPr>
                      <w:b/>
                      <w:bCs/>
                      <w:kern w:val="0"/>
                      <w:szCs w:val="21"/>
                    </w:rPr>
                    <w:t>大</w:t>
                  </w:r>
                </w:p>
              </w:tc>
              <w:tc>
                <w:tcPr>
                  <w:tcW w:w="467"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kern w:val="0"/>
                      <w:szCs w:val="21"/>
                    </w:rPr>
                  </w:pPr>
                  <w:r>
                    <w:rPr>
                      <w:b/>
                      <w:bCs/>
                      <w:kern w:val="0"/>
                      <w:szCs w:val="21"/>
                    </w:rPr>
                    <w:t>中</w:t>
                  </w:r>
                </w:p>
              </w:tc>
              <w:tc>
                <w:tcPr>
                  <w:tcW w:w="470"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kern w:val="0"/>
                      <w:szCs w:val="21"/>
                    </w:rPr>
                  </w:pPr>
                  <w:r>
                    <w:rPr>
                      <w:b/>
                      <w:bCs/>
                      <w:kern w:val="0"/>
                      <w:szCs w:val="21"/>
                    </w:rPr>
                    <w:t>小</w:t>
                  </w:r>
                </w:p>
              </w:tc>
              <w:tc>
                <w:tcPr>
                  <w:tcW w:w="467"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kern w:val="0"/>
                      <w:szCs w:val="21"/>
                    </w:rPr>
                  </w:pPr>
                  <w:r>
                    <w:rPr>
                      <w:b/>
                      <w:bCs/>
                      <w:kern w:val="0"/>
                      <w:szCs w:val="21"/>
                    </w:rPr>
                    <w:t>大</w:t>
                  </w:r>
                </w:p>
              </w:tc>
              <w:tc>
                <w:tcPr>
                  <w:tcW w:w="468"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bCs/>
                      <w:kern w:val="0"/>
                      <w:szCs w:val="21"/>
                    </w:rPr>
                  </w:pPr>
                  <w:r>
                    <w:rPr>
                      <w:b/>
                      <w:bCs/>
                      <w:kern w:val="0"/>
                      <w:szCs w:val="21"/>
                    </w:rPr>
                    <w:t>中</w:t>
                  </w:r>
                </w:p>
              </w:tc>
              <w:tc>
                <w:tcPr>
                  <w:tcW w:w="455" w:type="pct"/>
                  <w:tcBorders>
                    <w:top w:val="single" w:color="auto" w:sz="4" w:space="0"/>
                    <w:left w:val="single" w:color="auto" w:sz="4" w:space="0"/>
                    <w:bottom w:val="single" w:color="auto" w:sz="8" w:space="0"/>
                    <w:right w:val="nil"/>
                  </w:tcBorders>
                  <w:vAlign w:val="center"/>
                </w:tcPr>
                <w:p>
                  <w:pPr>
                    <w:adjustRightInd w:val="0"/>
                    <w:snapToGrid w:val="0"/>
                    <w:jc w:val="center"/>
                    <w:rPr>
                      <w:b/>
                      <w:bCs/>
                      <w:kern w:val="0"/>
                      <w:szCs w:val="21"/>
                    </w:rPr>
                  </w:pPr>
                  <w:r>
                    <w:rPr>
                      <w:b/>
                      <w:bCs/>
                      <w:kern w:val="0"/>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pct"/>
                  <w:tcBorders>
                    <w:top w:val="single" w:color="auto" w:sz="8" w:space="0"/>
                    <w:left w:val="nil"/>
                    <w:bottom w:val="single" w:color="auto" w:sz="4" w:space="0"/>
                    <w:right w:val="single" w:color="auto" w:sz="4" w:space="0"/>
                  </w:tcBorders>
                  <w:vAlign w:val="center"/>
                </w:tcPr>
                <w:p>
                  <w:pPr>
                    <w:adjustRightInd w:val="0"/>
                    <w:snapToGrid w:val="0"/>
                    <w:jc w:val="center"/>
                    <w:rPr>
                      <w:kern w:val="0"/>
                      <w:szCs w:val="21"/>
                    </w:rPr>
                  </w:pPr>
                  <w:r>
                    <w:rPr>
                      <w:kern w:val="0"/>
                      <w:szCs w:val="21"/>
                    </w:rPr>
                    <w:t>敏感</w:t>
                  </w:r>
                </w:p>
              </w:tc>
              <w:tc>
                <w:tcPr>
                  <w:tcW w:w="463"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一级</w:t>
                  </w:r>
                </w:p>
              </w:tc>
              <w:tc>
                <w:tcPr>
                  <w:tcW w:w="468"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一级</w:t>
                  </w:r>
                </w:p>
              </w:tc>
              <w:tc>
                <w:tcPr>
                  <w:tcW w:w="470"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一级</w:t>
                  </w:r>
                </w:p>
              </w:tc>
              <w:tc>
                <w:tcPr>
                  <w:tcW w:w="468"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二级</w:t>
                  </w:r>
                </w:p>
              </w:tc>
              <w:tc>
                <w:tcPr>
                  <w:tcW w:w="467"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二级</w:t>
                  </w:r>
                </w:p>
              </w:tc>
              <w:tc>
                <w:tcPr>
                  <w:tcW w:w="470"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二级</w:t>
                  </w:r>
                </w:p>
              </w:tc>
              <w:tc>
                <w:tcPr>
                  <w:tcW w:w="467"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三级</w:t>
                  </w:r>
                </w:p>
              </w:tc>
              <w:tc>
                <w:tcPr>
                  <w:tcW w:w="468"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三级</w:t>
                  </w:r>
                </w:p>
              </w:tc>
              <w:tc>
                <w:tcPr>
                  <w:tcW w:w="455" w:type="pct"/>
                  <w:tcBorders>
                    <w:top w:val="single" w:color="auto" w:sz="8" w:space="0"/>
                    <w:left w:val="single" w:color="auto" w:sz="4" w:space="0"/>
                    <w:bottom w:val="single" w:color="auto" w:sz="4" w:space="0"/>
                    <w:right w:val="nil"/>
                  </w:tcBorders>
                  <w:vAlign w:val="center"/>
                </w:tcPr>
                <w:p>
                  <w:pPr>
                    <w:adjustRightInd w:val="0"/>
                    <w:snapToGrid w:val="0"/>
                    <w:jc w:val="center"/>
                    <w:rPr>
                      <w:kern w:val="0"/>
                      <w:szCs w:val="21"/>
                    </w:rPr>
                  </w:pPr>
                  <w:r>
                    <w:rPr>
                      <w:kern w:val="0"/>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pct"/>
                  <w:tcBorders>
                    <w:top w:val="single" w:color="auto" w:sz="4" w:space="0"/>
                    <w:left w:val="nil"/>
                    <w:bottom w:val="single" w:color="auto" w:sz="4" w:space="0"/>
                    <w:right w:val="single" w:color="auto" w:sz="4" w:space="0"/>
                  </w:tcBorders>
                  <w:vAlign w:val="center"/>
                </w:tcPr>
                <w:p>
                  <w:pPr>
                    <w:adjustRightInd w:val="0"/>
                    <w:snapToGrid w:val="0"/>
                    <w:jc w:val="center"/>
                    <w:rPr>
                      <w:kern w:val="0"/>
                      <w:szCs w:val="21"/>
                    </w:rPr>
                  </w:pPr>
                  <w:r>
                    <w:rPr>
                      <w:kern w:val="0"/>
                      <w:szCs w:val="21"/>
                    </w:rPr>
                    <w:t>较敏感</w:t>
                  </w:r>
                </w:p>
              </w:tc>
              <w:tc>
                <w:tcPr>
                  <w:tcW w:w="4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一级</w:t>
                  </w:r>
                </w:p>
              </w:tc>
              <w:tc>
                <w:tcPr>
                  <w:tcW w:w="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一级</w:t>
                  </w:r>
                </w:p>
              </w:tc>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二级</w:t>
                  </w:r>
                </w:p>
              </w:tc>
              <w:tc>
                <w:tcPr>
                  <w:tcW w:w="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二级</w:t>
                  </w:r>
                </w:p>
              </w:tc>
              <w:tc>
                <w:tcPr>
                  <w:tcW w:w="46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二级</w:t>
                  </w:r>
                </w:p>
              </w:tc>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三级</w:t>
                  </w:r>
                </w:p>
              </w:tc>
              <w:tc>
                <w:tcPr>
                  <w:tcW w:w="46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三级</w:t>
                  </w:r>
                </w:p>
              </w:tc>
              <w:tc>
                <w:tcPr>
                  <w:tcW w:w="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三级</w:t>
                  </w:r>
                </w:p>
              </w:tc>
              <w:tc>
                <w:tcPr>
                  <w:tcW w:w="455" w:type="pct"/>
                  <w:tcBorders>
                    <w:top w:val="single" w:color="auto" w:sz="4" w:space="0"/>
                    <w:left w:val="single" w:color="auto" w:sz="4" w:space="0"/>
                    <w:bottom w:val="single" w:color="auto" w:sz="4" w:space="0"/>
                    <w:right w:val="nil"/>
                  </w:tcBorders>
                  <w:vAlign w:val="center"/>
                </w:tcPr>
                <w:p>
                  <w:pPr>
                    <w:adjustRightInd w:val="0"/>
                    <w:snapToGrid w:val="0"/>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2" w:type="pct"/>
                  <w:tcBorders>
                    <w:top w:val="single" w:color="auto" w:sz="4" w:space="0"/>
                    <w:left w:val="nil"/>
                    <w:bottom w:val="single" w:color="auto" w:sz="4" w:space="0"/>
                    <w:right w:val="single" w:color="auto" w:sz="4" w:space="0"/>
                  </w:tcBorders>
                  <w:vAlign w:val="center"/>
                </w:tcPr>
                <w:p>
                  <w:pPr>
                    <w:adjustRightInd w:val="0"/>
                    <w:snapToGrid w:val="0"/>
                    <w:jc w:val="center"/>
                    <w:rPr>
                      <w:kern w:val="0"/>
                      <w:szCs w:val="21"/>
                    </w:rPr>
                  </w:pPr>
                  <w:r>
                    <w:rPr>
                      <w:kern w:val="0"/>
                      <w:szCs w:val="21"/>
                    </w:rPr>
                    <w:t>不敏感</w:t>
                  </w:r>
                </w:p>
              </w:tc>
              <w:tc>
                <w:tcPr>
                  <w:tcW w:w="46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一级</w:t>
                  </w:r>
                </w:p>
              </w:tc>
              <w:tc>
                <w:tcPr>
                  <w:tcW w:w="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二级</w:t>
                  </w:r>
                </w:p>
              </w:tc>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二级</w:t>
                  </w:r>
                </w:p>
              </w:tc>
              <w:tc>
                <w:tcPr>
                  <w:tcW w:w="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二级</w:t>
                  </w:r>
                </w:p>
              </w:tc>
              <w:tc>
                <w:tcPr>
                  <w:tcW w:w="46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三级</w:t>
                  </w:r>
                </w:p>
              </w:tc>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三级</w:t>
                  </w:r>
                </w:p>
              </w:tc>
              <w:tc>
                <w:tcPr>
                  <w:tcW w:w="46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三级</w:t>
                  </w:r>
                </w:p>
              </w:tc>
              <w:tc>
                <w:tcPr>
                  <w:tcW w:w="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w:t>
                  </w:r>
                </w:p>
              </w:tc>
              <w:tc>
                <w:tcPr>
                  <w:tcW w:w="455" w:type="pct"/>
                  <w:tcBorders>
                    <w:top w:val="single" w:color="auto" w:sz="4" w:space="0"/>
                    <w:left w:val="single" w:color="auto" w:sz="4" w:space="0"/>
                    <w:bottom w:val="single" w:color="auto" w:sz="4" w:space="0"/>
                    <w:right w:val="nil"/>
                  </w:tcBorders>
                  <w:vAlign w:val="center"/>
                </w:tcPr>
                <w:p>
                  <w:pPr>
                    <w:adjustRightInd w:val="0"/>
                    <w:snapToGrid w:val="0"/>
                    <w:jc w:val="center"/>
                    <w:rPr>
                      <w:kern w:val="0"/>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tcBorders>
                    <w:top w:val="single" w:color="auto" w:sz="4" w:space="0"/>
                    <w:left w:val="nil"/>
                    <w:bottom w:val="single" w:color="auto" w:sz="8" w:space="0"/>
                    <w:right w:val="nil"/>
                  </w:tcBorders>
                  <w:vAlign w:val="center"/>
                </w:tcPr>
                <w:p>
                  <w:pPr>
                    <w:adjustRightInd w:val="0"/>
                    <w:snapToGrid w:val="0"/>
                    <w:jc w:val="left"/>
                    <w:rPr>
                      <w:kern w:val="0"/>
                      <w:szCs w:val="21"/>
                    </w:rPr>
                  </w:pPr>
                  <w:r>
                    <w:rPr>
                      <w:kern w:val="0"/>
                      <w:szCs w:val="21"/>
                    </w:rPr>
                    <w:t xml:space="preserve">  注：“-”表示可不开展土壤环境影响评价工作。</w:t>
                  </w:r>
                </w:p>
              </w:tc>
            </w:tr>
          </w:tbl>
          <w:p>
            <w:pPr>
              <w:adjustRightInd w:val="0"/>
              <w:snapToGrid w:val="0"/>
              <w:spacing w:line="460" w:lineRule="exact"/>
              <w:ind w:firstLine="512" w:firstLineChars="200"/>
              <w:textAlignment w:val="baseline"/>
              <w:rPr>
                <w:spacing w:val="8"/>
                <w:sz w:val="24"/>
                <w:szCs w:val="22"/>
              </w:rPr>
            </w:pPr>
            <w:r>
              <w:rPr>
                <w:spacing w:val="8"/>
                <w:sz w:val="24"/>
                <w:szCs w:val="22"/>
              </w:rPr>
              <w:t>本项目的项目类别为Ⅲ类、占地规模为小型规模、敏感程度为</w:t>
            </w:r>
            <w:r>
              <w:rPr>
                <w:rFonts w:hint="eastAsia"/>
                <w:spacing w:val="8"/>
                <w:sz w:val="24"/>
                <w:szCs w:val="22"/>
              </w:rPr>
              <w:t>较</w:t>
            </w:r>
            <w:r>
              <w:rPr>
                <w:spacing w:val="8"/>
                <w:sz w:val="24"/>
                <w:szCs w:val="22"/>
              </w:rPr>
              <w:t>敏感，由上表可知，本项目可不开展土壤环境影响评价工作。</w:t>
            </w:r>
          </w:p>
          <w:p>
            <w:pPr>
              <w:adjustRightInd w:val="0"/>
              <w:snapToGrid w:val="0"/>
              <w:spacing w:line="460" w:lineRule="exact"/>
              <w:ind w:firstLine="482" w:firstLineChars="200"/>
              <w:textAlignment w:val="baseline"/>
              <w:rPr>
                <w:b/>
                <w:sz w:val="24"/>
              </w:rPr>
            </w:pPr>
            <w:r>
              <w:rPr>
                <w:b/>
                <w:sz w:val="24"/>
              </w:rPr>
              <w:t>六、选址可行性分析</w:t>
            </w:r>
          </w:p>
          <w:p>
            <w:pPr>
              <w:adjustRightInd w:val="0"/>
              <w:snapToGrid w:val="0"/>
              <w:spacing w:line="460" w:lineRule="exact"/>
              <w:ind w:firstLine="480" w:firstLineChars="200"/>
              <w:rPr>
                <w:color w:val="000000"/>
                <w:sz w:val="24"/>
              </w:rPr>
            </w:pPr>
            <w:r>
              <w:rPr>
                <w:sz w:val="24"/>
              </w:rPr>
              <w:t>本项目位于新乡市合河乡西河村老纸厂旧址院内，租赁新乡县合河乡西河村委会老纸厂旧址，占地面积为1400</w:t>
            </w:r>
            <w:r>
              <w:rPr>
                <w:color w:val="000000"/>
                <w:sz w:val="24"/>
              </w:rPr>
              <w:t>m</w:t>
            </w:r>
            <w:r>
              <w:rPr>
                <w:color w:val="000000"/>
                <w:sz w:val="24"/>
                <w:vertAlign w:val="superscript"/>
              </w:rPr>
              <w:t>2</w:t>
            </w:r>
            <w:r>
              <w:rPr>
                <w:sz w:val="24"/>
              </w:rPr>
              <w:t>，</w:t>
            </w:r>
            <w:r>
              <w:rPr>
                <w:color w:val="000000"/>
                <w:sz w:val="24"/>
              </w:rPr>
              <w:t>不新增占地，不</w:t>
            </w:r>
            <w:r>
              <w:rPr>
                <w:rFonts w:hint="eastAsia"/>
                <w:color w:val="000000"/>
                <w:sz w:val="24"/>
              </w:rPr>
              <w:t>用</w:t>
            </w:r>
            <w:r>
              <w:rPr>
                <w:color w:val="000000"/>
                <w:sz w:val="24"/>
              </w:rPr>
              <w:t>办理土地手续。</w:t>
            </w:r>
            <w:r>
              <w:rPr>
                <w:sz w:val="24"/>
              </w:rPr>
              <w:t>根据《新乡县土地利用总体规划（2010-2020年）》调整完善图（2017年修改）及《合河乡土地利用规划图（2010-2020年）》（2017年修改），本项目用地性质为建设用地，选址符合新乡县合河乡土地利用总体规划，</w:t>
            </w:r>
            <w:r>
              <w:rPr>
                <w:color w:val="000000"/>
                <w:sz w:val="24"/>
              </w:rPr>
              <w:t>根据新乡县合河乡人民政府出具的证明，本项目符合合河乡土地利用总体规划、土地利用规划和产业发展规划要求</w:t>
            </w:r>
            <w:r>
              <w:rPr>
                <w:rFonts w:hint="eastAsia"/>
                <w:color w:val="000000"/>
                <w:sz w:val="24"/>
              </w:rPr>
              <w:t>（规划证明见附见4）</w:t>
            </w:r>
            <w:r>
              <w:rPr>
                <w:color w:val="000000"/>
                <w:sz w:val="24"/>
              </w:rPr>
              <w:t>。</w:t>
            </w:r>
          </w:p>
          <w:p>
            <w:pPr>
              <w:autoSpaceDE w:val="0"/>
              <w:autoSpaceDN w:val="0"/>
              <w:adjustRightInd w:val="0"/>
              <w:snapToGrid w:val="0"/>
              <w:spacing w:line="460" w:lineRule="exact"/>
              <w:ind w:firstLine="480" w:firstLineChars="200"/>
              <w:jc w:val="left"/>
              <w:rPr>
                <w:sz w:val="24"/>
              </w:rPr>
            </w:pPr>
            <w:r>
              <w:rPr>
                <w:sz w:val="24"/>
              </w:rPr>
              <w:t>项目营运期</w:t>
            </w:r>
            <w:r>
              <w:rPr>
                <w:rFonts w:hint="eastAsia"/>
                <w:sz w:val="24"/>
              </w:rPr>
              <w:t>切割、焊接工序采用集气罩+袋式除尘器处理，处理后废气经1根15m高排气筒排放；</w:t>
            </w:r>
            <w:r>
              <w:rPr>
                <w:sz w:val="24"/>
              </w:rPr>
              <w:t>生活</w:t>
            </w:r>
            <w:r>
              <w:rPr>
                <w:rFonts w:hint="eastAsia"/>
                <w:sz w:val="24"/>
              </w:rPr>
              <w:t>污</w:t>
            </w:r>
            <w:r>
              <w:rPr>
                <w:sz w:val="24"/>
              </w:rPr>
              <w:t>水经化粪池处理后定期清运，不外排；噪声经采取降噪措施后能满足</w:t>
            </w:r>
            <w:r>
              <w:rPr>
                <w:kern w:val="0"/>
                <w:sz w:val="24"/>
              </w:rPr>
              <w:t>《工业企业厂界环境噪声排放标准》（GB12348-2008）2类标准；固体废物均得到妥善处置。对周围环境的影响可以接受。</w:t>
            </w:r>
          </w:p>
          <w:p>
            <w:pPr>
              <w:autoSpaceDE w:val="0"/>
              <w:autoSpaceDN w:val="0"/>
              <w:adjustRightInd w:val="0"/>
              <w:snapToGrid w:val="0"/>
              <w:spacing w:line="460" w:lineRule="exact"/>
              <w:ind w:firstLine="480" w:firstLineChars="200"/>
              <w:rPr>
                <w:sz w:val="24"/>
              </w:rPr>
            </w:pPr>
            <w:r>
              <w:rPr>
                <w:sz w:val="24"/>
              </w:rPr>
              <w:t>终上所述，评价认为项目选址可行。</w:t>
            </w:r>
          </w:p>
          <w:p>
            <w:pPr>
              <w:spacing w:line="440" w:lineRule="exact"/>
              <w:ind w:firstLine="482" w:firstLineChars="200"/>
              <w:rPr>
                <w:b/>
                <w:color w:val="000000"/>
                <w:sz w:val="24"/>
              </w:rPr>
            </w:pPr>
            <w:r>
              <w:rPr>
                <w:rFonts w:hint="eastAsia"/>
                <w:b/>
                <w:color w:val="000000"/>
                <w:sz w:val="24"/>
              </w:rPr>
              <w:t>七</w:t>
            </w:r>
            <w:r>
              <w:rPr>
                <w:b/>
                <w:color w:val="000000"/>
                <w:sz w:val="24"/>
              </w:rPr>
              <w:t>、总量控制指标</w:t>
            </w:r>
          </w:p>
          <w:p>
            <w:pPr>
              <w:pStyle w:val="4"/>
              <w:adjustRightInd w:val="0"/>
              <w:snapToGrid w:val="0"/>
              <w:spacing w:line="440" w:lineRule="exact"/>
              <w:ind w:firstLine="480"/>
              <w:rPr>
                <w:color w:val="000000"/>
                <w:sz w:val="24"/>
              </w:rPr>
            </w:pPr>
            <w:r>
              <w:rPr>
                <w:color w:val="000000"/>
                <w:sz w:val="24"/>
              </w:rPr>
              <w:t>根据《新乡市生态环境局关于贯彻落实&lt;河南省生态环境厅办公室关于深化环评“放管服”改革及实施环评审批正面清单的通知&gt;的意见》新环【2020】37号</w:t>
            </w:r>
            <w:r>
              <w:rPr>
                <w:rFonts w:hint="eastAsia"/>
                <w:color w:val="000000"/>
                <w:sz w:val="24"/>
              </w:rPr>
              <w:t>，</w:t>
            </w:r>
            <w:r>
              <w:rPr>
                <w:color w:val="000000"/>
                <w:sz w:val="24"/>
              </w:rPr>
              <w:t>对不新增重点污染物（化学需氧量、氨氮、二氧化硫、氮氧化物、挥发性有机物，重金属铅、铬、镉、汞、砷10类），不再进行总量审核。本项目属于新建项目，本项目污染物排放量为COD0t/a、NH</w:t>
            </w:r>
            <w:r>
              <w:rPr>
                <w:color w:val="000000"/>
                <w:sz w:val="24"/>
                <w:vertAlign w:val="subscript"/>
              </w:rPr>
              <w:t>3</w:t>
            </w:r>
            <w:r>
              <w:rPr>
                <w:color w:val="000000"/>
                <w:sz w:val="24"/>
              </w:rPr>
              <w:t>-N0t/a、SO</w:t>
            </w:r>
            <w:r>
              <w:rPr>
                <w:color w:val="000000"/>
                <w:sz w:val="24"/>
                <w:vertAlign w:val="subscript"/>
              </w:rPr>
              <w:t>2</w:t>
            </w:r>
            <w:r>
              <w:rPr>
                <w:color w:val="000000"/>
                <w:sz w:val="24"/>
              </w:rPr>
              <w:t xml:space="preserve"> 0t/a、NO</w:t>
            </w:r>
            <w:r>
              <w:rPr>
                <w:color w:val="000000"/>
                <w:sz w:val="24"/>
                <w:vertAlign w:val="subscript"/>
              </w:rPr>
              <w:t>X</w:t>
            </w:r>
            <w:r>
              <w:rPr>
                <w:color w:val="000000"/>
                <w:sz w:val="24"/>
              </w:rPr>
              <w:t xml:space="preserve"> 0t/a、VOCs0t/a、铅0t/a、铬0t/a、镉0t/a、汞0t/a、砷0t/a，不新增重点污染物</w:t>
            </w:r>
            <w:r>
              <w:rPr>
                <w:rFonts w:hint="eastAsia"/>
                <w:color w:val="000000"/>
                <w:sz w:val="24"/>
              </w:rPr>
              <w:t>，</w:t>
            </w:r>
            <w:r>
              <w:rPr>
                <w:color w:val="000000"/>
                <w:sz w:val="24"/>
              </w:rPr>
              <w:t>不再进行总量审核。</w:t>
            </w:r>
          </w:p>
          <w:p>
            <w:pPr>
              <w:spacing w:line="460" w:lineRule="exact"/>
              <w:ind w:firstLine="482" w:firstLineChars="200"/>
              <w:rPr>
                <w:b/>
                <w:sz w:val="24"/>
                <w:szCs w:val="22"/>
              </w:rPr>
            </w:pPr>
            <w:r>
              <w:rPr>
                <w:b/>
                <w:sz w:val="24"/>
                <w:szCs w:val="22"/>
              </w:rPr>
              <w:t>八、排污许可证申领</w:t>
            </w:r>
          </w:p>
          <w:p>
            <w:pPr>
              <w:spacing w:line="460" w:lineRule="exact"/>
              <w:ind w:firstLine="480" w:firstLineChars="200"/>
              <w:rPr>
                <w:bCs/>
                <w:sz w:val="24"/>
                <w:szCs w:val="22"/>
              </w:rPr>
            </w:pPr>
            <w:r>
              <w:rPr>
                <w:bCs/>
                <w:sz w:val="24"/>
                <w:szCs w:val="22"/>
              </w:rPr>
              <w:t>根据《建设项目竣工环境保护验收暂行办法》（国环规环评[2017]4号）第十四条要求：纳入排污许可管理的建设项目，排污单位应当在项目产生实际污染物排放之前，按照国家排污许可有关管理规定要求，申请排污许可证，不得无证排污或不按证排污。同时根据《排污许可管理办法（试行）》（环境保护部部令第48号）第二十四条规定：在名录规定的时限后建成的排污单位，应当在启动生产设施或者在实际排污之前申请排污许可证。根据《固定污染源排污许可分类管理名录》第四条：新建排污单位应当在启动生产设施或者发生实际排污之前申请取得排污许可证或者填报排污登记表。</w:t>
            </w:r>
          </w:p>
          <w:p>
            <w:pPr>
              <w:spacing w:line="460" w:lineRule="exact"/>
              <w:ind w:firstLine="480" w:firstLineChars="200"/>
              <w:rPr>
                <w:bCs/>
                <w:sz w:val="24"/>
                <w:szCs w:val="22"/>
              </w:rPr>
            </w:pPr>
            <w:r>
              <w:rPr>
                <w:bCs/>
                <w:sz w:val="24"/>
                <w:szCs w:val="22"/>
              </w:rPr>
              <w:t>经查《固定污染源排污许可分类管理名录（2019年版）》（生态环境部令第11号），本项目属于</w:t>
            </w:r>
            <w:r>
              <w:rPr>
                <w:rFonts w:hint="eastAsia"/>
                <w:bCs/>
                <w:sz w:val="24"/>
                <w:szCs w:val="22"/>
              </w:rPr>
              <w:t>十九、文教、工美、体育和娱乐用品制造业24，</w:t>
            </w:r>
            <w:r>
              <w:rPr>
                <w:bCs/>
                <w:sz w:val="24"/>
                <w:szCs w:val="22"/>
              </w:rPr>
              <w:t>本项目不涉及通用工序，属于其他，为登记管理项目，应在建成后、启动生产设施或者在实际排污之前申请取得排污许可证。</w:t>
            </w:r>
          </w:p>
          <w:p>
            <w:pPr>
              <w:adjustRightInd w:val="0"/>
              <w:snapToGrid w:val="0"/>
              <w:spacing w:line="440" w:lineRule="exact"/>
              <w:ind w:firstLine="482" w:firstLineChars="200"/>
              <w:textAlignment w:val="baseline"/>
              <w:rPr>
                <w:b/>
                <w:sz w:val="24"/>
              </w:rPr>
            </w:pPr>
            <w:r>
              <w:rPr>
                <w:b/>
                <w:sz w:val="24"/>
              </w:rPr>
              <w:t>九、环保投资估算</w:t>
            </w:r>
          </w:p>
          <w:p>
            <w:pPr>
              <w:adjustRightInd w:val="0"/>
              <w:snapToGrid w:val="0"/>
              <w:spacing w:line="440" w:lineRule="exact"/>
              <w:ind w:firstLine="480" w:firstLineChars="200"/>
              <w:rPr>
                <w:rFonts w:eastAsia="黑体"/>
                <w:sz w:val="24"/>
                <w:lang w:val="zh-CN"/>
              </w:rPr>
            </w:pPr>
            <w:r>
              <w:rPr>
                <w:sz w:val="24"/>
              </w:rPr>
              <w:t>本项目总投资为50万元，环保投资为</w:t>
            </w:r>
            <w:r>
              <w:rPr>
                <w:rFonts w:hint="eastAsia"/>
                <w:sz w:val="24"/>
              </w:rPr>
              <w:t>8</w:t>
            </w:r>
            <w:r>
              <w:rPr>
                <w:color w:val="000000" w:themeColor="text1"/>
                <w:sz w:val="24"/>
              </w:rPr>
              <w:t>万元，</w:t>
            </w:r>
            <w:r>
              <w:rPr>
                <w:sz w:val="24"/>
              </w:rPr>
              <w:t>环保投资占总投资的1</w:t>
            </w:r>
            <w:r>
              <w:rPr>
                <w:rFonts w:hint="eastAsia"/>
                <w:sz w:val="24"/>
              </w:rPr>
              <w:t>6</w:t>
            </w:r>
            <w:r>
              <w:rPr>
                <w:sz w:val="24"/>
              </w:rPr>
              <w:t>%，环保投资详见下表：</w:t>
            </w:r>
          </w:p>
          <w:p>
            <w:pPr>
              <w:adjustRightInd w:val="0"/>
              <w:snapToGrid w:val="0"/>
              <w:spacing w:line="440" w:lineRule="exact"/>
              <w:ind w:firstLine="480" w:firstLineChars="200"/>
              <w:rPr>
                <w:rFonts w:eastAsia="黑体"/>
                <w:sz w:val="24"/>
                <w:lang w:val="zh-CN"/>
              </w:rPr>
            </w:pPr>
            <w:r>
              <w:rPr>
                <w:rFonts w:eastAsia="黑体"/>
                <w:sz w:val="24"/>
                <w:lang w:val="zh-CN"/>
              </w:rPr>
              <w:t>表</w:t>
            </w:r>
            <w:r>
              <w:rPr>
                <w:rFonts w:hint="eastAsia" w:eastAsia="黑体"/>
                <w:sz w:val="24"/>
              </w:rPr>
              <w:t>40</w:t>
            </w:r>
            <w:r>
              <w:rPr>
                <w:rFonts w:eastAsia="黑体"/>
                <w:sz w:val="24"/>
                <w:lang w:val="zh-CN"/>
              </w:rPr>
              <w:tab/>
            </w:r>
            <w:r>
              <w:rPr>
                <w:rFonts w:eastAsia="黑体"/>
                <w:sz w:val="24"/>
                <w:lang w:val="zh-CN"/>
              </w:rPr>
              <w:t xml:space="preserve">                </w:t>
            </w:r>
            <w:r>
              <w:rPr>
                <w:rFonts w:hint="eastAsia" w:eastAsia="黑体"/>
                <w:sz w:val="24"/>
              </w:rPr>
              <w:t xml:space="preserve"> </w:t>
            </w:r>
            <w:r>
              <w:rPr>
                <w:rFonts w:eastAsia="黑体"/>
                <w:sz w:val="24"/>
                <w:lang w:val="zh-CN"/>
              </w:rPr>
              <w:t xml:space="preserve">  环保投资一览表                      单位：万元</w:t>
            </w:r>
          </w:p>
          <w:tbl>
            <w:tblPr>
              <w:tblStyle w:val="30"/>
              <w:tblW w:w="4997" w:type="pct"/>
              <w:jc w:val="center"/>
              <w:tblLayout w:type="autofit"/>
              <w:tblCellMar>
                <w:top w:w="0" w:type="dxa"/>
                <w:left w:w="108" w:type="dxa"/>
                <w:bottom w:w="0" w:type="dxa"/>
                <w:right w:w="108" w:type="dxa"/>
              </w:tblCellMar>
            </w:tblPr>
            <w:tblGrid>
              <w:gridCol w:w="733"/>
              <w:gridCol w:w="1156"/>
              <w:gridCol w:w="1414"/>
              <w:gridCol w:w="1155"/>
              <w:gridCol w:w="3967"/>
              <w:gridCol w:w="885"/>
            </w:tblGrid>
            <w:tr>
              <w:tblPrEx>
                <w:tblCellMar>
                  <w:top w:w="0" w:type="dxa"/>
                  <w:left w:w="108" w:type="dxa"/>
                  <w:bottom w:w="0" w:type="dxa"/>
                  <w:right w:w="108" w:type="dxa"/>
                </w:tblCellMar>
              </w:tblPrEx>
              <w:trPr>
                <w:trHeight w:val="397" w:hRule="atLeast"/>
                <w:jc w:val="center"/>
              </w:trPr>
              <w:tc>
                <w:tcPr>
                  <w:tcW w:w="394" w:type="pct"/>
                  <w:tcBorders>
                    <w:top w:val="single" w:color="auto" w:sz="8" w:space="0"/>
                    <w:bottom w:val="single" w:color="auto" w:sz="8" w:space="0"/>
                    <w:right w:val="single" w:color="auto" w:sz="4" w:space="0"/>
                  </w:tcBorders>
                  <w:vAlign w:val="center"/>
                </w:tcPr>
                <w:p>
                  <w:pPr>
                    <w:adjustRightInd w:val="0"/>
                    <w:snapToGrid w:val="0"/>
                    <w:jc w:val="center"/>
                    <w:rPr>
                      <w:b/>
                      <w:szCs w:val="21"/>
                    </w:rPr>
                  </w:pPr>
                  <w:r>
                    <w:rPr>
                      <w:b/>
                      <w:szCs w:val="21"/>
                    </w:rPr>
                    <w:t>序号</w:t>
                  </w:r>
                </w:p>
              </w:tc>
              <w:tc>
                <w:tcPr>
                  <w:tcW w:w="621"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Cs w:val="21"/>
                    </w:rPr>
                  </w:pPr>
                  <w:r>
                    <w:rPr>
                      <w:b/>
                      <w:szCs w:val="21"/>
                    </w:rPr>
                    <w:t>污染因素</w:t>
                  </w:r>
                </w:p>
              </w:tc>
              <w:tc>
                <w:tcPr>
                  <w:tcW w:w="759"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Cs w:val="21"/>
                    </w:rPr>
                  </w:pPr>
                  <w:r>
                    <w:rPr>
                      <w:b/>
                      <w:szCs w:val="21"/>
                    </w:rPr>
                    <w:t>产物环节</w:t>
                  </w:r>
                </w:p>
              </w:tc>
              <w:tc>
                <w:tcPr>
                  <w:tcW w:w="620"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Cs w:val="21"/>
                    </w:rPr>
                  </w:pPr>
                  <w:r>
                    <w:rPr>
                      <w:b/>
                      <w:szCs w:val="21"/>
                    </w:rPr>
                    <w:t>污染物</w:t>
                  </w:r>
                </w:p>
              </w:tc>
              <w:tc>
                <w:tcPr>
                  <w:tcW w:w="2129"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Cs w:val="21"/>
                    </w:rPr>
                  </w:pPr>
                  <w:r>
                    <w:rPr>
                      <w:b/>
                      <w:szCs w:val="21"/>
                    </w:rPr>
                    <w:t>防治措施装置</w:t>
                  </w:r>
                </w:p>
              </w:tc>
              <w:tc>
                <w:tcPr>
                  <w:tcW w:w="475" w:type="pct"/>
                  <w:tcBorders>
                    <w:top w:val="single" w:color="auto" w:sz="8" w:space="0"/>
                    <w:left w:val="single" w:color="auto" w:sz="4" w:space="0"/>
                    <w:bottom w:val="single" w:color="auto" w:sz="8" w:space="0"/>
                  </w:tcBorders>
                  <w:vAlign w:val="center"/>
                </w:tcPr>
                <w:p>
                  <w:pPr>
                    <w:adjustRightInd w:val="0"/>
                    <w:snapToGrid w:val="0"/>
                    <w:jc w:val="center"/>
                    <w:rPr>
                      <w:b/>
                      <w:szCs w:val="21"/>
                    </w:rPr>
                  </w:pPr>
                  <w:r>
                    <w:rPr>
                      <w:b/>
                      <w:szCs w:val="21"/>
                    </w:rPr>
                    <w:t>投资</w:t>
                  </w:r>
                </w:p>
                <w:p>
                  <w:pPr>
                    <w:adjustRightInd w:val="0"/>
                    <w:snapToGrid w:val="0"/>
                    <w:jc w:val="center"/>
                    <w:rPr>
                      <w:b/>
                      <w:szCs w:val="21"/>
                    </w:rPr>
                  </w:pPr>
                  <w:r>
                    <w:rPr>
                      <w:b/>
                      <w:szCs w:val="21"/>
                    </w:rPr>
                    <w:t>估算</w:t>
                  </w:r>
                </w:p>
              </w:tc>
            </w:tr>
            <w:tr>
              <w:tblPrEx>
                <w:tblCellMar>
                  <w:top w:w="0" w:type="dxa"/>
                  <w:left w:w="108" w:type="dxa"/>
                  <w:bottom w:w="0" w:type="dxa"/>
                  <w:right w:w="108" w:type="dxa"/>
                </w:tblCellMar>
              </w:tblPrEx>
              <w:trPr>
                <w:trHeight w:val="397" w:hRule="atLeast"/>
                <w:jc w:val="center"/>
              </w:trPr>
              <w:tc>
                <w:tcPr>
                  <w:tcW w:w="394" w:type="pct"/>
                  <w:tcBorders>
                    <w:right w:val="single" w:color="auto" w:sz="4" w:space="0"/>
                  </w:tcBorders>
                  <w:vAlign w:val="center"/>
                </w:tcPr>
                <w:p>
                  <w:pPr>
                    <w:adjustRightInd w:val="0"/>
                    <w:snapToGrid w:val="0"/>
                    <w:jc w:val="center"/>
                    <w:rPr>
                      <w:szCs w:val="21"/>
                    </w:rPr>
                  </w:pPr>
                  <w:r>
                    <w:rPr>
                      <w:szCs w:val="21"/>
                    </w:rPr>
                    <w:t>1</w:t>
                  </w:r>
                </w:p>
              </w:tc>
              <w:tc>
                <w:tcPr>
                  <w:tcW w:w="621" w:type="pct"/>
                  <w:tcBorders>
                    <w:left w:val="single" w:color="auto" w:sz="4" w:space="0"/>
                    <w:right w:val="single" w:color="auto" w:sz="4" w:space="0"/>
                  </w:tcBorders>
                  <w:vAlign w:val="center"/>
                </w:tcPr>
                <w:p>
                  <w:pPr>
                    <w:adjustRightInd w:val="0"/>
                    <w:snapToGrid w:val="0"/>
                    <w:jc w:val="center"/>
                    <w:rPr>
                      <w:szCs w:val="21"/>
                    </w:rPr>
                  </w:pPr>
                  <w:r>
                    <w:rPr>
                      <w:szCs w:val="21"/>
                    </w:rPr>
                    <w:t>废气</w:t>
                  </w:r>
                </w:p>
              </w:tc>
              <w:tc>
                <w:tcPr>
                  <w:tcW w:w="759"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切割、</w:t>
                  </w:r>
                  <w:r>
                    <w:rPr>
                      <w:szCs w:val="21"/>
                    </w:rPr>
                    <w:t>焊接工序</w:t>
                  </w:r>
                </w:p>
              </w:tc>
              <w:tc>
                <w:tcPr>
                  <w:tcW w:w="620"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烟尘</w:t>
                  </w:r>
                </w:p>
              </w:tc>
              <w:tc>
                <w:tcPr>
                  <w:tcW w:w="2129" w:type="pct"/>
                  <w:tcBorders>
                    <w:left w:val="single" w:color="auto" w:sz="4" w:space="0"/>
                    <w:right w:val="single" w:color="auto" w:sz="4" w:space="0"/>
                  </w:tcBorders>
                  <w:vAlign w:val="center"/>
                </w:tcPr>
                <w:p>
                  <w:pPr>
                    <w:adjustRightInd w:val="0"/>
                    <w:snapToGrid w:val="0"/>
                  </w:pPr>
                  <w:r>
                    <w:rPr>
                      <w:color w:val="000000"/>
                    </w:rPr>
                    <w:t>设置专门的</w:t>
                  </w:r>
                  <w:r>
                    <w:rPr>
                      <w:rFonts w:hint="eastAsia"/>
                      <w:color w:val="000000"/>
                    </w:rPr>
                    <w:t>切割、</w:t>
                  </w:r>
                  <w:r>
                    <w:rPr>
                      <w:color w:val="000000"/>
                    </w:rPr>
                    <w:t>焊接区域，</w:t>
                  </w:r>
                  <w:r>
                    <w:rPr>
                      <w:rFonts w:hint="eastAsia"/>
                      <w:color w:val="000000"/>
                    </w:rPr>
                    <w:t>2台</w:t>
                  </w:r>
                  <w:r>
                    <w:rPr>
                      <w:color w:val="000000"/>
                    </w:rPr>
                    <w:t>集气罩+1台</w:t>
                  </w:r>
                  <w:r>
                    <w:rPr>
                      <w:rFonts w:hint="eastAsia"/>
                      <w:color w:val="000000"/>
                    </w:rPr>
                    <w:t>袋式</w:t>
                  </w:r>
                  <w:r>
                    <w:rPr>
                      <w:color w:val="000000"/>
                    </w:rPr>
                    <w:t>除尘器+1根15米排气筒。</w:t>
                  </w:r>
                </w:p>
              </w:tc>
              <w:tc>
                <w:tcPr>
                  <w:tcW w:w="475" w:type="pct"/>
                  <w:tcBorders>
                    <w:left w:val="single" w:color="auto" w:sz="4" w:space="0"/>
                  </w:tcBorders>
                  <w:vAlign w:val="center"/>
                </w:tcPr>
                <w:p>
                  <w:pPr>
                    <w:adjustRightInd w:val="0"/>
                    <w:snapToGrid w:val="0"/>
                    <w:jc w:val="center"/>
                    <w:rPr>
                      <w:color w:val="000000"/>
                      <w:szCs w:val="21"/>
                      <w:highlight w:val="yellow"/>
                    </w:rPr>
                  </w:pPr>
                  <w:r>
                    <w:rPr>
                      <w:color w:val="000000"/>
                      <w:szCs w:val="21"/>
                    </w:rPr>
                    <w:t>3.0</w:t>
                  </w:r>
                </w:p>
              </w:tc>
            </w:tr>
            <w:tr>
              <w:tblPrEx>
                <w:tblCellMar>
                  <w:top w:w="0" w:type="dxa"/>
                  <w:left w:w="108" w:type="dxa"/>
                  <w:bottom w:w="0" w:type="dxa"/>
                  <w:right w:w="108" w:type="dxa"/>
                </w:tblCellMar>
              </w:tblPrEx>
              <w:trPr>
                <w:trHeight w:val="397" w:hRule="atLeast"/>
                <w:jc w:val="center"/>
              </w:trPr>
              <w:tc>
                <w:tcPr>
                  <w:tcW w:w="394" w:type="pct"/>
                  <w:tcBorders>
                    <w:top w:val="single" w:color="auto" w:sz="4" w:space="0"/>
                    <w:right w:val="single" w:color="auto" w:sz="4" w:space="0"/>
                  </w:tcBorders>
                  <w:vAlign w:val="center"/>
                </w:tcPr>
                <w:p>
                  <w:pPr>
                    <w:adjustRightInd w:val="0"/>
                    <w:snapToGrid w:val="0"/>
                    <w:jc w:val="center"/>
                    <w:rPr>
                      <w:szCs w:val="21"/>
                    </w:rPr>
                  </w:pPr>
                  <w:r>
                    <w:rPr>
                      <w:szCs w:val="21"/>
                    </w:rPr>
                    <w:t>2</w:t>
                  </w:r>
                </w:p>
              </w:tc>
              <w:tc>
                <w:tcPr>
                  <w:tcW w:w="621"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废水</w:t>
                  </w:r>
                </w:p>
              </w:tc>
              <w:tc>
                <w:tcPr>
                  <w:tcW w:w="75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生活污水</w:t>
                  </w:r>
                </w:p>
              </w:tc>
              <w:tc>
                <w:tcPr>
                  <w:tcW w:w="62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COD、SS、NH</w:t>
                  </w:r>
                  <w:r>
                    <w:rPr>
                      <w:szCs w:val="21"/>
                      <w:vertAlign w:val="subscript"/>
                    </w:rPr>
                    <w:t>3</w:t>
                  </w:r>
                  <w:r>
                    <w:rPr>
                      <w:szCs w:val="21"/>
                    </w:rPr>
                    <w:t>-N、TP、TN</w:t>
                  </w:r>
                </w:p>
              </w:tc>
              <w:tc>
                <w:tcPr>
                  <w:tcW w:w="2129" w:type="pct"/>
                  <w:tcBorders>
                    <w:top w:val="single" w:color="auto" w:sz="4" w:space="0"/>
                    <w:left w:val="single" w:color="auto" w:sz="4" w:space="0"/>
                    <w:bottom w:val="single" w:color="auto" w:sz="4" w:space="0"/>
                    <w:right w:val="single" w:color="auto" w:sz="4" w:space="0"/>
                  </w:tcBorders>
                  <w:vAlign w:val="center"/>
                </w:tcPr>
                <w:p>
                  <w:pPr>
                    <w:adjustRightInd w:val="0"/>
                  </w:pPr>
                  <w:r>
                    <w:t>职工生活</w:t>
                  </w:r>
                  <w:r>
                    <w:rPr>
                      <w:rFonts w:hint="eastAsia"/>
                    </w:rPr>
                    <w:t>污</w:t>
                  </w:r>
                  <w:r>
                    <w:t>水经厂区化粪池处理后定期清运，不外排。</w:t>
                  </w:r>
                </w:p>
              </w:tc>
              <w:tc>
                <w:tcPr>
                  <w:tcW w:w="475" w:type="pct"/>
                  <w:tcBorders>
                    <w:top w:val="single" w:color="auto" w:sz="4" w:space="0"/>
                    <w:left w:val="single" w:color="auto" w:sz="4" w:space="0"/>
                    <w:bottom w:val="single" w:color="auto" w:sz="4" w:space="0"/>
                  </w:tcBorders>
                  <w:vAlign w:val="center"/>
                </w:tcPr>
                <w:p>
                  <w:pPr>
                    <w:adjustRightInd w:val="0"/>
                    <w:snapToGrid w:val="0"/>
                    <w:jc w:val="center"/>
                    <w:rPr>
                      <w:szCs w:val="21"/>
                      <w:highlight w:val="yellow"/>
                    </w:rPr>
                  </w:pPr>
                  <w:r>
                    <w:rPr>
                      <w:szCs w:val="21"/>
                    </w:rPr>
                    <w:t>1.0</w:t>
                  </w:r>
                </w:p>
              </w:tc>
            </w:tr>
            <w:tr>
              <w:tblPrEx>
                <w:tblCellMar>
                  <w:top w:w="0" w:type="dxa"/>
                  <w:left w:w="108" w:type="dxa"/>
                  <w:bottom w:w="0" w:type="dxa"/>
                  <w:right w:w="108" w:type="dxa"/>
                </w:tblCellMar>
              </w:tblPrEx>
              <w:trPr>
                <w:trHeight w:val="397" w:hRule="atLeast"/>
                <w:jc w:val="center"/>
              </w:trPr>
              <w:tc>
                <w:tcPr>
                  <w:tcW w:w="394" w:type="pct"/>
                  <w:vMerge w:val="restart"/>
                  <w:tcBorders>
                    <w:top w:val="single" w:color="auto" w:sz="4" w:space="0"/>
                    <w:right w:val="single" w:color="auto" w:sz="4" w:space="0"/>
                  </w:tcBorders>
                  <w:vAlign w:val="center"/>
                </w:tcPr>
                <w:p>
                  <w:pPr>
                    <w:adjustRightInd w:val="0"/>
                    <w:snapToGrid w:val="0"/>
                    <w:jc w:val="center"/>
                    <w:rPr>
                      <w:szCs w:val="21"/>
                    </w:rPr>
                  </w:pPr>
                  <w:r>
                    <w:rPr>
                      <w:szCs w:val="21"/>
                    </w:rPr>
                    <w:t>3</w:t>
                  </w:r>
                </w:p>
              </w:tc>
              <w:tc>
                <w:tcPr>
                  <w:tcW w:w="621" w:type="pct"/>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固废</w:t>
                  </w:r>
                </w:p>
              </w:tc>
              <w:tc>
                <w:tcPr>
                  <w:tcW w:w="759"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切割工序</w:t>
                  </w:r>
                </w:p>
              </w:tc>
              <w:tc>
                <w:tcPr>
                  <w:tcW w:w="62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边角料</w:t>
                  </w:r>
                </w:p>
              </w:tc>
              <w:tc>
                <w:tcPr>
                  <w:tcW w:w="2129" w:type="pct"/>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暂存于一般固废暂存间(14m</w:t>
                  </w:r>
                  <w:r>
                    <w:rPr>
                      <w:szCs w:val="21"/>
                      <w:vertAlign w:val="superscript"/>
                    </w:rPr>
                    <w:t>2</w:t>
                  </w:r>
                  <w:r>
                    <w:rPr>
                      <w:szCs w:val="21"/>
                    </w:rPr>
                    <w:t>)，定期出售</w:t>
                  </w:r>
                </w:p>
              </w:tc>
              <w:tc>
                <w:tcPr>
                  <w:tcW w:w="475" w:type="pct"/>
                  <w:vMerge w:val="restart"/>
                  <w:tcBorders>
                    <w:top w:val="single" w:color="auto" w:sz="4" w:space="0"/>
                    <w:left w:val="single" w:color="auto" w:sz="4" w:space="0"/>
                  </w:tcBorders>
                </w:tcPr>
                <w:p>
                  <w:pPr>
                    <w:adjustRightInd w:val="0"/>
                    <w:snapToGrid w:val="0"/>
                    <w:rPr>
                      <w:szCs w:val="21"/>
                    </w:rPr>
                  </w:pPr>
                </w:p>
                <w:p>
                  <w:pPr>
                    <w:adjustRightInd w:val="0"/>
                    <w:snapToGrid w:val="0"/>
                    <w:jc w:val="center"/>
                    <w:rPr>
                      <w:szCs w:val="21"/>
                      <w:highlight w:val="yellow"/>
                    </w:rPr>
                  </w:pPr>
                  <w:r>
                    <w:rPr>
                      <w:rFonts w:hint="eastAsia"/>
                      <w:szCs w:val="21"/>
                    </w:rPr>
                    <w:t>2.0</w:t>
                  </w:r>
                </w:p>
              </w:tc>
            </w:tr>
            <w:tr>
              <w:tblPrEx>
                <w:tblCellMar>
                  <w:top w:w="0" w:type="dxa"/>
                  <w:left w:w="108" w:type="dxa"/>
                  <w:bottom w:w="0" w:type="dxa"/>
                  <w:right w:w="108" w:type="dxa"/>
                </w:tblCellMar>
              </w:tblPrEx>
              <w:trPr>
                <w:trHeight w:val="397" w:hRule="atLeast"/>
                <w:jc w:val="center"/>
              </w:trPr>
              <w:tc>
                <w:tcPr>
                  <w:tcW w:w="394" w:type="pct"/>
                  <w:vMerge w:val="continue"/>
                  <w:tcBorders>
                    <w:right w:val="single" w:color="auto" w:sz="4" w:space="0"/>
                  </w:tcBorders>
                  <w:vAlign w:val="center"/>
                </w:tcPr>
                <w:p>
                  <w:pPr>
                    <w:adjustRightInd w:val="0"/>
                    <w:snapToGrid w:val="0"/>
                    <w:jc w:val="center"/>
                    <w:rPr>
                      <w:szCs w:val="21"/>
                    </w:rPr>
                  </w:pPr>
                </w:p>
              </w:tc>
              <w:tc>
                <w:tcPr>
                  <w:tcW w:w="621" w:type="pct"/>
                  <w:vMerge w:val="continue"/>
                  <w:tcBorders>
                    <w:left w:val="single" w:color="auto" w:sz="4" w:space="0"/>
                    <w:right w:val="single" w:color="auto" w:sz="4" w:space="0"/>
                  </w:tcBorders>
                  <w:vAlign w:val="center"/>
                </w:tcPr>
                <w:p>
                  <w:pPr>
                    <w:adjustRightInd w:val="0"/>
                    <w:snapToGrid w:val="0"/>
                    <w:jc w:val="center"/>
                    <w:rPr>
                      <w:szCs w:val="21"/>
                    </w:rPr>
                  </w:pPr>
                </w:p>
              </w:tc>
              <w:tc>
                <w:tcPr>
                  <w:tcW w:w="759"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除尘器</w:t>
                  </w:r>
                </w:p>
              </w:tc>
              <w:tc>
                <w:tcPr>
                  <w:tcW w:w="62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粉尘</w:t>
                  </w:r>
                </w:p>
              </w:tc>
              <w:tc>
                <w:tcPr>
                  <w:tcW w:w="2129" w:type="pct"/>
                  <w:vMerge w:val="continue"/>
                  <w:tcBorders>
                    <w:left w:val="single" w:color="auto" w:sz="4" w:space="0"/>
                    <w:right w:val="single" w:color="auto" w:sz="4" w:space="0"/>
                  </w:tcBorders>
                  <w:vAlign w:val="center"/>
                </w:tcPr>
                <w:p>
                  <w:pPr>
                    <w:adjustRightInd w:val="0"/>
                    <w:snapToGrid w:val="0"/>
                    <w:jc w:val="center"/>
                    <w:rPr>
                      <w:szCs w:val="21"/>
                    </w:rPr>
                  </w:pPr>
                </w:p>
              </w:tc>
              <w:tc>
                <w:tcPr>
                  <w:tcW w:w="475" w:type="pct"/>
                  <w:vMerge w:val="continue"/>
                  <w:tcBorders>
                    <w:left w:val="single" w:color="auto" w:sz="4" w:space="0"/>
                  </w:tcBorders>
                </w:tcPr>
                <w:p>
                  <w:pPr>
                    <w:adjustRightInd w:val="0"/>
                    <w:snapToGrid w:val="0"/>
                    <w:jc w:val="center"/>
                    <w:rPr>
                      <w:szCs w:val="21"/>
                    </w:rPr>
                  </w:pPr>
                </w:p>
              </w:tc>
            </w:tr>
            <w:tr>
              <w:tblPrEx>
                <w:tblCellMar>
                  <w:top w:w="0" w:type="dxa"/>
                  <w:left w:w="108" w:type="dxa"/>
                  <w:bottom w:w="0" w:type="dxa"/>
                  <w:right w:w="108" w:type="dxa"/>
                </w:tblCellMar>
              </w:tblPrEx>
              <w:trPr>
                <w:trHeight w:val="397" w:hRule="atLeast"/>
                <w:jc w:val="center"/>
              </w:trPr>
              <w:tc>
                <w:tcPr>
                  <w:tcW w:w="394" w:type="pct"/>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4</w:t>
                  </w:r>
                </w:p>
              </w:tc>
              <w:tc>
                <w:tcPr>
                  <w:tcW w:w="6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噪声</w:t>
                  </w:r>
                </w:p>
              </w:tc>
              <w:tc>
                <w:tcPr>
                  <w:tcW w:w="75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生产设备</w:t>
                  </w:r>
                </w:p>
              </w:tc>
              <w:tc>
                <w:tcPr>
                  <w:tcW w:w="62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噪声</w:t>
                  </w:r>
                </w:p>
              </w:tc>
              <w:tc>
                <w:tcPr>
                  <w:tcW w:w="212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合理布局、厂房隔音</w:t>
                  </w:r>
                </w:p>
              </w:tc>
              <w:tc>
                <w:tcPr>
                  <w:tcW w:w="475" w:type="pct"/>
                  <w:tcBorders>
                    <w:top w:val="single" w:color="auto" w:sz="4" w:space="0"/>
                    <w:left w:val="single" w:color="auto" w:sz="4" w:space="0"/>
                    <w:bottom w:val="single" w:color="auto" w:sz="4" w:space="0"/>
                  </w:tcBorders>
                  <w:vAlign w:val="center"/>
                </w:tcPr>
                <w:p>
                  <w:pPr>
                    <w:adjustRightInd w:val="0"/>
                    <w:snapToGrid w:val="0"/>
                    <w:jc w:val="center"/>
                    <w:rPr>
                      <w:szCs w:val="21"/>
                      <w:highlight w:val="yellow"/>
                    </w:rPr>
                  </w:pPr>
                  <w:r>
                    <w:rPr>
                      <w:szCs w:val="21"/>
                    </w:rPr>
                    <w:t>1.0</w:t>
                  </w:r>
                </w:p>
              </w:tc>
            </w:tr>
            <w:tr>
              <w:tblPrEx>
                <w:tblCellMar>
                  <w:top w:w="0" w:type="dxa"/>
                  <w:left w:w="108" w:type="dxa"/>
                  <w:bottom w:w="0" w:type="dxa"/>
                  <w:right w:w="108" w:type="dxa"/>
                </w:tblCellMar>
              </w:tblPrEx>
              <w:trPr>
                <w:trHeight w:val="397" w:hRule="atLeast"/>
                <w:jc w:val="center"/>
              </w:trPr>
              <w:tc>
                <w:tcPr>
                  <w:tcW w:w="394" w:type="pct"/>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5</w:t>
                  </w:r>
                </w:p>
              </w:tc>
              <w:tc>
                <w:tcPr>
                  <w:tcW w:w="1380" w:type="pct"/>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管理设施</w:t>
                  </w:r>
                </w:p>
              </w:tc>
              <w:tc>
                <w:tcPr>
                  <w:tcW w:w="2749"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color w:val="000000"/>
                      <w:szCs w:val="21"/>
                    </w:rPr>
                    <w:t>根据环境管理要求，安装</w:t>
                  </w:r>
                  <w:r>
                    <w:rPr>
                      <w:rFonts w:hint="eastAsia"/>
                      <w:color w:val="000000"/>
                      <w:szCs w:val="21"/>
                    </w:rPr>
                    <w:t>用电量监控系统</w:t>
                  </w:r>
                </w:p>
              </w:tc>
              <w:tc>
                <w:tcPr>
                  <w:tcW w:w="475" w:type="pct"/>
                  <w:tcBorders>
                    <w:top w:val="single" w:color="auto" w:sz="4" w:space="0"/>
                    <w:left w:val="single" w:color="auto" w:sz="4" w:space="0"/>
                    <w:bottom w:val="single" w:color="auto" w:sz="4" w:space="0"/>
                  </w:tcBorders>
                  <w:vAlign w:val="center"/>
                </w:tcPr>
                <w:p>
                  <w:pPr>
                    <w:adjustRightInd w:val="0"/>
                    <w:snapToGrid w:val="0"/>
                    <w:jc w:val="center"/>
                    <w:rPr>
                      <w:szCs w:val="21"/>
                      <w:highlight w:val="yellow"/>
                    </w:rPr>
                  </w:pPr>
                  <w:r>
                    <w:rPr>
                      <w:rFonts w:hint="eastAsia"/>
                      <w:szCs w:val="21"/>
                    </w:rPr>
                    <w:t>1.0</w:t>
                  </w:r>
                </w:p>
              </w:tc>
            </w:tr>
            <w:tr>
              <w:tblPrEx>
                <w:tblCellMar>
                  <w:top w:w="0" w:type="dxa"/>
                  <w:left w:w="108" w:type="dxa"/>
                  <w:bottom w:w="0" w:type="dxa"/>
                  <w:right w:w="108" w:type="dxa"/>
                </w:tblCellMar>
              </w:tblPrEx>
              <w:trPr>
                <w:trHeight w:val="397" w:hRule="atLeast"/>
                <w:jc w:val="center"/>
              </w:trPr>
              <w:tc>
                <w:tcPr>
                  <w:tcW w:w="394" w:type="pct"/>
                  <w:tcBorders>
                    <w:top w:val="single" w:color="auto" w:sz="4" w:space="0"/>
                    <w:bottom w:val="single" w:color="auto" w:sz="8" w:space="0"/>
                    <w:right w:val="single" w:color="auto" w:sz="4" w:space="0"/>
                  </w:tcBorders>
                  <w:vAlign w:val="center"/>
                </w:tcPr>
                <w:p>
                  <w:pPr>
                    <w:adjustRightInd w:val="0"/>
                    <w:snapToGrid w:val="0"/>
                    <w:jc w:val="center"/>
                    <w:rPr>
                      <w:szCs w:val="21"/>
                    </w:rPr>
                  </w:pPr>
                  <w:r>
                    <w:rPr>
                      <w:szCs w:val="21"/>
                    </w:rPr>
                    <w:t>6</w:t>
                  </w:r>
                </w:p>
              </w:tc>
              <w:tc>
                <w:tcPr>
                  <w:tcW w:w="4130" w:type="pct"/>
                  <w:gridSpan w:val="4"/>
                  <w:tcBorders>
                    <w:top w:val="single" w:color="auto" w:sz="4" w:space="0"/>
                    <w:bottom w:val="single" w:color="auto" w:sz="8" w:space="0"/>
                    <w:right w:val="single" w:color="auto" w:sz="4" w:space="0"/>
                  </w:tcBorders>
                  <w:vAlign w:val="center"/>
                </w:tcPr>
                <w:p>
                  <w:pPr>
                    <w:adjustRightInd w:val="0"/>
                    <w:snapToGrid w:val="0"/>
                    <w:jc w:val="center"/>
                    <w:rPr>
                      <w:szCs w:val="21"/>
                    </w:rPr>
                  </w:pPr>
                  <w:r>
                    <w:rPr>
                      <w:szCs w:val="21"/>
                    </w:rPr>
                    <w:t>合      计</w:t>
                  </w:r>
                </w:p>
              </w:tc>
              <w:tc>
                <w:tcPr>
                  <w:tcW w:w="475" w:type="pct"/>
                  <w:tcBorders>
                    <w:top w:val="single" w:color="auto" w:sz="4" w:space="0"/>
                    <w:left w:val="single" w:color="auto" w:sz="4" w:space="0"/>
                    <w:bottom w:val="single" w:color="auto" w:sz="8" w:space="0"/>
                  </w:tcBorders>
                  <w:vAlign w:val="center"/>
                </w:tcPr>
                <w:p>
                  <w:pPr>
                    <w:adjustRightInd w:val="0"/>
                    <w:snapToGrid w:val="0"/>
                    <w:jc w:val="center"/>
                    <w:rPr>
                      <w:szCs w:val="21"/>
                      <w:highlight w:val="yellow"/>
                    </w:rPr>
                  </w:pPr>
                  <w:r>
                    <w:rPr>
                      <w:rFonts w:hint="eastAsia"/>
                      <w:szCs w:val="21"/>
                    </w:rPr>
                    <w:t>8</w:t>
                  </w:r>
                  <w:r>
                    <w:rPr>
                      <w:szCs w:val="21"/>
                    </w:rPr>
                    <w:t>.0</w:t>
                  </w:r>
                </w:p>
              </w:tc>
            </w:tr>
          </w:tbl>
          <w:p>
            <w:pPr>
              <w:spacing w:line="440" w:lineRule="exact"/>
              <w:ind w:firstLine="482" w:firstLineChars="200"/>
              <w:rPr>
                <w:b/>
                <w:bCs/>
                <w:sz w:val="24"/>
              </w:rPr>
            </w:pPr>
            <w:r>
              <w:rPr>
                <w:b/>
                <w:bCs/>
                <w:sz w:val="24"/>
              </w:rPr>
              <w:t>十、环保验收</w:t>
            </w:r>
          </w:p>
          <w:p>
            <w:pPr>
              <w:adjustRightInd w:val="0"/>
              <w:snapToGrid w:val="0"/>
              <w:spacing w:line="440" w:lineRule="exact"/>
              <w:ind w:firstLine="480" w:firstLineChars="200"/>
              <w:rPr>
                <w:sz w:val="24"/>
              </w:rPr>
            </w:pPr>
            <w:r>
              <w:rPr>
                <w:sz w:val="24"/>
              </w:rPr>
              <w:t>本项目环保验收内容见下表：</w:t>
            </w:r>
          </w:p>
          <w:p>
            <w:pPr>
              <w:adjustRightInd w:val="0"/>
              <w:snapToGrid w:val="0"/>
              <w:spacing w:line="440" w:lineRule="exact"/>
              <w:ind w:firstLine="480" w:firstLineChars="200"/>
              <w:rPr>
                <w:rFonts w:eastAsia="黑体"/>
                <w:sz w:val="24"/>
                <w:lang w:val="zh-CN"/>
              </w:rPr>
            </w:pPr>
            <w:r>
              <w:rPr>
                <w:rFonts w:eastAsia="黑体"/>
                <w:sz w:val="24"/>
                <w:lang w:val="zh-CN"/>
              </w:rPr>
              <w:t>表</w:t>
            </w:r>
            <w:r>
              <w:rPr>
                <w:rFonts w:hint="eastAsia" w:eastAsia="黑体"/>
                <w:sz w:val="24"/>
              </w:rPr>
              <w:t>41</w:t>
            </w:r>
            <w:r>
              <w:rPr>
                <w:rFonts w:eastAsia="黑体"/>
                <w:sz w:val="24"/>
                <w:lang w:val="zh-CN"/>
              </w:rPr>
              <w:t xml:space="preserve">                  环保验收</w:t>
            </w:r>
            <w:r>
              <w:rPr>
                <w:rFonts w:hint="eastAsia" w:eastAsia="黑体"/>
                <w:sz w:val="24"/>
                <w:lang w:val="zh-CN"/>
              </w:rPr>
              <w:t>“</w:t>
            </w:r>
            <w:r>
              <w:rPr>
                <w:rFonts w:eastAsia="黑体"/>
                <w:sz w:val="24"/>
                <w:lang w:val="zh-CN"/>
              </w:rPr>
              <w:t>三同时</w:t>
            </w:r>
            <w:r>
              <w:rPr>
                <w:rFonts w:hint="eastAsia" w:eastAsia="黑体"/>
                <w:sz w:val="24"/>
                <w:lang w:val="zh-CN"/>
              </w:rPr>
              <w:t>”</w:t>
            </w:r>
            <w:r>
              <w:rPr>
                <w:rFonts w:eastAsia="黑体"/>
                <w:sz w:val="24"/>
                <w:lang w:val="zh-CN"/>
              </w:rPr>
              <w:t>一览表</w:t>
            </w:r>
          </w:p>
          <w:tbl>
            <w:tblPr>
              <w:tblStyle w:val="30"/>
              <w:tblW w:w="4996"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732"/>
              <w:gridCol w:w="1285"/>
              <w:gridCol w:w="2201"/>
              <w:gridCol w:w="2214"/>
              <w:gridCol w:w="238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3" w:type="pct"/>
                  <w:tcBorders>
                    <w:top w:val="single" w:color="auto" w:sz="8" w:space="0"/>
                    <w:left w:val="nil"/>
                    <w:bottom w:val="single" w:color="auto" w:sz="8" w:space="0"/>
                    <w:right w:val="single" w:color="auto" w:sz="4" w:space="0"/>
                  </w:tcBorders>
                  <w:vAlign w:val="center"/>
                </w:tcPr>
                <w:p>
                  <w:pPr>
                    <w:pStyle w:val="15"/>
                    <w:adjustRightInd w:val="0"/>
                    <w:snapToGrid w:val="0"/>
                    <w:ind w:firstLine="0" w:firstLineChars="0"/>
                    <w:jc w:val="center"/>
                    <w:rPr>
                      <w:b/>
                      <w:bCs/>
                      <w:color w:val="000000"/>
                      <w:sz w:val="21"/>
                      <w:szCs w:val="21"/>
                    </w:rPr>
                  </w:pPr>
                  <w:r>
                    <w:rPr>
                      <w:b/>
                      <w:bCs/>
                      <w:color w:val="000000"/>
                      <w:sz w:val="21"/>
                      <w:szCs w:val="21"/>
                    </w:rPr>
                    <w:t>序号</w:t>
                  </w:r>
                </w:p>
              </w:tc>
              <w:tc>
                <w:tcPr>
                  <w:tcW w:w="393" w:type="pct"/>
                  <w:tcBorders>
                    <w:top w:val="single" w:color="auto" w:sz="8" w:space="0"/>
                    <w:left w:val="single" w:color="auto" w:sz="4" w:space="0"/>
                    <w:bottom w:val="single" w:color="auto" w:sz="8" w:space="0"/>
                    <w:right w:val="single" w:color="auto" w:sz="4" w:space="0"/>
                  </w:tcBorders>
                  <w:vAlign w:val="center"/>
                </w:tcPr>
                <w:p>
                  <w:pPr>
                    <w:pStyle w:val="15"/>
                    <w:adjustRightInd w:val="0"/>
                    <w:snapToGrid w:val="0"/>
                    <w:ind w:firstLine="0" w:firstLineChars="0"/>
                    <w:jc w:val="center"/>
                    <w:rPr>
                      <w:b/>
                      <w:bCs/>
                      <w:color w:val="000000"/>
                      <w:sz w:val="21"/>
                      <w:szCs w:val="21"/>
                    </w:rPr>
                  </w:pPr>
                  <w:r>
                    <w:rPr>
                      <w:b/>
                      <w:bCs/>
                      <w:color w:val="000000"/>
                      <w:sz w:val="21"/>
                      <w:szCs w:val="21"/>
                    </w:rPr>
                    <w:t>污染</w:t>
                  </w:r>
                </w:p>
                <w:p>
                  <w:pPr>
                    <w:pStyle w:val="15"/>
                    <w:adjustRightInd w:val="0"/>
                    <w:snapToGrid w:val="0"/>
                    <w:ind w:firstLine="0" w:firstLineChars="0"/>
                    <w:jc w:val="center"/>
                    <w:rPr>
                      <w:b/>
                      <w:bCs/>
                      <w:color w:val="000000"/>
                      <w:sz w:val="21"/>
                      <w:szCs w:val="21"/>
                    </w:rPr>
                  </w:pPr>
                  <w:r>
                    <w:rPr>
                      <w:b/>
                      <w:bCs/>
                      <w:color w:val="000000"/>
                      <w:sz w:val="21"/>
                      <w:szCs w:val="21"/>
                    </w:rPr>
                    <w:t>类别</w:t>
                  </w:r>
                </w:p>
              </w:tc>
              <w:tc>
                <w:tcPr>
                  <w:tcW w:w="690" w:type="pct"/>
                  <w:tcBorders>
                    <w:top w:val="single" w:color="auto" w:sz="8" w:space="0"/>
                    <w:left w:val="single" w:color="auto" w:sz="4" w:space="0"/>
                    <w:bottom w:val="single" w:color="auto" w:sz="8" w:space="0"/>
                    <w:right w:val="single" w:color="auto" w:sz="4" w:space="0"/>
                  </w:tcBorders>
                  <w:vAlign w:val="center"/>
                </w:tcPr>
                <w:p>
                  <w:pPr>
                    <w:pStyle w:val="15"/>
                    <w:adjustRightInd w:val="0"/>
                    <w:snapToGrid w:val="0"/>
                    <w:ind w:firstLine="0" w:firstLineChars="0"/>
                    <w:jc w:val="center"/>
                    <w:rPr>
                      <w:b/>
                      <w:bCs/>
                      <w:color w:val="000000"/>
                      <w:sz w:val="21"/>
                      <w:szCs w:val="21"/>
                    </w:rPr>
                  </w:pPr>
                  <w:r>
                    <w:rPr>
                      <w:b/>
                      <w:bCs/>
                      <w:color w:val="000000"/>
                      <w:sz w:val="21"/>
                      <w:szCs w:val="21"/>
                    </w:rPr>
                    <w:t>治理内容</w:t>
                  </w:r>
                </w:p>
              </w:tc>
              <w:tc>
                <w:tcPr>
                  <w:tcW w:w="1182" w:type="pct"/>
                  <w:tcBorders>
                    <w:top w:val="single" w:color="auto" w:sz="8" w:space="0"/>
                    <w:left w:val="single" w:color="auto" w:sz="4" w:space="0"/>
                    <w:bottom w:val="single" w:color="auto" w:sz="8" w:space="0"/>
                    <w:right w:val="single" w:color="auto" w:sz="4" w:space="0"/>
                  </w:tcBorders>
                  <w:vAlign w:val="center"/>
                </w:tcPr>
                <w:p>
                  <w:pPr>
                    <w:pStyle w:val="15"/>
                    <w:adjustRightInd w:val="0"/>
                    <w:snapToGrid w:val="0"/>
                    <w:ind w:firstLine="0" w:firstLineChars="0"/>
                    <w:jc w:val="center"/>
                    <w:rPr>
                      <w:b/>
                      <w:bCs/>
                      <w:color w:val="000000"/>
                      <w:sz w:val="21"/>
                      <w:szCs w:val="21"/>
                    </w:rPr>
                  </w:pPr>
                  <w:r>
                    <w:rPr>
                      <w:b/>
                      <w:bCs/>
                      <w:color w:val="000000"/>
                      <w:sz w:val="21"/>
                      <w:szCs w:val="21"/>
                    </w:rPr>
                    <w:t>环保设施</w:t>
                  </w:r>
                </w:p>
              </w:tc>
              <w:tc>
                <w:tcPr>
                  <w:tcW w:w="1189" w:type="pct"/>
                  <w:tcBorders>
                    <w:top w:val="single" w:color="auto" w:sz="8" w:space="0"/>
                    <w:left w:val="single" w:color="auto" w:sz="4" w:space="0"/>
                    <w:bottom w:val="single" w:color="auto" w:sz="8" w:space="0"/>
                    <w:right w:val="single" w:color="auto" w:sz="4" w:space="0"/>
                  </w:tcBorders>
                  <w:vAlign w:val="center"/>
                </w:tcPr>
                <w:p>
                  <w:pPr>
                    <w:pStyle w:val="15"/>
                    <w:adjustRightInd w:val="0"/>
                    <w:snapToGrid w:val="0"/>
                    <w:ind w:firstLine="0" w:firstLineChars="0"/>
                    <w:jc w:val="center"/>
                    <w:rPr>
                      <w:b/>
                      <w:bCs/>
                      <w:color w:val="000000"/>
                      <w:sz w:val="21"/>
                      <w:szCs w:val="21"/>
                    </w:rPr>
                  </w:pPr>
                  <w:r>
                    <w:rPr>
                      <w:b/>
                      <w:bCs/>
                      <w:color w:val="000000"/>
                      <w:sz w:val="21"/>
                      <w:szCs w:val="21"/>
                    </w:rPr>
                    <w:t>验收内容</w:t>
                  </w:r>
                </w:p>
              </w:tc>
              <w:tc>
                <w:tcPr>
                  <w:tcW w:w="1282" w:type="pct"/>
                  <w:tcBorders>
                    <w:top w:val="single" w:color="auto" w:sz="8" w:space="0"/>
                    <w:left w:val="single" w:color="auto" w:sz="4" w:space="0"/>
                    <w:bottom w:val="single" w:color="auto" w:sz="8" w:space="0"/>
                    <w:right w:val="nil"/>
                  </w:tcBorders>
                  <w:vAlign w:val="center"/>
                </w:tcPr>
                <w:p>
                  <w:pPr>
                    <w:pStyle w:val="15"/>
                    <w:adjustRightInd w:val="0"/>
                    <w:snapToGrid w:val="0"/>
                    <w:ind w:firstLine="0" w:firstLineChars="0"/>
                    <w:jc w:val="center"/>
                    <w:rPr>
                      <w:b/>
                      <w:bCs/>
                      <w:color w:val="000000"/>
                      <w:sz w:val="21"/>
                      <w:szCs w:val="21"/>
                    </w:rPr>
                  </w:pPr>
                  <w:r>
                    <w:rPr>
                      <w:b/>
                      <w:bCs/>
                      <w:color w:val="000000"/>
                      <w:sz w:val="21"/>
                      <w:szCs w:val="21"/>
                    </w:rPr>
                    <w:t>执行标准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3" w:type="pct"/>
                  <w:tcBorders>
                    <w:top w:val="nil"/>
                    <w:left w:val="nil"/>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color w:val="000000"/>
                      <w:sz w:val="21"/>
                      <w:szCs w:val="21"/>
                    </w:rPr>
                    <w:t>1</w:t>
                  </w:r>
                </w:p>
              </w:tc>
              <w:tc>
                <w:tcPr>
                  <w:tcW w:w="393" w:type="pct"/>
                  <w:tcBorders>
                    <w:top w:val="nil"/>
                    <w:left w:val="single" w:color="auto" w:sz="4" w:space="0"/>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color w:val="000000"/>
                      <w:sz w:val="21"/>
                      <w:szCs w:val="21"/>
                    </w:rPr>
                    <w:t>废气</w:t>
                  </w:r>
                </w:p>
              </w:tc>
              <w:tc>
                <w:tcPr>
                  <w:tcW w:w="690" w:type="pct"/>
                  <w:tcBorders>
                    <w:top w:val="single" w:color="auto" w:sz="8" w:space="0"/>
                    <w:left w:val="single" w:color="auto" w:sz="4" w:space="0"/>
                    <w:right w:val="single" w:color="auto" w:sz="4" w:space="0"/>
                  </w:tcBorders>
                  <w:vAlign w:val="center"/>
                </w:tcPr>
                <w:p>
                  <w:pPr>
                    <w:pStyle w:val="113"/>
                    <w:adjustRightInd w:val="0"/>
                    <w:snapToGrid w:val="0"/>
                    <w:spacing w:line="240" w:lineRule="auto"/>
                    <w:rPr>
                      <w:color w:val="000000"/>
                    </w:rPr>
                  </w:pPr>
                  <w:r>
                    <w:rPr>
                      <w:color w:val="000000"/>
                    </w:rPr>
                    <w:t>焊接工序</w:t>
                  </w:r>
                </w:p>
                <w:p>
                  <w:pPr>
                    <w:pStyle w:val="113"/>
                    <w:adjustRightInd w:val="0"/>
                    <w:snapToGrid w:val="0"/>
                    <w:spacing w:line="240" w:lineRule="auto"/>
                  </w:pPr>
                  <w:r>
                    <w:rPr>
                      <w:color w:val="000000"/>
                    </w:rPr>
                    <w:t>焊接烟尘</w:t>
                  </w:r>
                </w:p>
              </w:tc>
              <w:tc>
                <w:tcPr>
                  <w:tcW w:w="1182" w:type="pct"/>
                  <w:tcBorders>
                    <w:top w:val="nil"/>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color w:val="000000"/>
                    </w:rPr>
                    <w:t>2台</w:t>
                  </w:r>
                  <w:r>
                    <w:rPr>
                      <w:color w:val="000000"/>
                    </w:rPr>
                    <w:t>集气罩+</w:t>
                  </w:r>
                  <w:r>
                    <w:rPr>
                      <w:rFonts w:hint="eastAsia"/>
                      <w:color w:val="000000"/>
                    </w:rPr>
                    <w:t>1</w:t>
                  </w:r>
                  <w:r>
                    <w:rPr>
                      <w:color w:val="000000"/>
                    </w:rPr>
                    <w:t>台</w:t>
                  </w:r>
                  <w:r>
                    <w:rPr>
                      <w:rFonts w:hint="eastAsia"/>
                      <w:color w:val="000000"/>
                    </w:rPr>
                    <w:t>袋式</w:t>
                  </w:r>
                  <w:r>
                    <w:rPr>
                      <w:color w:val="000000"/>
                    </w:rPr>
                    <w:t>除尘器+1根15米排气筒”</w:t>
                  </w:r>
                </w:p>
              </w:tc>
              <w:tc>
                <w:tcPr>
                  <w:tcW w:w="1189" w:type="pct"/>
                  <w:tcBorders>
                    <w:top w:val="nil"/>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color w:val="000000"/>
                    </w:rPr>
                    <w:t>2台</w:t>
                  </w:r>
                  <w:r>
                    <w:rPr>
                      <w:color w:val="000000"/>
                    </w:rPr>
                    <w:t>集气罩+1台</w:t>
                  </w:r>
                  <w:r>
                    <w:rPr>
                      <w:rFonts w:hint="eastAsia"/>
                      <w:color w:val="000000"/>
                    </w:rPr>
                    <w:t>袋式</w:t>
                  </w:r>
                  <w:r>
                    <w:rPr>
                      <w:color w:val="000000"/>
                    </w:rPr>
                    <w:t>除尘器+1根15米排气筒”</w:t>
                  </w:r>
                </w:p>
              </w:tc>
              <w:tc>
                <w:tcPr>
                  <w:tcW w:w="1282" w:type="pct"/>
                  <w:tcBorders>
                    <w:top w:val="nil"/>
                    <w:left w:val="single" w:color="auto" w:sz="4" w:space="0"/>
                    <w:bottom w:val="single" w:color="auto" w:sz="4" w:space="0"/>
                    <w:right w:val="nil"/>
                  </w:tcBorders>
                  <w:vAlign w:val="center"/>
                </w:tcPr>
                <w:p>
                  <w:pPr>
                    <w:pStyle w:val="15"/>
                    <w:adjustRightInd w:val="0"/>
                    <w:snapToGrid w:val="0"/>
                    <w:ind w:firstLine="0" w:firstLineChars="0"/>
                    <w:jc w:val="center"/>
                    <w:rPr>
                      <w:color w:val="000000"/>
                      <w:sz w:val="21"/>
                      <w:szCs w:val="21"/>
                    </w:rPr>
                  </w:pPr>
                  <w:r>
                    <w:rPr>
                      <w:color w:val="000000"/>
                      <w:sz w:val="21"/>
                      <w:szCs w:val="21"/>
                    </w:rPr>
                    <w:t>《大气污染物综合排放标准》（GB16297-1996）表2二级标准（有组织排放浓度限值120mg/m</w:t>
                  </w:r>
                  <w:r>
                    <w:rPr>
                      <w:color w:val="000000"/>
                      <w:sz w:val="21"/>
                      <w:szCs w:val="21"/>
                      <w:vertAlign w:val="superscript"/>
                    </w:rPr>
                    <w:t>3</w:t>
                  </w:r>
                  <w:r>
                    <w:rPr>
                      <w:color w:val="000000"/>
                      <w:sz w:val="21"/>
                      <w:szCs w:val="21"/>
                    </w:rPr>
                    <w:t>，排放速率限值3.5kg/h）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3" w:type="pct"/>
                  <w:tcBorders>
                    <w:top w:val="single" w:color="auto" w:sz="4" w:space="0"/>
                    <w:left w:val="nil"/>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color w:val="000000"/>
                      <w:sz w:val="21"/>
                      <w:szCs w:val="21"/>
                    </w:rPr>
                    <w:t>2</w:t>
                  </w:r>
                </w:p>
              </w:tc>
              <w:tc>
                <w:tcPr>
                  <w:tcW w:w="393" w:type="pct"/>
                  <w:tcBorders>
                    <w:top w:val="single" w:color="auto" w:sz="4" w:space="0"/>
                    <w:left w:val="single" w:color="auto" w:sz="4" w:space="0"/>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color w:val="000000"/>
                      <w:sz w:val="21"/>
                      <w:szCs w:val="21"/>
                    </w:rPr>
                    <w:t>废水</w:t>
                  </w:r>
                </w:p>
              </w:tc>
              <w:tc>
                <w:tcPr>
                  <w:tcW w:w="6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szCs w:val="21"/>
                    </w:rPr>
                  </w:pPr>
                  <w:r>
                    <w:t>生活污水</w:t>
                  </w:r>
                </w:p>
              </w:tc>
              <w:tc>
                <w:tcPr>
                  <w:tcW w:w="1182"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jc w:val="center"/>
                    <w:rPr>
                      <w:sz w:val="21"/>
                      <w:szCs w:val="21"/>
                    </w:rPr>
                  </w:pPr>
                  <w:r>
                    <w:rPr>
                      <w:rFonts w:hint="eastAsia"/>
                      <w:sz w:val="21"/>
                      <w:szCs w:val="21"/>
                    </w:rPr>
                    <w:t>化粪池</w:t>
                  </w:r>
                  <w:r>
                    <w:rPr>
                      <w:bCs/>
                      <w:sz w:val="21"/>
                      <w:szCs w:val="21"/>
                    </w:rPr>
                    <w:t>1座（容积</w:t>
                  </w:r>
                  <w:r>
                    <w:rPr>
                      <w:rFonts w:hint="eastAsia"/>
                      <w:bCs/>
                      <w:sz w:val="21"/>
                      <w:szCs w:val="21"/>
                    </w:rPr>
                    <w:t>5</w:t>
                  </w:r>
                  <w:r>
                    <w:rPr>
                      <w:bCs/>
                      <w:color w:val="000000"/>
                      <w:sz w:val="21"/>
                      <w:szCs w:val="21"/>
                    </w:rPr>
                    <w:t>m</w:t>
                  </w:r>
                  <w:r>
                    <w:rPr>
                      <w:bCs/>
                      <w:color w:val="000000"/>
                      <w:sz w:val="21"/>
                      <w:szCs w:val="21"/>
                      <w:vertAlign w:val="superscript"/>
                    </w:rPr>
                    <w:t>3</w:t>
                  </w:r>
                  <w:r>
                    <w:rPr>
                      <w:bCs/>
                      <w:sz w:val="21"/>
                      <w:szCs w:val="21"/>
                    </w:rPr>
                    <w:t>）</w:t>
                  </w:r>
                </w:p>
              </w:tc>
              <w:tc>
                <w:tcPr>
                  <w:tcW w:w="1189" w:type="pct"/>
                  <w:tcBorders>
                    <w:top w:val="single" w:color="auto" w:sz="4" w:space="0"/>
                    <w:left w:val="single" w:color="auto" w:sz="4" w:space="0"/>
                    <w:bottom w:val="single" w:color="auto" w:sz="4" w:space="0"/>
                    <w:right w:val="single" w:color="auto" w:sz="4" w:space="0"/>
                  </w:tcBorders>
                  <w:vAlign w:val="center"/>
                </w:tcPr>
                <w:p>
                  <w:pPr>
                    <w:pStyle w:val="15"/>
                    <w:adjustRightInd w:val="0"/>
                    <w:snapToGrid w:val="0"/>
                    <w:ind w:firstLine="0" w:firstLineChars="0"/>
                    <w:jc w:val="center"/>
                    <w:rPr>
                      <w:sz w:val="21"/>
                      <w:szCs w:val="21"/>
                    </w:rPr>
                  </w:pPr>
                  <w:r>
                    <w:rPr>
                      <w:bCs/>
                      <w:sz w:val="21"/>
                      <w:szCs w:val="21"/>
                    </w:rPr>
                    <w:t>化粪池1座（容积</w:t>
                  </w:r>
                  <w:r>
                    <w:rPr>
                      <w:rFonts w:hint="eastAsia"/>
                      <w:bCs/>
                      <w:sz w:val="21"/>
                      <w:szCs w:val="21"/>
                    </w:rPr>
                    <w:t>5</w:t>
                  </w:r>
                  <w:r>
                    <w:rPr>
                      <w:bCs/>
                      <w:color w:val="000000"/>
                      <w:sz w:val="21"/>
                      <w:szCs w:val="21"/>
                    </w:rPr>
                    <w:t>m</w:t>
                  </w:r>
                  <w:r>
                    <w:rPr>
                      <w:bCs/>
                      <w:color w:val="000000"/>
                      <w:sz w:val="21"/>
                      <w:szCs w:val="21"/>
                      <w:vertAlign w:val="superscript"/>
                    </w:rPr>
                    <w:t>3</w:t>
                  </w:r>
                  <w:r>
                    <w:rPr>
                      <w:bCs/>
                      <w:sz w:val="21"/>
                      <w:szCs w:val="21"/>
                    </w:rPr>
                    <w:t>）</w:t>
                  </w:r>
                </w:p>
              </w:tc>
              <w:tc>
                <w:tcPr>
                  <w:tcW w:w="1282" w:type="pct"/>
                  <w:tcBorders>
                    <w:top w:val="single" w:color="auto" w:sz="4" w:space="0"/>
                    <w:left w:val="single" w:color="auto" w:sz="4" w:space="0"/>
                    <w:bottom w:val="single" w:color="auto" w:sz="4" w:space="0"/>
                    <w:right w:val="nil"/>
                  </w:tcBorders>
                  <w:vAlign w:val="center"/>
                </w:tcPr>
                <w:p>
                  <w:pPr>
                    <w:pStyle w:val="14"/>
                    <w:adjustRightInd w:val="0"/>
                    <w:snapToGrid w:val="0"/>
                    <w:jc w:val="center"/>
                  </w:pPr>
                  <w:r>
                    <w:rPr>
                      <w:sz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3" w:type="pct"/>
                  <w:tcBorders>
                    <w:top w:val="single" w:color="auto" w:sz="4" w:space="0"/>
                    <w:left w:val="nil"/>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color w:val="000000"/>
                      <w:sz w:val="21"/>
                      <w:szCs w:val="21"/>
                    </w:rPr>
                    <w:t>3</w:t>
                  </w:r>
                </w:p>
              </w:tc>
              <w:tc>
                <w:tcPr>
                  <w:tcW w:w="393" w:type="pct"/>
                  <w:tcBorders>
                    <w:top w:val="single" w:color="auto" w:sz="4" w:space="0"/>
                    <w:left w:val="single" w:color="auto" w:sz="4" w:space="0"/>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color w:val="000000"/>
                      <w:sz w:val="21"/>
                      <w:szCs w:val="21"/>
                    </w:rPr>
                    <w:t>噪声</w:t>
                  </w:r>
                </w:p>
              </w:tc>
              <w:tc>
                <w:tcPr>
                  <w:tcW w:w="690" w:type="pct"/>
                  <w:tcBorders>
                    <w:top w:val="single" w:color="auto" w:sz="4" w:space="0"/>
                    <w:left w:val="single" w:color="auto" w:sz="4" w:space="0"/>
                    <w:bottom w:val="single" w:color="auto" w:sz="4" w:space="0"/>
                    <w:right w:val="single" w:color="auto" w:sz="4" w:space="0"/>
                  </w:tcBorders>
                  <w:vAlign w:val="center"/>
                </w:tcPr>
                <w:p>
                  <w:pPr>
                    <w:pStyle w:val="114"/>
                    <w:adjustRightInd w:val="0"/>
                    <w:snapToGrid w:val="0"/>
                    <w:jc w:val="center"/>
                    <w:rPr>
                      <w:color w:val="000000"/>
                      <w:sz w:val="21"/>
                      <w:szCs w:val="21"/>
                    </w:rPr>
                  </w:pPr>
                  <w:r>
                    <w:rPr>
                      <w:rFonts w:hint="eastAsia"/>
                      <w:color w:val="000000"/>
                      <w:sz w:val="21"/>
                      <w:szCs w:val="21"/>
                    </w:rPr>
                    <w:t>设备</w:t>
                  </w:r>
                  <w:r>
                    <w:rPr>
                      <w:color w:val="000000"/>
                      <w:sz w:val="21"/>
                      <w:szCs w:val="21"/>
                    </w:rPr>
                    <w:t>噪声</w:t>
                  </w:r>
                </w:p>
              </w:tc>
              <w:tc>
                <w:tcPr>
                  <w:tcW w:w="1182" w:type="pct"/>
                  <w:tcBorders>
                    <w:top w:val="single" w:color="auto" w:sz="4" w:space="0"/>
                    <w:left w:val="single" w:color="auto" w:sz="4" w:space="0"/>
                    <w:bottom w:val="single" w:color="auto" w:sz="4" w:space="0"/>
                    <w:right w:val="single" w:color="auto" w:sz="4" w:space="0"/>
                  </w:tcBorders>
                  <w:vAlign w:val="center"/>
                </w:tcPr>
                <w:p>
                  <w:pPr>
                    <w:pStyle w:val="114"/>
                    <w:adjustRightInd w:val="0"/>
                    <w:snapToGrid w:val="0"/>
                    <w:jc w:val="center"/>
                    <w:rPr>
                      <w:color w:val="000000"/>
                      <w:sz w:val="21"/>
                      <w:szCs w:val="21"/>
                    </w:rPr>
                  </w:pPr>
                  <w:r>
                    <w:rPr>
                      <w:rFonts w:hint="eastAsia"/>
                      <w:color w:val="000000"/>
                      <w:sz w:val="21"/>
                      <w:szCs w:val="21"/>
                    </w:rPr>
                    <w:t>合理布局、厂房隔音</w:t>
                  </w:r>
                </w:p>
              </w:tc>
              <w:tc>
                <w:tcPr>
                  <w:tcW w:w="1189" w:type="pct"/>
                  <w:tcBorders>
                    <w:top w:val="single" w:color="auto" w:sz="4" w:space="0"/>
                    <w:left w:val="single" w:color="auto" w:sz="4" w:space="0"/>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rFonts w:hint="eastAsia"/>
                      <w:color w:val="000000"/>
                      <w:sz w:val="21"/>
                      <w:szCs w:val="21"/>
                    </w:rPr>
                    <w:t>合理布局、厂房隔音</w:t>
                  </w:r>
                </w:p>
              </w:tc>
              <w:tc>
                <w:tcPr>
                  <w:tcW w:w="1282" w:type="pct"/>
                  <w:tcBorders>
                    <w:top w:val="single" w:color="auto" w:sz="4" w:space="0"/>
                    <w:left w:val="single" w:color="auto" w:sz="4" w:space="0"/>
                    <w:bottom w:val="single" w:color="auto" w:sz="4" w:space="0"/>
                    <w:right w:val="nil"/>
                  </w:tcBorders>
                  <w:vAlign w:val="center"/>
                </w:tcPr>
                <w:p>
                  <w:pPr>
                    <w:pStyle w:val="15"/>
                    <w:adjustRightInd w:val="0"/>
                    <w:snapToGrid w:val="0"/>
                    <w:ind w:firstLine="0" w:firstLineChars="0"/>
                    <w:jc w:val="center"/>
                    <w:rPr>
                      <w:color w:val="000000"/>
                      <w:sz w:val="21"/>
                      <w:szCs w:val="21"/>
                    </w:rPr>
                  </w:pPr>
                  <w:r>
                    <w:rPr>
                      <w:color w:val="000000"/>
                      <w:sz w:val="21"/>
                      <w:szCs w:val="21"/>
                    </w:rPr>
                    <w:t>《工业企业厂界环境噪声排放标准》（GB12348-2008）2类标准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3" w:type="pct"/>
                  <w:tcBorders>
                    <w:top w:val="single" w:color="auto" w:sz="4" w:space="0"/>
                    <w:left w:val="nil"/>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color w:val="000000"/>
                      <w:sz w:val="21"/>
                      <w:szCs w:val="21"/>
                    </w:rPr>
                    <w:t>4</w:t>
                  </w:r>
                </w:p>
              </w:tc>
              <w:tc>
                <w:tcPr>
                  <w:tcW w:w="393" w:type="pct"/>
                  <w:tcBorders>
                    <w:top w:val="single" w:color="auto" w:sz="4" w:space="0"/>
                    <w:left w:val="single" w:color="auto" w:sz="4" w:space="0"/>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color w:val="000000"/>
                      <w:sz w:val="21"/>
                      <w:szCs w:val="21"/>
                    </w:rPr>
                    <w:t>固废</w:t>
                  </w:r>
                </w:p>
              </w:tc>
              <w:tc>
                <w:tcPr>
                  <w:tcW w:w="6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边角料</w:t>
                  </w:r>
                </w:p>
                <w:p>
                  <w:pPr>
                    <w:pStyle w:val="114"/>
                    <w:adjustRightInd w:val="0"/>
                    <w:snapToGrid w:val="0"/>
                    <w:jc w:val="center"/>
                    <w:rPr>
                      <w:color w:val="000000"/>
                      <w:sz w:val="21"/>
                      <w:szCs w:val="21"/>
                      <w:highlight w:val="green"/>
                    </w:rPr>
                  </w:pPr>
                  <w:r>
                    <w:rPr>
                      <w:sz w:val="21"/>
                      <w:szCs w:val="21"/>
                    </w:rPr>
                    <w:t>除尘器</w:t>
                  </w:r>
                  <w:r>
                    <w:rPr>
                      <w:rFonts w:hint="eastAsia"/>
                      <w:sz w:val="21"/>
                      <w:szCs w:val="21"/>
                    </w:rPr>
                    <w:t>收集粉尘</w:t>
                  </w:r>
                </w:p>
              </w:tc>
              <w:tc>
                <w:tcPr>
                  <w:tcW w:w="1182" w:type="pct"/>
                  <w:tcBorders>
                    <w:top w:val="single" w:color="auto" w:sz="4" w:space="0"/>
                    <w:left w:val="single" w:color="auto" w:sz="4" w:space="0"/>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sz w:val="21"/>
                      <w:szCs w:val="21"/>
                    </w:rPr>
                    <w:t>一般固废场所（建筑面积14m</w:t>
                  </w:r>
                  <w:r>
                    <w:rPr>
                      <w:sz w:val="21"/>
                      <w:szCs w:val="21"/>
                      <w:vertAlign w:val="superscript"/>
                    </w:rPr>
                    <w:t>2</w:t>
                  </w:r>
                  <w:r>
                    <w:rPr>
                      <w:sz w:val="21"/>
                      <w:szCs w:val="21"/>
                    </w:rPr>
                    <w:t>）</w:t>
                  </w:r>
                </w:p>
              </w:tc>
              <w:tc>
                <w:tcPr>
                  <w:tcW w:w="1189" w:type="pct"/>
                  <w:tcBorders>
                    <w:top w:val="single" w:color="auto" w:sz="4" w:space="0"/>
                    <w:left w:val="single" w:color="auto" w:sz="4" w:space="0"/>
                    <w:bottom w:val="single" w:color="auto" w:sz="4" w:space="0"/>
                    <w:right w:val="single" w:color="auto" w:sz="4" w:space="0"/>
                  </w:tcBorders>
                  <w:vAlign w:val="center"/>
                </w:tcPr>
                <w:p>
                  <w:pPr>
                    <w:pStyle w:val="15"/>
                    <w:adjustRightInd w:val="0"/>
                    <w:snapToGrid w:val="0"/>
                    <w:ind w:firstLine="0" w:firstLineChars="0"/>
                    <w:jc w:val="center"/>
                    <w:rPr>
                      <w:color w:val="000000"/>
                      <w:sz w:val="21"/>
                      <w:szCs w:val="21"/>
                    </w:rPr>
                  </w:pPr>
                  <w:r>
                    <w:rPr>
                      <w:sz w:val="21"/>
                      <w:szCs w:val="21"/>
                    </w:rPr>
                    <w:t>一般固废场所（建筑面积14m</w:t>
                  </w:r>
                  <w:r>
                    <w:rPr>
                      <w:sz w:val="21"/>
                      <w:szCs w:val="21"/>
                      <w:vertAlign w:val="superscript"/>
                    </w:rPr>
                    <w:t>2</w:t>
                  </w:r>
                  <w:r>
                    <w:rPr>
                      <w:sz w:val="21"/>
                      <w:szCs w:val="21"/>
                    </w:rPr>
                    <w:t>）</w:t>
                  </w:r>
                </w:p>
              </w:tc>
              <w:tc>
                <w:tcPr>
                  <w:tcW w:w="1282" w:type="pct"/>
                  <w:tcBorders>
                    <w:top w:val="single" w:color="auto" w:sz="4" w:space="0"/>
                    <w:left w:val="single" w:color="auto" w:sz="4" w:space="0"/>
                    <w:bottom w:val="single" w:color="auto" w:sz="4" w:space="0"/>
                    <w:right w:val="nil"/>
                  </w:tcBorders>
                  <w:vAlign w:val="center"/>
                </w:tcPr>
                <w:p>
                  <w:pPr>
                    <w:pStyle w:val="15"/>
                    <w:adjustRightInd w:val="0"/>
                    <w:snapToGrid w:val="0"/>
                    <w:ind w:firstLine="0" w:firstLineChars="0"/>
                    <w:jc w:val="center"/>
                    <w:rPr>
                      <w:color w:val="000000"/>
                      <w:sz w:val="21"/>
                      <w:szCs w:val="21"/>
                    </w:rPr>
                  </w:pPr>
                  <w:r>
                    <w:rPr>
                      <w:color w:val="000000"/>
                      <w:sz w:val="21"/>
                      <w:szCs w:val="21"/>
                    </w:rPr>
                    <w:t>《一般工业固体废物贮存、处置场污染控制标准》</w:t>
                  </w:r>
                </w:p>
                <w:p>
                  <w:pPr>
                    <w:pStyle w:val="15"/>
                    <w:adjustRightInd w:val="0"/>
                    <w:snapToGrid w:val="0"/>
                    <w:ind w:firstLine="0" w:firstLineChars="0"/>
                    <w:jc w:val="center"/>
                    <w:rPr>
                      <w:color w:val="000000"/>
                      <w:sz w:val="21"/>
                      <w:szCs w:val="21"/>
                    </w:rPr>
                  </w:pPr>
                  <w:r>
                    <w:rPr>
                      <w:color w:val="000000"/>
                      <w:sz w:val="21"/>
                      <w:szCs w:val="21"/>
                    </w:rPr>
                    <w:t>（GB 18599-2001）及其2013年修改单</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3" w:type="pct"/>
                  <w:tcBorders>
                    <w:top w:val="single" w:color="auto" w:sz="4" w:space="0"/>
                    <w:left w:val="nil"/>
                    <w:bottom w:val="single" w:color="auto" w:sz="8" w:space="0"/>
                    <w:right w:val="single" w:color="auto" w:sz="4" w:space="0"/>
                  </w:tcBorders>
                  <w:vAlign w:val="center"/>
                </w:tcPr>
                <w:p>
                  <w:pPr>
                    <w:pStyle w:val="15"/>
                    <w:adjustRightInd w:val="0"/>
                    <w:snapToGrid w:val="0"/>
                    <w:ind w:firstLine="0" w:firstLineChars="0"/>
                    <w:jc w:val="center"/>
                    <w:rPr>
                      <w:sz w:val="21"/>
                      <w:szCs w:val="21"/>
                    </w:rPr>
                  </w:pPr>
                  <w:r>
                    <w:rPr>
                      <w:sz w:val="21"/>
                      <w:szCs w:val="21"/>
                    </w:rPr>
                    <w:t>5</w:t>
                  </w:r>
                </w:p>
              </w:tc>
              <w:tc>
                <w:tcPr>
                  <w:tcW w:w="393"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szCs w:val="21"/>
                    </w:rPr>
                  </w:pPr>
                  <w:r>
                    <w:t>其他</w:t>
                  </w:r>
                </w:p>
              </w:tc>
              <w:tc>
                <w:tcPr>
                  <w:tcW w:w="690"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szCs w:val="21"/>
                    </w:rPr>
                  </w:pPr>
                  <w:r>
                    <w:t>监控</w:t>
                  </w:r>
                </w:p>
              </w:tc>
              <w:tc>
                <w:tcPr>
                  <w:tcW w:w="1182"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szCs w:val="21"/>
                    </w:rPr>
                  </w:pPr>
                  <w:r>
                    <w:t>用电量监控系统</w:t>
                  </w:r>
                </w:p>
              </w:tc>
              <w:tc>
                <w:tcPr>
                  <w:tcW w:w="1189"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szCs w:val="21"/>
                    </w:rPr>
                  </w:pPr>
                  <w:r>
                    <w:t>用电量监控系统</w:t>
                  </w:r>
                </w:p>
              </w:tc>
              <w:tc>
                <w:tcPr>
                  <w:tcW w:w="1282" w:type="pct"/>
                  <w:tcBorders>
                    <w:top w:val="single" w:color="auto" w:sz="4" w:space="0"/>
                    <w:left w:val="single" w:color="auto" w:sz="4" w:space="0"/>
                    <w:bottom w:val="single" w:color="auto" w:sz="8" w:space="0"/>
                    <w:right w:val="nil"/>
                  </w:tcBorders>
                  <w:vAlign w:val="center"/>
                </w:tcPr>
                <w:p>
                  <w:pPr>
                    <w:pStyle w:val="15"/>
                    <w:adjustRightInd w:val="0"/>
                    <w:snapToGrid w:val="0"/>
                    <w:ind w:firstLine="0" w:firstLineChars="0"/>
                    <w:jc w:val="center"/>
                    <w:rPr>
                      <w:sz w:val="21"/>
                      <w:szCs w:val="21"/>
                    </w:rPr>
                  </w:pPr>
                  <w:r>
                    <w:rPr>
                      <w:sz w:val="21"/>
                      <w:szCs w:val="21"/>
                    </w:rPr>
                    <w:t>《新乡市生态环境局关于部署安装工业企业用电量监控系统化的通知》新环【2019】154号文要求进行</w:t>
                  </w:r>
                </w:p>
              </w:tc>
            </w:tr>
          </w:tbl>
          <w:p>
            <w:pPr>
              <w:adjustRightInd w:val="0"/>
              <w:snapToGrid w:val="0"/>
              <w:spacing w:line="400" w:lineRule="exact"/>
              <w:rPr>
                <w:sz w:val="24"/>
              </w:rPr>
            </w:pPr>
          </w:p>
          <w:p>
            <w:pPr>
              <w:adjustRightInd w:val="0"/>
              <w:snapToGrid w:val="0"/>
              <w:spacing w:line="400" w:lineRule="exact"/>
              <w:rPr>
                <w:sz w:val="24"/>
              </w:rPr>
            </w:pPr>
          </w:p>
        </w:tc>
      </w:tr>
    </w:tbl>
    <w:p>
      <w:pPr>
        <w:adjustRightInd w:val="0"/>
        <w:snapToGrid w:val="0"/>
        <w:spacing w:line="400" w:lineRule="exact"/>
        <w:jc w:val="left"/>
        <w:rPr>
          <w:b/>
          <w:sz w:val="28"/>
        </w:rPr>
      </w:pPr>
    </w:p>
    <w:p>
      <w:pPr>
        <w:adjustRightInd w:val="0"/>
        <w:snapToGrid w:val="0"/>
        <w:spacing w:line="400" w:lineRule="exact"/>
        <w:jc w:val="left"/>
        <w:rPr>
          <w:b/>
          <w:sz w:val="28"/>
        </w:rPr>
      </w:pPr>
      <w:r>
        <w:rPr>
          <w:b/>
          <w:sz w:val="28"/>
        </w:rPr>
        <w:t>建设项目拟采取的防治措施及预期治理效果</w:t>
      </w:r>
    </w:p>
    <w:tbl>
      <w:tblPr>
        <w:tblStyle w:val="30"/>
        <w:tblW w:w="497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1576"/>
        <w:gridCol w:w="1288"/>
        <w:gridCol w:w="2871"/>
        <w:gridCol w:w="26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479" w:type="pct"/>
            <w:tcBorders>
              <w:top w:val="single" w:color="auto" w:sz="8" w:space="0"/>
              <w:left w:val="single" w:color="auto" w:sz="8" w:space="0"/>
              <w:bottom w:val="single" w:color="auto" w:sz="8" w:space="0"/>
              <w:right w:val="single" w:color="auto" w:sz="4" w:space="0"/>
              <w:tl2br w:val="single" w:color="auto" w:sz="6" w:space="0"/>
            </w:tcBorders>
            <w:vAlign w:val="center"/>
          </w:tcPr>
          <w:p>
            <w:pPr>
              <w:adjustRightInd w:val="0"/>
              <w:snapToGrid w:val="0"/>
              <w:jc w:val="center"/>
              <w:rPr>
                <w:rFonts w:eastAsiaTheme="minorEastAsia"/>
                <w:b/>
                <w:sz w:val="24"/>
              </w:rPr>
            </w:pPr>
            <w:r>
              <w:rPr>
                <w:rFonts w:eastAsiaTheme="minorEastAsia"/>
                <w:b/>
                <w:sz w:val="24"/>
              </w:rPr>
              <w:t xml:space="preserve"> 内容</w:t>
            </w:r>
          </w:p>
          <w:p>
            <w:pPr>
              <w:adjustRightInd w:val="0"/>
              <w:snapToGrid w:val="0"/>
              <w:jc w:val="center"/>
              <w:rPr>
                <w:rFonts w:eastAsiaTheme="minorEastAsia"/>
                <w:b/>
                <w:sz w:val="24"/>
              </w:rPr>
            </w:pPr>
          </w:p>
          <w:p>
            <w:pPr>
              <w:adjustRightInd w:val="0"/>
              <w:snapToGrid w:val="0"/>
              <w:rPr>
                <w:rFonts w:eastAsiaTheme="minorEastAsia"/>
                <w:b/>
                <w:sz w:val="24"/>
              </w:rPr>
            </w:pPr>
            <w:r>
              <w:rPr>
                <w:rFonts w:eastAsiaTheme="minorEastAsia"/>
                <w:b/>
                <w:sz w:val="24"/>
              </w:rPr>
              <w:t>类型</w:t>
            </w:r>
          </w:p>
        </w:tc>
        <w:tc>
          <w:tcPr>
            <w:tcW w:w="853"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4"/>
              </w:rPr>
            </w:pPr>
            <w:r>
              <w:rPr>
                <w:rFonts w:eastAsiaTheme="minorEastAsia"/>
                <w:b/>
                <w:sz w:val="24"/>
              </w:rPr>
              <w:t>排放源</w:t>
            </w:r>
          </w:p>
          <w:p>
            <w:pPr>
              <w:adjustRightInd w:val="0"/>
              <w:snapToGrid w:val="0"/>
              <w:jc w:val="center"/>
              <w:rPr>
                <w:rFonts w:eastAsiaTheme="minorEastAsia"/>
                <w:b/>
                <w:sz w:val="24"/>
              </w:rPr>
            </w:pPr>
            <w:r>
              <w:rPr>
                <w:rFonts w:eastAsiaTheme="minorEastAsia"/>
                <w:b/>
                <w:sz w:val="24"/>
              </w:rPr>
              <w:t>(编号)</w:t>
            </w:r>
          </w:p>
        </w:tc>
        <w:tc>
          <w:tcPr>
            <w:tcW w:w="697"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4"/>
              </w:rPr>
            </w:pPr>
            <w:r>
              <w:rPr>
                <w:rFonts w:eastAsiaTheme="minorEastAsia"/>
                <w:b/>
                <w:sz w:val="24"/>
              </w:rPr>
              <w:t>污  染</w:t>
            </w:r>
          </w:p>
          <w:p>
            <w:pPr>
              <w:adjustRightInd w:val="0"/>
              <w:snapToGrid w:val="0"/>
              <w:jc w:val="center"/>
              <w:rPr>
                <w:rFonts w:eastAsiaTheme="minorEastAsia"/>
                <w:b/>
                <w:sz w:val="24"/>
              </w:rPr>
            </w:pPr>
            <w:r>
              <w:rPr>
                <w:rFonts w:eastAsiaTheme="minorEastAsia"/>
                <w:b/>
                <w:sz w:val="24"/>
              </w:rPr>
              <w:t>物名称</w:t>
            </w:r>
          </w:p>
        </w:tc>
        <w:tc>
          <w:tcPr>
            <w:tcW w:w="1554"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4"/>
              </w:rPr>
            </w:pPr>
            <w:r>
              <w:rPr>
                <w:rFonts w:eastAsiaTheme="minorEastAsia"/>
                <w:b/>
                <w:sz w:val="24"/>
              </w:rPr>
              <w:t>防治措施</w:t>
            </w:r>
          </w:p>
        </w:tc>
        <w:tc>
          <w:tcPr>
            <w:tcW w:w="1416" w:type="pct"/>
            <w:tcBorders>
              <w:top w:val="single" w:color="auto" w:sz="8" w:space="0"/>
              <w:left w:val="single" w:color="auto" w:sz="4" w:space="0"/>
              <w:bottom w:val="single" w:color="auto" w:sz="8" w:space="0"/>
              <w:right w:val="single" w:color="auto" w:sz="8" w:space="0"/>
            </w:tcBorders>
            <w:vAlign w:val="center"/>
          </w:tcPr>
          <w:p>
            <w:pPr>
              <w:adjustRightInd w:val="0"/>
              <w:snapToGrid w:val="0"/>
              <w:jc w:val="center"/>
              <w:rPr>
                <w:rFonts w:eastAsiaTheme="minorEastAsia"/>
                <w:b/>
                <w:sz w:val="24"/>
              </w:rPr>
            </w:pPr>
            <w:r>
              <w:rPr>
                <w:rFonts w:eastAsiaTheme="minorEastAsia"/>
                <w:b/>
                <w:sz w:val="24"/>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9" w:hRule="atLeast"/>
          <w:jc w:val="center"/>
        </w:trPr>
        <w:tc>
          <w:tcPr>
            <w:tcW w:w="479" w:type="pct"/>
            <w:vMerge w:val="restart"/>
            <w:tcBorders>
              <w:top w:val="single" w:color="auto" w:sz="4" w:space="0"/>
              <w:left w:val="single" w:color="auto" w:sz="8" w:space="0"/>
              <w:right w:val="single" w:color="auto" w:sz="4" w:space="0"/>
            </w:tcBorders>
            <w:vAlign w:val="center"/>
          </w:tcPr>
          <w:p>
            <w:pPr>
              <w:adjustRightInd w:val="0"/>
              <w:snapToGrid w:val="0"/>
              <w:jc w:val="center"/>
              <w:rPr>
                <w:rFonts w:eastAsiaTheme="minorEastAsia"/>
                <w:sz w:val="24"/>
              </w:rPr>
            </w:pPr>
            <w:r>
              <w:rPr>
                <w:rFonts w:eastAsiaTheme="minorEastAsia"/>
                <w:sz w:val="24"/>
              </w:rPr>
              <w:t>大</w:t>
            </w:r>
          </w:p>
          <w:p>
            <w:pPr>
              <w:adjustRightInd w:val="0"/>
              <w:snapToGrid w:val="0"/>
              <w:jc w:val="center"/>
              <w:rPr>
                <w:rFonts w:eastAsiaTheme="minorEastAsia"/>
                <w:sz w:val="24"/>
              </w:rPr>
            </w:pPr>
            <w:r>
              <w:rPr>
                <w:rFonts w:eastAsiaTheme="minorEastAsia"/>
                <w:sz w:val="24"/>
              </w:rPr>
              <w:t>气</w:t>
            </w:r>
          </w:p>
          <w:p>
            <w:pPr>
              <w:adjustRightInd w:val="0"/>
              <w:snapToGrid w:val="0"/>
              <w:jc w:val="center"/>
              <w:rPr>
                <w:rFonts w:eastAsiaTheme="minorEastAsia"/>
                <w:sz w:val="24"/>
              </w:rPr>
            </w:pPr>
            <w:r>
              <w:rPr>
                <w:rFonts w:eastAsiaTheme="minorEastAsia"/>
                <w:sz w:val="24"/>
              </w:rPr>
              <w:t>污</w:t>
            </w:r>
          </w:p>
          <w:p>
            <w:pPr>
              <w:adjustRightInd w:val="0"/>
              <w:snapToGrid w:val="0"/>
              <w:jc w:val="center"/>
              <w:rPr>
                <w:rFonts w:eastAsiaTheme="minorEastAsia"/>
                <w:sz w:val="24"/>
              </w:rPr>
            </w:pPr>
            <w:r>
              <w:rPr>
                <w:rFonts w:eastAsiaTheme="minorEastAsia"/>
                <w:sz w:val="24"/>
              </w:rPr>
              <w:t>染</w:t>
            </w:r>
          </w:p>
          <w:p>
            <w:pPr>
              <w:adjustRightInd w:val="0"/>
              <w:snapToGrid w:val="0"/>
              <w:jc w:val="center"/>
              <w:rPr>
                <w:rFonts w:eastAsiaTheme="minorEastAsia"/>
                <w:sz w:val="24"/>
              </w:rPr>
            </w:pPr>
            <w:r>
              <w:rPr>
                <w:rFonts w:eastAsiaTheme="minorEastAsia"/>
                <w:sz w:val="24"/>
              </w:rPr>
              <w:t>物</w:t>
            </w:r>
          </w:p>
        </w:tc>
        <w:tc>
          <w:tcPr>
            <w:tcW w:w="85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Theme="minorEastAsia"/>
                <w:sz w:val="24"/>
                <w:lang w:eastAsia="zh-CN"/>
              </w:rPr>
            </w:pPr>
            <w:r>
              <w:rPr>
                <w:rFonts w:hint="eastAsia" w:eastAsiaTheme="minorEastAsia"/>
                <w:sz w:val="24"/>
              </w:rPr>
              <w:t>切割、</w:t>
            </w:r>
            <w:r>
              <w:rPr>
                <w:rFonts w:eastAsiaTheme="minorEastAsia"/>
                <w:sz w:val="24"/>
              </w:rPr>
              <w:t>焊接工序</w:t>
            </w:r>
            <w:r>
              <w:rPr>
                <w:rFonts w:hint="eastAsia" w:eastAsiaTheme="minorEastAsia"/>
                <w:sz w:val="24"/>
                <w:lang w:eastAsia="zh-CN"/>
              </w:rPr>
              <w:t>（有组织）</w:t>
            </w:r>
          </w:p>
        </w:tc>
        <w:tc>
          <w:tcPr>
            <w:tcW w:w="697" w:type="pct"/>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eastAsiaTheme="minorEastAsia"/>
                <w:sz w:val="24"/>
              </w:rPr>
            </w:pPr>
            <w:r>
              <w:rPr>
                <w:rFonts w:hint="eastAsia" w:eastAsiaTheme="minorEastAsia"/>
                <w:sz w:val="24"/>
              </w:rPr>
              <w:t>颗粒物</w:t>
            </w:r>
          </w:p>
        </w:tc>
        <w:tc>
          <w:tcPr>
            <w:tcW w:w="1554" w:type="pct"/>
            <w:tcBorders>
              <w:top w:val="single" w:color="auto" w:sz="4" w:space="0"/>
              <w:left w:val="single" w:color="auto" w:sz="4" w:space="0"/>
              <w:right w:val="single" w:color="auto" w:sz="4" w:space="0"/>
            </w:tcBorders>
            <w:shd w:val="clear" w:color="auto" w:fill="auto"/>
            <w:vAlign w:val="center"/>
          </w:tcPr>
          <w:p>
            <w:pPr>
              <w:adjustRightInd w:val="0"/>
              <w:snapToGrid w:val="0"/>
              <w:rPr>
                <w:rFonts w:eastAsiaTheme="minorEastAsia"/>
                <w:sz w:val="24"/>
              </w:rPr>
            </w:pPr>
            <w:r>
              <w:rPr>
                <w:color w:val="000000"/>
              </w:rPr>
              <w:t>集气罩</w:t>
            </w:r>
            <w:r>
              <w:rPr>
                <w:rFonts w:hint="eastAsia"/>
                <w:color w:val="000000"/>
              </w:rPr>
              <w:t>2</w:t>
            </w:r>
            <w:r>
              <w:rPr>
                <w:color w:val="000000"/>
              </w:rPr>
              <w:t>个+1台</w:t>
            </w:r>
            <w:r>
              <w:rPr>
                <w:rFonts w:hint="eastAsia"/>
                <w:color w:val="000000"/>
              </w:rPr>
              <w:t>袋式</w:t>
            </w:r>
            <w:r>
              <w:rPr>
                <w:color w:val="000000"/>
              </w:rPr>
              <w:t>除尘器+1根15米排气筒”</w:t>
            </w:r>
          </w:p>
        </w:tc>
        <w:tc>
          <w:tcPr>
            <w:tcW w:w="1416" w:type="pct"/>
            <w:tcBorders>
              <w:top w:val="single" w:color="auto" w:sz="4" w:space="0"/>
              <w:left w:val="single" w:color="auto" w:sz="4" w:space="0"/>
              <w:right w:val="single" w:color="auto" w:sz="8" w:space="0"/>
            </w:tcBorders>
            <w:shd w:val="clear" w:color="auto" w:fill="auto"/>
            <w:vAlign w:val="center"/>
          </w:tcPr>
          <w:p>
            <w:pPr>
              <w:adjustRightInd w:val="0"/>
              <w:snapToGrid w:val="0"/>
              <w:jc w:val="center"/>
              <w:rPr>
                <w:rFonts w:eastAsiaTheme="minorEastAsia"/>
                <w:sz w:val="24"/>
              </w:rPr>
            </w:pPr>
            <w:r>
              <w:rPr>
                <w:rFonts w:hint="eastAsia"/>
                <w:color w:val="000000"/>
                <w:sz w:val="24"/>
              </w:rPr>
              <w:t>能够满足</w:t>
            </w:r>
            <w:r>
              <w:rPr>
                <w:color w:val="000000"/>
                <w:sz w:val="24"/>
              </w:rPr>
              <w:t>《大气污染物综合排放标准》（GB16297- 1996）表2中颗粒物最高允许排放速率为3.5kg/h</w:t>
            </w:r>
            <w:r>
              <w:rPr>
                <w:rFonts w:hint="eastAsia"/>
                <w:color w:val="000000"/>
                <w:sz w:val="24"/>
              </w:rPr>
              <w:t>；2020年7月31日《新乡市生态环境局关于进一步规范工业颗粒物排放限值的通知》排放口颗粒物排放浓度不高于10</w:t>
            </w:r>
            <w:r>
              <w:rPr>
                <w:color w:val="000000"/>
                <w:sz w:val="24"/>
              </w:rPr>
              <w:t>mg/m</w:t>
            </w:r>
            <w:r>
              <w:rPr>
                <w:color w:val="000000"/>
                <w:sz w:val="24"/>
                <w:vertAlign w:val="superscript"/>
              </w:rPr>
              <w:t>3</w:t>
            </w:r>
            <w:r>
              <w:rPr>
                <w:rFonts w:hint="eastAsia"/>
                <w:color w:val="000000"/>
                <w:sz w:val="24"/>
              </w:rPr>
              <w:t>的标准要求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51" w:hRule="atLeast"/>
          <w:jc w:val="center"/>
        </w:trPr>
        <w:tc>
          <w:tcPr>
            <w:tcW w:w="479" w:type="pct"/>
            <w:vMerge w:val="continue"/>
            <w:tcBorders>
              <w:left w:val="single" w:color="auto" w:sz="8" w:space="0"/>
              <w:right w:val="single" w:color="auto" w:sz="4" w:space="0"/>
            </w:tcBorders>
            <w:vAlign w:val="center"/>
          </w:tcPr>
          <w:p>
            <w:pPr>
              <w:adjustRightInd w:val="0"/>
              <w:snapToGrid w:val="0"/>
              <w:jc w:val="center"/>
              <w:rPr>
                <w:rFonts w:eastAsiaTheme="minorEastAsia"/>
                <w:sz w:val="24"/>
              </w:rPr>
            </w:pPr>
          </w:p>
        </w:tc>
        <w:tc>
          <w:tcPr>
            <w:tcW w:w="85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Theme="minorEastAsia"/>
                <w:sz w:val="24"/>
              </w:rPr>
            </w:pPr>
            <w:r>
              <w:rPr>
                <w:rFonts w:hint="eastAsia" w:eastAsiaTheme="minorEastAsia"/>
                <w:sz w:val="24"/>
              </w:rPr>
              <w:t>切割、</w:t>
            </w:r>
            <w:r>
              <w:rPr>
                <w:rFonts w:eastAsiaTheme="minorEastAsia"/>
                <w:sz w:val="24"/>
              </w:rPr>
              <w:t>焊接工序</w:t>
            </w:r>
            <w:r>
              <w:rPr>
                <w:rFonts w:hint="eastAsia" w:eastAsiaTheme="minorEastAsia"/>
                <w:sz w:val="24"/>
                <w:lang w:eastAsia="zh-CN"/>
              </w:rPr>
              <w:t>（无组织）</w:t>
            </w:r>
          </w:p>
        </w:tc>
        <w:tc>
          <w:tcPr>
            <w:tcW w:w="697" w:type="pct"/>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eastAsiaTheme="minorEastAsia"/>
                <w:sz w:val="24"/>
              </w:rPr>
            </w:pPr>
          </w:p>
        </w:tc>
        <w:tc>
          <w:tcPr>
            <w:tcW w:w="1554" w:type="pct"/>
            <w:tcBorders>
              <w:top w:val="single" w:color="auto" w:sz="4" w:space="0"/>
              <w:left w:val="single" w:color="auto" w:sz="4" w:space="0"/>
              <w:right w:val="single" w:color="auto" w:sz="4" w:space="0"/>
            </w:tcBorders>
            <w:shd w:val="clear" w:color="auto" w:fill="auto"/>
            <w:vAlign w:val="center"/>
          </w:tcPr>
          <w:p>
            <w:pPr>
              <w:adjustRightInd w:val="0"/>
              <w:snapToGrid w:val="0"/>
              <w:rPr>
                <w:color w:val="000000"/>
              </w:rPr>
            </w:pPr>
            <w:r>
              <w:rPr>
                <w:rFonts w:hint="eastAsia"/>
                <w:color w:val="000000"/>
                <w:sz w:val="24"/>
                <w:szCs w:val="24"/>
              </w:rPr>
              <w:t>密闭车间；车间地面上的粉尘及时清理；</w:t>
            </w:r>
            <w:r>
              <w:rPr>
                <w:color w:val="000000"/>
                <w:sz w:val="24"/>
                <w:szCs w:val="24"/>
              </w:rPr>
              <w:t>厂区道路应进行硬化，裸露土地全部绿化</w:t>
            </w:r>
            <w:r>
              <w:rPr>
                <w:rFonts w:hint="eastAsia"/>
                <w:color w:val="000000"/>
                <w:sz w:val="24"/>
                <w:szCs w:val="24"/>
              </w:rPr>
              <w:t>。</w:t>
            </w:r>
          </w:p>
        </w:tc>
        <w:tc>
          <w:tcPr>
            <w:tcW w:w="1416" w:type="pct"/>
            <w:tcBorders>
              <w:top w:val="single" w:color="auto" w:sz="4" w:space="0"/>
              <w:left w:val="single" w:color="auto" w:sz="4" w:space="0"/>
              <w:right w:val="single" w:color="auto" w:sz="8" w:space="0"/>
            </w:tcBorders>
            <w:shd w:val="clear" w:color="auto" w:fill="auto"/>
            <w:vAlign w:val="center"/>
          </w:tcPr>
          <w:p>
            <w:pPr>
              <w:adjustRightInd w:val="0"/>
              <w:snapToGrid w:val="0"/>
              <w:jc w:val="center"/>
              <w:rPr>
                <w:rFonts w:hint="eastAsia"/>
                <w:color w:val="000000"/>
                <w:sz w:val="24"/>
              </w:rPr>
            </w:pPr>
            <w:r>
              <w:rPr>
                <w:rFonts w:hint="eastAsia"/>
                <w:color w:val="000000"/>
                <w:sz w:val="24"/>
                <w:szCs w:val="24"/>
              </w:rPr>
              <w:t>能够满足2020年7月31日《新乡市生态环境局关于进一步规范工业颗粒物排放限值的通知》</w:t>
            </w:r>
            <w:r>
              <w:rPr>
                <w:rFonts w:hint="eastAsia"/>
                <w:sz w:val="24"/>
                <w:szCs w:val="24"/>
              </w:rPr>
              <w:t>厂界颗粒物排放浓度不高于0.5mg/m</w:t>
            </w:r>
            <w:r>
              <w:rPr>
                <w:rFonts w:hint="eastAsia"/>
                <w:sz w:val="24"/>
                <w:szCs w:val="24"/>
                <w:vertAlign w:val="superscript"/>
              </w:rPr>
              <w:t>3</w:t>
            </w:r>
            <w:r>
              <w:rPr>
                <w:rFonts w:hint="eastAsia"/>
                <w:sz w:val="24"/>
                <w:szCs w:val="24"/>
              </w:rPr>
              <w:t>的标准要求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7" w:hRule="atLeast"/>
          <w:jc w:val="center"/>
        </w:trPr>
        <w:tc>
          <w:tcPr>
            <w:tcW w:w="479" w:type="pct"/>
            <w:tcBorders>
              <w:top w:val="single" w:color="auto" w:sz="4" w:space="0"/>
              <w:left w:val="single" w:color="auto" w:sz="8" w:space="0"/>
              <w:right w:val="single" w:color="auto" w:sz="4" w:space="0"/>
            </w:tcBorders>
            <w:vAlign w:val="center"/>
          </w:tcPr>
          <w:p>
            <w:pPr>
              <w:adjustRightInd w:val="0"/>
              <w:snapToGrid w:val="0"/>
              <w:jc w:val="center"/>
              <w:rPr>
                <w:rFonts w:eastAsiaTheme="minorEastAsia"/>
                <w:sz w:val="24"/>
              </w:rPr>
            </w:pPr>
            <w:r>
              <w:rPr>
                <w:rFonts w:eastAsiaTheme="minorEastAsia"/>
                <w:sz w:val="24"/>
              </w:rPr>
              <w:t>水</w:t>
            </w:r>
          </w:p>
          <w:p>
            <w:pPr>
              <w:adjustRightInd w:val="0"/>
              <w:snapToGrid w:val="0"/>
              <w:jc w:val="center"/>
              <w:rPr>
                <w:rFonts w:eastAsiaTheme="minorEastAsia"/>
                <w:sz w:val="24"/>
              </w:rPr>
            </w:pPr>
            <w:r>
              <w:rPr>
                <w:rFonts w:eastAsiaTheme="minorEastAsia"/>
                <w:sz w:val="24"/>
              </w:rPr>
              <w:t>污</w:t>
            </w:r>
          </w:p>
          <w:p>
            <w:pPr>
              <w:adjustRightInd w:val="0"/>
              <w:snapToGrid w:val="0"/>
              <w:jc w:val="center"/>
              <w:rPr>
                <w:rFonts w:eastAsiaTheme="minorEastAsia"/>
                <w:sz w:val="24"/>
              </w:rPr>
            </w:pPr>
            <w:r>
              <w:rPr>
                <w:rFonts w:eastAsiaTheme="minorEastAsia"/>
                <w:sz w:val="24"/>
              </w:rPr>
              <w:t>染</w:t>
            </w:r>
          </w:p>
          <w:p>
            <w:pPr>
              <w:adjustRightInd w:val="0"/>
              <w:snapToGrid w:val="0"/>
              <w:jc w:val="center"/>
              <w:rPr>
                <w:rFonts w:eastAsiaTheme="minorEastAsia"/>
                <w:sz w:val="24"/>
              </w:rPr>
            </w:pPr>
            <w:r>
              <w:rPr>
                <w:rFonts w:eastAsiaTheme="minorEastAsia"/>
                <w:sz w:val="24"/>
              </w:rPr>
              <w:t>物</w:t>
            </w:r>
          </w:p>
        </w:tc>
        <w:tc>
          <w:tcPr>
            <w:tcW w:w="853" w:type="pct"/>
            <w:tcBorders>
              <w:top w:val="single" w:color="auto" w:sz="4" w:space="0"/>
              <w:left w:val="single" w:color="auto" w:sz="4" w:space="0"/>
              <w:right w:val="single" w:color="auto" w:sz="4" w:space="0"/>
            </w:tcBorders>
            <w:vAlign w:val="center"/>
          </w:tcPr>
          <w:p>
            <w:pPr>
              <w:adjustRightInd w:val="0"/>
              <w:snapToGrid w:val="0"/>
              <w:jc w:val="center"/>
              <w:rPr>
                <w:rFonts w:eastAsiaTheme="minorEastAsia"/>
                <w:sz w:val="24"/>
              </w:rPr>
            </w:pPr>
            <w:r>
              <w:rPr>
                <w:rFonts w:eastAsiaTheme="minorEastAsia"/>
                <w:sz w:val="24"/>
              </w:rPr>
              <w:t>生活污水</w:t>
            </w:r>
          </w:p>
        </w:tc>
        <w:tc>
          <w:tcPr>
            <w:tcW w:w="697" w:type="pc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eastAsiaTheme="minorEastAsia"/>
                <w:sz w:val="24"/>
              </w:rPr>
            </w:pPr>
            <w:r>
              <w:rPr>
                <w:rFonts w:eastAsiaTheme="minorEastAsia"/>
                <w:sz w:val="24"/>
              </w:rPr>
              <w:t>COD、SS、NH</w:t>
            </w:r>
            <w:r>
              <w:rPr>
                <w:rFonts w:eastAsiaTheme="minorEastAsia"/>
                <w:sz w:val="24"/>
                <w:vertAlign w:val="subscript"/>
              </w:rPr>
              <w:t>3</w:t>
            </w:r>
            <w:r>
              <w:rPr>
                <w:rFonts w:eastAsiaTheme="minorEastAsia"/>
                <w:sz w:val="24"/>
              </w:rPr>
              <w:t>-N、TP、TN</w:t>
            </w:r>
          </w:p>
        </w:tc>
        <w:tc>
          <w:tcPr>
            <w:tcW w:w="1554" w:type="pct"/>
            <w:tcBorders>
              <w:top w:val="single" w:color="auto" w:sz="4" w:space="0"/>
              <w:left w:val="single" w:color="auto" w:sz="4" w:space="0"/>
              <w:right w:val="single" w:color="auto" w:sz="4" w:space="0"/>
            </w:tcBorders>
            <w:shd w:val="clear" w:color="auto" w:fill="auto"/>
            <w:vAlign w:val="center"/>
          </w:tcPr>
          <w:p>
            <w:pPr>
              <w:adjustRightInd w:val="0"/>
              <w:snapToGrid w:val="0"/>
              <w:jc w:val="left"/>
              <w:rPr>
                <w:rFonts w:eastAsiaTheme="minorEastAsia"/>
                <w:sz w:val="24"/>
              </w:rPr>
            </w:pPr>
            <w:r>
              <w:rPr>
                <w:color w:val="000000"/>
                <w:sz w:val="24"/>
              </w:rPr>
              <w:t>职工生活</w:t>
            </w:r>
            <w:r>
              <w:rPr>
                <w:rFonts w:hint="eastAsia"/>
                <w:color w:val="000000"/>
                <w:sz w:val="24"/>
              </w:rPr>
              <w:t>污</w:t>
            </w:r>
            <w:r>
              <w:rPr>
                <w:color w:val="000000"/>
                <w:sz w:val="24"/>
              </w:rPr>
              <w:t>水经厂区化粪池处理后定期清运</w:t>
            </w:r>
          </w:p>
        </w:tc>
        <w:tc>
          <w:tcPr>
            <w:tcW w:w="1416" w:type="pct"/>
            <w:tcBorders>
              <w:top w:val="single" w:color="auto" w:sz="4" w:space="0"/>
              <w:left w:val="single" w:color="auto" w:sz="4" w:space="0"/>
              <w:right w:val="single" w:color="auto" w:sz="8" w:space="0"/>
            </w:tcBorders>
            <w:shd w:val="clear" w:color="auto" w:fill="auto"/>
            <w:vAlign w:val="center"/>
          </w:tcPr>
          <w:p>
            <w:pPr>
              <w:adjustRightInd w:val="0"/>
              <w:snapToGrid w:val="0"/>
              <w:jc w:val="center"/>
              <w:rPr>
                <w:rFonts w:eastAsiaTheme="minorEastAsia"/>
                <w:sz w:val="24"/>
                <w:lang w:val="en-GB"/>
              </w:rPr>
            </w:pPr>
            <w:r>
              <w:rPr>
                <w:rFonts w:eastAsiaTheme="minorEastAsia"/>
                <w:sz w:val="24"/>
                <w:lang w:val="en-GB"/>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479" w:type="pct"/>
            <w:vMerge w:val="restart"/>
            <w:tcBorders>
              <w:top w:val="single" w:color="auto" w:sz="4" w:space="0"/>
              <w:left w:val="single" w:color="auto" w:sz="8" w:space="0"/>
              <w:right w:val="single" w:color="auto" w:sz="4" w:space="0"/>
            </w:tcBorders>
            <w:vAlign w:val="center"/>
          </w:tcPr>
          <w:p>
            <w:pPr>
              <w:adjustRightInd w:val="0"/>
              <w:snapToGrid w:val="0"/>
              <w:jc w:val="center"/>
              <w:rPr>
                <w:rFonts w:eastAsiaTheme="minorEastAsia"/>
                <w:sz w:val="24"/>
              </w:rPr>
            </w:pPr>
            <w:r>
              <w:rPr>
                <w:rFonts w:eastAsiaTheme="minorEastAsia"/>
                <w:sz w:val="24"/>
              </w:rPr>
              <w:t>固</w:t>
            </w:r>
          </w:p>
          <w:p>
            <w:pPr>
              <w:adjustRightInd w:val="0"/>
              <w:snapToGrid w:val="0"/>
              <w:jc w:val="center"/>
              <w:rPr>
                <w:rFonts w:eastAsiaTheme="minorEastAsia"/>
                <w:sz w:val="24"/>
              </w:rPr>
            </w:pPr>
            <w:r>
              <w:rPr>
                <w:rFonts w:eastAsiaTheme="minorEastAsia"/>
                <w:sz w:val="24"/>
              </w:rPr>
              <w:t>体</w:t>
            </w:r>
          </w:p>
          <w:p>
            <w:pPr>
              <w:adjustRightInd w:val="0"/>
              <w:snapToGrid w:val="0"/>
              <w:jc w:val="center"/>
              <w:rPr>
                <w:rFonts w:eastAsiaTheme="minorEastAsia"/>
                <w:sz w:val="24"/>
              </w:rPr>
            </w:pPr>
            <w:r>
              <w:rPr>
                <w:rFonts w:eastAsiaTheme="minorEastAsia"/>
                <w:sz w:val="24"/>
              </w:rPr>
              <w:t>废</w:t>
            </w:r>
          </w:p>
          <w:p>
            <w:pPr>
              <w:adjustRightInd w:val="0"/>
              <w:snapToGrid w:val="0"/>
              <w:jc w:val="center"/>
              <w:rPr>
                <w:rFonts w:eastAsiaTheme="minorEastAsia"/>
                <w:sz w:val="24"/>
              </w:rPr>
            </w:pPr>
            <w:r>
              <w:rPr>
                <w:rFonts w:eastAsiaTheme="minorEastAsia"/>
                <w:sz w:val="24"/>
              </w:rPr>
              <w:t>物</w:t>
            </w:r>
          </w:p>
        </w:tc>
        <w:tc>
          <w:tcPr>
            <w:tcW w:w="85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sz w:val="24"/>
              </w:rPr>
            </w:pPr>
            <w:r>
              <w:rPr>
                <w:rFonts w:hint="eastAsia" w:eastAsiaTheme="minorEastAsia"/>
                <w:sz w:val="24"/>
              </w:rPr>
              <w:t>切割工序</w:t>
            </w:r>
          </w:p>
        </w:tc>
        <w:tc>
          <w:tcPr>
            <w:tcW w:w="69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sz w:val="24"/>
              </w:rPr>
            </w:pPr>
            <w:r>
              <w:rPr>
                <w:rFonts w:eastAsiaTheme="minorEastAsia"/>
                <w:sz w:val="24"/>
              </w:rPr>
              <w:t>废边角料</w:t>
            </w:r>
          </w:p>
        </w:tc>
        <w:tc>
          <w:tcPr>
            <w:tcW w:w="1554" w:type="pct"/>
            <w:vMerge w:val="restart"/>
            <w:tcBorders>
              <w:top w:val="single" w:color="auto" w:sz="4" w:space="0"/>
              <w:left w:val="single" w:color="auto" w:sz="4" w:space="0"/>
              <w:right w:val="single" w:color="auto" w:sz="4" w:space="0"/>
            </w:tcBorders>
            <w:shd w:val="clear" w:color="auto" w:fill="auto"/>
            <w:vAlign w:val="center"/>
          </w:tcPr>
          <w:p>
            <w:pPr>
              <w:adjustRightInd w:val="0"/>
              <w:snapToGrid w:val="0"/>
            </w:pPr>
            <w:r>
              <w:rPr>
                <w:color w:val="000000"/>
                <w:sz w:val="24"/>
              </w:rPr>
              <w:t>经收集后，暂存于一般固废暂存间，定期外售</w:t>
            </w:r>
          </w:p>
          <w:p>
            <w:pPr>
              <w:adjustRightInd w:val="0"/>
              <w:snapToGrid w:val="0"/>
              <w:jc w:val="left"/>
              <w:rPr>
                <w:rFonts w:eastAsiaTheme="minorEastAsia"/>
                <w:sz w:val="24"/>
              </w:rPr>
            </w:pPr>
          </w:p>
        </w:tc>
        <w:tc>
          <w:tcPr>
            <w:tcW w:w="1416" w:type="pct"/>
            <w:vMerge w:val="restart"/>
            <w:tcBorders>
              <w:top w:val="single" w:color="auto" w:sz="4" w:space="0"/>
              <w:left w:val="single" w:color="auto" w:sz="4" w:space="0"/>
              <w:right w:val="single" w:color="auto" w:sz="8" w:space="0"/>
            </w:tcBorders>
            <w:shd w:val="clear" w:color="auto" w:fill="auto"/>
            <w:vAlign w:val="center"/>
          </w:tcPr>
          <w:p>
            <w:pPr>
              <w:adjustRightInd w:val="0"/>
              <w:snapToGrid w:val="0"/>
              <w:jc w:val="center"/>
              <w:rPr>
                <w:rFonts w:eastAsiaTheme="minorEastAsia"/>
                <w:sz w:val="24"/>
              </w:rPr>
            </w:pPr>
            <w:r>
              <w:rPr>
                <w:rFonts w:eastAsiaTheme="minorEastAsia"/>
                <w:sz w:val="24"/>
              </w:rPr>
              <w:t>《一般工业固体废物贮存、处置场污染控制标准》（GB18599-2001）及其2013修改单要求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9" w:hRule="atLeast"/>
          <w:jc w:val="center"/>
        </w:trPr>
        <w:tc>
          <w:tcPr>
            <w:tcW w:w="479" w:type="pct"/>
            <w:vMerge w:val="continue"/>
            <w:tcBorders>
              <w:left w:val="single" w:color="auto" w:sz="8" w:space="0"/>
              <w:right w:val="single" w:color="auto" w:sz="4" w:space="0"/>
            </w:tcBorders>
            <w:vAlign w:val="center"/>
          </w:tcPr>
          <w:p>
            <w:pPr>
              <w:adjustRightInd w:val="0"/>
              <w:snapToGrid w:val="0"/>
              <w:jc w:val="center"/>
              <w:rPr>
                <w:rFonts w:eastAsiaTheme="minorEastAsia"/>
                <w:sz w:val="24"/>
              </w:rPr>
            </w:pPr>
          </w:p>
        </w:tc>
        <w:tc>
          <w:tcPr>
            <w:tcW w:w="85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Theme="minorEastAsia"/>
                <w:sz w:val="24"/>
              </w:rPr>
            </w:pPr>
            <w:r>
              <w:rPr>
                <w:rFonts w:hint="eastAsia" w:eastAsiaTheme="minorEastAsia"/>
                <w:sz w:val="24"/>
              </w:rPr>
              <w:t>废气治理</w:t>
            </w:r>
          </w:p>
        </w:tc>
        <w:tc>
          <w:tcPr>
            <w:tcW w:w="697" w:type="pc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eastAsiaTheme="minorEastAsia"/>
                <w:sz w:val="24"/>
              </w:rPr>
            </w:pPr>
            <w:r>
              <w:rPr>
                <w:rFonts w:eastAsiaTheme="minorEastAsia"/>
                <w:sz w:val="24"/>
              </w:rPr>
              <w:t>除尘器集尘</w:t>
            </w:r>
          </w:p>
        </w:tc>
        <w:tc>
          <w:tcPr>
            <w:tcW w:w="1554" w:type="pct"/>
            <w:vMerge w:val="continue"/>
            <w:tcBorders>
              <w:left w:val="single" w:color="auto" w:sz="4" w:space="0"/>
              <w:right w:val="single" w:color="auto" w:sz="4" w:space="0"/>
            </w:tcBorders>
            <w:shd w:val="clear" w:color="auto" w:fill="auto"/>
            <w:vAlign w:val="center"/>
          </w:tcPr>
          <w:p>
            <w:pPr>
              <w:adjustRightInd w:val="0"/>
              <w:snapToGrid w:val="0"/>
              <w:jc w:val="left"/>
              <w:rPr>
                <w:rFonts w:eastAsiaTheme="minorEastAsia"/>
                <w:sz w:val="24"/>
              </w:rPr>
            </w:pPr>
          </w:p>
        </w:tc>
        <w:tc>
          <w:tcPr>
            <w:tcW w:w="1416" w:type="pct"/>
            <w:vMerge w:val="continue"/>
            <w:tcBorders>
              <w:left w:val="single" w:color="auto" w:sz="4" w:space="0"/>
              <w:right w:val="single" w:color="auto" w:sz="8" w:space="0"/>
            </w:tcBorders>
            <w:shd w:val="clear" w:color="auto" w:fill="auto"/>
            <w:vAlign w:val="center"/>
          </w:tcPr>
          <w:p>
            <w:pPr>
              <w:adjustRightInd w:val="0"/>
              <w:snapToGrid w:val="0"/>
              <w:jc w:val="center"/>
              <w:rPr>
                <w:rFonts w:eastAsia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8" w:hRule="atLeast"/>
          <w:jc w:val="center"/>
        </w:trPr>
        <w:tc>
          <w:tcPr>
            <w:tcW w:w="47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eastAsiaTheme="minorEastAsia"/>
                <w:sz w:val="24"/>
              </w:rPr>
            </w:pPr>
            <w:r>
              <w:rPr>
                <w:rFonts w:eastAsiaTheme="minorEastAsia"/>
                <w:sz w:val="24"/>
              </w:rPr>
              <w:t>噪</w:t>
            </w:r>
          </w:p>
          <w:p>
            <w:pPr>
              <w:adjustRightInd w:val="0"/>
              <w:snapToGrid w:val="0"/>
              <w:jc w:val="center"/>
              <w:rPr>
                <w:rFonts w:eastAsiaTheme="minorEastAsia"/>
                <w:sz w:val="24"/>
              </w:rPr>
            </w:pPr>
            <w:r>
              <w:rPr>
                <w:rFonts w:eastAsiaTheme="minorEastAsia"/>
                <w:sz w:val="24"/>
              </w:rPr>
              <w:t>声</w:t>
            </w:r>
          </w:p>
        </w:tc>
        <w:tc>
          <w:tcPr>
            <w:tcW w:w="4520" w:type="pct"/>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440" w:lineRule="exact"/>
              <w:ind w:firstLine="480" w:firstLineChars="200"/>
              <w:jc w:val="left"/>
              <w:rPr>
                <w:rFonts w:eastAsiaTheme="minorEastAsia"/>
                <w:sz w:val="24"/>
              </w:rPr>
            </w:pPr>
            <w:r>
              <w:rPr>
                <w:rFonts w:eastAsiaTheme="minorEastAsia"/>
                <w:sz w:val="24"/>
              </w:rPr>
              <w:t>营运期主要噪声设备为</w:t>
            </w:r>
            <w:r>
              <w:rPr>
                <w:rFonts w:hint="eastAsia" w:eastAsiaTheme="minorEastAsia"/>
                <w:sz w:val="24"/>
              </w:rPr>
              <w:t>切割机、折弯机、电锯</w:t>
            </w:r>
            <w:r>
              <w:rPr>
                <w:rFonts w:eastAsiaTheme="minorEastAsia"/>
                <w:sz w:val="24"/>
              </w:rPr>
              <w:t>等设备</w:t>
            </w:r>
            <w:r>
              <w:rPr>
                <w:rFonts w:eastAsiaTheme="minorEastAsia"/>
                <w:bCs/>
                <w:sz w:val="24"/>
              </w:rPr>
              <w:t>，经</w:t>
            </w:r>
            <w:r>
              <w:rPr>
                <w:rFonts w:hint="eastAsia" w:eastAsiaTheme="minorEastAsia"/>
                <w:bCs/>
                <w:sz w:val="24"/>
              </w:rPr>
              <w:t>合理布局、</w:t>
            </w:r>
            <w:r>
              <w:rPr>
                <w:rFonts w:eastAsiaTheme="minorEastAsia"/>
                <w:sz w:val="24"/>
              </w:rPr>
              <w:t>厂房密闭隔音治理后</w:t>
            </w:r>
            <w:r>
              <w:rPr>
                <w:rFonts w:eastAsiaTheme="minorEastAsia"/>
                <w:bCs/>
                <w:sz w:val="24"/>
              </w:rPr>
              <w:t>，各厂界噪声能够</w:t>
            </w:r>
            <w:r>
              <w:rPr>
                <w:rFonts w:eastAsiaTheme="minorEastAsia"/>
                <w:sz w:val="24"/>
              </w:rPr>
              <w:t>满足《工业企业厂界环境噪声排放标准》（GB12348-2008）2类区昼间60dB(A)、</w:t>
            </w:r>
            <w:r>
              <w:rPr>
                <w:rStyle w:val="37"/>
                <w:sz w:val="24"/>
                <w:szCs w:val="24"/>
              </w:rPr>
              <w:t>夜间</w:t>
            </w:r>
            <w:r>
              <w:rPr>
                <w:rStyle w:val="37"/>
                <w:rFonts w:eastAsia="仿宋_GB2312"/>
                <w:sz w:val="24"/>
                <w:szCs w:val="24"/>
              </w:rPr>
              <w:t>50</w:t>
            </w:r>
            <w:r>
              <w:rPr>
                <w:rFonts w:eastAsia="仿宋_GB2312"/>
                <w:sz w:val="24"/>
              </w:rPr>
              <w:t>dB(A)</w:t>
            </w:r>
            <w:r>
              <w:rPr>
                <w:rFonts w:eastAsiaTheme="minorEastAsia"/>
                <w:sz w:val="24"/>
              </w:rPr>
              <w:t>的标准要求。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1" w:hRule="atLeast"/>
          <w:jc w:val="center"/>
        </w:trPr>
        <w:tc>
          <w:tcPr>
            <w:tcW w:w="479" w:type="pc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eastAsiaTheme="minorEastAsia"/>
                <w:sz w:val="24"/>
              </w:rPr>
            </w:pPr>
            <w:r>
              <w:rPr>
                <w:rFonts w:eastAsiaTheme="minorEastAsia"/>
                <w:sz w:val="24"/>
              </w:rPr>
              <w:t>其他</w:t>
            </w:r>
          </w:p>
        </w:tc>
        <w:tc>
          <w:tcPr>
            <w:tcW w:w="4520" w:type="pct"/>
            <w:gridSpan w:val="4"/>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eastAsiaTheme="minorEastAsia"/>
                <w:sz w:val="24"/>
              </w:rPr>
            </w:pPr>
            <w:r>
              <w:rPr>
                <w:rFonts w:eastAsiaTheme="minor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5" w:hRule="atLeast"/>
          <w:jc w:val="center"/>
        </w:trPr>
        <w:tc>
          <w:tcPr>
            <w:tcW w:w="5000" w:type="pct"/>
            <w:gridSpan w:val="5"/>
            <w:tcBorders>
              <w:top w:val="single" w:color="auto" w:sz="4" w:space="0"/>
              <w:left w:val="single" w:color="auto" w:sz="8" w:space="0"/>
              <w:bottom w:val="single" w:color="auto" w:sz="8" w:space="0"/>
              <w:right w:val="single" w:color="auto" w:sz="8" w:space="0"/>
            </w:tcBorders>
          </w:tcPr>
          <w:p>
            <w:pPr>
              <w:adjustRightInd w:val="0"/>
              <w:snapToGrid w:val="0"/>
              <w:spacing w:line="440" w:lineRule="exact"/>
              <w:rPr>
                <w:b/>
                <w:bCs/>
                <w:sz w:val="24"/>
              </w:rPr>
            </w:pPr>
            <w:r>
              <w:rPr>
                <w:b/>
                <w:bCs/>
                <w:sz w:val="24"/>
              </w:rPr>
              <w:t>生态保护措施及预期效果：</w:t>
            </w:r>
          </w:p>
          <w:p>
            <w:pPr>
              <w:adjustRightInd w:val="0"/>
              <w:snapToGrid w:val="0"/>
              <w:spacing w:line="440" w:lineRule="exact"/>
              <w:ind w:firstLine="480" w:firstLineChars="200"/>
            </w:pPr>
            <w:r>
              <w:rPr>
                <w:rFonts w:eastAsiaTheme="minorEastAsia"/>
                <w:sz w:val="24"/>
              </w:rPr>
              <w:t>本项目建成后将采取一定的绿化措施，应采取灌木与</w:t>
            </w:r>
            <w:r>
              <w:rPr>
                <w:color w:val="000000"/>
                <w:sz w:val="24"/>
              </w:rPr>
              <w:t>乔木相结合的方式，生态环境将得到一定程度的恢复。</w:t>
            </w:r>
          </w:p>
        </w:tc>
      </w:tr>
    </w:tbl>
    <w:p>
      <w:pPr>
        <w:adjustRightInd w:val="0"/>
        <w:snapToGrid w:val="0"/>
        <w:spacing w:line="400" w:lineRule="exact"/>
        <w:jc w:val="left"/>
        <w:rPr>
          <w:b/>
          <w:sz w:val="28"/>
        </w:rPr>
      </w:pPr>
      <w:r>
        <w:rPr>
          <w:b/>
          <w:sz w:val="28"/>
        </w:rPr>
        <w:t>建议与结论</w:t>
      </w:r>
    </w:p>
    <w:tbl>
      <w:tblPr>
        <w:tblStyle w:val="30"/>
        <w:tblW w:w="92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282" w:type="dxa"/>
          </w:tcPr>
          <w:p>
            <w:pPr>
              <w:adjustRightInd w:val="0"/>
              <w:snapToGrid w:val="0"/>
              <w:spacing w:line="440" w:lineRule="exact"/>
              <w:ind w:firstLine="482" w:firstLineChars="200"/>
              <w:rPr>
                <w:b/>
                <w:bCs/>
                <w:sz w:val="24"/>
              </w:rPr>
            </w:pPr>
            <w:r>
              <w:rPr>
                <w:b/>
                <w:bCs/>
                <w:sz w:val="24"/>
              </w:rPr>
              <w:t>一、结论</w:t>
            </w:r>
          </w:p>
          <w:p>
            <w:pPr>
              <w:pStyle w:val="46"/>
              <w:tabs>
                <w:tab w:val="left" w:pos="6607"/>
              </w:tabs>
              <w:adjustRightInd w:val="0"/>
              <w:snapToGrid w:val="0"/>
              <w:spacing w:line="440" w:lineRule="exact"/>
              <w:ind w:firstLine="480" w:firstLineChars="200"/>
              <w:rPr>
                <w:sz w:val="24"/>
              </w:rPr>
            </w:pPr>
            <w:r>
              <w:rPr>
                <w:sz w:val="24"/>
              </w:rPr>
              <w:t>1、本项目符合国家产业政策要求</w:t>
            </w:r>
          </w:p>
          <w:p>
            <w:pPr>
              <w:spacing w:line="440" w:lineRule="exact"/>
              <w:ind w:firstLine="480" w:firstLineChars="200"/>
              <w:rPr>
                <w:sz w:val="24"/>
              </w:rPr>
            </w:pPr>
            <w:r>
              <w:rPr>
                <w:sz w:val="24"/>
              </w:rPr>
              <w:t>新乡县合河乡紫晨游乐设备厂投资50万元，在新乡市新乡县合河乡老纸厂旧址院内建设年产20套游乐设备项目。经查阅《产业结构调整指导目录（2019年本）》（发改委令（2019）第29号），本项目生产规模、设备工艺和产品等均不在“限制类”和“淘汰类”之列，为“允许类”，符合国家产业政策。本项目已在新乡县发展和改革委员会备案（备案见附件2），项目代码：2020-410721-41-03-002413。</w:t>
            </w:r>
          </w:p>
          <w:p>
            <w:pPr>
              <w:pStyle w:val="46"/>
              <w:tabs>
                <w:tab w:val="left" w:pos="6607"/>
              </w:tabs>
              <w:adjustRightInd w:val="0"/>
              <w:snapToGrid w:val="0"/>
              <w:spacing w:line="440" w:lineRule="exact"/>
              <w:ind w:firstLine="480" w:firstLineChars="200"/>
              <w:rPr>
                <w:sz w:val="24"/>
              </w:rPr>
            </w:pPr>
            <w:r>
              <w:rPr>
                <w:sz w:val="24"/>
              </w:rPr>
              <w:t>2、项目选址可行性分析</w:t>
            </w:r>
          </w:p>
          <w:p>
            <w:pPr>
              <w:wordWrap w:val="0"/>
              <w:topLinePunct/>
              <w:adjustRightInd w:val="0"/>
              <w:snapToGrid w:val="0"/>
              <w:spacing w:line="440" w:lineRule="exact"/>
              <w:ind w:firstLine="480" w:firstLineChars="200"/>
              <w:textAlignment w:val="center"/>
              <w:rPr>
                <w:sz w:val="24"/>
              </w:rPr>
            </w:pPr>
            <w:r>
              <w:rPr>
                <w:sz w:val="24"/>
              </w:rPr>
              <w:t>新乡县合河乡紫晨游乐设备厂位于新乡县合河乡西河村老纸厂旧址院内，租赁新乡县合河乡西河村委会老纸厂旧址，占地面积为1400m</w:t>
            </w:r>
            <w:r>
              <w:rPr>
                <w:sz w:val="24"/>
                <w:vertAlign w:val="superscript"/>
              </w:rPr>
              <w:t>2</w:t>
            </w:r>
            <w:r>
              <w:rPr>
                <w:sz w:val="24"/>
              </w:rPr>
              <w:t>，不新增占地，不</w:t>
            </w:r>
            <w:r>
              <w:rPr>
                <w:rFonts w:hint="eastAsia"/>
                <w:sz w:val="24"/>
              </w:rPr>
              <w:t>用</w:t>
            </w:r>
            <w:r>
              <w:rPr>
                <w:sz w:val="24"/>
              </w:rPr>
              <w:t>办理土地手续。根据《新乡县土地利用总体规划（2010-2020年）》调整完善图（2017年修改）及《合河乡土地利用规划图（2010-2020年）》（2017年修改），本项目用地性质为建设用地，选址符合新乡县合河乡土地利用总体规划；根据新乡县合河乡人民政府出具的证明，本项目符合合河乡土地利用总体规划、土地利用规划和产业发展规划要求。</w:t>
            </w:r>
          </w:p>
          <w:p>
            <w:pPr>
              <w:autoSpaceDE w:val="0"/>
              <w:autoSpaceDN w:val="0"/>
              <w:adjustRightInd w:val="0"/>
              <w:spacing w:line="440" w:lineRule="exact"/>
              <w:ind w:firstLine="480" w:firstLineChars="200"/>
              <w:jc w:val="left"/>
              <w:rPr>
                <w:sz w:val="24"/>
              </w:rPr>
            </w:pPr>
            <w:r>
              <w:rPr>
                <w:sz w:val="24"/>
              </w:rPr>
              <w:t>本项目南侧临废弃机电工厂，东侧西侧分别为空厂房，北临林场。主要环境敏感点为：北100m处的西河村，北700m处北陈庄村，东北650m处合河村，西900m处石村，南900m处东元封村，距离本项目最近的地表水为西1600m卫河。</w:t>
            </w:r>
          </w:p>
          <w:p>
            <w:pPr>
              <w:wordWrap w:val="0"/>
              <w:topLinePunct/>
              <w:adjustRightInd w:val="0"/>
              <w:snapToGrid w:val="0"/>
              <w:spacing w:line="440" w:lineRule="exact"/>
              <w:ind w:firstLine="480" w:firstLineChars="200"/>
              <w:textAlignment w:val="center"/>
              <w:rPr>
                <w:sz w:val="24"/>
              </w:rPr>
            </w:pPr>
            <w:r>
              <w:rPr>
                <w:sz w:val="24"/>
              </w:rPr>
              <w:t>项目</w:t>
            </w:r>
            <w:r>
              <w:rPr>
                <w:rFonts w:hint="eastAsia"/>
                <w:sz w:val="24"/>
              </w:rPr>
              <w:t>废气采用集气罩+袋式除尘器治理后，</w:t>
            </w:r>
            <w:r>
              <w:rPr>
                <w:sz w:val="24"/>
              </w:rPr>
              <w:t>生活</w:t>
            </w:r>
            <w:r>
              <w:rPr>
                <w:rFonts w:hint="eastAsia"/>
                <w:sz w:val="24"/>
              </w:rPr>
              <w:t>污</w:t>
            </w:r>
            <w:r>
              <w:rPr>
                <w:sz w:val="24"/>
              </w:rPr>
              <w:t>水经化粪池处理后定期清运，不外排；噪声经采取降噪措施后能满足《工业企业厂界环境噪声排放标准》（GB12348-2008）2类标准；固体废物均得到妥善处置。对周围环境的影响可以接受。</w:t>
            </w:r>
          </w:p>
          <w:p>
            <w:pPr>
              <w:autoSpaceDE w:val="0"/>
              <w:autoSpaceDN w:val="0"/>
              <w:adjustRightInd w:val="0"/>
              <w:snapToGrid w:val="0"/>
              <w:spacing w:line="440" w:lineRule="exact"/>
              <w:ind w:firstLine="480" w:firstLineChars="200"/>
              <w:rPr>
                <w:sz w:val="24"/>
              </w:rPr>
            </w:pPr>
            <w:r>
              <w:rPr>
                <w:sz w:val="24"/>
              </w:rPr>
              <w:t>终上所述，项目营运期间产生的废气、废水、噪声和固体废物等方面环境影响，在采用相应的污染防治措施后污染物均得到合理的处置，对周围环境及敏感点的影响可以接受，故从环保角度出发，评价认为项目选址可行。</w:t>
            </w:r>
          </w:p>
          <w:p>
            <w:pPr>
              <w:pStyle w:val="46"/>
              <w:tabs>
                <w:tab w:val="left" w:pos="6607"/>
              </w:tabs>
              <w:adjustRightInd w:val="0"/>
              <w:snapToGrid w:val="0"/>
              <w:spacing w:line="440" w:lineRule="exact"/>
              <w:ind w:firstLine="480" w:firstLineChars="200"/>
              <w:rPr>
                <w:sz w:val="24"/>
              </w:rPr>
            </w:pPr>
            <w:r>
              <w:rPr>
                <w:sz w:val="24"/>
              </w:rPr>
              <w:t>3、项目营运过程中产生的各项污染物均采取了有效的处置措施，可以满足相应的排放标准要求</w:t>
            </w:r>
          </w:p>
          <w:p>
            <w:pPr>
              <w:spacing w:line="440" w:lineRule="exact"/>
              <w:ind w:firstLine="480" w:firstLineChars="200"/>
              <w:rPr>
                <w:sz w:val="24"/>
              </w:rPr>
            </w:pPr>
            <w:r>
              <w:rPr>
                <w:sz w:val="24"/>
              </w:rPr>
              <w:t>（1）废气</w:t>
            </w:r>
          </w:p>
          <w:p>
            <w:pPr>
              <w:pStyle w:val="117"/>
              <w:spacing w:after="0" w:line="500" w:lineRule="exact"/>
              <w:rPr>
                <w:rFonts w:hint="eastAsia" w:eastAsia="宋体"/>
                <w:sz w:val="24"/>
                <w:lang w:eastAsia="zh-CN"/>
              </w:rPr>
            </w:pPr>
            <w:r>
              <w:rPr>
                <w:rFonts w:hint="eastAsia"/>
                <w:b/>
                <w:bCs/>
                <w:sz w:val="24"/>
                <w:lang w:eastAsia="zh-CN"/>
              </w:rPr>
              <w:t>有组织：</w:t>
            </w:r>
            <w:r>
              <w:rPr>
                <w:sz w:val="24"/>
              </w:rPr>
              <w:t>本项目焊接</w:t>
            </w:r>
            <w:r>
              <w:rPr>
                <w:rFonts w:hint="eastAsia"/>
                <w:sz w:val="24"/>
              </w:rPr>
              <w:t>、切割</w:t>
            </w:r>
            <w:r>
              <w:rPr>
                <w:sz w:val="24"/>
              </w:rPr>
              <w:t>工序设置专门的焊接</w:t>
            </w:r>
            <w:r>
              <w:rPr>
                <w:rFonts w:hint="eastAsia"/>
                <w:sz w:val="24"/>
                <w:lang w:eastAsia="zh-CN"/>
              </w:rPr>
              <w:t>、切割</w:t>
            </w:r>
            <w:r>
              <w:rPr>
                <w:sz w:val="24"/>
              </w:rPr>
              <w:t>区域，焊接</w:t>
            </w:r>
            <w:r>
              <w:rPr>
                <w:rFonts w:hint="eastAsia"/>
                <w:sz w:val="24"/>
              </w:rPr>
              <w:t>、切割</w:t>
            </w:r>
            <w:r>
              <w:rPr>
                <w:sz w:val="24"/>
              </w:rPr>
              <w:t>工序产生的烟尘</w:t>
            </w:r>
            <w:r>
              <w:rPr>
                <w:rFonts w:hint="eastAsia"/>
                <w:sz w:val="24"/>
              </w:rPr>
              <w:t>经2台集气罩</w:t>
            </w:r>
            <w:r>
              <w:rPr>
                <w:sz w:val="24"/>
              </w:rPr>
              <w:t>+1台</w:t>
            </w:r>
            <w:r>
              <w:rPr>
                <w:rFonts w:hint="eastAsia"/>
                <w:sz w:val="24"/>
              </w:rPr>
              <w:t>袋式</w:t>
            </w:r>
            <w:r>
              <w:rPr>
                <w:sz w:val="24"/>
              </w:rPr>
              <w:t>除尘器+1根15米排气筒进行处理，</w:t>
            </w:r>
            <w:r>
              <w:rPr>
                <w:rFonts w:hint="eastAsia"/>
                <w:sz w:val="24"/>
              </w:rPr>
              <w:t>处理后</w:t>
            </w:r>
            <w:r>
              <w:rPr>
                <w:sz w:val="24"/>
              </w:rPr>
              <w:t>排放速率为</w:t>
            </w:r>
            <w:r>
              <w:rPr>
                <w:rFonts w:hint="eastAsia"/>
                <w:sz w:val="24"/>
              </w:rPr>
              <w:t>0.0044</w:t>
            </w:r>
            <w:r>
              <w:rPr>
                <w:sz w:val="24"/>
              </w:rPr>
              <w:t>kg/h，排放浓度</w:t>
            </w:r>
            <w:r>
              <w:rPr>
                <w:rFonts w:hint="eastAsia"/>
                <w:sz w:val="24"/>
              </w:rPr>
              <w:t>1.7472</w:t>
            </w:r>
            <w:r>
              <w:rPr>
                <w:sz w:val="24"/>
              </w:rPr>
              <w:t>mg/m</w:t>
            </w:r>
            <w:r>
              <w:rPr>
                <w:sz w:val="24"/>
                <w:vertAlign w:val="superscript"/>
              </w:rPr>
              <w:t>3</w:t>
            </w:r>
            <w:r>
              <w:rPr>
                <w:sz w:val="24"/>
              </w:rPr>
              <w:t>，</w:t>
            </w:r>
            <w:r>
              <w:rPr>
                <w:rFonts w:ascii="Times New Roman" w:hAnsi="Times New Roman"/>
                <w:color w:val="000000"/>
              </w:rPr>
              <w:t>粉尘的排放速率</w:t>
            </w:r>
            <w:r>
              <w:rPr>
                <w:rFonts w:hint="eastAsia" w:ascii="Times New Roman" w:hAnsi="Times New Roman"/>
                <w:color w:val="000000"/>
              </w:rPr>
              <w:t>能够</w:t>
            </w:r>
            <w:r>
              <w:rPr>
                <w:rFonts w:ascii="Times New Roman" w:hAnsi="Times New Roman"/>
                <w:color w:val="000000"/>
                <w:spacing w:val="3"/>
              </w:rPr>
              <w:t>满足《大气污染物综合排放标准》(GB16297-1996)表2</w:t>
            </w:r>
            <w:r>
              <w:rPr>
                <w:rFonts w:ascii="Times New Roman" w:hAnsi="Times New Roman"/>
                <w:szCs w:val="24"/>
              </w:rPr>
              <w:t>二级排放速率3.5kg/h（15m排气筒）、排放浓度能够</w:t>
            </w:r>
            <w:r>
              <w:rPr>
                <w:rFonts w:hint="eastAsia" w:ascii="Times New Roman" w:hAnsi="Times New Roman"/>
                <w:szCs w:val="24"/>
                <w:lang w:eastAsia="zh-CN"/>
              </w:rPr>
              <w:t>满足</w:t>
            </w:r>
            <w:r>
              <w:rPr>
                <w:rFonts w:ascii="Times New Roman" w:hAnsi="Times New Roman"/>
                <w:color w:val="000000"/>
                <w:szCs w:val="21"/>
              </w:rPr>
              <w:t>2020年7月31日《新乡市生态环境局关于进一步规范工业颗粒物排放限值的通知》</w:t>
            </w:r>
            <w:r>
              <w:rPr>
                <w:rFonts w:ascii="Times New Roman" w:hAnsi="Times New Roman"/>
              </w:rPr>
              <w:t>排放口颗粒物排放浓度不高于10mg/m</w:t>
            </w:r>
            <w:r>
              <w:rPr>
                <w:rFonts w:ascii="Times New Roman" w:hAnsi="Times New Roman"/>
                <w:vertAlign w:val="superscript"/>
              </w:rPr>
              <w:t>3</w:t>
            </w:r>
            <w:r>
              <w:rPr>
                <w:rFonts w:ascii="Times New Roman" w:hAnsi="Times New Roman"/>
                <w:szCs w:val="24"/>
              </w:rPr>
              <w:t>的标准要求</w:t>
            </w:r>
            <w:r>
              <w:rPr>
                <w:rFonts w:hint="eastAsia" w:ascii="Times New Roman" w:hAnsi="Times New Roman"/>
                <w:szCs w:val="24"/>
                <w:lang w:eastAsia="zh-CN"/>
              </w:rPr>
              <w:t>；</w:t>
            </w:r>
          </w:p>
          <w:p>
            <w:pPr>
              <w:adjustRightInd w:val="0"/>
              <w:snapToGrid w:val="0"/>
              <w:spacing w:line="440" w:lineRule="exact"/>
              <w:ind w:firstLine="482" w:firstLineChars="200"/>
              <w:jc w:val="left"/>
              <w:rPr>
                <w:bCs/>
                <w:snapToGrid w:val="0"/>
                <w:kern w:val="0"/>
                <w:sz w:val="24"/>
              </w:rPr>
            </w:pPr>
            <w:r>
              <w:rPr>
                <w:rFonts w:hint="eastAsia"/>
                <w:b/>
                <w:bCs/>
                <w:sz w:val="24"/>
                <w:lang w:eastAsia="zh-CN"/>
              </w:rPr>
              <w:t>无组织：</w:t>
            </w:r>
            <w:r>
              <w:rPr>
                <w:sz w:val="24"/>
              </w:rPr>
              <w:t>未被收集的颗粒物在车间无组织排放，厂界浓度满足</w:t>
            </w:r>
            <w:r>
              <w:rPr>
                <w:rFonts w:hint="eastAsia"/>
                <w:bCs/>
                <w:snapToGrid w:val="0"/>
                <w:kern w:val="0"/>
                <w:sz w:val="24"/>
              </w:rPr>
              <w:t>2020年7月31日《新乡市生态环境局关于进一步规范工业颗粒物排放限值的通知》</w:t>
            </w:r>
            <w:r>
              <w:rPr>
                <w:rFonts w:hint="eastAsia"/>
                <w:sz w:val="24"/>
              </w:rPr>
              <w:t>厂界颗粒物排放浓度不高于0.5mg/m</w:t>
            </w:r>
            <w:r>
              <w:rPr>
                <w:rFonts w:hint="eastAsia"/>
                <w:sz w:val="24"/>
                <w:vertAlign w:val="superscript"/>
              </w:rPr>
              <w:t>3</w:t>
            </w:r>
            <w:r>
              <w:rPr>
                <w:rFonts w:hint="eastAsia"/>
                <w:sz w:val="24"/>
              </w:rPr>
              <w:t>的标准要求</w:t>
            </w:r>
            <w:r>
              <w:rPr>
                <w:rFonts w:hint="eastAsia"/>
                <w:bCs/>
                <w:snapToGrid w:val="0"/>
                <w:kern w:val="0"/>
                <w:sz w:val="24"/>
              </w:rPr>
              <w:t>。</w:t>
            </w:r>
          </w:p>
          <w:p>
            <w:pPr>
              <w:adjustRightInd w:val="0"/>
              <w:snapToGrid w:val="0"/>
              <w:spacing w:line="440" w:lineRule="exact"/>
              <w:ind w:firstLine="480" w:firstLineChars="200"/>
              <w:rPr>
                <w:sz w:val="24"/>
              </w:rPr>
            </w:pPr>
            <w:r>
              <w:rPr>
                <w:sz w:val="24"/>
              </w:rPr>
              <w:t>（2）废水</w:t>
            </w:r>
          </w:p>
          <w:p>
            <w:pPr>
              <w:spacing w:line="440" w:lineRule="exact"/>
              <w:ind w:firstLine="480" w:firstLineChars="200"/>
              <w:rPr>
                <w:sz w:val="24"/>
              </w:rPr>
            </w:pPr>
            <w:r>
              <w:rPr>
                <w:sz w:val="24"/>
              </w:rPr>
              <w:t>项目职工生活</w:t>
            </w:r>
            <w:r>
              <w:rPr>
                <w:rFonts w:hint="eastAsia"/>
                <w:sz w:val="24"/>
              </w:rPr>
              <w:t>污</w:t>
            </w:r>
            <w:r>
              <w:rPr>
                <w:sz w:val="24"/>
              </w:rPr>
              <w:t>水经厂区化粪池处理后定期清运，不外排。本项目属于金属制品制造业项目。根据《环境影响评价技术导则——地下水环境》（HJ610-2016），本项目属于IV类建设项目，因此不再对地下水环境影响进行分析。</w:t>
            </w:r>
          </w:p>
          <w:p>
            <w:pPr>
              <w:adjustRightInd w:val="0"/>
              <w:snapToGrid w:val="0"/>
              <w:spacing w:line="440" w:lineRule="exact"/>
              <w:ind w:firstLine="480" w:firstLineChars="200"/>
              <w:rPr>
                <w:sz w:val="24"/>
              </w:rPr>
            </w:pPr>
            <w:r>
              <w:rPr>
                <w:sz w:val="24"/>
              </w:rPr>
              <w:t>（3）噪声</w:t>
            </w:r>
          </w:p>
          <w:p>
            <w:pPr>
              <w:widowControl/>
              <w:spacing w:line="440" w:lineRule="exact"/>
              <w:ind w:firstLine="480" w:firstLineChars="200"/>
              <w:rPr>
                <w:sz w:val="24"/>
              </w:rPr>
            </w:pPr>
            <w:r>
              <w:rPr>
                <w:sz w:val="24"/>
              </w:rPr>
              <w:t>本项目的噪声源主要为</w:t>
            </w:r>
            <w:r>
              <w:rPr>
                <w:rFonts w:hint="eastAsia"/>
                <w:sz w:val="24"/>
              </w:rPr>
              <w:t>切割机、折弯机、电锯等，</w:t>
            </w:r>
            <w:r>
              <w:rPr>
                <w:sz w:val="24"/>
              </w:rPr>
              <w:t>噪声</w:t>
            </w:r>
            <w:r>
              <w:rPr>
                <w:rFonts w:hint="eastAsia"/>
                <w:sz w:val="24"/>
              </w:rPr>
              <w:t>源强</w:t>
            </w:r>
            <w:r>
              <w:rPr>
                <w:sz w:val="24"/>
              </w:rPr>
              <w:t>在</w:t>
            </w:r>
            <w:r>
              <w:rPr>
                <w:rFonts w:hint="eastAsia"/>
                <w:sz w:val="24"/>
              </w:rPr>
              <w:t>7</w:t>
            </w:r>
            <w:r>
              <w:rPr>
                <w:sz w:val="24"/>
              </w:rPr>
              <w:t>0~85dB(A)之间，采取</w:t>
            </w:r>
            <w:r>
              <w:rPr>
                <w:rFonts w:hint="eastAsia"/>
                <w:sz w:val="24"/>
              </w:rPr>
              <w:t>合理布局、厂房隔音</w:t>
            </w:r>
            <w:r>
              <w:rPr>
                <w:sz w:val="24"/>
              </w:rPr>
              <w:t>等措施后，厂界噪声可满足《工业企业厂界环境噪声排放标准》（GB12348-2008）中的2类标准的要求。环评建议加强高噪声设备减振以及日常维护等措施，使之处于良好的运转状态，周围均为企业，因此本项目生产对周围的声环境影响较小。</w:t>
            </w:r>
          </w:p>
          <w:p>
            <w:pPr>
              <w:adjustRightInd w:val="0"/>
              <w:snapToGrid w:val="0"/>
              <w:spacing w:line="440" w:lineRule="exact"/>
              <w:ind w:firstLine="480" w:firstLineChars="200"/>
              <w:rPr>
                <w:sz w:val="24"/>
              </w:rPr>
            </w:pPr>
            <w:r>
              <w:rPr>
                <w:sz w:val="24"/>
              </w:rPr>
              <w:t>（4）固废</w:t>
            </w:r>
          </w:p>
          <w:p>
            <w:pPr>
              <w:widowControl/>
              <w:snapToGrid w:val="0"/>
              <w:spacing w:line="440" w:lineRule="exact"/>
              <w:ind w:firstLine="480" w:firstLineChars="200"/>
              <w:rPr>
                <w:sz w:val="24"/>
              </w:rPr>
            </w:pPr>
            <w:r>
              <w:rPr>
                <w:sz w:val="24"/>
              </w:rPr>
              <w:t>本项目一般固废为废边角料和除尘器集尘，集中收集后暂存于一般固废暂存间（建筑面积14m</w:t>
            </w:r>
            <w:r>
              <w:rPr>
                <w:sz w:val="24"/>
                <w:vertAlign w:val="superscript"/>
              </w:rPr>
              <w:t>2</w:t>
            </w:r>
            <w:r>
              <w:rPr>
                <w:sz w:val="24"/>
              </w:rPr>
              <w:t>），定期出售。</w:t>
            </w:r>
          </w:p>
          <w:p>
            <w:pPr>
              <w:pStyle w:val="29"/>
              <w:spacing w:after="0" w:line="440" w:lineRule="exact"/>
              <w:ind w:left="0" w:leftChars="0" w:firstLine="480"/>
              <w:rPr>
                <w:sz w:val="24"/>
              </w:rPr>
            </w:pPr>
            <w:r>
              <w:rPr>
                <w:sz w:val="24"/>
              </w:rPr>
              <w:t>（5）土壤</w:t>
            </w:r>
          </w:p>
          <w:p>
            <w:pPr>
              <w:pStyle w:val="29"/>
              <w:spacing w:after="0" w:line="440" w:lineRule="exact"/>
              <w:ind w:left="0" w:leftChars="0" w:firstLine="480"/>
              <w:rPr>
                <w:sz w:val="24"/>
              </w:rPr>
            </w:pPr>
            <w:r>
              <w:rPr>
                <w:sz w:val="24"/>
              </w:rPr>
              <w:t xml:space="preserve">本项目的项目类别为Ⅲ类、占地规模为小型规模、敏感程度为不敏感，对照《环境影响评价技术导则 土壤环境（试行）》（HJ964-2018）污染影响型评价工作等级划分表可知，本项目可不开展土壤环境影响评价工作。 </w:t>
            </w:r>
          </w:p>
          <w:p>
            <w:pPr>
              <w:adjustRightInd w:val="0"/>
              <w:snapToGrid w:val="0"/>
              <w:spacing w:line="440" w:lineRule="exact"/>
              <w:ind w:firstLine="480" w:firstLineChars="200"/>
              <w:rPr>
                <w:sz w:val="24"/>
              </w:rPr>
            </w:pPr>
            <w:r>
              <w:rPr>
                <w:sz w:val="24"/>
              </w:rPr>
              <w:t>（6）环保投资</w:t>
            </w:r>
          </w:p>
          <w:p>
            <w:pPr>
              <w:widowControl/>
              <w:spacing w:line="440" w:lineRule="exact"/>
              <w:ind w:firstLine="482"/>
              <w:jc w:val="left"/>
              <w:rPr>
                <w:sz w:val="24"/>
              </w:rPr>
            </w:pPr>
            <w:r>
              <w:rPr>
                <w:sz w:val="24"/>
              </w:rPr>
              <w:t>本项目总投资为50万元，其中环保投资为</w:t>
            </w:r>
            <w:r>
              <w:rPr>
                <w:rFonts w:hint="eastAsia"/>
                <w:sz w:val="24"/>
              </w:rPr>
              <w:t>8</w:t>
            </w:r>
            <w:r>
              <w:rPr>
                <w:sz w:val="24"/>
              </w:rPr>
              <w:t>万元，约占总投资的1</w:t>
            </w:r>
            <w:r>
              <w:rPr>
                <w:rFonts w:hint="eastAsia"/>
                <w:sz w:val="24"/>
              </w:rPr>
              <w:t>6</w:t>
            </w:r>
            <w:r>
              <w:rPr>
                <w:sz w:val="24"/>
              </w:rPr>
              <w:t>%。建设单位应落实环保资金投资到位，确保做到各项污染物达标排放。</w:t>
            </w:r>
          </w:p>
          <w:p>
            <w:pPr>
              <w:pStyle w:val="46"/>
              <w:tabs>
                <w:tab w:val="left" w:pos="6607"/>
              </w:tabs>
              <w:adjustRightInd w:val="0"/>
              <w:snapToGrid w:val="0"/>
              <w:spacing w:line="440" w:lineRule="exact"/>
              <w:ind w:firstLine="480" w:firstLineChars="200"/>
              <w:rPr>
                <w:sz w:val="24"/>
              </w:rPr>
            </w:pPr>
            <w:r>
              <w:rPr>
                <w:sz w:val="24"/>
              </w:rPr>
              <w:t>4、总量控制标准</w:t>
            </w:r>
          </w:p>
          <w:p>
            <w:pPr>
              <w:adjustRightInd w:val="0"/>
              <w:snapToGrid w:val="0"/>
              <w:spacing w:line="440" w:lineRule="exact"/>
              <w:ind w:firstLine="480" w:firstLineChars="200"/>
              <w:rPr>
                <w:sz w:val="24"/>
              </w:rPr>
            </w:pPr>
            <w:r>
              <w:rPr>
                <w:sz w:val="24"/>
              </w:rPr>
              <w:t>根据《新乡市生态环境局关于贯彻落实&lt;河南省生态环境厅办公室关于深化环评“放管服”改革及实施环评审批正面清单的通知&gt;的意见》新环【2020】37号</w:t>
            </w:r>
            <w:r>
              <w:rPr>
                <w:rFonts w:hint="eastAsia"/>
                <w:sz w:val="24"/>
              </w:rPr>
              <w:t>，</w:t>
            </w:r>
            <w:r>
              <w:rPr>
                <w:sz w:val="24"/>
              </w:rPr>
              <w:t>对不新增重点污染物（化学需氧量、氨氮、二氧化硫、氮氧化物、挥发性有机物，重金属铅、铬、镉、汞、砷10类），不再进行总量审核。本项目属于新建项目，本项目污染物排放量为COD0t/a、NH</w:t>
            </w:r>
            <w:r>
              <w:rPr>
                <w:sz w:val="24"/>
                <w:vertAlign w:val="subscript"/>
              </w:rPr>
              <w:t>3</w:t>
            </w:r>
            <w:r>
              <w:rPr>
                <w:sz w:val="24"/>
              </w:rPr>
              <w:t>-N0t/a、SO</w:t>
            </w:r>
            <w:r>
              <w:rPr>
                <w:sz w:val="24"/>
                <w:vertAlign w:val="subscript"/>
              </w:rPr>
              <w:t>2</w:t>
            </w:r>
            <w:r>
              <w:rPr>
                <w:sz w:val="24"/>
              </w:rPr>
              <w:t xml:space="preserve"> 0t/a、NO</w:t>
            </w:r>
            <w:r>
              <w:rPr>
                <w:sz w:val="24"/>
                <w:vertAlign w:val="subscript"/>
              </w:rPr>
              <w:t>X</w:t>
            </w:r>
            <w:r>
              <w:rPr>
                <w:sz w:val="24"/>
              </w:rPr>
              <w:t xml:space="preserve"> 0t/a、VOCs0t/a、铅0t/a、铬0t/a、镉0t/a、汞0t/a、砷0t/a，不新增重点污染物</w:t>
            </w:r>
            <w:r>
              <w:rPr>
                <w:rFonts w:hint="eastAsia"/>
                <w:sz w:val="24"/>
              </w:rPr>
              <w:t>，</w:t>
            </w:r>
            <w:r>
              <w:rPr>
                <w:sz w:val="24"/>
              </w:rPr>
              <w:t>不再进行总量审核。</w:t>
            </w:r>
          </w:p>
          <w:p>
            <w:pPr>
              <w:adjustRightInd w:val="0"/>
              <w:snapToGrid w:val="0"/>
              <w:spacing w:line="440" w:lineRule="exact"/>
              <w:ind w:firstLine="482" w:firstLineChars="200"/>
              <w:rPr>
                <w:b/>
                <w:bCs/>
                <w:sz w:val="24"/>
              </w:rPr>
            </w:pPr>
          </w:p>
          <w:p>
            <w:pPr>
              <w:adjustRightInd w:val="0"/>
              <w:snapToGrid w:val="0"/>
              <w:spacing w:line="440" w:lineRule="exact"/>
              <w:ind w:firstLine="482" w:firstLineChars="200"/>
              <w:rPr>
                <w:b/>
                <w:bCs/>
                <w:sz w:val="24"/>
              </w:rPr>
            </w:pPr>
            <w:r>
              <w:rPr>
                <w:b/>
                <w:bCs/>
                <w:sz w:val="24"/>
              </w:rPr>
              <w:t>二、建议</w:t>
            </w:r>
          </w:p>
          <w:p>
            <w:pPr>
              <w:widowControl/>
              <w:spacing w:line="440" w:lineRule="exact"/>
              <w:ind w:firstLine="480" w:firstLineChars="200"/>
              <w:jc w:val="left"/>
              <w:rPr>
                <w:sz w:val="24"/>
              </w:rPr>
            </w:pPr>
            <w:r>
              <w:rPr>
                <w:sz w:val="24"/>
              </w:rPr>
              <w:t>（1）加强环境管理，保证各种环保设施正常运行。</w:t>
            </w:r>
          </w:p>
          <w:p>
            <w:pPr>
              <w:widowControl/>
              <w:spacing w:line="440" w:lineRule="exact"/>
              <w:ind w:firstLine="480" w:firstLineChars="200"/>
              <w:jc w:val="left"/>
              <w:rPr>
                <w:sz w:val="24"/>
              </w:rPr>
            </w:pPr>
            <w:r>
              <w:rPr>
                <w:sz w:val="24"/>
              </w:rPr>
              <w:t>（2）建筑设计时安全系数要按规定，保证施工质量，不能有安全隐患。</w:t>
            </w:r>
          </w:p>
          <w:p>
            <w:pPr>
              <w:spacing w:line="440" w:lineRule="exact"/>
              <w:ind w:firstLine="480" w:firstLineChars="200"/>
              <w:rPr>
                <w:sz w:val="24"/>
              </w:rPr>
            </w:pPr>
            <w:r>
              <w:rPr>
                <w:sz w:val="24"/>
              </w:rPr>
              <w:t>（3）尽快完善厂区建设，并做好厂区绿化工作。加强环境意识教育，制定环保设施操作管理规程，建立健全各项环保岗位责任制，确保环保设施正常、稳定运行。</w:t>
            </w:r>
          </w:p>
          <w:p>
            <w:pPr>
              <w:spacing w:line="440" w:lineRule="exact"/>
              <w:ind w:firstLine="480" w:firstLineChars="200"/>
              <w:rPr>
                <w:sz w:val="24"/>
              </w:rPr>
            </w:pPr>
            <w:r>
              <w:rPr>
                <w:sz w:val="24"/>
              </w:rPr>
              <w:t>（4）加强职工操作培训，提高职工技术水平和环保意识。</w:t>
            </w:r>
          </w:p>
          <w:p>
            <w:pPr>
              <w:spacing w:line="440" w:lineRule="exact"/>
              <w:ind w:firstLine="480" w:firstLineChars="200"/>
              <w:rPr>
                <w:sz w:val="24"/>
              </w:rPr>
            </w:pPr>
            <w:r>
              <w:rPr>
                <w:sz w:val="24"/>
              </w:rPr>
              <w:t>（5）严格执行环保“三同时”制度，项目建成后及时向环境保护主管部门申请环保验收。</w:t>
            </w:r>
          </w:p>
          <w:p>
            <w:pPr>
              <w:adjustRightInd w:val="0"/>
              <w:snapToGrid w:val="0"/>
              <w:spacing w:line="440" w:lineRule="exact"/>
              <w:ind w:firstLine="482" w:firstLineChars="200"/>
              <w:rPr>
                <w:b/>
                <w:bCs/>
                <w:sz w:val="24"/>
              </w:rPr>
            </w:pPr>
            <w:r>
              <w:rPr>
                <w:b/>
                <w:bCs/>
                <w:sz w:val="24"/>
              </w:rPr>
              <w:t>三、环评总结论</w:t>
            </w:r>
          </w:p>
          <w:p>
            <w:pPr>
              <w:adjustRightInd w:val="0"/>
              <w:snapToGrid w:val="0"/>
              <w:spacing w:line="440" w:lineRule="exact"/>
              <w:ind w:firstLine="480" w:firstLineChars="200"/>
              <w:rPr>
                <w:sz w:val="24"/>
              </w:rPr>
            </w:pPr>
            <w:r>
              <w:rPr>
                <w:sz w:val="24"/>
              </w:rPr>
              <w:t>新乡县合河乡紫晨游乐设备厂投资50万元，建设年产20套游乐设备项目，位于新乡市新乡县合河乡西河村老纸厂旧址院内，符合国家相关产业政策要求。厂址所在地符合当地规划要求，选址可行。营运过程中产生的污染物经治理后均能够达标排放，固废处置措施可行。从环保角度分析，该项目可行。</w:t>
            </w:r>
          </w:p>
          <w:p>
            <w:pPr>
              <w:pStyle w:val="2"/>
              <w:ind w:left="0" w:firstLine="0"/>
              <w:jc w:val="both"/>
              <w:rPr>
                <w:sz w:val="24"/>
                <w:szCs w:val="24"/>
              </w:rPr>
            </w:pPr>
          </w:p>
          <w:p>
            <w:pPr>
              <w:adjustRightInd w:val="0"/>
              <w:snapToGrid w:val="0"/>
              <w:spacing w:line="440" w:lineRule="exact"/>
              <w:rPr>
                <w:sz w:val="24"/>
              </w:rPr>
            </w:pPr>
          </w:p>
          <w:p>
            <w:pPr>
              <w:adjustRightInd w:val="0"/>
              <w:snapToGrid w:val="0"/>
              <w:spacing w:line="440" w:lineRule="exact"/>
              <w:ind w:firstLine="480" w:firstLineChars="200"/>
              <w:rPr>
                <w:sz w:val="24"/>
              </w:rPr>
            </w:pPr>
          </w:p>
          <w:p>
            <w:pPr>
              <w:adjustRightInd w:val="0"/>
              <w:snapToGrid w:val="0"/>
              <w:spacing w:line="440" w:lineRule="exact"/>
              <w:jc w:val="right"/>
              <w:rPr>
                <w:sz w:val="24"/>
              </w:rPr>
            </w:pPr>
            <w:r>
              <w:rPr>
                <w:sz w:val="24"/>
              </w:rPr>
              <w:t>新乡市译洋环境技术有限公司</w:t>
            </w:r>
          </w:p>
          <w:p>
            <w:pPr>
              <w:adjustRightInd w:val="0"/>
              <w:snapToGrid w:val="0"/>
              <w:spacing w:line="440" w:lineRule="exact"/>
              <w:ind w:left="7080" w:right="980" w:hanging="7080" w:hangingChars="2950"/>
              <w:jc w:val="right"/>
              <w:rPr>
                <w:sz w:val="24"/>
              </w:rPr>
            </w:pPr>
            <w:r>
              <w:rPr>
                <w:sz w:val="24"/>
              </w:rPr>
              <w:t>2019年</w:t>
            </w:r>
            <w:r>
              <w:rPr>
                <w:rFonts w:hint="eastAsia"/>
                <w:sz w:val="24"/>
                <w:lang w:val="en-US" w:eastAsia="zh-CN"/>
              </w:rPr>
              <w:t>11</w:t>
            </w:r>
            <w:r>
              <w:rPr>
                <w:sz w:val="24"/>
              </w:rPr>
              <w:t>月</w:t>
            </w:r>
          </w:p>
          <w:p>
            <w:pPr>
              <w:adjustRightInd w:val="0"/>
              <w:snapToGrid w:val="0"/>
              <w:spacing w:line="400" w:lineRule="exact"/>
              <w:ind w:right="1940"/>
            </w:pPr>
          </w:p>
          <w:p>
            <w:pPr>
              <w:adjustRightInd w:val="0"/>
              <w:snapToGrid w:val="0"/>
              <w:spacing w:line="400" w:lineRule="exact"/>
              <w:ind w:right="1940"/>
            </w:pPr>
          </w:p>
          <w:p>
            <w:pPr>
              <w:pStyle w:val="2"/>
              <w:ind w:left="0" w:firstLine="0"/>
              <w:jc w:val="both"/>
            </w:pPr>
          </w:p>
          <w:p/>
          <w:p>
            <w:pPr>
              <w:pStyle w:val="29"/>
            </w:pPr>
          </w:p>
          <w:p>
            <w:pPr>
              <w:pStyle w:val="29"/>
            </w:pPr>
          </w:p>
          <w:p>
            <w:pPr>
              <w:pStyle w:val="29"/>
            </w:pPr>
          </w:p>
          <w:p>
            <w:pPr>
              <w:pStyle w:val="29"/>
            </w:pPr>
          </w:p>
          <w:p>
            <w:pPr>
              <w:pStyle w:val="29"/>
            </w:pPr>
          </w:p>
          <w:p>
            <w:pPr>
              <w:pStyle w:val="29"/>
            </w:pPr>
          </w:p>
          <w:p>
            <w:pPr>
              <w:pStyle w:val="29"/>
              <w:ind w:left="0" w:leftChars="0"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4" w:hRule="atLeast"/>
          <w:jc w:val="center"/>
        </w:trPr>
        <w:tc>
          <w:tcPr>
            <w:tcW w:w="9282" w:type="dxa"/>
            <w:tcBorders>
              <w:left w:val="single" w:color="auto" w:sz="8" w:space="0"/>
            </w:tcBorders>
          </w:tcPr>
          <w:p>
            <w:pPr>
              <w:adjustRightInd w:val="0"/>
              <w:snapToGrid w:val="0"/>
              <w:spacing w:line="400" w:lineRule="exact"/>
              <w:jc w:val="left"/>
              <w:rPr>
                <w:sz w:val="24"/>
              </w:rPr>
            </w:pPr>
            <w:r>
              <w:rPr>
                <w:sz w:val="24"/>
              </w:rPr>
              <w:t>预审意见：</w:t>
            </w: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pStyle w:val="29"/>
              <w:ind w:firstLine="480"/>
              <w:rPr>
                <w:sz w:val="24"/>
              </w:rPr>
            </w:pPr>
          </w:p>
          <w:p>
            <w:pPr>
              <w:pStyle w:val="29"/>
              <w:ind w:firstLine="480"/>
              <w:rPr>
                <w:sz w:val="24"/>
              </w:rPr>
            </w:pPr>
          </w:p>
          <w:p>
            <w:pPr>
              <w:pStyle w:val="29"/>
              <w:ind w:firstLine="480"/>
              <w:rPr>
                <w:sz w:val="24"/>
              </w:rPr>
            </w:pPr>
          </w:p>
          <w:p>
            <w:pPr>
              <w:pStyle w:val="29"/>
              <w:ind w:firstLine="480"/>
              <w:rPr>
                <w:sz w:val="24"/>
              </w:rPr>
            </w:pPr>
          </w:p>
          <w:p>
            <w:pPr>
              <w:adjustRightInd w:val="0"/>
              <w:snapToGrid w:val="0"/>
              <w:spacing w:line="400" w:lineRule="exact"/>
              <w:ind w:right="1120"/>
              <w:rPr>
                <w:sz w:val="24"/>
              </w:rPr>
            </w:pPr>
          </w:p>
          <w:p>
            <w:pPr>
              <w:adjustRightInd w:val="0"/>
              <w:snapToGrid w:val="0"/>
              <w:spacing w:line="400" w:lineRule="exact"/>
              <w:ind w:right="1120"/>
              <w:rPr>
                <w:sz w:val="24"/>
              </w:rPr>
            </w:pPr>
          </w:p>
          <w:p>
            <w:pPr>
              <w:adjustRightInd w:val="0"/>
              <w:snapToGrid w:val="0"/>
              <w:spacing w:line="400" w:lineRule="exact"/>
              <w:ind w:right="1120"/>
              <w:rPr>
                <w:sz w:val="24"/>
              </w:rPr>
            </w:pPr>
          </w:p>
          <w:p>
            <w:pPr>
              <w:pStyle w:val="29"/>
            </w:pPr>
          </w:p>
          <w:p>
            <w:pPr>
              <w:adjustRightInd w:val="0"/>
              <w:snapToGrid w:val="0"/>
              <w:spacing w:line="400" w:lineRule="exact"/>
              <w:ind w:right="1120"/>
              <w:jc w:val="center"/>
              <w:rPr>
                <w:sz w:val="24"/>
              </w:rPr>
            </w:pPr>
            <w:r>
              <w:rPr>
                <w:sz w:val="24"/>
              </w:rPr>
              <w:t xml:space="preserve">                                                            公  章</w:t>
            </w:r>
          </w:p>
          <w:p>
            <w:pPr>
              <w:adjustRightInd w:val="0"/>
              <w:snapToGrid w:val="0"/>
              <w:spacing w:line="400" w:lineRule="exact"/>
              <w:ind w:right="1120"/>
              <w:rPr>
                <w:sz w:val="24"/>
              </w:rPr>
            </w:pPr>
          </w:p>
          <w:p>
            <w:pPr>
              <w:adjustRightInd w:val="0"/>
              <w:snapToGrid w:val="0"/>
              <w:spacing w:line="400" w:lineRule="exact"/>
              <w:jc w:val="left"/>
              <w:rPr>
                <w:sz w:val="24"/>
              </w:rPr>
            </w:pPr>
            <w:r>
              <w:rPr>
                <w:sz w:val="24"/>
              </w:rPr>
              <w:t xml:space="preserve"> 经办人：                                                  年    月    日</w:t>
            </w:r>
          </w:p>
          <w:p>
            <w:pPr>
              <w:adjustRightInd w:val="0"/>
              <w:snapToGrid w:val="0"/>
              <w:spacing w:line="400" w:lineRule="exact"/>
              <w:jc w:val="left"/>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2" w:type="dxa"/>
            <w:tcBorders>
              <w:left w:val="single" w:color="auto" w:sz="8" w:space="0"/>
            </w:tcBorders>
          </w:tcPr>
          <w:p>
            <w:pPr>
              <w:adjustRightInd w:val="0"/>
              <w:snapToGrid w:val="0"/>
              <w:spacing w:line="400" w:lineRule="exact"/>
              <w:jc w:val="left"/>
              <w:rPr>
                <w:sz w:val="24"/>
              </w:rPr>
            </w:pPr>
            <w:r>
              <w:rPr>
                <w:sz w:val="24"/>
              </w:rPr>
              <w:t>下一级环境保护行政主管部门审查意见：</w:t>
            </w: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pStyle w:val="29"/>
              <w:ind w:firstLine="480"/>
              <w:rPr>
                <w:sz w:val="24"/>
              </w:rPr>
            </w:pPr>
          </w:p>
          <w:p>
            <w:pPr>
              <w:pStyle w:val="29"/>
              <w:ind w:firstLine="480"/>
              <w:rPr>
                <w:sz w:val="24"/>
              </w:rPr>
            </w:pPr>
          </w:p>
          <w:p>
            <w:pPr>
              <w:pStyle w:val="29"/>
              <w:ind w:firstLine="480"/>
              <w:rPr>
                <w:sz w:val="24"/>
              </w:rPr>
            </w:pPr>
          </w:p>
          <w:p>
            <w:pPr>
              <w:pStyle w:val="29"/>
              <w:ind w:left="0" w:leftChars="0" w:firstLine="0" w:firstLineChars="0"/>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ind w:firstLine="7440" w:firstLineChars="3100"/>
              <w:jc w:val="left"/>
              <w:rPr>
                <w:sz w:val="24"/>
              </w:rPr>
            </w:pPr>
            <w:r>
              <w:rPr>
                <w:sz w:val="24"/>
              </w:rPr>
              <w:t>公  章</w:t>
            </w:r>
          </w:p>
          <w:p>
            <w:pPr>
              <w:adjustRightInd w:val="0"/>
              <w:snapToGrid w:val="0"/>
              <w:spacing w:line="400" w:lineRule="exact"/>
              <w:jc w:val="left"/>
              <w:rPr>
                <w:sz w:val="24"/>
              </w:rPr>
            </w:pPr>
          </w:p>
          <w:p>
            <w:pPr>
              <w:adjustRightInd w:val="0"/>
              <w:snapToGrid w:val="0"/>
              <w:spacing w:line="400" w:lineRule="exact"/>
              <w:jc w:val="left"/>
              <w:rPr>
                <w:sz w:val="24"/>
              </w:rPr>
            </w:pPr>
            <w:r>
              <w:rPr>
                <w:sz w:val="24"/>
              </w:rPr>
              <w:t xml:space="preserve"> 经办人：                                                  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282" w:type="dxa"/>
          </w:tcPr>
          <w:p>
            <w:pPr>
              <w:adjustRightInd w:val="0"/>
              <w:snapToGrid w:val="0"/>
              <w:spacing w:line="400" w:lineRule="exact"/>
              <w:jc w:val="left"/>
              <w:rPr>
                <w:sz w:val="24"/>
              </w:rPr>
            </w:pPr>
            <w:r>
              <w:rPr>
                <w:sz w:val="24"/>
              </w:rPr>
              <w:t>审批意见：</w:t>
            </w: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jc w:val="left"/>
              <w:rPr>
                <w:sz w:val="24"/>
              </w:rPr>
            </w:pPr>
          </w:p>
          <w:p>
            <w:pPr>
              <w:adjustRightInd w:val="0"/>
              <w:snapToGrid w:val="0"/>
              <w:spacing w:line="400" w:lineRule="exact"/>
              <w:ind w:firstLine="7080" w:firstLineChars="2950"/>
              <w:jc w:val="left"/>
              <w:rPr>
                <w:sz w:val="24"/>
              </w:rPr>
            </w:pPr>
            <w:r>
              <w:rPr>
                <w:sz w:val="24"/>
              </w:rPr>
              <w:t>公   章</w:t>
            </w:r>
          </w:p>
          <w:p>
            <w:pPr>
              <w:adjustRightInd w:val="0"/>
              <w:snapToGrid w:val="0"/>
              <w:spacing w:line="400" w:lineRule="exact"/>
              <w:jc w:val="left"/>
              <w:rPr>
                <w:sz w:val="24"/>
              </w:rPr>
            </w:pPr>
          </w:p>
          <w:p>
            <w:pPr>
              <w:adjustRightInd w:val="0"/>
              <w:snapToGrid w:val="0"/>
              <w:spacing w:line="400" w:lineRule="exact"/>
              <w:jc w:val="left"/>
              <w:rPr>
                <w:sz w:val="24"/>
              </w:rPr>
            </w:pPr>
            <w:r>
              <w:rPr>
                <w:sz w:val="24"/>
              </w:rPr>
              <w:t xml:space="preserve"> 经办人：                                               年    月    日</w:t>
            </w:r>
          </w:p>
          <w:p>
            <w:pPr>
              <w:adjustRightInd w:val="0"/>
              <w:snapToGrid w:val="0"/>
              <w:spacing w:line="400" w:lineRule="exact"/>
              <w:jc w:val="left"/>
              <w:rPr>
                <w:sz w:val="24"/>
              </w:rPr>
            </w:pPr>
          </w:p>
          <w:p>
            <w:pPr>
              <w:adjustRightInd w:val="0"/>
              <w:snapToGrid w:val="0"/>
              <w:spacing w:line="400" w:lineRule="exact"/>
              <w:jc w:val="left"/>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282" w:type="dxa"/>
          </w:tcPr>
          <w:p>
            <w:pPr>
              <w:adjustRightInd w:val="0"/>
              <w:snapToGrid w:val="0"/>
              <w:spacing w:line="400" w:lineRule="exact"/>
              <w:rPr>
                <w:b/>
                <w:sz w:val="24"/>
              </w:rPr>
            </w:pPr>
          </w:p>
          <w:p>
            <w:pPr>
              <w:adjustRightInd w:val="0"/>
              <w:snapToGrid w:val="0"/>
              <w:spacing w:line="400" w:lineRule="exact"/>
              <w:jc w:val="center"/>
              <w:rPr>
                <w:b/>
                <w:sz w:val="24"/>
              </w:rPr>
            </w:pPr>
          </w:p>
          <w:p>
            <w:pPr>
              <w:adjustRightInd w:val="0"/>
              <w:snapToGrid w:val="0"/>
              <w:spacing w:line="400" w:lineRule="exact"/>
              <w:jc w:val="center"/>
              <w:rPr>
                <w:b/>
                <w:sz w:val="24"/>
              </w:rPr>
            </w:pPr>
          </w:p>
          <w:p>
            <w:pPr>
              <w:adjustRightInd w:val="0"/>
              <w:snapToGrid w:val="0"/>
              <w:spacing w:line="400" w:lineRule="exact"/>
              <w:jc w:val="center"/>
              <w:rPr>
                <w:b/>
                <w:bCs/>
                <w:sz w:val="30"/>
                <w:szCs w:val="30"/>
              </w:rPr>
            </w:pPr>
            <w:r>
              <w:rPr>
                <w:b/>
                <w:bCs/>
                <w:sz w:val="30"/>
                <w:szCs w:val="30"/>
              </w:rPr>
              <w:t>注       释</w:t>
            </w:r>
          </w:p>
          <w:p>
            <w:pPr>
              <w:adjustRightInd w:val="0"/>
              <w:snapToGrid w:val="0"/>
              <w:spacing w:line="400" w:lineRule="exact"/>
              <w:rPr>
                <w:sz w:val="24"/>
              </w:rPr>
            </w:pPr>
          </w:p>
          <w:p>
            <w:pPr>
              <w:adjustRightInd w:val="0"/>
              <w:snapToGrid w:val="0"/>
              <w:spacing w:line="400" w:lineRule="exact"/>
              <w:rPr>
                <w:sz w:val="24"/>
              </w:rPr>
            </w:pPr>
          </w:p>
          <w:p>
            <w:pPr>
              <w:numPr>
                <w:ilvl w:val="0"/>
                <w:numId w:val="5"/>
              </w:numPr>
              <w:adjustRightInd w:val="0"/>
              <w:snapToGrid w:val="0"/>
              <w:spacing w:line="440" w:lineRule="exact"/>
              <w:rPr>
                <w:sz w:val="24"/>
              </w:rPr>
            </w:pPr>
            <w:r>
              <w:rPr>
                <w:sz w:val="24"/>
              </w:rPr>
              <w:t>本报告表应附以下附件、附图：</w:t>
            </w:r>
          </w:p>
          <w:p>
            <w:pPr>
              <w:adjustRightInd w:val="0"/>
              <w:snapToGrid w:val="0"/>
              <w:spacing w:line="440" w:lineRule="exact"/>
              <w:ind w:firstLine="480" w:firstLineChars="200"/>
              <w:rPr>
                <w:rFonts w:eastAsiaTheme="minorEastAsia"/>
                <w:sz w:val="24"/>
              </w:rPr>
            </w:pPr>
            <w:r>
              <w:rPr>
                <w:rFonts w:eastAsiaTheme="minorEastAsia"/>
                <w:sz w:val="24"/>
              </w:rPr>
              <w:t>附件1  委托书</w:t>
            </w:r>
          </w:p>
          <w:p>
            <w:pPr>
              <w:adjustRightInd w:val="0"/>
              <w:snapToGrid w:val="0"/>
              <w:spacing w:line="440" w:lineRule="exact"/>
              <w:ind w:firstLine="480" w:firstLineChars="200"/>
              <w:rPr>
                <w:rFonts w:eastAsiaTheme="minorEastAsia"/>
                <w:sz w:val="24"/>
              </w:rPr>
            </w:pPr>
            <w:r>
              <w:rPr>
                <w:rFonts w:eastAsiaTheme="minorEastAsia"/>
                <w:sz w:val="24"/>
              </w:rPr>
              <w:t>附件2  河南省企业投资项目备案证明</w:t>
            </w:r>
          </w:p>
          <w:p>
            <w:pPr>
              <w:adjustRightInd w:val="0"/>
              <w:snapToGrid w:val="0"/>
              <w:spacing w:line="440" w:lineRule="exact"/>
              <w:ind w:firstLine="480" w:firstLineChars="200"/>
              <w:rPr>
                <w:rFonts w:eastAsiaTheme="minorEastAsia"/>
                <w:sz w:val="24"/>
              </w:rPr>
            </w:pPr>
            <w:r>
              <w:rPr>
                <w:rFonts w:eastAsiaTheme="minorEastAsia"/>
                <w:sz w:val="24"/>
              </w:rPr>
              <w:t>附件3  房屋租赁协议</w:t>
            </w:r>
          </w:p>
          <w:p>
            <w:pPr>
              <w:adjustRightInd w:val="0"/>
              <w:snapToGrid w:val="0"/>
              <w:spacing w:line="440" w:lineRule="exact"/>
              <w:ind w:firstLine="480" w:firstLineChars="200"/>
              <w:rPr>
                <w:rFonts w:eastAsiaTheme="minorEastAsia"/>
                <w:sz w:val="24"/>
              </w:rPr>
            </w:pPr>
            <w:r>
              <w:rPr>
                <w:rFonts w:eastAsiaTheme="minorEastAsia"/>
                <w:sz w:val="24"/>
              </w:rPr>
              <w:t>附件4  土地规划证明</w:t>
            </w:r>
          </w:p>
          <w:p>
            <w:pPr>
              <w:pStyle w:val="29"/>
              <w:spacing w:line="440" w:lineRule="exact"/>
              <w:ind w:left="0" w:leftChars="0" w:firstLine="480"/>
              <w:rPr>
                <w:rFonts w:eastAsiaTheme="minorEastAsia"/>
                <w:sz w:val="24"/>
              </w:rPr>
            </w:pPr>
            <w:r>
              <w:rPr>
                <w:rFonts w:hint="eastAsia" w:eastAsiaTheme="minorEastAsia"/>
                <w:sz w:val="24"/>
              </w:rPr>
              <w:t>附件5  大气环境自查表</w:t>
            </w:r>
          </w:p>
          <w:p>
            <w:pPr>
              <w:adjustRightInd w:val="0"/>
              <w:snapToGrid w:val="0"/>
              <w:spacing w:line="440" w:lineRule="exact"/>
              <w:ind w:firstLine="480" w:firstLineChars="200"/>
              <w:rPr>
                <w:rFonts w:hint="eastAsia" w:eastAsiaTheme="minorEastAsia"/>
                <w:sz w:val="24"/>
                <w:lang w:eastAsia="zh-CN"/>
              </w:rPr>
            </w:pPr>
            <w:r>
              <w:rPr>
                <w:rFonts w:eastAsiaTheme="minorEastAsia"/>
                <w:sz w:val="24"/>
              </w:rPr>
              <w:t xml:space="preserve">附图1  </w:t>
            </w:r>
            <w:r>
              <w:rPr>
                <w:rFonts w:hint="eastAsia" w:eastAsiaTheme="minorEastAsia"/>
                <w:sz w:val="24"/>
                <w:lang w:eastAsia="zh-CN"/>
              </w:rPr>
              <w:t>项目地理位置图</w:t>
            </w:r>
          </w:p>
          <w:p>
            <w:pPr>
              <w:adjustRightInd w:val="0"/>
              <w:snapToGrid w:val="0"/>
              <w:spacing w:line="440" w:lineRule="exact"/>
              <w:ind w:firstLine="480" w:firstLineChars="200"/>
              <w:rPr>
                <w:rFonts w:hint="eastAsia" w:eastAsiaTheme="minorEastAsia"/>
                <w:sz w:val="24"/>
                <w:lang w:eastAsia="zh-CN"/>
              </w:rPr>
            </w:pPr>
            <w:r>
              <w:rPr>
                <w:rFonts w:eastAsiaTheme="minorEastAsia"/>
                <w:sz w:val="24"/>
              </w:rPr>
              <w:t xml:space="preserve">附图2  </w:t>
            </w:r>
            <w:r>
              <w:rPr>
                <w:rFonts w:hint="eastAsia" w:eastAsiaTheme="minorEastAsia"/>
                <w:sz w:val="24"/>
                <w:lang w:eastAsia="zh-CN"/>
              </w:rPr>
              <w:t>合河乡土地利用规划图</w:t>
            </w:r>
          </w:p>
          <w:p>
            <w:pPr>
              <w:adjustRightInd w:val="0"/>
              <w:snapToGrid w:val="0"/>
              <w:spacing w:line="440" w:lineRule="exact"/>
              <w:ind w:firstLine="480" w:firstLineChars="200"/>
              <w:rPr>
                <w:rFonts w:eastAsiaTheme="minorEastAsia"/>
                <w:sz w:val="24"/>
              </w:rPr>
            </w:pPr>
            <w:r>
              <w:rPr>
                <w:rFonts w:hint="eastAsia" w:eastAsiaTheme="minorEastAsia"/>
                <w:sz w:val="24"/>
                <w:lang w:eastAsia="zh-CN"/>
              </w:rPr>
              <w:t>附图</w:t>
            </w:r>
            <w:r>
              <w:rPr>
                <w:rFonts w:hint="eastAsia" w:eastAsiaTheme="minorEastAsia"/>
                <w:sz w:val="24"/>
                <w:lang w:val="en-US" w:eastAsia="zh-CN"/>
              </w:rPr>
              <w:t>3  项目敏感点示意</w:t>
            </w:r>
            <w:r>
              <w:rPr>
                <w:rFonts w:eastAsiaTheme="minorEastAsia"/>
                <w:sz w:val="24"/>
              </w:rPr>
              <w:t>图</w:t>
            </w:r>
          </w:p>
          <w:p>
            <w:pPr>
              <w:adjustRightInd w:val="0"/>
              <w:snapToGrid w:val="0"/>
              <w:spacing w:line="440" w:lineRule="exact"/>
              <w:ind w:firstLine="480" w:firstLineChars="200"/>
              <w:rPr>
                <w:rFonts w:eastAsiaTheme="minorEastAsia"/>
                <w:sz w:val="24"/>
              </w:rPr>
            </w:pPr>
            <w:r>
              <w:rPr>
                <w:rFonts w:eastAsiaTheme="minorEastAsia"/>
                <w:sz w:val="24"/>
              </w:rPr>
              <w:t>附图</w:t>
            </w:r>
            <w:r>
              <w:rPr>
                <w:rFonts w:hint="eastAsia" w:eastAsiaTheme="minorEastAsia"/>
                <w:sz w:val="24"/>
                <w:lang w:val="en-US" w:eastAsia="zh-CN"/>
              </w:rPr>
              <w:t>4</w:t>
            </w:r>
            <w:r>
              <w:rPr>
                <w:rFonts w:eastAsiaTheme="minorEastAsia"/>
                <w:sz w:val="24"/>
              </w:rPr>
              <w:t xml:space="preserve">  项目</w:t>
            </w:r>
            <w:r>
              <w:rPr>
                <w:rFonts w:hint="eastAsia" w:eastAsiaTheme="minorEastAsia"/>
                <w:sz w:val="24"/>
                <w:lang w:eastAsia="zh-CN"/>
              </w:rPr>
              <w:t>平面布置</w:t>
            </w:r>
            <w:r>
              <w:rPr>
                <w:rFonts w:eastAsiaTheme="minorEastAsia"/>
                <w:sz w:val="24"/>
              </w:rPr>
              <w:t>图</w:t>
            </w:r>
          </w:p>
          <w:p>
            <w:pPr>
              <w:adjustRightInd w:val="0"/>
              <w:snapToGrid w:val="0"/>
              <w:spacing w:line="440" w:lineRule="exact"/>
              <w:ind w:firstLine="480" w:firstLineChars="200"/>
              <w:rPr>
                <w:rFonts w:hint="default" w:eastAsiaTheme="minorEastAsia"/>
                <w:sz w:val="24"/>
                <w:lang w:val="en-US" w:eastAsia="zh-CN"/>
              </w:rPr>
            </w:pPr>
            <w:r>
              <w:rPr>
                <w:rFonts w:hint="eastAsia" w:eastAsiaTheme="minorEastAsia"/>
                <w:sz w:val="24"/>
                <w:lang w:val="en-US" w:eastAsia="zh-CN"/>
              </w:rPr>
              <w:t>附图5  项目卫生防护距离图</w:t>
            </w:r>
          </w:p>
          <w:p>
            <w:pPr>
              <w:numPr>
                <w:ilvl w:val="0"/>
                <w:numId w:val="5"/>
              </w:numPr>
              <w:tabs>
                <w:tab w:val="left" w:pos="1260"/>
                <w:tab w:val="clear" w:pos="1125"/>
              </w:tabs>
              <w:adjustRightInd w:val="0"/>
              <w:snapToGrid w:val="0"/>
              <w:spacing w:line="440" w:lineRule="exact"/>
              <w:ind w:left="1260" w:hanging="690"/>
              <w:rPr>
                <w:sz w:val="24"/>
              </w:rPr>
            </w:pPr>
            <w:r>
              <w:rPr>
                <w:sz w:val="24"/>
              </w:rPr>
              <w:t>如果本报告表不能说明项目产生的污染及对环境造成的影响，应进行专项评价。根据建设项目的特点和当地环境特征，应选下列1</w:t>
            </w:r>
            <w:r>
              <w:rPr>
                <w:rFonts w:hint="eastAsia"/>
                <w:sz w:val="24"/>
              </w:rPr>
              <w:t>-</w:t>
            </w:r>
            <w:r>
              <w:rPr>
                <w:sz w:val="24"/>
              </w:rPr>
              <w:t>2项进行专项评价。</w:t>
            </w:r>
          </w:p>
          <w:p>
            <w:pPr>
              <w:adjustRightInd w:val="0"/>
              <w:snapToGrid w:val="0"/>
              <w:spacing w:line="440" w:lineRule="exact"/>
              <w:ind w:left="570"/>
              <w:rPr>
                <w:sz w:val="24"/>
              </w:rPr>
            </w:pPr>
            <w:r>
              <w:rPr>
                <w:rFonts w:hint="eastAsia"/>
                <w:sz w:val="24"/>
              </w:rPr>
              <w:t>1、</w:t>
            </w:r>
            <w:r>
              <w:rPr>
                <w:sz w:val="24"/>
              </w:rPr>
              <w:t>大气环境影响专项评价</w:t>
            </w:r>
          </w:p>
          <w:p>
            <w:pPr>
              <w:adjustRightInd w:val="0"/>
              <w:snapToGrid w:val="0"/>
              <w:spacing w:line="440" w:lineRule="exact"/>
              <w:ind w:left="570"/>
              <w:rPr>
                <w:sz w:val="24"/>
              </w:rPr>
            </w:pPr>
            <w:r>
              <w:rPr>
                <w:rFonts w:hint="eastAsia"/>
                <w:sz w:val="24"/>
              </w:rPr>
              <w:t>2、</w:t>
            </w:r>
            <w:r>
              <w:rPr>
                <w:sz w:val="24"/>
              </w:rPr>
              <w:t>水环境影响专项评价（包括地表水和地下水）</w:t>
            </w:r>
          </w:p>
          <w:p>
            <w:pPr>
              <w:adjustRightInd w:val="0"/>
              <w:snapToGrid w:val="0"/>
              <w:spacing w:line="440" w:lineRule="exact"/>
              <w:ind w:left="570"/>
              <w:rPr>
                <w:sz w:val="24"/>
              </w:rPr>
            </w:pPr>
            <w:r>
              <w:rPr>
                <w:rFonts w:hint="eastAsia"/>
                <w:sz w:val="24"/>
              </w:rPr>
              <w:t>3、</w:t>
            </w:r>
            <w:r>
              <w:rPr>
                <w:sz w:val="24"/>
              </w:rPr>
              <w:t>生态影响专项评价</w:t>
            </w:r>
          </w:p>
          <w:p>
            <w:pPr>
              <w:adjustRightInd w:val="0"/>
              <w:snapToGrid w:val="0"/>
              <w:spacing w:line="440" w:lineRule="exact"/>
              <w:ind w:left="570"/>
              <w:rPr>
                <w:sz w:val="24"/>
              </w:rPr>
            </w:pPr>
            <w:r>
              <w:rPr>
                <w:rFonts w:hint="eastAsia"/>
                <w:sz w:val="24"/>
              </w:rPr>
              <w:t>4、</w:t>
            </w:r>
            <w:r>
              <w:rPr>
                <w:sz w:val="24"/>
              </w:rPr>
              <w:t>声环境专项评价</w:t>
            </w:r>
          </w:p>
          <w:p>
            <w:pPr>
              <w:adjustRightInd w:val="0"/>
              <w:snapToGrid w:val="0"/>
              <w:spacing w:line="440" w:lineRule="exact"/>
              <w:ind w:left="570"/>
              <w:rPr>
                <w:sz w:val="24"/>
              </w:rPr>
            </w:pPr>
            <w:r>
              <w:rPr>
                <w:rFonts w:hint="eastAsia"/>
                <w:sz w:val="24"/>
              </w:rPr>
              <w:t>5、</w:t>
            </w:r>
            <w:r>
              <w:rPr>
                <w:sz w:val="24"/>
              </w:rPr>
              <w:t>固体废弃物影响专项评价</w:t>
            </w:r>
          </w:p>
          <w:p>
            <w:pPr>
              <w:adjustRightInd w:val="0"/>
              <w:snapToGrid w:val="0"/>
              <w:spacing w:line="440" w:lineRule="exact"/>
              <w:ind w:left="105" w:firstLine="480"/>
              <w:rPr>
                <w:sz w:val="24"/>
              </w:rPr>
            </w:pPr>
            <w:r>
              <w:rPr>
                <w:sz w:val="24"/>
              </w:rPr>
              <w:t>以上专项评价未包括的可另列专项，专项评价按照《环境影响评价技术导则》中的要求进行。</w:t>
            </w:r>
          </w:p>
          <w:p>
            <w:pPr>
              <w:adjustRightInd w:val="0"/>
              <w:snapToGrid w:val="0"/>
              <w:spacing w:line="440" w:lineRule="exact"/>
              <w:ind w:left="105" w:firstLine="480"/>
              <w:rPr>
                <w:sz w:val="24"/>
              </w:rPr>
            </w:pPr>
          </w:p>
          <w:p>
            <w:pPr>
              <w:adjustRightInd w:val="0"/>
              <w:snapToGrid w:val="0"/>
              <w:spacing w:line="400" w:lineRule="exact"/>
              <w:ind w:left="105" w:firstLine="480"/>
              <w:rPr>
                <w:sz w:val="24"/>
              </w:rPr>
            </w:pPr>
          </w:p>
          <w:p>
            <w:pPr>
              <w:adjustRightInd w:val="0"/>
              <w:snapToGrid w:val="0"/>
              <w:spacing w:line="400" w:lineRule="exact"/>
              <w:ind w:left="105" w:firstLine="480"/>
              <w:rPr>
                <w:sz w:val="24"/>
              </w:rPr>
            </w:pPr>
          </w:p>
          <w:p>
            <w:pPr>
              <w:adjustRightInd w:val="0"/>
              <w:snapToGrid w:val="0"/>
              <w:spacing w:line="400" w:lineRule="exact"/>
              <w:rPr>
                <w:sz w:val="24"/>
              </w:rPr>
            </w:pPr>
          </w:p>
          <w:p>
            <w:pPr>
              <w:adjustRightInd w:val="0"/>
              <w:snapToGrid w:val="0"/>
              <w:spacing w:line="400" w:lineRule="exact"/>
              <w:rPr>
                <w:sz w:val="24"/>
              </w:rPr>
            </w:pPr>
          </w:p>
          <w:p>
            <w:pPr>
              <w:adjustRightInd w:val="0"/>
              <w:snapToGrid w:val="0"/>
              <w:spacing w:line="400" w:lineRule="exact"/>
              <w:rPr>
                <w:sz w:val="24"/>
              </w:rPr>
            </w:pPr>
          </w:p>
        </w:tc>
      </w:tr>
    </w:tbl>
    <w:p>
      <w:pPr>
        <w:adjustRightInd w:val="0"/>
        <w:snapToGrid w:val="0"/>
        <w:spacing w:line="400" w:lineRule="exact"/>
      </w:pPr>
    </w:p>
    <w:p>
      <w:pPr>
        <w:pStyle w:val="29"/>
      </w:pPr>
    </w:p>
    <w:p>
      <w:pPr>
        <w:pStyle w:val="29"/>
        <w:ind w:left="0" w:leftChars="0" w:firstLine="0" w:firstLineChars="0"/>
      </w:pPr>
      <w:r>
        <w:rPr>
          <w:rFonts w:hint="eastAsia" w:eastAsia="宋体"/>
          <w:lang w:eastAsia="zh-CN"/>
        </w:rPr>
        <w:drawing>
          <wp:inline distT="0" distB="0" distL="114300" distR="114300">
            <wp:extent cx="6475095" cy="10419080"/>
            <wp:effectExtent l="0" t="0" r="1905" b="1270"/>
            <wp:docPr id="12" name="图片 3" descr="紫晨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紫晨委托书"/>
                    <pic:cNvPicPr>
                      <a:picLocks noChangeAspect="1"/>
                    </pic:cNvPicPr>
                  </pic:nvPicPr>
                  <pic:blipFill>
                    <a:blip r:embed="rId23"/>
                    <a:stretch>
                      <a:fillRect/>
                    </a:stretch>
                  </pic:blipFill>
                  <pic:spPr>
                    <a:xfrm>
                      <a:off x="0" y="0"/>
                      <a:ext cx="6475095" cy="10419080"/>
                    </a:xfrm>
                    <a:prstGeom prst="rect">
                      <a:avLst/>
                    </a:prstGeom>
                    <a:noFill/>
                    <a:ln>
                      <a:noFill/>
                    </a:ln>
                  </pic:spPr>
                </pic:pic>
              </a:graphicData>
            </a:graphic>
          </wp:inline>
        </w:drawing>
      </w:r>
    </w:p>
    <w:p>
      <w:pPr>
        <w:pStyle w:val="29"/>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78720" behindDoc="0" locked="0" layoutInCell="1" allowOverlap="1">
            <wp:simplePos x="0" y="0"/>
            <wp:positionH relativeFrom="column">
              <wp:posOffset>-574040</wp:posOffset>
            </wp:positionH>
            <wp:positionV relativeFrom="paragraph">
              <wp:posOffset>-393065</wp:posOffset>
            </wp:positionV>
            <wp:extent cx="7153275" cy="9602470"/>
            <wp:effectExtent l="0" t="0" r="9525" b="17780"/>
            <wp:wrapNone/>
            <wp:docPr id="13" name="图片 41" descr="紫晨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descr="紫晨备案"/>
                    <pic:cNvPicPr>
                      <a:picLocks noChangeAspect="1"/>
                    </pic:cNvPicPr>
                  </pic:nvPicPr>
                  <pic:blipFill>
                    <a:blip r:embed="rId24"/>
                    <a:stretch>
                      <a:fillRect/>
                    </a:stretch>
                  </pic:blipFill>
                  <pic:spPr>
                    <a:xfrm>
                      <a:off x="0" y="0"/>
                      <a:ext cx="7153275" cy="9602470"/>
                    </a:xfrm>
                    <a:prstGeom prst="rect">
                      <a:avLst/>
                    </a:prstGeom>
                    <a:noFill/>
                    <a:ln>
                      <a:noFill/>
                    </a:ln>
                  </pic:spPr>
                </pic:pic>
              </a:graphicData>
            </a:graphic>
          </wp:anchor>
        </w:drawing>
      </w: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rPr>
          <w:rFonts w:hint="eastAsia" w:eastAsia="宋体"/>
          <w:lang w:eastAsia="zh-CN"/>
        </w:rPr>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p>
    <w:p>
      <w:pPr>
        <w:pStyle w:val="29"/>
        <w:ind w:left="0" w:leftChars="0" w:firstLine="0" w:firstLineChars="0"/>
      </w:pPr>
      <w:r>
        <w:rPr>
          <w:rFonts w:hint="eastAsia" w:eastAsia="宋体"/>
          <w:lang w:eastAsia="zh-CN"/>
        </w:rPr>
        <w:drawing>
          <wp:anchor distT="0" distB="0" distL="114300" distR="114300" simplePos="0" relativeHeight="251680768" behindDoc="1" locked="0" layoutInCell="1" allowOverlap="1">
            <wp:simplePos x="0" y="0"/>
            <wp:positionH relativeFrom="column">
              <wp:posOffset>-899160</wp:posOffset>
            </wp:positionH>
            <wp:positionV relativeFrom="paragraph">
              <wp:posOffset>-683260</wp:posOffset>
            </wp:positionV>
            <wp:extent cx="7504430" cy="10655300"/>
            <wp:effectExtent l="0" t="0" r="1270" b="12700"/>
            <wp:wrapThrough wrapText="bothSides">
              <wp:wrapPolygon>
                <wp:start x="0" y="0"/>
                <wp:lineTo x="0" y="21549"/>
                <wp:lineTo x="21549" y="21549"/>
                <wp:lineTo x="21549" y="0"/>
                <wp:lineTo x="0" y="0"/>
              </wp:wrapPolygon>
            </wp:wrapThrough>
            <wp:docPr id="14" name="图片 42" descr="紫晨土地承包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descr="紫晨土地承包合同"/>
                    <pic:cNvPicPr>
                      <a:picLocks noChangeAspect="1"/>
                    </pic:cNvPicPr>
                  </pic:nvPicPr>
                  <pic:blipFill>
                    <a:blip r:embed="rId25"/>
                    <a:stretch>
                      <a:fillRect/>
                    </a:stretch>
                  </pic:blipFill>
                  <pic:spPr>
                    <a:xfrm>
                      <a:off x="0" y="0"/>
                      <a:ext cx="7504430" cy="10655300"/>
                    </a:xfrm>
                    <a:prstGeom prst="rect">
                      <a:avLst/>
                    </a:prstGeom>
                    <a:noFill/>
                    <a:ln>
                      <a:noFill/>
                    </a:ln>
                  </pic:spPr>
                </pic:pic>
              </a:graphicData>
            </a:graphic>
          </wp:anchor>
        </w:drawing>
      </w:r>
    </w:p>
    <w:p>
      <w:pPr>
        <w:jc w:val="both"/>
        <w:rPr>
          <w:rFonts w:hint="eastAsia" w:eastAsia="宋体"/>
          <w:b/>
          <w:bCs/>
          <w:sz w:val="24"/>
          <w:lang w:eastAsia="zh-CN"/>
        </w:rPr>
      </w:pPr>
      <w:r>
        <w:rPr>
          <w:rFonts w:hint="eastAsia" w:eastAsia="宋体"/>
          <w:b/>
          <w:bCs/>
          <w:sz w:val="24"/>
          <w:lang w:eastAsia="zh-CN"/>
        </w:rPr>
        <w:drawing>
          <wp:inline distT="0" distB="0" distL="114300" distR="114300">
            <wp:extent cx="5897245" cy="9194165"/>
            <wp:effectExtent l="0" t="0" r="8255" b="6985"/>
            <wp:docPr id="15" name="图片 15" descr="1606205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06205465(1)"/>
                    <pic:cNvPicPr>
                      <a:picLocks noChangeAspect="1"/>
                    </pic:cNvPicPr>
                  </pic:nvPicPr>
                  <pic:blipFill>
                    <a:blip r:embed="rId26"/>
                    <a:stretch>
                      <a:fillRect/>
                    </a:stretch>
                  </pic:blipFill>
                  <pic:spPr>
                    <a:xfrm>
                      <a:off x="0" y="0"/>
                      <a:ext cx="5897245" cy="9194165"/>
                    </a:xfrm>
                    <a:prstGeom prst="rect">
                      <a:avLst/>
                    </a:prstGeom>
                  </pic:spPr>
                </pic:pic>
              </a:graphicData>
            </a:graphic>
          </wp:inline>
        </w:drawing>
      </w:r>
    </w:p>
    <w:p>
      <w:pPr>
        <w:rPr>
          <w:rFonts w:hint="eastAsia"/>
          <w:lang w:eastAsia="zh-CN"/>
        </w:rPr>
      </w:pPr>
      <w:r>
        <w:drawing>
          <wp:inline distT="0" distB="0" distL="114300" distR="114300">
            <wp:extent cx="5989955" cy="8946515"/>
            <wp:effectExtent l="0" t="0" r="10795" b="698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7"/>
                    <a:stretch>
                      <a:fillRect/>
                    </a:stretch>
                  </pic:blipFill>
                  <pic:spPr>
                    <a:xfrm>
                      <a:off x="0" y="0"/>
                      <a:ext cx="5989955" cy="8946515"/>
                    </a:xfrm>
                    <a:prstGeom prst="rect">
                      <a:avLst/>
                    </a:prstGeom>
                    <a:noFill/>
                    <a:ln>
                      <a:noFill/>
                    </a:ln>
                  </pic:spPr>
                </pic:pic>
              </a:graphicData>
            </a:graphic>
          </wp:inline>
        </w:drawing>
      </w:r>
    </w:p>
    <w:p>
      <w:pPr>
        <w:pStyle w:val="2"/>
        <w:jc w:val="both"/>
        <w:sectPr>
          <w:pgSz w:w="11907" w:h="16840"/>
          <w:pgMar w:top="1134" w:right="1417" w:bottom="1134" w:left="1417" w:header="851" w:footer="992" w:gutter="0"/>
          <w:pgNumType w:start="1"/>
          <w:cols w:space="0" w:num="1"/>
          <w:rtlGutter w:val="0"/>
          <w:docGrid w:type="lines" w:linePitch="312" w:charSpace="0"/>
        </w:sectPr>
      </w:pPr>
      <w:r>
        <w:drawing>
          <wp:inline distT="0" distB="0" distL="114300" distR="114300">
            <wp:extent cx="6215380" cy="8686165"/>
            <wp:effectExtent l="0" t="0" r="13970" b="63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8"/>
                    <a:stretch>
                      <a:fillRect/>
                    </a:stretch>
                  </pic:blipFill>
                  <pic:spPr>
                    <a:xfrm>
                      <a:off x="0" y="0"/>
                      <a:ext cx="6215380" cy="8686165"/>
                    </a:xfrm>
                    <a:prstGeom prst="rect">
                      <a:avLst/>
                    </a:prstGeom>
                    <a:noFill/>
                    <a:ln>
                      <a:noFill/>
                    </a:ln>
                  </pic:spPr>
                </pic:pic>
              </a:graphicData>
            </a:graphic>
          </wp:inline>
        </w:drawing>
      </w:r>
    </w:p>
    <w:p>
      <w:pPr>
        <w:pStyle w:val="29"/>
        <w:ind w:left="0" w:leftChars="0" w:firstLine="0" w:firstLineChars="0"/>
        <w:jc w:val="center"/>
      </w:pPr>
      <w:r>
        <w:drawing>
          <wp:inline distT="0" distB="0" distL="114300" distR="114300">
            <wp:extent cx="8870315" cy="5605780"/>
            <wp:effectExtent l="0" t="0" r="6985" b="139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9"/>
                    <a:stretch>
                      <a:fillRect/>
                    </a:stretch>
                  </pic:blipFill>
                  <pic:spPr>
                    <a:xfrm>
                      <a:off x="0" y="0"/>
                      <a:ext cx="8870315" cy="5605780"/>
                    </a:xfrm>
                    <a:prstGeom prst="rect">
                      <a:avLst/>
                    </a:prstGeom>
                    <a:noFill/>
                    <a:ln>
                      <a:noFill/>
                    </a:ln>
                  </pic:spPr>
                </pic:pic>
              </a:graphicData>
            </a:graphic>
          </wp:inline>
        </w:drawing>
      </w:r>
    </w:p>
    <w:p>
      <w:pPr>
        <w:pStyle w:val="29"/>
        <w:ind w:left="0" w:leftChars="0" w:firstLine="0" w:firstLineChars="0"/>
      </w:pPr>
      <w:r>
        <w:drawing>
          <wp:inline distT="0" distB="0" distL="114300" distR="114300">
            <wp:extent cx="9253855" cy="5697220"/>
            <wp:effectExtent l="0" t="0" r="4445" b="1778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0"/>
                    <a:stretch>
                      <a:fillRect/>
                    </a:stretch>
                  </pic:blipFill>
                  <pic:spPr>
                    <a:xfrm>
                      <a:off x="0" y="0"/>
                      <a:ext cx="9253855" cy="5697220"/>
                    </a:xfrm>
                    <a:prstGeom prst="rect">
                      <a:avLst/>
                    </a:prstGeom>
                    <a:noFill/>
                    <a:ln>
                      <a:noFill/>
                    </a:ln>
                  </pic:spPr>
                </pic:pic>
              </a:graphicData>
            </a:graphic>
          </wp:inline>
        </w:drawing>
      </w:r>
    </w:p>
    <w:p>
      <w:pPr>
        <w:pStyle w:val="29"/>
        <w:ind w:left="0" w:leftChars="0" w:firstLine="0" w:firstLineChars="0"/>
        <w:jc w:val="center"/>
      </w:pPr>
      <w:r>
        <w:drawing>
          <wp:inline distT="0" distB="0" distL="114300" distR="114300">
            <wp:extent cx="7547610" cy="6127115"/>
            <wp:effectExtent l="0" t="0" r="15240" b="698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1"/>
                    <a:stretch>
                      <a:fillRect/>
                    </a:stretch>
                  </pic:blipFill>
                  <pic:spPr>
                    <a:xfrm>
                      <a:off x="0" y="0"/>
                      <a:ext cx="7547610" cy="6127115"/>
                    </a:xfrm>
                    <a:prstGeom prst="rect">
                      <a:avLst/>
                    </a:prstGeom>
                    <a:noFill/>
                    <a:ln>
                      <a:noFill/>
                    </a:ln>
                  </pic:spPr>
                </pic:pic>
              </a:graphicData>
            </a:graphic>
          </wp:inline>
        </w:drawing>
      </w:r>
    </w:p>
    <w:p>
      <w:pPr>
        <w:pStyle w:val="29"/>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8145780" cy="5758815"/>
            <wp:effectExtent l="0" t="0" r="7620" b="13335"/>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
                    <pic:cNvPicPr>
                      <a:picLocks noChangeAspect="1"/>
                    </pic:cNvPicPr>
                  </pic:nvPicPr>
                  <pic:blipFill>
                    <a:blip r:embed="rId32"/>
                    <a:stretch>
                      <a:fillRect/>
                    </a:stretch>
                  </pic:blipFill>
                  <pic:spPr>
                    <a:xfrm>
                      <a:off x="0" y="0"/>
                      <a:ext cx="8145780" cy="5758815"/>
                    </a:xfrm>
                    <a:prstGeom prst="rect">
                      <a:avLst/>
                    </a:prstGeom>
                  </pic:spPr>
                </pic:pic>
              </a:graphicData>
            </a:graphic>
          </wp:inline>
        </w:drawing>
      </w:r>
      <w:bookmarkStart w:id="7" w:name="_GoBack"/>
      <w:bookmarkEnd w:id="7"/>
    </w:p>
    <w:sectPr>
      <w:pgSz w:w="16840" w:h="11907" w:orient="landscape"/>
      <w:pgMar w:top="1417" w:right="1134" w:bottom="1417" w:left="1134"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4"/>
      </w:rPr>
    </w:pPr>
    <w:r>
      <w:rPr>
        <w:rStyle w:val="34"/>
      </w:rPr>
      <w:fldChar w:fldCharType="begin"/>
    </w:r>
    <w:r>
      <w:rPr>
        <w:rStyle w:val="34"/>
      </w:rPr>
      <w:instrText xml:space="preserve">PAGE  </w:instrText>
    </w:r>
    <w:r>
      <w:rPr>
        <w:rStyle w:val="34"/>
      </w:rPr>
      <w:fldChar w:fldCharType="separate"/>
    </w:r>
    <w:r>
      <w:rPr>
        <w:rStyle w:val="34"/>
      </w:rPr>
      <w:t>24</w:t>
    </w:r>
    <w:r>
      <w:rPr>
        <w:rStyle w:val="34"/>
      </w:rPr>
      <w:fldChar w:fldCharType="end"/>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4"/>
      </w:rPr>
    </w:pPr>
    <w:r>
      <w:rPr>
        <w:rStyle w:val="34"/>
      </w:rPr>
      <w:fldChar w:fldCharType="begin"/>
    </w:r>
    <w:r>
      <w:rPr>
        <w:rStyle w:val="34"/>
      </w:rPr>
      <w:instrText xml:space="preserve">PAGE  </w:instrText>
    </w:r>
    <w:r>
      <w:rPr>
        <w:rStyle w:val="34"/>
      </w:rPr>
      <w:fldChar w:fldCharType="end"/>
    </w:r>
  </w:p>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21CD47"/>
    <w:multiLevelType w:val="singleLevel"/>
    <w:tmpl w:val="9F21CD47"/>
    <w:lvl w:ilvl="0" w:tentative="0">
      <w:start w:val="1"/>
      <w:numFmt w:val="chineseCounting"/>
      <w:suff w:val="nothing"/>
      <w:lvlText w:val="%1、"/>
      <w:lvlJc w:val="left"/>
      <w:rPr>
        <w:rFonts w:hint="eastAsia"/>
      </w:rPr>
    </w:lvl>
  </w:abstractNum>
  <w:abstractNum w:abstractNumId="1">
    <w:nsid w:val="07976F5F"/>
    <w:multiLevelType w:val="singleLevel"/>
    <w:tmpl w:val="07976F5F"/>
    <w:lvl w:ilvl="0" w:tentative="0">
      <w:start w:val="1"/>
      <w:numFmt w:val="japaneseCounting"/>
      <w:lvlText w:val="%1、"/>
      <w:lvlJc w:val="left"/>
      <w:pPr>
        <w:tabs>
          <w:tab w:val="left" w:pos="1125"/>
        </w:tabs>
        <w:ind w:left="1125" w:hanging="555"/>
      </w:pPr>
      <w:rPr>
        <w:rFonts w:hint="eastAsia"/>
      </w:rPr>
    </w:lvl>
  </w:abstractNum>
  <w:abstractNum w:abstractNumId="2">
    <w:nsid w:val="14E00B90"/>
    <w:multiLevelType w:val="multilevel"/>
    <w:tmpl w:val="14E00B90"/>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30C94A6D"/>
    <w:multiLevelType w:val="multilevel"/>
    <w:tmpl w:val="30C94A6D"/>
    <w:lvl w:ilvl="0" w:tentative="0">
      <w:start w:val="2"/>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9D94C81"/>
    <w:multiLevelType w:val="multilevel"/>
    <w:tmpl w:val="49D94C81"/>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hideSpellingErrors/>
  <w:documentProtection w:enforcement="0"/>
  <w:defaultTabStop w:val="420"/>
  <w:drawingGridVerticalSpacing w:val="156"/>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14AF3"/>
    <w:rsid w:val="000001BD"/>
    <w:rsid w:val="00000A0E"/>
    <w:rsid w:val="00001816"/>
    <w:rsid w:val="000025DF"/>
    <w:rsid w:val="00002938"/>
    <w:rsid w:val="000036F7"/>
    <w:rsid w:val="00004A0A"/>
    <w:rsid w:val="00004E7B"/>
    <w:rsid w:val="00005B7C"/>
    <w:rsid w:val="00006473"/>
    <w:rsid w:val="000064A6"/>
    <w:rsid w:val="0000682F"/>
    <w:rsid w:val="00006CB6"/>
    <w:rsid w:val="00006E86"/>
    <w:rsid w:val="000073B3"/>
    <w:rsid w:val="00007563"/>
    <w:rsid w:val="00007B88"/>
    <w:rsid w:val="00007F2C"/>
    <w:rsid w:val="0001082C"/>
    <w:rsid w:val="00010BD3"/>
    <w:rsid w:val="00011256"/>
    <w:rsid w:val="0001164A"/>
    <w:rsid w:val="000116C9"/>
    <w:rsid w:val="00011A59"/>
    <w:rsid w:val="00011E91"/>
    <w:rsid w:val="000122C6"/>
    <w:rsid w:val="000126DD"/>
    <w:rsid w:val="00012785"/>
    <w:rsid w:val="000127F7"/>
    <w:rsid w:val="00012861"/>
    <w:rsid w:val="00012C03"/>
    <w:rsid w:val="000134A3"/>
    <w:rsid w:val="00013B63"/>
    <w:rsid w:val="00013F50"/>
    <w:rsid w:val="00013F54"/>
    <w:rsid w:val="0001430F"/>
    <w:rsid w:val="0001457C"/>
    <w:rsid w:val="00015A02"/>
    <w:rsid w:val="000167AA"/>
    <w:rsid w:val="00016C82"/>
    <w:rsid w:val="00017841"/>
    <w:rsid w:val="000178D5"/>
    <w:rsid w:val="000178EB"/>
    <w:rsid w:val="00017B01"/>
    <w:rsid w:val="00017BCC"/>
    <w:rsid w:val="00017D7D"/>
    <w:rsid w:val="00017F21"/>
    <w:rsid w:val="000209F2"/>
    <w:rsid w:val="00021373"/>
    <w:rsid w:val="000214B5"/>
    <w:rsid w:val="00021A17"/>
    <w:rsid w:val="00021CB5"/>
    <w:rsid w:val="0002269E"/>
    <w:rsid w:val="00022F77"/>
    <w:rsid w:val="000236B5"/>
    <w:rsid w:val="00023E9E"/>
    <w:rsid w:val="00024192"/>
    <w:rsid w:val="000247BB"/>
    <w:rsid w:val="00024844"/>
    <w:rsid w:val="00024EE0"/>
    <w:rsid w:val="00025044"/>
    <w:rsid w:val="0002560A"/>
    <w:rsid w:val="00025805"/>
    <w:rsid w:val="000266CC"/>
    <w:rsid w:val="00026883"/>
    <w:rsid w:val="00027015"/>
    <w:rsid w:val="00027911"/>
    <w:rsid w:val="00027B42"/>
    <w:rsid w:val="00030133"/>
    <w:rsid w:val="00031C33"/>
    <w:rsid w:val="00031D43"/>
    <w:rsid w:val="00031FD7"/>
    <w:rsid w:val="000321E0"/>
    <w:rsid w:val="000322F8"/>
    <w:rsid w:val="000323F3"/>
    <w:rsid w:val="0003270C"/>
    <w:rsid w:val="00032C7F"/>
    <w:rsid w:val="00032F4A"/>
    <w:rsid w:val="00033973"/>
    <w:rsid w:val="00033DD9"/>
    <w:rsid w:val="000342A9"/>
    <w:rsid w:val="00034568"/>
    <w:rsid w:val="00034943"/>
    <w:rsid w:val="00034DD5"/>
    <w:rsid w:val="00035088"/>
    <w:rsid w:val="000357A9"/>
    <w:rsid w:val="00036040"/>
    <w:rsid w:val="00037080"/>
    <w:rsid w:val="000378E9"/>
    <w:rsid w:val="00037B42"/>
    <w:rsid w:val="00037C50"/>
    <w:rsid w:val="00037D3A"/>
    <w:rsid w:val="0004129A"/>
    <w:rsid w:val="0004186C"/>
    <w:rsid w:val="00041CAC"/>
    <w:rsid w:val="00041EBE"/>
    <w:rsid w:val="000426BF"/>
    <w:rsid w:val="000429EE"/>
    <w:rsid w:val="00042AE3"/>
    <w:rsid w:val="00042BAB"/>
    <w:rsid w:val="00043207"/>
    <w:rsid w:val="000433C8"/>
    <w:rsid w:val="00043558"/>
    <w:rsid w:val="0004379F"/>
    <w:rsid w:val="000443BB"/>
    <w:rsid w:val="000446C7"/>
    <w:rsid w:val="00044AF7"/>
    <w:rsid w:val="00044C9F"/>
    <w:rsid w:val="00045275"/>
    <w:rsid w:val="000469D3"/>
    <w:rsid w:val="00047982"/>
    <w:rsid w:val="00047CE8"/>
    <w:rsid w:val="000508A0"/>
    <w:rsid w:val="00050992"/>
    <w:rsid w:val="00050ABD"/>
    <w:rsid w:val="0005179D"/>
    <w:rsid w:val="00051EE7"/>
    <w:rsid w:val="000528B6"/>
    <w:rsid w:val="00052BC1"/>
    <w:rsid w:val="00052CAE"/>
    <w:rsid w:val="000532FD"/>
    <w:rsid w:val="0005436B"/>
    <w:rsid w:val="000552B5"/>
    <w:rsid w:val="000556B8"/>
    <w:rsid w:val="0005629C"/>
    <w:rsid w:val="000568F0"/>
    <w:rsid w:val="00056A5D"/>
    <w:rsid w:val="00056F44"/>
    <w:rsid w:val="00057514"/>
    <w:rsid w:val="00057B68"/>
    <w:rsid w:val="00060169"/>
    <w:rsid w:val="00060352"/>
    <w:rsid w:val="0006066E"/>
    <w:rsid w:val="000607E4"/>
    <w:rsid w:val="00060D43"/>
    <w:rsid w:val="000612C6"/>
    <w:rsid w:val="00061395"/>
    <w:rsid w:val="00061DB1"/>
    <w:rsid w:val="00061EE3"/>
    <w:rsid w:val="0006224F"/>
    <w:rsid w:val="00062A15"/>
    <w:rsid w:val="00062CA5"/>
    <w:rsid w:val="00062F78"/>
    <w:rsid w:val="00063906"/>
    <w:rsid w:val="000639CF"/>
    <w:rsid w:val="00063B4E"/>
    <w:rsid w:val="00064066"/>
    <w:rsid w:val="000643CC"/>
    <w:rsid w:val="00064DA5"/>
    <w:rsid w:val="0006571B"/>
    <w:rsid w:val="00065CFF"/>
    <w:rsid w:val="0006655D"/>
    <w:rsid w:val="000668A3"/>
    <w:rsid w:val="000672C7"/>
    <w:rsid w:val="000706D5"/>
    <w:rsid w:val="00070751"/>
    <w:rsid w:val="0007097D"/>
    <w:rsid w:val="00072055"/>
    <w:rsid w:val="00072DD7"/>
    <w:rsid w:val="00072E20"/>
    <w:rsid w:val="00072FDF"/>
    <w:rsid w:val="00073039"/>
    <w:rsid w:val="00073A3A"/>
    <w:rsid w:val="00073B14"/>
    <w:rsid w:val="000742D8"/>
    <w:rsid w:val="00074BC7"/>
    <w:rsid w:val="000755BF"/>
    <w:rsid w:val="00075DB0"/>
    <w:rsid w:val="00076275"/>
    <w:rsid w:val="00077220"/>
    <w:rsid w:val="00077484"/>
    <w:rsid w:val="00077574"/>
    <w:rsid w:val="00077761"/>
    <w:rsid w:val="00077E2D"/>
    <w:rsid w:val="000802F8"/>
    <w:rsid w:val="000807D6"/>
    <w:rsid w:val="00080CED"/>
    <w:rsid w:val="000815DF"/>
    <w:rsid w:val="00081AD3"/>
    <w:rsid w:val="00081F98"/>
    <w:rsid w:val="000823AE"/>
    <w:rsid w:val="000828F1"/>
    <w:rsid w:val="00084228"/>
    <w:rsid w:val="00084847"/>
    <w:rsid w:val="00084BA0"/>
    <w:rsid w:val="00084CA5"/>
    <w:rsid w:val="0008531F"/>
    <w:rsid w:val="0008607F"/>
    <w:rsid w:val="000861D8"/>
    <w:rsid w:val="000865FF"/>
    <w:rsid w:val="00087E75"/>
    <w:rsid w:val="000905AC"/>
    <w:rsid w:val="00090C76"/>
    <w:rsid w:val="00090E0C"/>
    <w:rsid w:val="00090EB2"/>
    <w:rsid w:val="0009160A"/>
    <w:rsid w:val="00091CAC"/>
    <w:rsid w:val="00092D4D"/>
    <w:rsid w:val="00092F10"/>
    <w:rsid w:val="000939A5"/>
    <w:rsid w:val="00093D5A"/>
    <w:rsid w:val="00094233"/>
    <w:rsid w:val="000942B0"/>
    <w:rsid w:val="000944D6"/>
    <w:rsid w:val="00094C98"/>
    <w:rsid w:val="00094CFE"/>
    <w:rsid w:val="00094FEA"/>
    <w:rsid w:val="0009504E"/>
    <w:rsid w:val="00095400"/>
    <w:rsid w:val="00096CE7"/>
    <w:rsid w:val="0009787E"/>
    <w:rsid w:val="00097C15"/>
    <w:rsid w:val="000A006D"/>
    <w:rsid w:val="000A14C7"/>
    <w:rsid w:val="000A1EDF"/>
    <w:rsid w:val="000A24FC"/>
    <w:rsid w:val="000A2D08"/>
    <w:rsid w:val="000A3017"/>
    <w:rsid w:val="000A31C5"/>
    <w:rsid w:val="000A342B"/>
    <w:rsid w:val="000A36B9"/>
    <w:rsid w:val="000A39F2"/>
    <w:rsid w:val="000A3C78"/>
    <w:rsid w:val="000A4215"/>
    <w:rsid w:val="000A63CD"/>
    <w:rsid w:val="000B079D"/>
    <w:rsid w:val="000B0804"/>
    <w:rsid w:val="000B0DCB"/>
    <w:rsid w:val="000B0F27"/>
    <w:rsid w:val="000B12B2"/>
    <w:rsid w:val="000B15F6"/>
    <w:rsid w:val="000B1916"/>
    <w:rsid w:val="000B1B31"/>
    <w:rsid w:val="000B21DB"/>
    <w:rsid w:val="000B23FC"/>
    <w:rsid w:val="000B242B"/>
    <w:rsid w:val="000B2B53"/>
    <w:rsid w:val="000B37CB"/>
    <w:rsid w:val="000B3928"/>
    <w:rsid w:val="000B451A"/>
    <w:rsid w:val="000B4526"/>
    <w:rsid w:val="000B4C00"/>
    <w:rsid w:val="000B5584"/>
    <w:rsid w:val="000B5F05"/>
    <w:rsid w:val="000B69BB"/>
    <w:rsid w:val="000B6E45"/>
    <w:rsid w:val="000B70AE"/>
    <w:rsid w:val="000B7250"/>
    <w:rsid w:val="000B7BED"/>
    <w:rsid w:val="000C0057"/>
    <w:rsid w:val="000C0B38"/>
    <w:rsid w:val="000C0BB7"/>
    <w:rsid w:val="000C0E64"/>
    <w:rsid w:val="000C195C"/>
    <w:rsid w:val="000C1A2F"/>
    <w:rsid w:val="000C2098"/>
    <w:rsid w:val="000C2442"/>
    <w:rsid w:val="000C2575"/>
    <w:rsid w:val="000C2DC6"/>
    <w:rsid w:val="000C2FCD"/>
    <w:rsid w:val="000C332E"/>
    <w:rsid w:val="000C408F"/>
    <w:rsid w:val="000C464C"/>
    <w:rsid w:val="000C4D3B"/>
    <w:rsid w:val="000C50D5"/>
    <w:rsid w:val="000C5BCB"/>
    <w:rsid w:val="000C5FAB"/>
    <w:rsid w:val="000C61C9"/>
    <w:rsid w:val="000C65E4"/>
    <w:rsid w:val="000C6A26"/>
    <w:rsid w:val="000C6BCB"/>
    <w:rsid w:val="000C6DD8"/>
    <w:rsid w:val="000C71AD"/>
    <w:rsid w:val="000C7BA8"/>
    <w:rsid w:val="000D0A10"/>
    <w:rsid w:val="000D0A63"/>
    <w:rsid w:val="000D122A"/>
    <w:rsid w:val="000D1D56"/>
    <w:rsid w:val="000D26E8"/>
    <w:rsid w:val="000D27F5"/>
    <w:rsid w:val="000D2A48"/>
    <w:rsid w:val="000D4201"/>
    <w:rsid w:val="000D4D3C"/>
    <w:rsid w:val="000D4EC7"/>
    <w:rsid w:val="000D4F4D"/>
    <w:rsid w:val="000D5E92"/>
    <w:rsid w:val="000D606A"/>
    <w:rsid w:val="000D649A"/>
    <w:rsid w:val="000D6587"/>
    <w:rsid w:val="000D678C"/>
    <w:rsid w:val="000D6D76"/>
    <w:rsid w:val="000D6EC3"/>
    <w:rsid w:val="000D7476"/>
    <w:rsid w:val="000E030B"/>
    <w:rsid w:val="000E07BF"/>
    <w:rsid w:val="000E08F7"/>
    <w:rsid w:val="000E0AE6"/>
    <w:rsid w:val="000E105C"/>
    <w:rsid w:val="000E165A"/>
    <w:rsid w:val="000E26E1"/>
    <w:rsid w:val="000E28E9"/>
    <w:rsid w:val="000E2E45"/>
    <w:rsid w:val="000E3009"/>
    <w:rsid w:val="000E3818"/>
    <w:rsid w:val="000E391E"/>
    <w:rsid w:val="000E3F96"/>
    <w:rsid w:val="000E42C1"/>
    <w:rsid w:val="000E62F0"/>
    <w:rsid w:val="000E689A"/>
    <w:rsid w:val="000E6983"/>
    <w:rsid w:val="000E72A0"/>
    <w:rsid w:val="000E7D4C"/>
    <w:rsid w:val="000E7DC4"/>
    <w:rsid w:val="000F0093"/>
    <w:rsid w:val="000F0282"/>
    <w:rsid w:val="000F02DE"/>
    <w:rsid w:val="000F137B"/>
    <w:rsid w:val="000F137D"/>
    <w:rsid w:val="000F1965"/>
    <w:rsid w:val="000F1A32"/>
    <w:rsid w:val="000F2ED1"/>
    <w:rsid w:val="000F2F8C"/>
    <w:rsid w:val="000F3BAF"/>
    <w:rsid w:val="000F3D61"/>
    <w:rsid w:val="000F435F"/>
    <w:rsid w:val="000F49FD"/>
    <w:rsid w:val="000F4C11"/>
    <w:rsid w:val="000F4CD0"/>
    <w:rsid w:val="000F4EE3"/>
    <w:rsid w:val="000F55C4"/>
    <w:rsid w:val="000F6163"/>
    <w:rsid w:val="000F6575"/>
    <w:rsid w:val="000F72EB"/>
    <w:rsid w:val="000F7846"/>
    <w:rsid w:val="000F791F"/>
    <w:rsid w:val="00100CF3"/>
    <w:rsid w:val="00100D48"/>
    <w:rsid w:val="00101055"/>
    <w:rsid w:val="00101368"/>
    <w:rsid w:val="00101477"/>
    <w:rsid w:val="001017F0"/>
    <w:rsid w:val="00101D68"/>
    <w:rsid w:val="001024E2"/>
    <w:rsid w:val="0010280C"/>
    <w:rsid w:val="00102FF3"/>
    <w:rsid w:val="00103CBC"/>
    <w:rsid w:val="0010413E"/>
    <w:rsid w:val="00104613"/>
    <w:rsid w:val="00104A66"/>
    <w:rsid w:val="00104B26"/>
    <w:rsid w:val="001058B8"/>
    <w:rsid w:val="00105949"/>
    <w:rsid w:val="00105E3E"/>
    <w:rsid w:val="00106BC9"/>
    <w:rsid w:val="00106FF9"/>
    <w:rsid w:val="001074F3"/>
    <w:rsid w:val="001076F6"/>
    <w:rsid w:val="00107A10"/>
    <w:rsid w:val="00107B68"/>
    <w:rsid w:val="00107D0E"/>
    <w:rsid w:val="00107D12"/>
    <w:rsid w:val="001103CC"/>
    <w:rsid w:val="00110BF9"/>
    <w:rsid w:val="00110C66"/>
    <w:rsid w:val="00110F61"/>
    <w:rsid w:val="001114A5"/>
    <w:rsid w:val="001115E3"/>
    <w:rsid w:val="00111883"/>
    <w:rsid w:val="00111A8F"/>
    <w:rsid w:val="00113063"/>
    <w:rsid w:val="00113154"/>
    <w:rsid w:val="00113159"/>
    <w:rsid w:val="00113245"/>
    <w:rsid w:val="00113256"/>
    <w:rsid w:val="00113264"/>
    <w:rsid w:val="001135F6"/>
    <w:rsid w:val="0011394B"/>
    <w:rsid w:val="00113FF2"/>
    <w:rsid w:val="001148DF"/>
    <w:rsid w:val="0011622E"/>
    <w:rsid w:val="00116837"/>
    <w:rsid w:val="00117D74"/>
    <w:rsid w:val="00117FBB"/>
    <w:rsid w:val="00120164"/>
    <w:rsid w:val="001206AC"/>
    <w:rsid w:val="00120F78"/>
    <w:rsid w:val="00121CF8"/>
    <w:rsid w:val="00123683"/>
    <w:rsid w:val="00123CAA"/>
    <w:rsid w:val="00124108"/>
    <w:rsid w:val="001253F2"/>
    <w:rsid w:val="00126F47"/>
    <w:rsid w:val="001275B1"/>
    <w:rsid w:val="00127D6A"/>
    <w:rsid w:val="00131012"/>
    <w:rsid w:val="00133232"/>
    <w:rsid w:val="00134425"/>
    <w:rsid w:val="00134447"/>
    <w:rsid w:val="00134AE7"/>
    <w:rsid w:val="00134C79"/>
    <w:rsid w:val="0013574F"/>
    <w:rsid w:val="001360F3"/>
    <w:rsid w:val="0013673F"/>
    <w:rsid w:val="00136903"/>
    <w:rsid w:val="00136CE2"/>
    <w:rsid w:val="001371B2"/>
    <w:rsid w:val="001372B1"/>
    <w:rsid w:val="00137645"/>
    <w:rsid w:val="00137E7E"/>
    <w:rsid w:val="0014007C"/>
    <w:rsid w:val="00140A72"/>
    <w:rsid w:val="00140C95"/>
    <w:rsid w:val="00140D3F"/>
    <w:rsid w:val="0014104E"/>
    <w:rsid w:val="0014118B"/>
    <w:rsid w:val="001412F9"/>
    <w:rsid w:val="001415CF"/>
    <w:rsid w:val="00141A4C"/>
    <w:rsid w:val="00142E8E"/>
    <w:rsid w:val="00142E91"/>
    <w:rsid w:val="00143178"/>
    <w:rsid w:val="0014427F"/>
    <w:rsid w:val="00144570"/>
    <w:rsid w:val="001449B7"/>
    <w:rsid w:val="00144D2E"/>
    <w:rsid w:val="00144DCB"/>
    <w:rsid w:val="00144DE6"/>
    <w:rsid w:val="001463C8"/>
    <w:rsid w:val="0014720F"/>
    <w:rsid w:val="00147242"/>
    <w:rsid w:val="0014785B"/>
    <w:rsid w:val="00147AE8"/>
    <w:rsid w:val="00147EC0"/>
    <w:rsid w:val="00150261"/>
    <w:rsid w:val="001505EA"/>
    <w:rsid w:val="00150965"/>
    <w:rsid w:val="00150E4C"/>
    <w:rsid w:val="00152E56"/>
    <w:rsid w:val="00152FC2"/>
    <w:rsid w:val="0015381F"/>
    <w:rsid w:val="00153D89"/>
    <w:rsid w:val="00153FD8"/>
    <w:rsid w:val="0015497A"/>
    <w:rsid w:val="00155493"/>
    <w:rsid w:val="001558CF"/>
    <w:rsid w:val="00156923"/>
    <w:rsid w:val="00156CA7"/>
    <w:rsid w:val="00156F59"/>
    <w:rsid w:val="0015750E"/>
    <w:rsid w:val="0015766F"/>
    <w:rsid w:val="00157988"/>
    <w:rsid w:val="00157E8B"/>
    <w:rsid w:val="00160061"/>
    <w:rsid w:val="00160073"/>
    <w:rsid w:val="00160152"/>
    <w:rsid w:val="00161A23"/>
    <w:rsid w:val="00161C20"/>
    <w:rsid w:val="00162186"/>
    <w:rsid w:val="00162279"/>
    <w:rsid w:val="00162A03"/>
    <w:rsid w:val="00162BA4"/>
    <w:rsid w:val="00163352"/>
    <w:rsid w:val="00163F84"/>
    <w:rsid w:val="00164011"/>
    <w:rsid w:val="001640CB"/>
    <w:rsid w:val="001640F5"/>
    <w:rsid w:val="001643A2"/>
    <w:rsid w:val="00164635"/>
    <w:rsid w:val="00164D29"/>
    <w:rsid w:val="00164D49"/>
    <w:rsid w:val="001650F6"/>
    <w:rsid w:val="00165153"/>
    <w:rsid w:val="001653AE"/>
    <w:rsid w:val="0016544B"/>
    <w:rsid w:val="00165A6F"/>
    <w:rsid w:val="00166490"/>
    <w:rsid w:val="001668E2"/>
    <w:rsid w:val="00166AAD"/>
    <w:rsid w:val="00166BB8"/>
    <w:rsid w:val="001674B0"/>
    <w:rsid w:val="001674DE"/>
    <w:rsid w:val="001676E1"/>
    <w:rsid w:val="00170BC4"/>
    <w:rsid w:val="001717DD"/>
    <w:rsid w:val="00171C0C"/>
    <w:rsid w:val="00171E04"/>
    <w:rsid w:val="00172304"/>
    <w:rsid w:val="0017271C"/>
    <w:rsid w:val="00172CF0"/>
    <w:rsid w:val="001733CF"/>
    <w:rsid w:val="0017411D"/>
    <w:rsid w:val="0017486B"/>
    <w:rsid w:val="00174C66"/>
    <w:rsid w:val="00174DB3"/>
    <w:rsid w:val="0017553C"/>
    <w:rsid w:val="001778D6"/>
    <w:rsid w:val="00177E26"/>
    <w:rsid w:val="001800E3"/>
    <w:rsid w:val="001805C4"/>
    <w:rsid w:val="00180929"/>
    <w:rsid w:val="00180C64"/>
    <w:rsid w:val="001816DA"/>
    <w:rsid w:val="00181CA0"/>
    <w:rsid w:val="00182122"/>
    <w:rsid w:val="0018236F"/>
    <w:rsid w:val="00182A50"/>
    <w:rsid w:val="0018396C"/>
    <w:rsid w:val="00183B91"/>
    <w:rsid w:val="001844D8"/>
    <w:rsid w:val="001845E2"/>
    <w:rsid w:val="001856A8"/>
    <w:rsid w:val="001867DA"/>
    <w:rsid w:val="00186838"/>
    <w:rsid w:val="00186BF4"/>
    <w:rsid w:val="001871EF"/>
    <w:rsid w:val="00187429"/>
    <w:rsid w:val="0018781E"/>
    <w:rsid w:val="00190ADC"/>
    <w:rsid w:val="00190D37"/>
    <w:rsid w:val="00190DF3"/>
    <w:rsid w:val="00192321"/>
    <w:rsid w:val="0019237D"/>
    <w:rsid w:val="00192496"/>
    <w:rsid w:val="001926A3"/>
    <w:rsid w:val="001926A7"/>
    <w:rsid w:val="00192B7F"/>
    <w:rsid w:val="001937B5"/>
    <w:rsid w:val="00193B8B"/>
    <w:rsid w:val="00193E01"/>
    <w:rsid w:val="0019480D"/>
    <w:rsid w:val="00194AB1"/>
    <w:rsid w:val="00195FAE"/>
    <w:rsid w:val="00196160"/>
    <w:rsid w:val="001962D3"/>
    <w:rsid w:val="0019656D"/>
    <w:rsid w:val="001968F6"/>
    <w:rsid w:val="00196E5A"/>
    <w:rsid w:val="0019743B"/>
    <w:rsid w:val="0019758D"/>
    <w:rsid w:val="00197B9D"/>
    <w:rsid w:val="00197F15"/>
    <w:rsid w:val="001A002D"/>
    <w:rsid w:val="001A04ED"/>
    <w:rsid w:val="001A136E"/>
    <w:rsid w:val="001A13B9"/>
    <w:rsid w:val="001A1A17"/>
    <w:rsid w:val="001A2468"/>
    <w:rsid w:val="001A30C5"/>
    <w:rsid w:val="001A317F"/>
    <w:rsid w:val="001A3832"/>
    <w:rsid w:val="001A3FBC"/>
    <w:rsid w:val="001A47B2"/>
    <w:rsid w:val="001A4D10"/>
    <w:rsid w:val="001A5810"/>
    <w:rsid w:val="001A5F37"/>
    <w:rsid w:val="001A67D0"/>
    <w:rsid w:val="001A6C35"/>
    <w:rsid w:val="001A7071"/>
    <w:rsid w:val="001A7131"/>
    <w:rsid w:val="001A73E6"/>
    <w:rsid w:val="001A7FB6"/>
    <w:rsid w:val="001B0038"/>
    <w:rsid w:val="001B0393"/>
    <w:rsid w:val="001B16B1"/>
    <w:rsid w:val="001B1915"/>
    <w:rsid w:val="001B1C88"/>
    <w:rsid w:val="001B287E"/>
    <w:rsid w:val="001B2D5A"/>
    <w:rsid w:val="001B34DA"/>
    <w:rsid w:val="001B4205"/>
    <w:rsid w:val="001B5CEA"/>
    <w:rsid w:val="001B6338"/>
    <w:rsid w:val="001B6369"/>
    <w:rsid w:val="001B69CC"/>
    <w:rsid w:val="001B7055"/>
    <w:rsid w:val="001B794C"/>
    <w:rsid w:val="001B7DF6"/>
    <w:rsid w:val="001B7E48"/>
    <w:rsid w:val="001C01AD"/>
    <w:rsid w:val="001C0932"/>
    <w:rsid w:val="001C0F84"/>
    <w:rsid w:val="001C0FC3"/>
    <w:rsid w:val="001C1043"/>
    <w:rsid w:val="001C10C7"/>
    <w:rsid w:val="001C1137"/>
    <w:rsid w:val="001C1174"/>
    <w:rsid w:val="001C1286"/>
    <w:rsid w:val="001C1312"/>
    <w:rsid w:val="001C1BA3"/>
    <w:rsid w:val="001C1E87"/>
    <w:rsid w:val="001C2877"/>
    <w:rsid w:val="001C3110"/>
    <w:rsid w:val="001C337A"/>
    <w:rsid w:val="001C3BC1"/>
    <w:rsid w:val="001C3F0E"/>
    <w:rsid w:val="001C49B9"/>
    <w:rsid w:val="001C49CF"/>
    <w:rsid w:val="001C4B1E"/>
    <w:rsid w:val="001C53B7"/>
    <w:rsid w:val="001C5EA3"/>
    <w:rsid w:val="001C65A4"/>
    <w:rsid w:val="001C6EAA"/>
    <w:rsid w:val="001C707C"/>
    <w:rsid w:val="001C75E7"/>
    <w:rsid w:val="001C7882"/>
    <w:rsid w:val="001C7B15"/>
    <w:rsid w:val="001C7D16"/>
    <w:rsid w:val="001D0015"/>
    <w:rsid w:val="001D08A2"/>
    <w:rsid w:val="001D0ACA"/>
    <w:rsid w:val="001D0FA1"/>
    <w:rsid w:val="001D10D0"/>
    <w:rsid w:val="001D1A94"/>
    <w:rsid w:val="001D1FDD"/>
    <w:rsid w:val="001D27D3"/>
    <w:rsid w:val="001D29C4"/>
    <w:rsid w:val="001D3412"/>
    <w:rsid w:val="001D3463"/>
    <w:rsid w:val="001D3DA9"/>
    <w:rsid w:val="001D3E3C"/>
    <w:rsid w:val="001D4560"/>
    <w:rsid w:val="001D4D82"/>
    <w:rsid w:val="001D4DC6"/>
    <w:rsid w:val="001D4E52"/>
    <w:rsid w:val="001D4F31"/>
    <w:rsid w:val="001D53C9"/>
    <w:rsid w:val="001D5970"/>
    <w:rsid w:val="001D5B45"/>
    <w:rsid w:val="001D63CE"/>
    <w:rsid w:val="001D6402"/>
    <w:rsid w:val="001D6567"/>
    <w:rsid w:val="001D66B5"/>
    <w:rsid w:val="001D6981"/>
    <w:rsid w:val="001D6E3D"/>
    <w:rsid w:val="001D743E"/>
    <w:rsid w:val="001D7D32"/>
    <w:rsid w:val="001D7E88"/>
    <w:rsid w:val="001E02A6"/>
    <w:rsid w:val="001E03FF"/>
    <w:rsid w:val="001E0405"/>
    <w:rsid w:val="001E0575"/>
    <w:rsid w:val="001E07D1"/>
    <w:rsid w:val="001E0AEA"/>
    <w:rsid w:val="001E157F"/>
    <w:rsid w:val="001E1CFF"/>
    <w:rsid w:val="001E28C5"/>
    <w:rsid w:val="001E2AF5"/>
    <w:rsid w:val="001E37D9"/>
    <w:rsid w:val="001E3AE7"/>
    <w:rsid w:val="001E3FB5"/>
    <w:rsid w:val="001E4236"/>
    <w:rsid w:val="001E46B5"/>
    <w:rsid w:val="001E46F9"/>
    <w:rsid w:val="001E4FE8"/>
    <w:rsid w:val="001E51CA"/>
    <w:rsid w:val="001E55B1"/>
    <w:rsid w:val="001E61AE"/>
    <w:rsid w:val="001E6AC4"/>
    <w:rsid w:val="001E6CBF"/>
    <w:rsid w:val="001E6D02"/>
    <w:rsid w:val="001E74B9"/>
    <w:rsid w:val="001E7660"/>
    <w:rsid w:val="001E7B91"/>
    <w:rsid w:val="001F01AE"/>
    <w:rsid w:val="001F04BA"/>
    <w:rsid w:val="001F2E19"/>
    <w:rsid w:val="001F310E"/>
    <w:rsid w:val="001F31BA"/>
    <w:rsid w:val="001F32DF"/>
    <w:rsid w:val="001F339B"/>
    <w:rsid w:val="001F3A91"/>
    <w:rsid w:val="001F3F52"/>
    <w:rsid w:val="001F4E70"/>
    <w:rsid w:val="001F60A5"/>
    <w:rsid w:val="001F620E"/>
    <w:rsid w:val="001F62C3"/>
    <w:rsid w:val="001F631E"/>
    <w:rsid w:val="001F6765"/>
    <w:rsid w:val="001F67C6"/>
    <w:rsid w:val="001F6C98"/>
    <w:rsid w:val="001F720B"/>
    <w:rsid w:val="001F7594"/>
    <w:rsid w:val="001F7960"/>
    <w:rsid w:val="002001A6"/>
    <w:rsid w:val="00200EE8"/>
    <w:rsid w:val="002012F6"/>
    <w:rsid w:val="002016D4"/>
    <w:rsid w:val="002016D9"/>
    <w:rsid w:val="002017C2"/>
    <w:rsid w:val="00201CC3"/>
    <w:rsid w:val="00201EFD"/>
    <w:rsid w:val="002030C9"/>
    <w:rsid w:val="0020323C"/>
    <w:rsid w:val="00203381"/>
    <w:rsid w:val="002040AC"/>
    <w:rsid w:val="002044BE"/>
    <w:rsid w:val="00205431"/>
    <w:rsid w:val="00205F71"/>
    <w:rsid w:val="00206632"/>
    <w:rsid w:val="002066E5"/>
    <w:rsid w:val="002067F0"/>
    <w:rsid w:val="00206F3C"/>
    <w:rsid w:val="00207542"/>
    <w:rsid w:val="00207888"/>
    <w:rsid w:val="00207B9E"/>
    <w:rsid w:val="0021027E"/>
    <w:rsid w:val="00211231"/>
    <w:rsid w:val="002113F2"/>
    <w:rsid w:val="00212620"/>
    <w:rsid w:val="00212A37"/>
    <w:rsid w:val="00212B8E"/>
    <w:rsid w:val="00213041"/>
    <w:rsid w:val="0021369D"/>
    <w:rsid w:val="002136D4"/>
    <w:rsid w:val="00213EB8"/>
    <w:rsid w:val="00213EF0"/>
    <w:rsid w:val="00214107"/>
    <w:rsid w:val="00214631"/>
    <w:rsid w:val="002146A9"/>
    <w:rsid w:val="00214B60"/>
    <w:rsid w:val="00214EA3"/>
    <w:rsid w:val="00214ED2"/>
    <w:rsid w:val="0021520D"/>
    <w:rsid w:val="0021573C"/>
    <w:rsid w:val="00215F15"/>
    <w:rsid w:val="002161EB"/>
    <w:rsid w:val="0021632D"/>
    <w:rsid w:val="00217009"/>
    <w:rsid w:val="00217445"/>
    <w:rsid w:val="00217765"/>
    <w:rsid w:val="002201A0"/>
    <w:rsid w:val="002202DA"/>
    <w:rsid w:val="0022051D"/>
    <w:rsid w:val="00220C4B"/>
    <w:rsid w:val="00220FA0"/>
    <w:rsid w:val="00221677"/>
    <w:rsid w:val="002218BD"/>
    <w:rsid w:val="00221B2D"/>
    <w:rsid w:val="00221BDD"/>
    <w:rsid w:val="002221EE"/>
    <w:rsid w:val="00222412"/>
    <w:rsid w:val="002224D2"/>
    <w:rsid w:val="002227F5"/>
    <w:rsid w:val="002234E6"/>
    <w:rsid w:val="002236FB"/>
    <w:rsid w:val="0022488E"/>
    <w:rsid w:val="0022491C"/>
    <w:rsid w:val="00225326"/>
    <w:rsid w:val="00225AE0"/>
    <w:rsid w:val="00226489"/>
    <w:rsid w:val="00226818"/>
    <w:rsid w:val="00226AE5"/>
    <w:rsid w:val="0022720D"/>
    <w:rsid w:val="00227B08"/>
    <w:rsid w:val="0023024A"/>
    <w:rsid w:val="00230B7F"/>
    <w:rsid w:val="00230E55"/>
    <w:rsid w:val="00231189"/>
    <w:rsid w:val="00231569"/>
    <w:rsid w:val="002317BA"/>
    <w:rsid w:val="0023289B"/>
    <w:rsid w:val="00232D3C"/>
    <w:rsid w:val="0023376F"/>
    <w:rsid w:val="00233AA7"/>
    <w:rsid w:val="002340CD"/>
    <w:rsid w:val="0023497C"/>
    <w:rsid w:val="0023504B"/>
    <w:rsid w:val="002358B8"/>
    <w:rsid w:val="00235C4E"/>
    <w:rsid w:val="00236FB4"/>
    <w:rsid w:val="002370C3"/>
    <w:rsid w:val="00240024"/>
    <w:rsid w:val="0024002E"/>
    <w:rsid w:val="00240046"/>
    <w:rsid w:val="002405E8"/>
    <w:rsid w:val="002406C0"/>
    <w:rsid w:val="00240C2D"/>
    <w:rsid w:val="0024104E"/>
    <w:rsid w:val="00241415"/>
    <w:rsid w:val="002416B1"/>
    <w:rsid w:val="00241958"/>
    <w:rsid w:val="00241E28"/>
    <w:rsid w:val="00241F23"/>
    <w:rsid w:val="00242040"/>
    <w:rsid w:val="00243074"/>
    <w:rsid w:val="00243181"/>
    <w:rsid w:val="002435B2"/>
    <w:rsid w:val="00243C20"/>
    <w:rsid w:val="00243DDB"/>
    <w:rsid w:val="00243ECF"/>
    <w:rsid w:val="002446B6"/>
    <w:rsid w:val="00244729"/>
    <w:rsid w:val="00244A88"/>
    <w:rsid w:val="00245647"/>
    <w:rsid w:val="00247CF2"/>
    <w:rsid w:val="00247E7C"/>
    <w:rsid w:val="002501D3"/>
    <w:rsid w:val="002502D0"/>
    <w:rsid w:val="0025064A"/>
    <w:rsid w:val="0025091A"/>
    <w:rsid w:val="0025094E"/>
    <w:rsid w:val="00250A79"/>
    <w:rsid w:val="002513A8"/>
    <w:rsid w:val="00251C45"/>
    <w:rsid w:val="00251DB3"/>
    <w:rsid w:val="00251F4B"/>
    <w:rsid w:val="00252616"/>
    <w:rsid w:val="00252D4F"/>
    <w:rsid w:val="002533F5"/>
    <w:rsid w:val="00253B00"/>
    <w:rsid w:val="00253FBF"/>
    <w:rsid w:val="0025463B"/>
    <w:rsid w:val="00254A47"/>
    <w:rsid w:val="00254CE1"/>
    <w:rsid w:val="00255966"/>
    <w:rsid w:val="00256335"/>
    <w:rsid w:val="002575C2"/>
    <w:rsid w:val="002579B4"/>
    <w:rsid w:val="00257DB9"/>
    <w:rsid w:val="00260B1F"/>
    <w:rsid w:val="00260DC0"/>
    <w:rsid w:val="00261680"/>
    <w:rsid w:val="00261A62"/>
    <w:rsid w:val="00262CA0"/>
    <w:rsid w:val="00262CC8"/>
    <w:rsid w:val="00262E44"/>
    <w:rsid w:val="00262F20"/>
    <w:rsid w:val="00263473"/>
    <w:rsid w:val="0026423D"/>
    <w:rsid w:val="00264C1E"/>
    <w:rsid w:val="00264DC3"/>
    <w:rsid w:val="002655E8"/>
    <w:rsid w:val="00266941"/>
    <w:rsid w:val="00266999"/>
    <w:rsid w:val="00266DF1"/>
    <w:rsid w:val="00266E82"/>
    <w:rsid w:val="002670CC"/>
    <w:rsid w:val="002672AF"/>
    <w:rsid w:val="00267F6A"/>
    <w:rsid w:val="00270ADE"/>
    <w:rsid w:val="00271451"/>
    <w:rsid w:val="00271E97"/>
    <w:rsid w:val="00272B3A"/>
    <w:rsid w:val="00272DB1"/>
    <w:rsid w:val="00272DC0"/>
    <w:rsid w:val="002735A4"/>
    <w:rsid w:val="00273B8A"/>
    <w:rsid w:val="00273BFC"/>
    <w:rsid w:val="002755EC"/>
    <w:rsid w:val="00275D39"/>
    <w:rsid w:val="00275FE9"/>
    <w:rsid w:val="00276256"/>
    <w:rsid w:val="00276284"/>
    <w:rsid w:val="0027698A"/>
    <w:rsid w:val="00276C4C"/>
    <w:rsid w:val="00277081"/>
    <w:rsid w:val="002772CC"/>
    <w:rsid w:val="0028072F"/>
    <w:rsid w:val="00280B07"/>
    <w:rsid w:val="00280D01"/>
    <w:rsid w:val="00281423"/>
    <w:rsid w:val="0028171B"/>
    <w:rsid w:val="002822E8"/>
    <w:rsid w:val="00282582"/>
    <w:rsid w:val="002825F2"/>
    <w:rsid w:val="002836ED"/>
    <w:rsid w:val="002838F4"/>
    <w:rsid w:val="00284A6B"/>
    <w:rsid w:val="00284C7B"/>
    <w:rsid w:val="00284CD5"/>
    <w:rsid w:val="00285081"/>
    <w:rsid w:val="00285212"/>
    <w:rsid w:val="00285FC4"/>
    <w:rsid w:val="00286969"/>
    <w:rsid w:val="00286BDB"/>
    <w:rsid w:val="002870C7"/>
    <w:rsid w:val="0028738A"/>
    <w:rsid w:val="00287CFF"/>
    <w:rsid w:val="00290557"/>
    <w:rsid w:val="002905DE"/>
    <w:rsid w:val="00290617"/>
    <w:rsid w:val="00290875"/>
    <w:rsid w:val="00290D97"/>
    <w:rsid w:val="00290E5E"/>
    <w:rsid w:val="00291BAC"/>
    <w:rsid w:val="002920F4"/>
    <w:rsid w:val="00292317"/>
    <w:rsid w:val="00292D4A"/>
    <w:rsid w:val="0029351B"/>
    <w:rsid w:val="00293653"/>
    <w:rsid w:val="002940C9"/>
    <w:rsid w:val="00294102"/>
    <w:rsid w:val="002941A5"/>
    <w:rsid w:val="0029486E"/>
    <w:rsid w:val="002949E4"/>
    <w:rsid w:val="00294E3B"/>
    <w:rsid w:val="002955ED"/>
    <w:rsid w:val="002957EB"/>
    <w:rsid w:val="00295C8A"/>
    <w:rsid w:val="00296518"/>
    <w:rsid w:val="0029656F"/>
    <w:rsid w:val="002967FC"/>
    <w:rsid w:val="002977A6"/>
    <w:rsid w:val="00297C83"/>
    <w:rsid w:val="002A0082"/>
    <w:rsid w:val="002A0875"/>
    <w:rsid w:val="002A0B5A"/>
    <w:rsid w:val="002A10E5"/>
    <w:rsid w:val="002A1129"/>
    <w:rsid w:val="002A21CE"/>
    <w:rsid w:val="002A2707"/>
    <w:rsid w:val="002A2945"/>
    <w:rsid w:val="002A2A8E"/>
    <w:rsid w:val="002A4436"/>
    <w:rsid w:val="002A4467"/>
    <w:rsid w:val="002A4C68"/>
    <w:rsid w:val="002A4EFB"/>
    <w:rsid w:val="002A5052"/>
    <w:rsid w:val="002A58F1"/>
    <w:rsid w:val="002A5B06"/>
    <w:rsid w:val="002A6556"/>
    <w:rsid w:val="002A7275"/>
    <w:rsid w:val="002A7DF4"/>
    <w:rsid w:val="002A7F2C"/>
    <w:rsid w:val="002B04AD"/>
    <w:rsid w:val="002B06F1"/>
    <w:rsid w:val="002B0DED"/>
    <w:rsid w:val="002B0E61"/>
    <w:rsid w:val="002B1055"/>
    <w:rsid w:val="002B1681"/>
    <w:rsid w:val="002B21CF"/>
    <w:rsid w:val="002B21F4"/>
    <w:rsid w:val="002B2AE4"/>
    <w:rsid w:val="002B2CEB"/>
    <w:rsid w:val="002B3588"/>
    <w:rsid w:val="002B42BB"/>
    <w:rsid w:val="002B459A"/>
    <w:rsid w:val="002B57AA"/>
    <w:rsid w:val="002B60C3"/>
    <w:rsid w:val="002B615F"/>
    <w:rsid w:val="002B61BF"/>
    <w:rsid w:val="002B67B7"/>
    <w:rsid w:val="002B7C92"/>
    <w:rsid w:val="002C0009"/>
    <w:rsid w:val="002C011B"/>
    <w:rsid w:val="002C05BB"/>
    <w:rsid w:val="002C062A"/>
    <w:rsid w:val="002C089B"/>
    <w:rsid w:val="002C0D5B"/>
    <w:rsid w:val="002C1F9B"/>
    <w:rsid w:val="002C231F"/>
    <w:rsid w:val="002C2ADA"/>
    <w:rsid w:val="002C3685"/>
    <w:rsid w:val="002C3C8A"/>
    <w:rsid w:val="002C4178"/>
    <w:rsid w:val="002C4A8F"/>
    <w:rsid w:val="002C5018"/>
    <w:rsid w:val="002C55E0"/>
    <w:rsid w:val="002C5B12"/>
    <w:rsid w:val="002C5E2C"/>
    <w:rsid w:val="002C7049"/>
    <w:rsid w:val="002C7167"/>
    <w:rsid w:val="002C79EB"/>
    <w:rsid w:val="002D0725"/>
    <w:rsid w:val="002D0AF2"/>
    <w:rsid w:val="002D0B31"/>
    <w:rsid w:val="002D15D9"/>
    <w:rsid w:val="002D1DC1"/>
    <w:rsid w:val="002D1DF0"/>
    <w:rsid w:val="002D1FBA"/>
    <w:rsid w:val="002D20FC"/>
    <w:rsid w:val="002D26CB"/>
    <w:rsid w:val="002D2CC4"/>
    <w:rsid w:val="002D3048"/>
    <w:rsid w:val="002D3578"/>
    <w:rsid w:val="002D3AF2"/>
    <w:rsid w:val="002D3B0E"/>
    <w:rsid w:val="002D3D7E"/>
    <w:rsid w:val="002D3E4F"/>
    <w:rsid w:val="002D45F4"/>
    <w:rsid w:val="002D4E8A"/>
    <w:rsid w:val="002D4F07"/>
    <w:rsid w:val="002D511C"/>
    <w:rsid w:val="002D5774"/>
    <w:rsid w:val="002D57B9"/>
    <w:rsid w:val="002D59BA"/>
    <w:rsid w:val="002D64D5"/>
    <w:rsid w:val="002D6753"/>
    <w:rsid w:val="002D68C9"/>
    <w:rsid w:val="002D6BE4"/>
    <w:rsid w:val="002D6CA4"/>
    <w:rsid w:val="002D6EBE"/>
    <w:rsid w:val="002D710F"/>
    <w:rsid w:val="002D7D83"/>
    <w:rsid w:val="002E0234"/>
    <w:rsid w:val="002E03E5"/>
    <w:rsid w:val="002E0A40"/>
    <w:rsid w:val="002E0DDA"/>
    <w:rsid w:val="002E1416"/>
    <w:rsid w:val="002E187E"/>
    <w:rsid w:val="002E1A65"/>
    <w:rsid w:val="002E28F0"/>
    <w:rsid w:val="002E29A4"/>
    <w:rsid w:val="002E356A"/>
    <w:rsid w:val="002E36B8"/>
    <w:rsid w:val="002E37DB"/>
    <w:rsid w:val="002E3D98"/>
    <w:rsid w:val="002E46B7"/>
    <w:rsid w:val="002E46C3"/>
    <w:rsid w:val="002E47EC"/>
    <w:rsid w:val="002E4EF9"/>
    <w:rsid w:val="002E4F9B"/>
    <w:rsid w:val="002E58F7"/>
    <w:rsid w:val="002E672C"/>
    <w:rsid w:val="002E676A"/>
    <w:rsid w:val="002E71BE"/>
    <w:rsid w:val="002E75EA"/>
    <w:rsid w:val="002E7B24"/>
    <w:rsid w:val="002E7E13"/>
    <w:rsid w:val="002E7F21"/>
    <w:rsid w:val="002F09F3"/>
    <w:rsid w:val="002F0AFB"/>
    <w:rsid w:val="002F3C94"/>
    <w:rsid w:val="002F4137"/>
    <w:rsid w:val="002F505A"/>
    <w:rsid w:val="002F5C49"/>
    <w:rsid w:val="002F5E2E"/>
    <w:rsid w:val="002F5E8B"/>
    <w:rsid w:val="002F6159"/>
    <w:rsid w:val="002F6273"/>
    <w:rsid w:val="002F6918"/>
    <w:rsid w:val="002F69DD"/>
    <w:rsid w:val="002F6C5B"/>
    <w:rsid w:val="002F6F46"/>
    <w:rsid w:val="002F73D3"/>
    <w:rsid w:val="002F77B9"/>
    <w:rsid w:val="003005FF"/>
    <w:rsid w:val="00300AED"/>
    <w:rsid w:val="00300B9C"/>
    <w:rsid w:val="003014B1"/>
    <w:rsid w:val="00301A39"/>
    <w:rsid w:val="00301AED"/>
    <w:rsid w:val="00301BB4"/>
    <w:rsid w:val="00301E8E"/>
    <w:rsid w:val="00301F06"/>
    <w:rsid w:val="00302527"/>
    <w:rsid w:val="003028AD"/>
    <w:rsid w:val="00302DA1"/>
    <w:rsid w:val="00302DD5"/>
    <w:rsid w:val="003032C1"/>
    <w:rsid w:val="003033CC"/>
    <w:rsid w:val="0030374B"/>
    <w:rsid w:val="00303909"/>
    <w:rsid w:val="00303AE7"/>
    <w:rsid w:val="00303B69"/>
    <w:rsid w:val="00304897"/>
    <w:rsid w:val="00304AF2"/>
    <w:rsid w:val="00305488"/>
    <w:rsid w:val="00305B3A"/>
    <w:rsid w:val="00305E54"/>
    <w:rsid w:val="00306291"/>
    <w:rsid w:val="003066E6"/>
    <w:rsid w:val="00306A95"/>
    <w:rsid w:val="00306E11"/>
    <w:rsid w:val="00307254"/>
    <w:rsid w:val="00307790"/>
    <w:rsid w:val="003077DB"/>
    <w:rsid w:val="00307EA1"/>
    <w:rsid w:val="00307F12"/>
    <w:rsid w:val="00307F77"/>
    <w:rsid w:val="00310500"/>
    <w:rsid w:val="00310828"/>
    <w:rsid w:val="00310EDD"/>
    <w:rsid w:val="00312261"/>
    <w:rsid w:val="003126DE"/>
    <w:rsid w:val="00313044"/>
    <w:rsid w:val="003135F6"/>
    <w:rsid w:val="00313A4A"/>
    <w:rsid w:val="00313AE6"/>
    <w:rsid w:val="00313B27"/>
    <w:rsid w:val="0031411E"/>
    <w:rsid w:val="00314991"/>
    <w:rsid w:val="00314A1B"/>
    <w:rsid w:val="00314AED"/>
    <w:rsid w:val="0031525E"/>
    <w:rsid w:val="00315B0C"/>
    <w:rsid w:val="0031617E"/>
    <w:rsid w:val="00316757"/>
    <w:rsid w:val="00316CA8"/>
    <w:rsid w:val="00317044"/>
    <w:rsid w:val="00317B41"/>
    <w:rsid w:val="00320437"/>
    <w:rsid w:val="00320686"/>
    <w:rsid w:val="00321068"/>
    <w:rsid w:val="003215F2"/>
    <w:rsid w:val="00321665"/>
    <w:rsid w:val="003217F2"/>
    <w:rsid w:val="003221C2"/>
    <w:rsid w:val="00322422"/>
    <w:rsid w:val="00322B21"/>
    <w:rsid w:val="00322E26"/>
    <w:rsid w:val="00323347"/>
    <w:rsid w:val="00323F27"/>
    <w:rsid w:val="003244F4"/>
    <w:rsid w:val="0032467B"/>
    <w:rsid w:val="00324753"/>
    <w:rsid w:val="00324886"/>
    <w:rsid w:val="00324E2D"/>
    <w:rsid w:val="0032515A"/>
    <w:rsid w:val="0032562F"/>
    <w:rsid w:val="003260B9"/>
    <w:rsid w:val="003266DC"/>
    <w:rsid w:val="00326FE1"/>
    <w:rsid w:val="0032720F"/>
    <w:rsid w:val="003278C9"/>
    <w:rsid w:val="003278E0"/>
    <w:rsid w:val="00327943"/>
    <w:rsid w:val="00327C0B"/>
    <w:rsid w:val="00327CFB"/>
    <w:rsid w:val="00327E06"/>
    <w:rsid w:val="00327E67"/>
    <w:rsid w:val="00327E91"/>
    <w:rsid w:val="00327FEA"/>
    <w:rsid w:val="003303E5"/>
    <w:rsid w:val="0033043F"/>
    <w:rsid w:val="00331300"/>
    <w:rsid w:val="003317BB"/>
    <w:rsid w:val="003321F7"/>
    <w:rsid w:val="003322C0"/>
    <w:rsid w:val="003323F6"/>
    <w:rsid w:val="00332777"/>
    <w:rsid w:val="00332CDC"/>
    <w:rsid w:val="0033347D"/>
    <w:rsid w:val="003334CA"/>
    <w:rsid w:val="00334655"/>
    <w:rsid w:val="003351D6"/>
    <w:rsid w:val="00335418"/>
    <w:rsid w:val="003357C5"/>
    <w:rsid w:val="00335CB9"/>
    <w:rsid w:val="0033625B"/>
    <w:rsid w:val="00337BBD"/>
    <w:rsid w:val="00340ADB"/>
    <w:rsid w:val="00340F83"/>
    <w:rsid w:val="00341559"/>
    <w:rsid w:val="00341906"/>
    <w:rsid w:val="00342F00"/>
    <w:rsid w:val="0034315B"/>
    <w:rsid w:val="003431F9"/>
    <w:rsid w:val="00343348"/>
    <w:rsid w:val="00343E03"/>
    <w:rsid w:val="0034453B"/>
    <w:rsid w:val="00344973"/>
    <w:rsid w:val="003451B7"/>
    <w:rsid w:val="00345B1B"/>
    <w:rsid w:val="00346596"/>
    <w:rsid w:val="003465AC"/>
    <w:rsid w:val="003465F0"/>
    <w:rsid w:val="00346A44"/>
    <w:rsid w:val="00346CC7"/>
    <w:rsid w:val="00347830"/>
    <w:rsid w:val="00347CAB"/>
    <w:rsid w:val="00350A32"/>
    <w:rsid w:val="00350A84"/>
    <w:rsid w:val="00350FB6"/>
    <w:rsid w:val="003520FD"/>
    <w:rsid w:val="003525B4"/>
    <w:rsid w:val="00352793"/>
    <w:rsid w:val="00352D1D"/>
    <w:rsid w:val="00354C80"/>
    <w:rsid w:val="00355B57"/>
    <w:rsid w:val="00356D47"/>
    <w:rsid w:val="00356E2B"/>
    <w:rsid w:val="003572BB"/>
    <w:rsid w:val="003601C4"/>
    <w:rsid w:val="00360339"/>
    <w:rsid w:val="003603B4"/>
    <w:rsid w:val="003603D9"/>
    <w:rsid w:val="0036079E"/>
    <w:rsid w:val="003612B8"/>
    <w:rsid w:val="00361DFA"/>
    <w:rsid w:val="00362872"/>
    <w:rsid w:val="00362D96"/>
    <w:rsid w:val="003630F3"/>
    <w:rsid w:val="003632AB"/>
    <w:rsid w:val="00363DB9"/>
    <w:rsid w:val="00363E0C"/>
    <w:rsid w:val="003646F4"/>
    <w:rsid w:val="00364C17"/>
    <w:rsid w:val="00365239"/>
    <w:rsid w:val="00366594"/>
    <w:rsid w:val="00366B4B"/>
    <w:rsid w:val="00367F0C"/>
    <w:rsid w:val="00370197"/>
    <w:rsid w:val="0037037D"/>
    <w:rsid w:val="003705A1"/>
    <w:rsid w:val="00370889"/>
    <w:rsid w:val="00370ACD"/>
    <w:rsid w:val="00370BC0"/>
    <w:rsid w:val="00370C35"/>
    <w:rsid w:val="00370D9F"/>
    <w:rsid w:val="00370FC7"/>
    <w:rsid w:val="00371411"/>
    <w:rsid w:val="00371F27"/>
    <w:rsid w:val="00372375"/>
    <w:rsid w:val="0037345F"/>
    <w:rsid w:val="00373780"/>
    <w:rsid w:val="003738AD"/>
    <w:rsid w:val="003743F2"/>
    <w:rsid w:val="00374585"/>
    <w:rsid w:val="003745F3"/>
    <w:rsid w:val="00374937"/>
    <w:rsid w:val="003750B7"/>
    <w:rsid w:val="00375655"/>
    <w:rsid w:val="003759C1"/>
    <w:rsid w:val="003768B2"/>
    <w:rsid w:val="00376E36"/>
    <w:rsid w:val="00377742"/>
    <w:rsid w:val="00377A2F"/>
    <w:rsid w:val="00380E8D"/>
    <w:rsid w:val="00381041"/>
    <w:rsid w:val="00381327"/>
    <w:rsid w:val="003813F0"/>
    <w:rsid w:val="003814E5"/>
    <w:rsid w:val="003816B0"/>
    <w:rsid w:val="0038181D"/>
    <w:rsid w:val="00381894"/>
    <w:rsid w:val="00381B09"/>
    <w:rsid w:val="0038268C"/>
    <w:rsid w:val="00382ED9"/>
    <w:rsid w:val="00384357"/>
    <w:rsid w:val="0038466E"/>
    <w:rsid w:val="003847C0"/>
    <w:rsid w:val="00385232"/>
    <w:rsid w:val="003855F6"/>
    <w:rsid w:val="0038567D"/>
    <w:rsid w:val="00385883"/>
    <w:rsid w:val="00385947"/>
    <w:rsid w:val="00385D71"/>
    <w:rsid w:val="00386573"/>
    <w:rsid w:val="00386911"/>
    <w:rsid w:val="00387597"/>
    <w:rsid w:val="00387648"/>
    <w:rsid w:val="003876BF"/>
    <w:rsid w:val="003876CA"/>
    <w:rsid w:val="00387757"/>
    <w:rsid w:val="003905D0"/>
    <w:rsid w:val="0039089B"/>
    <w:rsid w:val="00391327"/>
    <w:rsid w:val="003918EB"/>
    <w:rsid w:val="00392176"/>
    <w:rsid w:val="00392212"/>
    <w:rsid w:val="00392241"/>
    <w:rsid w:val="003922A5"/>
    <w:rsid w:val="00392482"/>
    <w:rsid w:val="0039266D"/>
    <w:rsid w:val="00392D3A"/>
    <w:rsid w:val="003931A9"/>
    <w:rsid w:val="0039347E"/>
    <w:rsid w:val="0039378C"/>
    <w:rsid w:val="00393B10"/>
    <w:rsid w:val="00393C7E"/>
    <w:rsid w:val="0039401A"/>
    <w:rsid w:val="0039457D"/>
    <w:rsid w:val="00394637"/>
    <w:rsid w:val="00395075"/>
    <w:rsid w:val="00395945"/>
    <w:rsid w:val="00396157"/>
    <w:rsid w:val="003962BD"/>
    <w:rsid w:val="0039634D"/>
    <w:rsid w:val="0039679F"/>
    <w:rsid w:val="0039699A"/>
    <w:rsid w:val="00396B88"/>
    <w:rsid w:val="00397FB4"/>
    <w:rsid w:val="003A027A"/>
    <w:rsid w:val="003A071E"/>
    <w:rsid w:val="003A0991"/>
    <w:rsid w:val="003A0A17"/>
    <w:rsid w:val="003A0E5A"/>
    <w:rsid w:val="003A24D5"/>
    <w:rsid w:val="003A25AD"/>
    <w:rsid w:val="003A37F4"/>
    <w:rsid w:val="003A3823"/>
    <w:rsid w:val="003A399F"/>
    <w:rsid w:val="003A3B67"/>
    <w:rsid w:val="003A408A"/>
    <w:rsid w:val="003A41E2"/>
    <w:rsid w:val="003A42E8"/>
    <w:rsid w:val="003A4490"/>
    <w:rsid w:val="003A4901"/>
    <w:rsid w:val="003A55E9"/>
    <w:rsid w:val="003A5A76"/>
    <w:rsid w:val="003A5ACE"/>
    <w:rsid w:val="003A614C"/>
    <w:rsid w:val="003A650E"/>
    <w:rsid w:val="003A6AB8"/>
    <w:rsid w:val="003A6CC8"/>
    <w:rsid w:val="003A77BD"/>
    <w:rsid w:val="003A78DE"/>
    <w:rsid w:val="003A7A2F"/>
    <w:rsid w:val="003B0C75"/>
    <w:rsid w:val="003B1A91"/>
    <w:rsid w:val="003B2B71"/>
    <w:rsid w:val="003B32F2"/>
    <w:rsid w:val="003B378B"/>
    <w:rsid w:val="003B44D5"/>
    <w:rsid w:val="003B477B"/>
    <w:rsid w:val="003B4BD6"/>
    <w:rsid w:val="003B4D12"/>
    <w:rsid w:val="003B64EB"/>
    <w:rsid w:val="003B78CA"/>
    <w:rsid w:val="003C0A01"/>
    <w:rsid w:val="003C1DA5"/>
    <w:rsid w:val="003C257F"/>
    <w:rsid w:val="003C264E"/>
    <w:rsid w:val="003C2AA3"/>
    <w:rsid w:val="003C2DEC"/>
    <w:rsid w:val="003C3B06"/>
    <w:rsid w:val="003C42FA"/>
    <w:rsid w:val="003C44BE"/>
    <w:rsid w:val="003C5719"/>
    <w:rsid w:val="003C5751"/>
    <w:rsid w:val="003C5D74"/>
    <w:rsid w:val="003C6B41"/>
    <w:rsid w:val="003C6E1E"/>
    <w:rsid w:val="003C6E6B"/>
    <w:rsid w:val="003C7030"/>
    <w:rsid w:val="003C7BA7"/>
    <w:rsid w:val="003D08F3"/>
    <w:rsid w:val="003D0B2A"/>
    <w:rsid w:val="003D1593"/>
    <w:rsid w:val="003D1A93"/>
    <w:rsid w:val="003D27F8"/>
    <w:rsid w:val="003D30EE"/>
    <w:rsid w:val="003D371B"/>
    <w:rsid w:val="003D3890"/>
    <w:rsid w:val="003D4013"/>
    <w:rsid w:val="003D430C"/>
    <w:rsid w:val="003D53D6"/>
    <w:rsid w:val="003D54E9"/>
    <w:rsid w:val="003D558A"/>
    <w:rsid w:val="003D5DBB"/>
    <w:rsid w:val="003D6B86"/>
    <w:rsid w:val="003D6CBD"/>
    <w:rsid w:val="003D71F8"/>
    <w:rsid w:val="003D7366"/>
    <w:rsid w:val="003D7A62"/>
    <w:rsid w:val="003D7C25"/>
    <w:rsid w:val="003E0558"/>
    <w:rsid w:val="003E0827"/>
    <w:rsid w:val="003E1180"/>
    <w:rsid w:val="003E1798"/>
    <w:rsid w:val="003E1BC3"/>
    <w:rsid w:val="003E202A"/>
    <w:rsid w:val="003E2100"/>
    <w:rsid w:val="003E23E3"/>
    <w:rsid w:val="003E2B58"/>
    <w:rsid w:val="003E303B"/>
    <w:rsid w:val="003E41DB"/>
    <w:rsid w:val="003E46E7"/>
    <w:rsid w:val="003E4BDD"/>
    <w:rsid w:val="003E4FD5"/>
    <w:rsid w:val="003E5300"/>
    <w:rsid w:val="003E5AC6"/>
    <w:rsid w:val="003E5B54"/>
    <w:rsid w:val="003E65FF"/>
    <w:rsid w:val="003E6DA8"/>
    <w:rsid w:val="003E752D"/>
    <w:rsid w:val="003E7969"/>
    <w:rsid w:val="003E7DB6"/>
    <w:rsid w:val="003F037D"/>
    <w:rsid w:val="003F0698"/>
    <w:rsid w:val="003F0D8E"/>
    <w:rsid w:val="003F1308"/>
    <w:rsid w:val="003F1D7A"/>
    <w:rsid w:val="003F20CF"/>
    <w:rsid w:val="003F2132"/>
    <w:rsid w:val="003F243D"/>
    <w:rsid w:val="003F2801"/>
    <w:rsid w:val="003F2BB7"/>
    <w:rsid w:val="003F324C"/>
    <w:rsid w:val="003F3440"/>
    <w:rsid w:val="003F35B9"/>
    <w:rsid w:val="003F38FA"/>
    <w:rsid w:val="003F45AD"/>
    <w:rsid w:val="003F49CD"/>
    <w:rsid w:val="003F4DB2"/>
    <w:rsid w:val="003F569D"/>
    <w:rsid w:val="003F66A4"/>
    <w:rsid w:val="003F6761"/>
    <w:rsid w:val="003F6905"/>
    <w:rsid w:val="003F6E87"/>
    <w:rsid w:val="003F798F"/>
    <w:rsid w:val="003F7A2A"/>
    <w:rsid w:val="004004F5"/>
    <w:rsid w:val="00400548"/>
    <w:rsid w:val="00401088"/>
    <w:rsid w:val="0040138C"/>
    <w:rsid w:val="00401C04"/>
    <w:rsid w:val="00401C8F"/>
    <w:rsid w:val="00401DAD"/>
    <w:rsid w:val="0040311E"/>
    <w:rsid w:val="00403FB3"/>
    <w:rsid w:val="00404BBB"/>
    <w:rsid w:val="00405397"/>
    <w:rsid w:val="004058E4"/>
    <w:rsid w:val="00405B6C"/>
    <w:rsid w:val="00406417"/>
    <w:rsid w:val="00407170"/>
    <w:rsid w:val="004072B1"/>
    <w:rsid w:val="004101C2"/>
    <w:rsid w:val="00410A8A"/>
    <w:rsid w:val="00410F46"/>
    <w:rsid w:val="004110EF"/>
    <w:rsid w:val="00411769"/>
    <w:rsid w:val="00412217"/>
    <w:rsid w:val="00412747"/>
    <w:rsid w:val="00413340"/>
    <w:rsid w:val="004134D2"/>
    <w:rsid w:val="00413C3B"/>
    <w:rsid w:val="00413EE2"/>
    <w:rsid w:val="00414592"/>
    <w:rsid w:val="004148BC"/>
    <w:rsid w:val="0041523D"/>
    <w:rsid w:val="004152D2"/>
    <w:rsid w:val="00415BB6"/>
    <w:rsid w:val="00415C49"/>
    <w:rsid w:val="00415DF6"/>
    <w:rsid w:val="004165E5"/>
    <w:rsid w:val="004208B5"/>
    <w:rsid w:val="00420AA0"/>
    <w:rsid w:val="00421132"/>
    <w:rsid w:val="004214B7"/>
    <w:rsid w:val="0042179D"/>
    <w:rsid w:val="00421FA5"/>
    <w:rsid w:val="004221DB"/>
    <w:rsid w:val="0042236F"/>
    <w:rsid w:val="00422419"/>
    <w:rsid w:val="00423121"/>
    <w:rsid w:val="00423247"/>
    <w:rsid w:val="00423918"/>
    <w:rsid w:val="00424767"/>
    <w:rsid w:val="0042499E"/>
    <w:rsid w:val="00424A0B"/>
    <w:rsid w:val="0042519F"/>
    <w:rsid w:val="00425399"/>
    <w:rsid w:val="00425AF9"/>
    <w:rsid w:val="00425BA9"/>
    <w:rsid w:val="00425EFE"/>
    <w:rsid w:val="00426731"/>
    <w:rsid w:val="00426848"/>
    <w:rsid w:val="00426B29"/>
    <w:rsid w:val="00427639"/>
    <w:rsid w:val="00427B25"/>
    <w:rsid w:val="00430B1C"/>
    <w:rsid w:val="00431116"/>
    <w:rsid w:val="0043173E"/>
    <w:rsid w:val="00431794"/>
    <w:rsid w:val="004317AE"/>
    <w:rsid w:val="00431A37"/>
    <w:rsid w:val="00431F2A"/>
    <w:rsid w:val="004323A5"/>
    <w:rsid w:val="00433045"/>
    <w:rsid w:val="00434182"/>
    <w:rsid w:val="00434E7A"/>
    <w:rsid w:val="00435F52"/>
    <w:rsid w:val="0043693F"/>
    <w:rsid w:val="00436F36"/>
    <w:rsid w:val="00437031"/>
    <w:rsid w:val="0043788A"/>
    <w:rsid w:val="00440D84"/>
    <w:rsid w:val="00440ED0"/>
    <w:rsid w:val="00441963"/>
    <w:rsid w:val="00442B4A"/>
    <w:rsid w:val="00442C30"/>
    <w:rsid w:val="004432DB"/>
    <w:rsid w:val="00443BD4"/>
    <w:rsid w:val="00444CB9"/>
    <w:rsid w:val="00444D13"/>
    <w:rsid w:val="00445876"/>
    <w:rsid w:val="00445CB3"/>
    <w:rsid w:val="00446548"/>
    <w:rsid w:val="004465AF"/>
    <w:rsid w:val="004468F0"/>
    <w:rsid w:val="00447002"/>
    <w:rsid w:val="00447A5E"/>
    <w:rsid w:val="004507FF"/>
    <w:rsid w:val="0045098B"/>
    <w:rsid w:val="00450D8D"/>
    <w:rsid w:val="004514EF"/>
    <w:rsid w:val="00451A93"/>
    <w:rsid w:val="004520FB"/>
    <w:rsid w:val="00452992"/>
    <w:rsid w:val="00452A8C"/>
    <w:rsid w:val="00452A8E"/>
    <w:rsid w:val="00453023"/>
    <w:rsid w:val="004533E3"/>
    <w:rsid w:val="004554FB"/>
    <w:rsid w:val="004557A6"/>
    <w:rsid w:val="00455D12"/>
    <w:rsid w:val="0045640D"/>
    <w:rsid w:val="0045642A"/>
    <w:rsid w:val="00456523"/>
    <w:rsid w:val="004566D0"/>
    <w:rsid w:val="0045673E"/>
    <w:rsid w:val="004569F3"/>
    <w:rsid w:val="00457610"/>
    <w:rsid w:val="00457791"/>
    <w:rsid w:val="0046114A"/>
    <w:rsid w:val="0046145D"/>
    <w:rsid w:val="00461D67"/>
    <w:rsid w:val="004621A6"/>
    <w:rsid w:val="00462263"/>
    <w:rsid w:val="0046246D"/>
    <w:rsid w:val="004624FF"/>
    <w:rsid w:val="00462F9C"/>
    <w:rsid w:val="0046377F"/>
    <w:rsid w:val="004638F3"/>
    <w:rsid w:val="0046472C"/>
    <w:rsid w:val="00464B48"/>
    <w:rsid w:val="00464C39"/>
    <w:rsid w:val="00464CB2"/>
    <w:rsid w:val="004668DD"/>
    <w:rsid w:val="00466F49"/>
    <w:rsid w:val="00467073"/>
    <w:rsid w:val="00467217"/>
    <w:rsid w:val="004677FF"/>
    <w:rsid w:val="00467B96"/>
    <w:rsid w:val="00467CCE"/>
    <w:rsid w:val="00470580"/>
    <w:rsid w:val="00470741"/>
    <w:rsid w:val="00470774"/>
    <w:rsid w:val="00470D67"/>
    <w:rsid w:val="00470E7E"/>
    <w:rsid w:val="0047192B"/>
    <w:rsid w:val="00471AD3"/>
    <w:rsid w:val="004731EE"/>
    <w:rsid w:val="0047358A"/>
    <w:rsid w:val="00473B44"/>
    <w:rsid w:val="0047443D"/>
    <w:rsid w:val="004749AB"/>
    <w:rsid w:val="00474A82"/>
    <w:rsid w:val="0047521C"/>
    <w:rsid w:val="00475647"/>
    <w:rsid w:val="0047606D"/>
    <w:rsid w:val="00476559"/>
    <w:rsid w:val="0047679A"/>
    <w:rsid w:val="004768AF"/>
    <w:rsid w:val="00476DD2"/>
    <w:rsid w:val="00476E43"/>
    <w:rsid w:val="0047708F"/>
    <w:rsid w:val="00477115"/>
    <w:rsid w:val="00477B3B"/>
    <w:rsid w:val="00480352"/>
    <w:rsid w:val="0048088C"/>
    <w:rsid w:val="004814BE"/>
    <w:rsid w:val="004818C2"/>
    <w:rsid w:val="004819D7"/>
    <w:rsid w:val="00481ABE"/>
    <w:rsid w:val="00481CC9"/>
    <w:rsid w:val="00482432"/>
    <w:rsid w:val="0048261C"/>
    <w:rsid w:val="00482860"/>
    <w:rsid w:val="0048338F"/>
    <w:rsid w:val="004836A4"/>
    <w:rsid w:val="004838FD"/>
    <w:rsid w:val="0048425C"/>
    <w:rsid w:val="00484576"/>
    <w:rsid w:val="004845B3"/>
    <w:rsid w:val="00485117"/>
    <w:rsid w:val="004855CA"/>
    <w:rsid w:val="00485753"/>
    <w:rsid w:val="00486648"/>
    <w:rsid w:val="004868C1"/>
    <w:rsid w:val="0048783A"/>
    <w:rsid w:val="00487E1D"/>
    <w:rsid w:val="00491785"/>
    <w:rsid w:val="00491F20"/>
    <w:rsid w:val="00491FAD"/>
    <w:rsid w:val="00492688"/>
    <w:rsid w:val="004928F1"/>
    <w:rsid w:val="00494223"/>
    <w:rsid w:val="0049602E"/>
    <w:rsid w:val="00496134"/>
    <w:rsid w:val="00496DE5"/>
    <w:rsid w:val="0049746B"/>
    <w:rsid w:val="004A0973"/>
    <w:rsid w:val="004A0C1D"/>
    <w:rsid w:val="004A11CF"/>
    <w:rsid w:val="004A13C2"/>
    <w:rsid w:val="004A2421"/>
    <w:rsid w:val="004A24B6"/>
    <w:rsid w:val="004A2836"/>
    <w:rsid w:val="004A2A63"/>
    <w:rsid w:val="004A2B31"/>
    <w:rsid w:val="004A2B37"/>
    <w:rsid w:val="004A315D"/>
    <w:rsid w:val="004A5324"/>
    <w:rsid w:val="004A5636"/>
    <w:rsid w:val="004A5834"/>
    <w:rsid w:val="004A6213"/>
    <w:rsid w:val="004A626F"/>
    <w:rsid w:val="004A6CEA"/>
    <w:rsid w:val="004A6F99"/>
    <w:rsid w:val="004A70A8"/>
    <w:rsid w:val="004A7395"/>
    <w:rsid w:val="004A7D74"/>
    <w:rsid w:val="004B003B"/>
    <w:rsid w:val="004B047F"/>
    <w:rsid w:val="004B05B0"/>
    <w:rsid w:val="004B0C0A"/>
    <w:rsid w:val="004B0C96"/>
    <w:rsid w:val="004B12A9"/>
    <w:rsid w:val="004B1426"/>
    <w:rsid w:val="004B181B"/>
    <w:rsid w:val="004B1F5B"/>
    <w:rsid w:val="004B2C6C"/>
    <w:rsid w:val="004B34CE"/>
    <w:rsid w:val="004B3D29"/>
    <w:rsid w:val="004B41F1"/>
    <w:rsid w:val="004B4368"/>
    <w:rsid w:val="004B4DF4"/>
    <w:rsid w:val="004B50E2"/>
    <w:rsid w:val="004B58BE"/>
    <w:rsid w:val="004B5C2C"/>
    <w:rsid w:val="004B607B"/>
    <w:rsid w:val="004B60FE"/>
    <w:rsid w:val="004B6E7B"/>
    <w:rsid w:val="004B71D9"/>
    <w:rsid w:val="004B7390"/>
    <w:rsid w:val="004B760D"/>
    <w:rsid w:val="004B7A54"/>
    <w:rsid w:val="004C02E0"/>
    <w:rsid w:val="004C09A6"/>
    <w:rsid w:val="004C0EE2"/>
    <w:rsid w:val="004C11C0"/>
    <w:rsid w:val="004C1217"/>
    <w:rsid w:val="004C1901"/>
    <w:rsid w:val="004C2E8C"/>
    <w:rsid w:val="004C3447"/>
    <w:rsid w:val="004C34AE"/>
    <w:rsid w:val="004C36C8"/>
    <w:rsid w:val="004C3EDB"/>
    <w:rsid w:val="004C3F0B"/>
    <w:rsid w:val="004C57F0"/>
    <w:rsid w:val="004C5E02"/>
    <w:rsid w:val="004C68EF"/>
    <w:rsid w:val="004C70C4"/>
    <w:rsid w:val="004C7B52"/>
    <w:rsid w:val="004D0480"/>
    <w:rsid w:val="004D0BEC"/>
    <w:rsid w:val="004D0F84"/>
    <w:rsid w:val="004D26B2"/>
    <w:rsid w:val="004D3FEE"/>
    <w:rsid w:val="004D4AEB"/>
    <w:rsid w:val="004D5361"/>
    <w:rsid w:val="004D5474"/>
    <w:rsid w:val="004D5A42"/>
    <w:rsid w:val="004D5C75"/>
    <w:rsid w:val="004D6D9C"/>
    <w:rsid w:val="004D6F4F"/>
    <w:rsid w:val="004D7397"/>
    <w:rsid w:val="004D73D5"/>
    <w:rsid w:val="004D7CD7"/>
    <w:rsid w:val="004E06F5"/>
    <w:rsid w:val="004E0927"/>
    <w:rsid w:val="004E0CD8"/>
    <w:rsid w:val="004E104D"/>
    <w:rsid w:val="004E127E"/>
    <w:rsid w:val="004E1615"/>
    <w:rsid w:val="004E181D"/>
    <w:rsid w:val="004E1BC7"/>
    <w:rsid w:val="004E2C64"/>
    <w:rsid w:val="004E3291"/>
    <w:rsid w:val="004E3755"/>
    <w:rsid w:val="004E3D32"/>
    <w:rsid w:val="004E3DB8"/>
    <w:rsid w:val="004E4E7D"/>
    <w:rsid w:val="004E5BD3"/>
    <w:rsid w:val="004E5FC6"/>
    <w:rsid w:val="004E623A"/>
    <w:rsid w:val="004F0392"/>
    <w:rsid w:val="004F0520"/>
    <w:rsid w:val="004F067B"/>
    <w:rsid w:val="004F0778"/>
    <w:rsid w:val="004F0AD0"/>
    <w:rsid w:val="004F0DC1"/>
    <w:rsid w:val="004F1374"/>
    <w:rsid w:val="004F1D57"/>
    <w:rsid w:val="004F29DC"/>
    <w:rsid w:val="004F3189"/>
    <w:rsid w:val="004F3251"/>
    <w:rsid w:val="004F3CB8"/>
    <w:rsid w:val="004F5251"/>
    <w:rsid w:val="004F5960"/>
    <w:rsid w:val="004F5B95"/>
    <w:rsid w:val="004F5F7D"/>
    <w:rsid w:val="004F666B"/>
    <w:rsid w:val="004F6671"/>
    <w:rsid w:val="004F67E7"/>
    <w:rsid w:val="004F69AC"/>
    <w:rsid w:val="004F6E6B"/>
    <w:rsid w:val="004F782E"/>
    <w:rsid w:val="005005D4"/>
    <w:rsid w:val="00500C37"/>
    <w:rsid w:val="00500EDA"/>
    <w:rsid w:val="00501B23"/>
    <w:rsid w:val="00503225"/>
    <w:rsid w:val="0050368A"/>
    <w:rsid w:val="00503B1D"/>
    <w:rsid w:val="00504128"/>
    <w:rsid w:val="00504458"/>
    <w:rsid w:val="005050B6"/>
    <w:rsid w:val="005050B7"/>
    <w:rsid w:val="00505141"/>
    <w:rsid w:val="005054C2"/>
    <w:rsid w:val="00505792"/>
    <w:rsid w:val="00505A45"/>
    <w:rsid w:val="0050603F"/>
    <w:rsid w:val="00506AE7"/>
    <w:rsid w:val="00506D3E"/>
    <w:rsid w:val="005074E4"/>
    <w:rsid w:val="00507783"/>
    <w:rsid w:val="00510295"/>
    <w:rsid w:val="00511D1A"/>
    <w:rsid w:val="00512B60"/>
    <w:rsid w:val="00512C34"/>
    <w:rsid w:val="00513684"/>
    <w:rsid w:val="005144E9"/>
    <w:rsid w:val="00514FBD"/>
    <w:rsid w:val="0051508D"/>
    <w:rsid w:val="00515554"/>
    <w:rsid w:val="005156D5"/>
    <w:rsid w:val="00515D21"/>
    <w:rsid w:val="00515D25"/>
    <w:rsid w:val="005161B4"/>
    <w:rsid w:val="0051632D"/>
    <w:rsid w:val="00516517"/>
    <w:rsid w:val="00516BA7"/>
    <w:rsid w:val="0052084A"/>
    <w:rsid w:val="00521027"/>
    <w:rsid w:val="005218BD"/>
    <w:rsid w:val="00521A0E"/>
    <w:rsid w:val="00521DF9"/>
    <w:rsid w:val="00521E5C"/>
    <w:rsid w:val="0052244F"/>
    <w:rsid w:val="00522454"/>
    <w:rsid w:val="005238DF"/>
    <w:rsid w:val="00523953"/>
    <w:rsid w:val="005239AB"/>
    <w:rsid w:val="00523AA9"/>
    <w:rsid w:val="00523ABF"/>
    <w:rsid w:val="00523C37"/>
    <w:rsid w:val="00523F18"/>
    <w:rsid w:val="005258E3"/>
    <w:rsid w:val="00525AA8"/>
    <w:rsid w:val="00525D9E"/>
    <w:rsid w:val="00525DE9"/>
    <w:rsid w:val="0052624D"/>
    <w:rsid w:val="00526C38"/>
    <w:rsid w:val="00526F58"/>
    <w:rsid w:val="00527AF1"/>
    <w:rsid w:val="00527B74"/>
    <w:rsid w:val="00527B94"/>
    <w:rsid w:val="00530071"/>
    <w:rsid w:val="00530262"/>
    <w:rsid w:val="005306C4"/>
    <w:rsid w:val="00530B28"/>
    <w:rsid w:val="005314A9"/>
    <w:rsid w:val="0053183B"/>
    <w:rsid w:val="005318C1"/>
    <w:rsid w:val="00531E00"/>
    <w:rsid w:val="00531F8E"/>
    <w:rsid w:val="00531FDB"/>
    <w:rsid w:val="0053223E"/>
    <w:rsid w:val="0053229C"/>
    <w:rsid w:val="00532307"/>
    <w:rsid w:val="0053253F"/>
    <w:rsid w:val="0053274E"/>
    <w:rsid w:val="005338A0"/>
    <w:rsid w:val="00533E00"/>
    <w:rsid w:val="005347F4"/>
    <w:rsid w:val="00535F1C"/>
    <w:rsid w:val="00535F84"/>
    <w:rsid w:val="0053669D"/>
    <w:rsid w:val="0053681C"/>
    <w:rsid w:val="00536B83"/>
    <w:rsid w:val="00536F44"/>
    <w:rsid w:val="005370EF"/>
    <w:rsid w:val="005372A8"/>
    <w:rsid w:val="00537743"/>
    <w:rsid w:val="00537C27"/>
    <w:rsid w:val="005419F3"/>
    <w:rsid w:val="005426E4"/>
    <w:rsid w:val="00542C36"/>
    <w:rsid w:val="00543C37"/>
    <w:rsid w:val="00544697"/>
    <w:rsid w:val="00544C69"/>
    <w:rsid w:val="00544E55"/>
    <w:rsid w:val="00545240"/>
    <w:rsid w:val="005459D3"/>
    <w:rsid w:val="005464DD"/>
    <w:rsid w:val="00546A97"/>
    <w:rsid w:val="00546AE0"/>
    <w:rsid w:val="00546CE4"/>
    <w:rsid w:val="00546EDD"/>
    <w:rsid w:val="00547E4B"/>
    <w:rsid w:val="00550F1B"/>
    <w:rsid w:val="00551500"/>
    <w:rsid w:val="00551B54"/>
    <w:rsid w:val="00552517"/>
    <w:rsid w:val="0055265F"/>
    <w:rsid w:val="00552D07"/>
    <w:rsid w:val="00552D72"/>
    <w:rsid w:val="005530C3"/>
    <w:rsid w:val="00553FF6"/>
    <w:rsid w:val="005541A9"/>
    <w:rsid w:val="00554284"/>
    <w:rsid w:val="005542EA"/>
    <w:rsid w:val="00554576"/>
    <w:rsid w:val="00554D31"/>
    <w:rsid w:val="005559E6"/>
    <w:rsid w:val="00555B0F"/>
    <w:rsid w:val="00557644"/>
    <w:rsid w:val="00557839"/>
    <w:rsid w:val="00557B35"/>
    <w:rsid w:val="00557FF6"/>
    <w:rsid w:val="005600C3"/>
    <w:rsid w:val="00560896"/>
    <w:rsid w:val="00560AAA"/>
    <w:rsid w:val="00561882"/>
    <w:rsid w:val="00561DAB"/>
    <w:rsid w:val="00562080"/>
    <w:rsid w:val="00562DCF"/>
    <w:rsid w:val="00563751"/>
    <w:rsid w:val="00563757"/>
    <w:rsid w:val="00563EB5"/>
    <w:rsid w:val="00564BA0"/>
    <w:rsid w:val="00564EB4"/>
    <w:rsid w:val="0056612D"/>
    <w:rsid w:val="00566ADB"/>
    <w:rsid w:val="00566E4C"/>
    <w:rsid w:val="00566E84"/>
    <w:rsid w:val="00567056"/>
    <w:rsid w:val="005677BC"/>
    <w:rsid w:val="00567D2B"/>
    <w:rsid w:val="005705F6"/>
    <w:rsid w:val="00571EB0"/>
    <w:rsid w:val="005723A1"/>
    <w:rsid w:val="0057267C"/>
    <w:rsid w:val="00573205"/>
    <w:rsid w:val="005735D8"/>
    <w:rsid w:val="00574168"/>
    <w:rsid w:val="00574685"/>
    <w:rsid w:val="00574A1A"/>
    <w:rsid w:val="00574D5E"/>
    <w:rsid w:val="0057614D"/>
    <w:rsid w:val="0057688D"/>
    <w:rsid w:val="005768BA"/>
    <w:rsid w:val="00576B88"/>
    <w:rsid w:val="005812F2"/>
    <w:rsid w:val="005814B9"/>
    <w:rsid w:val="005815B0"/>
    <w:rsid w:val="005818BE"/>
    <w:rsid w:val="00581C3A"/>
    <w:rsid w:val="00581FA8"/>
    <w:rsid w:val="00582275"/>
    <w:rsid w:val="0058322C"/>
    <w:rsid w:val="005832F9"/>
    <w:rsid w:val="005833F3"/>
    <w:rsid w:val="00583471"/>
    <w:rsid w:val="00583493"/>
    <w:rsid w:val="00584128"/>
    <w:rsid w:val="00584238"/>
    <w:rsid w:val="00584397"/>
    <w:rsid w:val="00584E07"/>
    <w:rsid w:val="00585B06"/>
    <w:rsid w:val="00585C41"/>
    <w:rsid w:val="005860D1"/>
    <w:rsid w:val="00587A42"/>
    <w:rsid w:val="00587BB5"/>
    <w:rsid w:val="005903A0"/>
    <w:rsid w:val="005905B0"/>
    <w:rsid w:val="00591064"/>
    <w:rsid w:val="00591BBE"/>
    <w:rsid w:val="005924E3"/>
    <w:rsid w:val="00592C12"/>
    <w:rsid w:val="00592CD8"/>
    <w:rsid w:val="00592DDA"/>
    <w:rsid w:val="005930D2"/>
    <w:rsid w:val="00593722"/>
    <w:rsid w:val="00593CEF"/>
    <w:rsid w:val="00593E10"/>
    <w:rsid w:val="005951BE"/>
    <w:rsid w:val="005951F6"/>
    <w:rsid w:val="00595C6C"/>
    <w:rsid w:val="005966E7"/>
    <w:rsid w:val="0059673E"/>
    <w:rsid w:val="0059697A"/>
    <w:rsid w:val="00597264"/>
    <w:rsid w:val="005977A8"/>
    <w:rsid w:val="005A0019"/>
    <w:rsid w:val="005A1021"/>
    <w:rsid w:val="005A1080"/>
    <w:rsid w:val="005A1D4E"/>
    <w:rsid w:val="005A208A"/>
    <w:rsid w:val="005A2E7D"/>
    <w:rsid w:val="005A2F7C"/>
    <w:rsid w:val="005A2F8C"/>
    <w:rsid w:val="005A304D"/>
    <w:rsid w:val="005A3B12"/>
    <w:rsid w:val="005A3B66"/>
    <w:rsid w:val="005A48AD"/>
    <w:rsid w:val="005A4964"/>
    <w:rsid w:val="005A5053"/>
    <w:rsid w:val="005A5D74"/>
    <w:rsid w:val="005A6039"/>
    <w:rsid w:val="005A6389"/>
    <w:rsid w:val="005A668F"/>
    <w:rsid w:val="005A6928"/>
    <w:rsid w:val="005A6A4C"/>
    <w:rsid w:val="005A7D5D"/>
    <w:rsid w:val="005A7F38"/>
    <w:rsid w:val="005B04DA"/>
    <w:rsid w:val="005B06BE"/>
    <w:rsid w:val="005B08D6"/>
    <w:rsid w:val="005B0C43"/>
    <w:rsid w:val="005B0F46"/>
    <w:rsid w:val="005B1212"/>
    <w:rsid w:val="005B16C7"/>
    <w:rsid w:val="005B28F8"/>
    <w:rsid w:val="005B2BC5"/>
    <w:rsid w:val="005B31A1"/>
    <w:rsid w:val="005B397F"/>
    <w:rsid w:val="005B4059"/>
    <w:rsid w:val="005B41FF"/>
    <w:rsid w:val="005B430B"/>
    <w:rsid w:val="005B5E13"/>
    <w:rsid w:val="005B5EE4"/>
    <w:rsid w:val="005B6C46"/>
    <w:rsid w:val="005B6D25"/>
    <w:rsid w:val="005B6FD3"/>
    <w:rsid w:val="005B7884"/>
    <w:rsid w:val="005B7CD4"/>
    <w:rsid w:val="005B7E46"/>
    <w:rsid w:val="005C093A"/>
    <w:rsid w:val="005C0AE9"/>
    <w:rsid w:val="005C0C37"/>
    <w:rsid w:val="005C1B4C"/>
    <w:rsid w:val="005C1F19"/>
    <w:rsid w:val="005C20D9"/>
    <w:rsid w:val="005C222E"/>
    <w:rsid w:val="005C2B5F"/>
    <w:rsid w:val="005C33C7"/>
    <w:rsid w:val="005C4200"/>
    <w:rsid w:val="005C43D4"/>
    <w:rsid w:val="005C49D8"/>
    <w:rsid w:val="005C54B9"/>
    <w:rsid w:val="005C5A41"/>
    <w:rsid w:val="005C5BB1"/>
    <w:rsid w:val="005C5C65"/>
    <w:rsid w:val="005C5D9F"/>
    <w:rsid w:val="005C7062"/>
    <w:rsid w:val="005C720A"/>
    <w:rsid w:val="005C75F0"/>
    <w:rsid w:val="005C75F8"/>
    <w:rsid w:val="005C7E6C"/>
    <w:rsid w:val="005D0401"/>
    <w:rsid w:val="005D163C"/>
    <w:rsid w:val="005D16AE"/>
    <w:rsid w:val="005D19AC"/>
    <w:rsid w:val="005D218C"/>
    <w:rsid w:val="005D22D5"/>
    <w:rsid w:val="005D2A4B"/>
    <w:rsid w:val="005D2B70"/>
    <w:rsid w:val="005D34ED"/>
    <w:rsid w:val="005D3599"/>
    <w:rsid w:val="005D3FDE"/>
    <w:rsid w:val="005D41CD"/>
    <w:rsid w:val="005D4358"/>
    <w:rsid w:val="005D45C1"/>
    <w:rsid w:val="005D47C3"/>
    <w:rsid w:val="005D57E3"/>
    <w:rsid w:val="005D5FAA"/>
    <w:rsid w:val="005D7A41"/>
    <w:rsid w:val="005D7E8F"/>
    <w:rsid w:val="005D7F52"/>
    <w:rsid w:val="005E0CCC"/>
    <w:rsid w:val="005E0FFC"/>
    <w:rsid w:val="005E14F3"/>
    <w:rsid w:val="005E18ED"/>
    <w:rsid w:val="005E1AA2"/>
    <w:rsid w:val="005E31A7"/>
    <w:rsid w:val="005E3266"/>
    <w:rsid w:val="005E3F27"/>
    <w:rsid w:val="005E422B"/>
    <w:rsid w:val="005E45FC"/>
    <w:rsid w:val="005E50C9"/>
    <w:rsid w:val="005E5323"/>
    <w:rsid w:val="005E5416"/>
    <w:rsid w:val="005E5926"/>
    <w:rsid w:val="005E6180"/>
    <w:rsid w:val="005F025B"/>
    <w:rsid w:val="005F0794"/>
    <w:rsid w:val="005F0846"/>
    <w:rsid w:val="005F0D4E"/>
    <w:rsid w:val="005F2117"/>
    <w:rsid w:val="005F2A81"/>
    <w:rsid w:val="005F3938"/>
    <w:rsid w:val="005F3A1B"/>
    <w:rsid w:val="005F3B8E"/>
    <w:rsid w:val="005F3E21"/>
    <w:rsid w:val="005F44F1"/>
    <w:rsid w:val="005F4521"/>
    <w:rsid w:val="005F4ED5"/>
    <w:rsid w:val="005F5FF6"/>
    <w:rsid w:val="005F6119"/>
    <w:rsid w:val="005F692A"/>
    <w:rsid w:val="005F697C"/>
    <w:rsid w:val="005F6E8C"/>
    <w:rsid w:val="005F7A67"/>
    <w:rsid w:val="00600767"/>
    <w:rsid w:val="00600A4E"/>
    <w:rsid w:val="00600E71"/>
    <w:rsid w:val="0060108B"/>
    <w:rsid w:val="0060127E"/>
    <w:rsid w:val="00601E2F"/>
    <w:rsid w:val="00601EB4"/>
    <w:rsid w:val="00602127"/>
    <w:rsid w:val="00602D73"/>
    <w:rsid w:val="00602DC1"/>
    <w:rsid w:val="00602F66"/>
    <w:rsid w:val="00603C08"/>
    <w:rsid w:val="00604132"/>
    <w:rsid w:val="0060460C"/>
    <w:rsid w:val="00604EC4"/>
    <w:rsid w:val="0060566C"/>
    <w:rsid w:val="00605693"/>
    <w:rsid w:val="00605BDB"/>
    <w:rsid w:val="00606236"/>
    <w:rsid w:val="00606ADE"/>
    <w:rsid w:val="00606DCB"/>
    <w:rsid w:val="00606E18"/>
    <w:rsid w:val="00607348"/>
    <w:rsid w:val="00610B5D"/>
    <w:rsid w:val="00610E0B"/>
    <w:rsid w:val="00611299"/>
    <w:rsid w:val="00611402"/>
    <w:rsid w:val="0061140A"/>
    <w:rsid w:val="00611485"/>
    <w:rsid w:val="006116CC"/>
    <w:rsid w:val="0061249D"/>
    <w:rsid w:val="00613124"/>
    <w:rsid w:val="006134E4"/>
    <w:rsid w:val="00613BD4"/>
    <w:rsid w:val="00613EAC"/>
    <w:rsid w:val="00613F93"/>
    <w:rsid w:val="0061424B"/>
    <w:rsid w:val="0061449B"/>
    <w:rsid w:val="00614AF3"/>
    <w:rsid w:val="006152DE"/>
    <w:rsid w:val="00616297"/>
    <w:rsid w:val="00616B03"/>
    <w:rsid w:val="00616D2A"/>
    <w:rsid w:val="00617328"/>
    <w:rsid w:val="00617898"/>
    <w:rsid w:val="006179A0"/>
    <w:rsid w:val="00617BB3"/>
    <w:rsid w:val="00617BB6"/>
    <w:rsid w:val="0062046D"/>
    <w:rsid w:val="00620BE6"/>
    <w:rsid w:val="00620CB9"/>
    <w:rsid w:val="006210D2"/>
    <w:rsid w:val="00621233"/>
    <w:rsid w:val="00621789"/>
    <w:rsid w:val="00621B00"/>
    <w:rsid w:val="00622861"/>
    <w:rsid w:val="00622D3A"/>
    <w:rsid w:val="00623645"/>
    <w:rsid w:val="00625026"/>
    <w:rsid w:val="006252BB"/>
    <w:rsid w:val="00625C70"/>
    <w:rsid w:val="00626200"/>
    <w:rsid w:val="00626225"/>
    <w:rsid w:val="00626EED"/>
    <w:rsid w:val="00627099"/>
    <w:rsid w:val="00627DCF"/>
    <w:rsid w:val="0063015C"/>
    <w:rsid w:val="0063041E"/>
    <w:rsid w:val="00631050"/>
    <w:rsid w:val="0063115E"/>
    <w:rsid w:val="0063140B"/>
    <w:rsid w:val="006314BE"/>
    <w:rsid w:val="0063236E"/>
    <w:rsid w:val="00632A20"/>
    <w:rsid w:val="00632ED9"/>
    <w:rsid w:val="0063379B"/>
    <w:rsid w:val="006337EB"/>
    <w:rsid w:val="00633B96"/>
    <w:rsid w:val="00634A0E"/>
    <w:rsid w:val="00634ECA"/>
    <w:rsid w:val="00635203"/>
    <w:rsid w:val="00635895"/>
    <w:rsid w:val="00636169"/>
    <w:rsid w:val="00636655"/>
    <w:rsid w:val="00636B62"/>
    <w:rsid w:val="00637093"/>
    <w:rsid w:val="00637281"/>
    <w:rsid w:val="00637524"/>
    <w:rsid w:val="00637889"/>
    <w:rsid w:val="006378C3"/>
    <w:rsid w:val="00637B67"/>
    <w:rsid w:val="00637F1B"/>
    <w:rsid w:val="006400E4"/>
    <w:rsid w:val="00640541"/>
    <w:rsid w:val="00640702"/>
    <w:rsid w:val="00640924"/>
    <w:rsid w:val="006414AB"/>
    <w:rsid w:val="006415AF"/>
    <w:rsid w:val="00641901"/>
    <w:rsid w:val="006422D9"/>
    <w:rsid w:val="006428B8"/>
    <w:rsid w:val="00642E4B"/>
    <w:rsid w:val="00643114"/>
    <w:rsid w:val="00643296"/>
    <w:rsid w:val="00643D00"/>
    <w:rsid w:val="0064426E"/>
    <w:rsid w:val="00644B47"/>
    <w:rsid w:val="00644C02"/>
    <w:rsid w:val="00644CEC"/>
    <w:rsid w:val="00644FAD"/>
    <w:rsid w:val="00645296"/>
    <w:rsid w:val="0064584F"/>
    <w:rsid w:val="006458F5"/>
    <w:rsid w:val="006465E7"/>
    <w:rsid w:val="006468CA"/>
    <w:rsid w:val="00646988"/>
    <w:rsid w:val="00646AB4"/>
    <w:rsid w:val="00646C41"/>
    <w:rsid w:val="00646D4A"/>
    <w:rsid w:val="00646DF5"/>
    <w:rsid w:val="00647E33"/>
    <w:rsid w:val="00647ED1"/>
    <w:rsid w:val="006501DE"/>
    <w:rsid w:val="0065056F"/>
    <w:rsid w:val="00650FD1"/>
    <w:rsid w:val="00652166"/>
    <w:rsid w:val="00652312"/>
    <w:rsid w:val="006528CB"/>
    <w:rsid w:val="00653145"/>
    <w:rsid w:val="006534FC"/>
    <w:rsid w:val="00653D8F"/>
    <w:rsid w:val="00654A77"/>
    <w:rsid w:val="006552F4"/>
    <w:rsid w:val="006555BF"/>
    <w:rsid w:val="00655B49"/>
    <w:rsid w:val="00655CD8"/>
    <w:rsid w:val="00656289"/>
    <w:rsid w:val="00656448"/>
    <w:rsid w:val="006568C8"/>
    <w:rsid w:val="00656D5C"/>
    <w:rsid w:val="006573FC"/>
    <w:rsid w:val="00657817"/>
    <w:rsid w:val="0066025E"/>
    <w:rsid w:val="006615EA"/>
    <w:rsid w:val="0066161D"/>
    <w:rsid w:val="00661D09"/>
    <w:rsid w:val="00662CDC"/>
    <w:rsid w:val="00662DE9"/>
    <w:rsid w:val="006631E9"/>
    <w:rsid w:val="006633B5"/>
    <w:rsid w:val="00663511"/>
    <w:rsid w:val="006639E7"/>
    <w:rsid w:val="00663ADC"/>
    <w:rsid w:val="00663C48"/>
    <w:rsid w:val="0066586D"/>
    <w:rsid w:val="0066588D"/>
    <w:rsid w:val="00665C16"/>
    <w:rsid w:val="00665F3E"/>
    <w:rsid w:val="006660B1"/>
    <w:rsid w:val="0066619C"/>
    <w:rsid w:val="00666B5B"/>
    <w:rsid w:val="00666FB4"/>
    <w:rsid w:val="006670C4"/>
    <w:rsid w:val="00667B39"/>
    <w:rsid w:val="0067083B"/>
    <w:rsid w:val="00671366"/>
    <w:rsid w:val="00672504"/>
    <w:rsid w:val="0067295E"/>
    <w:rsid w:val="00673E6F"/>
    <w:rsid w:val="0067412F"/>
    <w:rsid w:val="006751C5"/>
    <w:rsid w:val="0067598F"/>
    <w:rsid w:val="00675D5B"/>
    <w:rsid w:val="0067695A"/>
    <w:rsid w:val="00676A55"/>
    <w:rsid w:val="00676F62"/>
    <w:rsid w:val="006775EF"/>
    <w:rsid w:val="00677B4A"/>
    <w:rsid w:val="00677F61"/>
    <w:rsid w:val="0068051F"/>
    <w:rsid w:val="00680894"/>
    <w:rsid w:val="00680A87"/>
    <w:rsid w:val="00681130"/>
    <w:rsid w:val="0068198A"/>
    <w:rsid w:val="00681EA5"/>
    <w:rsid w:val="0068219D"/>
    <w:rsid w:val="00682232"/>
    <w:rsid w:val="0068252F"/>
    <w:rsid w:val="006826BC"/>
    <w:rsid w:val="00682D24"/>
    <w:rsid w:val="0068386A"/>
    <w:rsid w:val="00683A8D"/>
    <w:rsid w:val="006841B4"/>
    <w:rsid w:val="006843EC"/>
    <w:rsid w:val="00685047"/>
    <w:rsid w:val="006854FA"/>
    <w:rsid w:val="0068561E"/>
    <w:rsid w:val="00685694"/>
    <w:rsid w:val="00685D1E"/>
    <w:rsid w:val="00685E87"/>
    <w:rsid w:val="00685FFC"/>
    <w:rsid w:val="006866F4"/>
    <w:rsid w:val="006871F9"/>
    <w:rsid w:val="006900FA"/>
    <w:rsid w:val="00690841"/>
    <w:rsid w:val="00690923"/>
    <w:rsid w:val="006918A6"/>
    <w:rsid w:val="006921DB"/>
    <w:rsid w:val="00692447"/>
    <w:rsid w:val="006930DF"/>
    <w:rsid w:val="00693B21"/>
    <w:rsid w:val="00693D92"/>
    <w:rsid w:val="0069450B"/>
    <w:rsid w:val="00694947"/>
    <w:rsid w:val="00695205"/>
    <w:rsid w:val="0069555F"/>
    <w:rsid w:val="0069568C"/>
    <w:rsid w:val="00695F7D"/>
    <w:rsid w:val="0069623B"/>
    <w:rsid w:val="00696352"/>
    <w:rsid w:val="006966D6"/>
    <w:rsid w:val="00696838"/>
    <w:rsid w:val="00697883"/>
    <w:rsid w:val="00697B0D"/>
    <w:rsid w:val="006A0256"/>
    <w:rsid w:val="006A05E2"/>
    <w:rsid w:val="006A0718"/>
    <w:rsid w:val="006A094B"/>
    <w:rsid w:val="006A0F3B"/>
    <w:rsid w:val="006A100B"/>
    <w:rsid w:val="006A129F"/>
    <w:rsid w:val="006A2135"/>
    <w:rsid w:val="006A272D"/>
    <w:rsid w:val="006A2E76"/>
    <w:rsid w:val="006A31CF"/>
    <w:rsid w:val="006A3497"/>
    <w:rsid w:val="006A41B4"/>
    <w:rsid w:val="006A44C1"/>
    <w:rsid w:val="006A4770"/>
    <w:rsid w:val="006A506C"/>
    <w:rsid w:val="006A5EC7"/>
    <w:rsid w:val="006A676C"/>
    <w:rsid w:val="006A6D6D"/>
    <w:rsid w:val="006A7EA0"/>
    <w:rsid w:val="006B081B"/>
    <w:rsid w:val="006B14B5"/>
    <w:rsid w:val="006B1A71"/>
    <w:rsid w:val="006B2D80"/>
    <w:rsid w:val="006B2DB6"/>
    <w:rsid w:val="006B2EB1"/>
    <w:rsid w:val="006B2FCB"/>
    <w:rsid w:val="006B360A"/>
    <w:rsid w:val="006B36B1"/>
    <w:rsid w:val="006B399B"/>
    <w:rsid w:val="006B4B5E"/>
    <w:rsid w:val="006B575A"/>
    <w:rsid w:val="006B628D"/>
    <w:rsid w:val="006B63BB"/>
    <w:rsid w:val="006B6798"/>
    <w:rsid w:val="006B6BA6"/>
    <w:rsid w:val="006B70B3"/>
    <w:rsid w:val="006B780E"/>
    <w:rsid w:val="006B7E81"/>
    <w:rsid w:val="006C03FA"/>
    <w:rsid w:val="006C05EA"/>
    <w:rsid w:val="006C1248"/>
    <w:rsid w:val="006C13E9"/>
    <w:rsid w:val="006C1784"/>
    <w:rsid w:val="006C1787"/>
    <w:rsid w:val="006C19F6"/>
    <w:rsid w:val="006C2732"/>
    <w:rsid w:val="006C29FF"/>
    <w:rsid w:val="006C2BD6"/>
    <w:rsid w:val="006C3A11"/>
    <w:rsid w:val="006C405C"/>
    <w:rsid w:val="006C4761"/>
    <w:rsid w:val="006C4793"/>
    <w:rsid w:val="006C48A7"/>
    <w:rsid w:val="006C4C3C"/>
    <w:rsid w:val="006C4C5C"/>
    <w:rsid w:val="006C4FAE"/>
    <w:rsid w:val="006C5326"/>
    <w:rsid w:val="006C5E11"/>
    <w:rsid w:val="006C5EE8"/>
    <w:rsid w:val="006C6302"/>
    <w:rsid w:val="006C6AD0"/>
    <w:rsid w:val="006C6DA7"/>
    <w:rsid w:val="006C72C3"/>
    <w:rsid w:val="006C7BCD"/>
    <w:rsid w:val="006D12AF"/>
    <w:rsid w:val="006D22F1"/>
    <w:rsid w:val="006D251D"/>
    <w:rsid w:val="006D3077"/>
    <w:rsid w:val="006D38DB"/>
    <w:rsid w:val="006D3914"/>
    <w:rsid w:val="006D3A9D"/>
    <w:rsid w:val="006D3B87"/>
    <w:rsid w:val="006D3C27"/>
    <w:rsid w:val="006D403E"/>
    <w:rsid w:val="006D4463"/>
    <w:rsid w:val="006D479A"/>
    <w:rsid w:val="006D4F3B"/>
    <w:rsid w:val="006D52B2"/>
    <w:rsid w:val="006D5D01"/>
    <w:rsid w:val="006D5EB4"/>
    <w:rsid w:val="006D6012"/>
    <w:rsid w:val="006D6A0D"/>
    <w:rsid w:val="006D6EAD"/>
    <w:rsid w:val="006D78F4"/>
    <w:rsid w:val="006E03C6"/>
    <w:rsid w:val="006E042E"/>
    <w:rsid w:val="006E0C33"/>
    <w:rsid w:val="006E0DA1"/>
    <w:rsid w:val="006E18BE"/>
    <w:rsid w:val="006E18C2"/>
    <w:rsid w:val="006E235B"/>
    <w:rsid w:val="006E2360"/>
    <w:rsid w:val="006E25C8"/>
    <w:rsid w:val="006E330E"/>
    <w:rsid w:val="006E33CD"/>
    <w:rsid w:val="006E34DF"/>
    <w:rsid w:val="006E383B"/>
    <w:rsid w:val="006E40D0"/>
    <w:rsid w:val="006E4475"/>
    <w:rsid w:val="006E5107"/>
    <w:rsid w:val="006E528E"/>
    <w:rsid w:val="006E54EF"/>
    <w:rsid w:val="006E63A2"/>
    <w:rsid w:val="006E642F"/>
    <w:rsid w:val="006E6E69"/>
    <w:rsid w:val="006E7005"/>
    <w:rsid w:val="006E74A2"/>
    <w:rsid w:val="006E7739"/>
    <w:rsid w:val="006E774E"/>
    <w:rsid w:val="006F263D"/>
    <w:rsid w:val="006F2648"/>
    <w:rsid w:val="006F290F"/>
    <w:rsid w:val="006F2D58"/>
    <w:rsid w:val="006F2F11"/>
    <w:rsid w:val="006F311B"/>
    <w:rsid w:val="006F335F"/>
    <w:rsid w:val="006F3403"/>
    <w:rsid w:val="006F5736"/>
    <w:rsid w:val="006F59BC"/>
    <w:rsid w:val="006F5CD5"/>
    <w:rsid w:val="006F63EE"/>
    <w:rsid w:val="006F6854"/>
    <w:rsid w:val="006F689A"/>
    <w:rsid w:val="006F6A7C"/>
    <w:rsid w:val="006F6B67"/>
    <w:rsid w:val="006F6BBF"/>
    <w:rsid w:val="006F6D3B"/>
    <w:rsid w:val="006F6DCC"/>
    <w:rsid w:val="006F7040"/>
    <w:rsid w:val="006F7384"/>
    <w:rsid w:val="006F7B5E"/>
    <w:rsid w:val="006F7CBF"/>
    <w:rsid w:val="00700154"/>
    <w:rsid w:val="007008C4"/>
    <w:rsid w:val="00702081"/>
    <w:rsid w:val="00702472"/>
    <w:rsid w:val="0070271F"/>
    <w:rsid w:val="007027A0"/>
    <w:rsid w:val="0070345F"/>
    <w:rsid w:val="00704572"/>
    <w:rsid w:val="00704616"/>
    <w:rsid w:val="00704F9B"/>
    <w:rsid w:val="00705208"/>
    <w:rsid w:val="00705DD1"/>
    <w:rsid w:val="007066F9"/>
    <w:rsid w:val="007067DB"/>
    <w:rsid w:val="00706C1D"/>
    <w:rsid w:val="00707047"/>
    <w:rsid w:val="00707E27"/>
    <w:rsid w:val="00710727"/>
    <w:rsid w:val="00710D8D"/>
    <w:rsid w:val="007126E3"/>
    <w:rsid w:val="00713955"/>
    <w:rsid w:val="00713971"/>
    <w:rsid w:val="00713CF7"/>
    <w:rsid w:val="007142DA"/>
    <w:rsid w:val="0071524A"/>
    <w:rsid w:val="0071533B"/>
    <w:rsid w:val="00715373"/>
    <w:rsid w:val="00715516"/>
    <w:rsid w:val="007155B7"/>
    <w:rsid w:val="007155D2"/>
    <w:rsid w:val="00715886"/>
    <w:rsid w:val="00715D15"/>
    <w:rsid w:val="007164BF"/>
    <w:rsid w:val="00716C4D"/>
    <w:rsid w:val="00717110"/>
    <w:rsid w:val="0071717D"/>
    <w:rsid w:val="00717313"/>
    <w:rsid w:val="00717D3E"/>
    <w:rsid w:val="00720663"/>
    <w:rsid w:val="007209F1"/>
    <w:rsid w:val="00720EE6"/>
    <w:rsid w:val="00721405"/>
    <w:rsid w:val="00721822"/>
    <w:rsid w:val="00721E35"/>
    <w:rsid w:val="00721F5D"/>
    <w:rsid w:val="00722357"/>
    <w:rsid w:val="00722E54"/>
    <w:rsid w:val="00722FDA"/>
    <w:rsid w:val="0072303E"/>
    <w:rsid w:val="00723206"/>
    <w:rsid w:val="007241C2"/>
    <w:rsid w:val="007244A6"/>
    <w:rsid w:val="00724970"/>
    <w:rsid w:val="00725FBD"/>
    <w:rsid w:val="00726077"/>
    <w:rsid w:val="007268C6"/>
    <w:rsid w:val="007268E0"/>
    <w:rsid w:val="00726C6C"/>
    <w:rsid w:val="00727460"/>
    <w:rsid w:val="00727BBB"/>
    <w:rsid w:val="00727FC4"/>
    <w:rsid w:val="00730B08"/>
    <w:rsid w:val="00730ECE"/>
    <w:rsid w:val="00731B6C"/>
    <w:rsid w:val="00731EF0"/>
    <w:rsid w:val="0073258B"/>
    <w:rsid w:val="007328D4"/>
    <w:rsid w:val="0073297C"/>
    <w:rsid w:val="00733512"/>
    <w:rsid w:val="007338EF"/>
    <w:rsid w:val="00733D4E"/>
    <w:rsid w:val="00734C53"/>
    <w:rsid w:val="00734D03"/>
    <w:rsid w:val="00734EB4"/>
    <w:rsid w:val="00735616"/>
    <w:rsid w:val="00735A13"/>
    <w:rsid w:val="00735A54"/>
    <w:rsid w:val="00735B0A"/>
    <w:rsid w:val="00735D52"/>
    <w:rsid w:val="0073707E"/>
    <w:rsid w:val="007378ED"/>
    <w:rsid w:val="00737913"/>
    <w:rsid w:val="0074031C"/>
    <w:rsid w:val="00741746"/>
    <w:rsid w:val="007419C1"/>
    <w:rsid w:val="00741D71"/>
    <w:rsid w:val="00743603"/>
    <w:rsid w:val="00743784"/>
    <w:rsid w:val="00743E16"/>
    <w:rsid w:val="00744BD7"/>
    <w:rsid w:val="00744E86"/>
    <w:rsid w:val="00744F31"/>
    <w:rsid w:val="0074587A"/>
    <w:rsid w:val="00746680"/>
    <w:rsid w:val="007466DB"/>
    <w:rsid w:val="00750374"/>
    <w:rsid w:val="00750674"/>
    <w:rsid w:val="00750CA9"/>
    <w:rsid w:val="0075144A"/>
    <w:rsid w:val="00751C0F"/>
    <w:rsid w:val="00751D45"/>
    <w:rsid w:val="00751FB0"/>
    <w:rsid w:val="007525CF"/>
    <w:rsid w:val="007526C5"/>
    <w:rsid w:val="00752CB3"/>
    <w:rsid w:val="00752D1F"/>
    <w:rsid w:val="00753572"/>
    <w:rsid w:val="007537C2"/>
    <w:rsid w:val="007539F1"/>
    <w:rsid w:val="00753FE8"/>
    <w:rsid w:val="007549C6"/>
    <w:rsid w:val="007552CB"/>
    <w:rsid w:val="007556EA"/>
    <w:rsid w:val="007558AA"/>
    <w:rsid w:val="00756004"/>
    <w:rsid w:val="007564D9"/>
    <w:rsid w:val="00756BBA"/>
    <w:rsid w:val="00757E5D"/>
    <w:rsid w:val="0076061E"/>
    <w:rsid w:val="00760845"/>
    <w:rsid w:val="00760A66"/>
    <w:rsid w:val="007622B8"/>
    <w:rsid w:val="007624A1"/>
    <w:rsid w:val="00762B8E"/>
    <w:rsid w:val="00763095"/>
    <w:rsid w:val="00763590"/>
    <w:rsid w:val="00763A88"/>
    <w:rsid w:val="00763B37"/>
    <w:rsid w:val="00763B96"/>
    <w:rsid w:val="00763BFF"/>
    <w:rsid w:val="00763DAF"/>
    <w:rsid w:val="00764501"/>
    <w:rsid w:val="00764729"/>
    <w:rsid w:val="007659CC"/>
    <w:rsid w:val="00765CBE"/>
    <w:rsid w:val="00765F0A"/>
    <w:rsid w:val="00766023"/>
    <w:rsid w:val="00767DE6"/>
    <w:rsid w:val="00770074"/>
    <w:rsid w:val="007706C0"/>
    <w:rsid w:val="007708CE"/>
    <w:rsid w:val="00770DEF"/>
    <w:rsid w:val="00771B89"/>
    <w:rsid w:val="007721FF"/>
    <w:rsid w:val="00772594"/>
    <w:rsid w:val="0077297F"/>
    <w:rsid w:val="00772A72"/>
    <w:rsid w:val="00773ACB"/>
    <w:rsid w:val="00774120"/>
    <w:rsid w:val="0077421C"/>
    <w:rsid w:val="00774B2A"/>
    <w:rsid w:val="007750FD"/>
    <w:rsid w:val="00775B90"/>
    <w:rsid w:val="00775DA6"/>
    <w:rsid w:val="00775F3B"/>
    <w:rsid w:val="00775F9B"/>
    <w:rsid w:val="00776F40"/>
    <w:rsid w:val="00777182"/>
    <w:rsid w:val="007800BB"/>
    <w:rsid w:val="0078058E"/>
    <w:rsid w:val="007806D8"/>
    <w:rsid w:val="007809DB"/>
    <w:rsid w:val="00783185"/>
    <w:rsid w:val="00783C2F"/>
    <w:rsid w:val="007841E6"/>
    <w:rsid w:val="007842CB"/>
    <w:rsid w:val="00784AD4"/>
    <w:rsid w:val="00784BAF"/>
    <w:rsid w:val="00784E5E"/>
    <w:rsid w:val="00785D01"/>
    <w:rsid w:val="007862B9"/>
    <w:rsid w:val="007868E8"/>
    <w:rsid w:val="00786B0D"/>
    <w:rsid w:val="00786E54"/>
    <w:rsid w:val="00787020"/>
    <w:rsid w:val="00787668"/>
    <w:rsid w:val="007876A3"/>
    <w:rsid w:val="00787AB9"/>
    <w:rsid w:val="007908F9"/>
    <w:rsid w:val="00790CFD"/>
    <w:rsid w:val="0079100B"/>
    <w:rsid w:val="007926A5"/>
    <w:rsid w:val="00792856"/>
    <w:rsid w:val="0079395A"/>
    <w:rsid w:val="00793F72"/>
    <w:rsid w:val="0079475E"/>
    <w:rsid w:val="007949AE"/>
    <w:rsid w:val="00794D09"/>
    <w:rsid w:val="0079510E"/>
    <w:rsid w:val="0079515A"/>
    <w:rsid w:val="00795360"/>
    <w:rsid w:val="00795805"/>
    <w:rsid w:val="00795CBE"/>
    <w:rsid w:val="00797530"/>
    <w:rsid w:val="00797893"/>
    <w:rsid w:val="007A04AF"/>
    <w:rsid w:val="007A09E1"/>
    <w:rsid w:val="007A0A0C"/>
    <w:rsid w:val="007A0A3F"/>
    <w:rsid w:val="007A1142"/>
    <w:rsid w:val="007A1605"/>
    <w:rsid w:val="007A2657"/>
    <w:rsid w:val="007A2CC2"/>
    <w:rsid w:val="007A32DD"/>
    <w:rsid w:val="007A3BCF"/>
    <w:rsid w:val="007A40D8"/>
    <w:rsid w:val="007A40F8"/>
    <w:rsid w:val="007A44DD"/>
    <w:rsid w:val="007A55C8"/>
    <w:rsid w:val="007A5CF5"/>
    <w:rsid w:val="007A66AA"/>
    <w:rsid w:val="007A6FA1"/>
    <w:rsid w:val="007A724A"/>
    <w:rsid w:val="007A7357"/>
    <w:rsid w:val="007A73B1"/>
    <w:rsid w:val="007A77CF"/>
    <w:rsid w:val="007A7F67"/>
    <w:rsid w:val="007B0183"/>
    <w:rsid w:val="007B01A0"/>
    <w:rsid w:val="007B08DF"/>
    <w:rsid w:val="007B093B"/>
    <w:rsid w:val="007B0DE9"/>
    <w:rsid w:val="007B14E8"/>
    <w:rsid w:val="007B1E84"/>
    <w:rsid w:val="007B2811"/>
    <w:rsid w:val="007B2A11"/>
    <w:rsid w:val="007B30E7"/>
    <w:rsid w:val="007B37D1"/>
    <w:rsid w:val="007B42FF"/>
    <w:rsid w:val="007B45C9"/>
    <w:rsid w:val="007B4693"/>
    <w:rsid w:val="007B4735"/>
    <w:rsid w:val="007B47B0"/>
    <w:rsid w:val="007B4C73"/>
    <w:rsid w:val="007B4D75"/>
    <w:rsid w:val="007B583F"/>
    <w:rsid w:val="007B5EE6"/>
    <w:rsid w:val="007B6458"/>
    <w:rsid w:val="007B76F1"/>
    <w:rsid w:val="007B7726"/>
    <w:rsid w:val="007C05EE"/>
    <w:rsid w:val="007C0D40"/>
    <w:rsid w:val="007C15AF"/>
    <w:rsid w:val="007C1ABC"/>
    <w:rsid w:val="007C1AE9"/>
    <w:rsid w:val="007C1DBE"/>
    <w:rsid w:val="007C2631"/>
    <w:rsid w:val="007C28D8"/>
    <w:rsid w:val="007C2CF0"/>
    <w:rsid w:val="007C3149"/>
    <w:rsid w:val="007C3331"/>
    <w:rsid w:val="007C35DC"/>
    <w:rsid w:val="007C4250"/>
    <w:rsid w:val="007C4CE5"/>
    <w:rsid w:val="007C500A"/>
    <w:rsid w:val="007C5169"/>
    <w:rsid w:val="007C55D5"/>
    <w:rsid w:val="007C5EC4"/>
    <w:rsid w:val="007C6983"/>
    <w:rsid w:val="007C6DD7"/>
    <w:rsid w:val="007C6E5C"/>
    <w:rsid w:val="007C6ECB"/>
    <w:rsid w:val="007C7393"/>
    <w:rsid w:val="007C74F3"/>
    <w:rsid w:val="007C7689"/>
    <w:rsid w:val="007D051F"/>
    <w:rsid w:val="007D0CB3"/>
    <w:rsid w:val="007D0D48"/>
    <w:rsid w:val="007D118F"/>
    <w:rsid w:val="007D14EA"/>
    <w:rsid w:val="007D1A8C"/>
    <w:rsid w:val="007D1C59"/>
    <w:rsid w:val="007D1E24"/>
    <w:rsid w:val="007D2147"/>
    <w:rsid w:val="007D2319"/>
    <w:rsid w:val="007D2546"/>
    <w:rsid w:val="007D2907"/>
    <w:rsid w:val="007D2BD6"/>
    <w:rsid w:val="007D2BDF"/>
    <w:rsid w:val="007D2DED"/>
    <w:rsid w:val="007D3B7C"/>
    <w:rsid w:val="007D4176"/>
    <w:rsid w:val="007D4245"/>
    <w:rsid w:val="007D42F1"/>
    <w:rsid w:val="007D4323"/>
    <w:rsid w:val="007D4AF9"/>
    <w:rsid w:val="007D55DD"/>
    <w:rsid w:val="007D5950"/>
    <w:rsid w:val="007D5F05"/>
    <w:rsid w:val="007D64A8"/>
    <w:rsid w:val="007E0305"/>
    <w:rsid w:val="007E0C87"/>
    <w:rsid w:val="007E0CB8"/>
    <w:rsid w:val="007E0D90"/>
    <w:rsid w:val="007E1FE9"/>
    <w:rsid w:val="007E267F"/>
    <w:rsid w:val="007E26E0"/>
    <w:rsid w:val="007E27BD"/>
    <w:rsid w:val="007E2D23"/>
    <w:rsid w:val="007E30C1"/>
    <w:rsid w:val="007E3724"/>
    <w:rsid w:val="007E3CB4"/>
    <w:rsid w:val="007E417F"/>
    <w:rsid w:val="007E5126"/>
    <w:rsid w:val="007E56C2"/>
    <w:rsid w:val="007E64A9"/>
    <w:rsid w:val="007E6BA8"/>
    <w:rsid w:val="007E73B1"/>
    <w:rsid w:val="007F0176"/>
    <w:rsid w:val="007F0192"/>
    <w:rsid w:val="007F0235"/>
    <w:rsid w:val="007F073F"/>
    <w:rsid w:val="007F0972"/>
    <w:rsid w:val="007F0DA3"/>
    <w:rsid w:val="007F1BEF"/>
    <w:rsid w:val="007F1C1B"/>
    <w:rsid w:val="007F1F5D"/>
    <w:rsid w:val="007F26A7"/>
    <w:rsid w:val="007F27F5"/>
    <w:rsid w:val="007F2BCD"/>
    <w:rsid w:val="007F38BA"/>
    <w:rsid w:val="007F3C98"/>
    <w:rsid w:val="007F3D92"/>
    <w:rsid w:val="007F3FAF"/>
    <w:rsid w:val="007F48EC"/>
    <w:rsid w:val="007F56FA"/>
    <w:rsid w:val="007F5B99"/>
    <w:rsid w:val="007F5DF6"/>
    <w:rsid w:val="007F6078"/>
    <w:rsid w:val="007F6829"/>
    <w:rsid w:val="007F6886"/>
    <w:rsid w:val="007F6968"/>
    <w:rsid w:val="007F750F"/>
    <w:rsid w:val="007F7D7D"/>
    <w:rsid w:val="00800009"/>
    <w:rsid w:val="00800233"/>
    <w:rsid w:val="00800348"/>
    <w:rsid w:val="008003C4"/>
    <w:rsid w:val="00800720"/>
    <w:rsid w:val="00800E7C"/>
    <w:rsid w:val="00802166"/>
    <w:rsid w:val="00802A0A"/>
    <w:rsid w:val="00802BC6"/>
    <w:rsid w:val="0080303D"/>
    <w:rsid w:val="00803181"/>
    <w:rsid w:val="00803467"/>
    <w:rsid w:val="00803789"/>
    <w:rsid w:val="00803A4B"/>
    <w:rsid w:val="00803FB7"/>
    <w:rsid w:val="00804349"/>
    <w:rsid w:val="008047FC"/>
    <w:rsid w:val="0080486A"/>
    <w:rsid w:val="00804CCC"/>
    <w:rsid w:val="0080511B"/>
    <w:rsid w:val="00805525"/>
    <w:rsid w:val="008057A1"/>
    <w:rsid w:val="008058C1"/>
    <w:rsid w:val="00805B12"/>
    <w:rsid w:val="00805B3D"/>
    <w:rsid w:val="008062AF"/>
    <w:rsid w:val="00806476"/>
    <w:rsid w:val="00806536"/>
    <w:rsid w:val="00806A15"/>
    <w:rsid w:val="00806C17"/>
    <w:rsid w:val="0080759C"/>
    <w:rsid w:val="00807A80"/>
    <w:rsid w:val="00811308"/>
    <w:rsid w:val="00812F98"/>
    <w:rsid w:val="008133C4"/>
    <w:rsid w:val="00813BDF"/>
    <w:rsid w:val="008148BD"/>
    <w:rsid w:val="008148FF"/>
    <w:rsid w:val="00814F3B"/>
    <w:rsid w:val="00814FA0"/>
    <w:rsid w:val="0081665B"/>
    <w:rsid w:val="00817212"/>
    <w:rsid w:val="0081726A"/>
    <w:rsid w:val="0081737E"/>
    <w:rsid w:val="008175AC"/>
    <w:rsid w:val="00817A0C"/>
    <w:rsid w:val="00817E2E"/>
    <w:rsid w:val="00817FF6"/>
    <w:rsid w:val="008218B0"/>
    <w:rsid w:val="00822DB7"/>
    <w:rsid w:val="00823253"/>
    <w:rsid w:val="00823270"/>
    <w:rsid w:val="008234F0"/>
    <w:rsid w:val="00824A75"/>
    <w:rsid w:val="00824F5C"/>
    <w:rsid w:val="00825C08"/>
    <w:rsid w:val="008265C8"/>
    <w:rsid w:val="0082756E"/>
    <w:rsid w:val="00830D8B"/>
    <w:rsid w:val="00831667"/>
    <w:rsid w:val="00831933"/>
    <w:rsid w:val="0083272B"/>
    <w:rsid w:val="00832CF1"/>
    <w:rsid w:val="008331F9"/>
    <w:rsid w:val="00833456"/>
    <w:rsid w:val="008340D4"/>
    <w:rsid w:val="00834444"/>
    <w:rsid w:val="00834CB4"/>
    <w:rsid w:val="00835233"/>
    <w:rsid w:val="00836152"/>
    <w:rsid w:val="00836AF7"/>
    <w:rsid w:val="00836DA6"/>
    <w:rsid w:val="00836DB4"/>
    <w:rsid w:val="0084075D"/>
    <w:rsid w:val="00840C81"/>
    <w:rsid w:val="00840F3F"/>
    <w:rsid w:val="008419A3"/>
    <w:rsid w:val="008424CD"/>
    <w:rsid w:val="00842E0A"/>
    <w:rsid w:val="008444D1"/>
    <w:rsid w:val="0084454C"/>
    <w:rsid w:val="0084478F"/>
    <w:rsid w:val="008447DC"/>
    <w:rsid w:val="00844A7D"/>
    <w:rsid w:val="00844BA2"/>
    <w:rsid w:val="008454A2"/>
    <w:rsid w:val="00845643"/>
    <w:rsid w:val="00845A38"/>
    <w:rsid w:val="008467F1"/>
    <w:rsid w:val="00846BE7"/>
    <w:rsid w:val="00847519"/>
    <w:rsid w:val="00847A86"/>
    <w:rsid w:val="00847BBA"/>
    <w:rsid w:val="00847BF7"/>
    <w:rsid w:val="00850878"/>
    <w:rsid w:val="008510EF"/>
    <w:rsid w:val="008513B9"/>
    <w:rsid w:val="00851664"/>
    <w:rsid w:val="0085174F"/>
    <w:rsid w:val="00852B9D"/>
    <w:rsid w:val="00852F29"/>
    <w:rsid w:val="00853547"/>
    <w:rsid w:val="00853929"/>
    <w:rsid w:val="00854068"/>
    <w:rsid w:val="0085496A"/>
    <w:rsid w:val="00854DA1"/>
    <w:rsid w:val="00855762"/>
    <w:rsid w:val="008559B9"/>
    <w:rsid w:val="00855A0F"/>
    <w:rsid w:val="00855DBF"/>
    <w:rsid w:val="008562C2"/>
    <w:rsid w:val="008562C3"/>
    <w:rsid w:val="0085663B"/>
    <w:rsid w:val="00856B78"/>
    <w:rsid w:val="00856F5A"/>
    <w:rsid w:val="00856F8E"/>
    <w:rsid w:val="0085720B"/>
    <w:rsid w:val="00857E4C"/>
    <w:rsid w:val="0086182E"/>
    <w:rsid w:val="008619C3"/>
    <w:rsid w:val="00861E10"/>
    <w:rsid w:val="00862281"/>
    <w:rsid w:val="008630E4"/>
    <w:rsid w:val="00863312"/>
    <w:rsid w:val="008633F5"/>
    <w:rsid w:val="00863922"/>
    <w:rsid w:val="00864FE8"/>
    <w:rsid w:val="008651AC"/>
    <w:rsid w:val="008654D9"/>
    <w:rsid w:val="00865DBF"/>
    <w:rsid w:val="00865F0F"/>
    <w:rsid w:val="008667EA"/>
    <w:rsid w:val="00866B62"/>
    <w:rsid w:val="00867372"/>
    <w:rsid w:val="008674C3"/>
    <w:rsid w:val="00867587"/>
    <w:rsid w:val="00867F55"/>
    <w:rsid w:val="008700EE"/>
    <w:rsid w:val="008705E7"/>
    <w:rsid w:val="00870A9D"/>
    <w:rsid w:val="00870D81"/>
    <w:rsid w:val="00870EE9"/>
    <w:rsid w:val="008710D6"/>
    <w:rsid w:val="008712A6"/>
    <w:rsid w:val="00872405"/>
    <w:rsid w:val="00872C36"/>
    <w:rsid w:val="00872D8C"/>
    <w:rsid w:val="008739BC"/>
    <w:rsid w:val="008739BD"/>
    <w:rsid w:val="00873CAB"/>
    <w:rsid w:val="0087483A"/>
    <w:rsid w:val="00874B5D"/>
    <w:rsid w:val="00874BF7"/>
    <w:rsid w:val="008750E0"/>
    <w:rsid w:val="008756A5"/>
    <w:rsid w:val="00875A98"/>
    <w:rsid w:val="00875AA7"/>
    <w:rsid w:val="00875CCB"/>
    <w:rsid w:val="00875EFB"/>
    <w:rsid w:val="0087612E"/>
    <w:rsid w:val="00876471"/>
    <w:rsid w:val="00877AB5"/>
    <w:rsid w:val="00877F63"/>
    <w:rsid w:val="008810E6"/>
    <w:rsid w:val="00881430"/>
    <w:rsid w:val="00881584"/>
    <w:rsid w:val="00881682"/>
    <w:rsid w:val="00881911"/>
    <w:rsid w:val="008820EE"/>
    <w:rsid w:val="0088241D"/>
    <w:rsid w:val="00882A5F"/>
    <w:rsid w:val="00883597"/>
    <w:rsid w:val="00883829"/>
    <w:rsid w:val="00883DF8"/>
    <w:rsid w:val="00883F55"/>
    <w:rsid w:val="00884653"/>
    <w:rsid w:val="008846DE"/>
    <w:rsid w:val="00884E5D"/>
    <w:rsid w:val="00884E6F"/>
    <w:rsid w:val="00885CAB"/>
    <w:rsid w:val="00886683"/>
    <w:rsid w:val="00886982"/>
    <w:rsid w:val="00887157"/>
    <w:rsid w:val="00887668"/>
    <w:rsid w:val="00891058"/>
    <w:rsid w:val="008912E0"/>
    <w:rsid w:val="0089148F"/>
    <w:rsid w:val="00891B91"/>
    <w:rsid w:val="00891F0A"/>
    <w:rsid w:val="00894254"/>
    <w:rsid w:val="0089446D"/>
    <w:rsid w:val="00894581"/>
    <w:rsid w:val="008952C4"/>
    <w:rsid w:val="008954CF"/>
    <w:rsid w:val="00895B62"/>
    <w:rsid w:val="008A02E2"/>
    <w:rsid w:val="008A04E0"/>
    <w:rsid w:val="008A1349"/>
    <w:rsid w:val="008A4E6A"/>
    <w:rsid w:val="008A644F"/>
    <w:rsid w:val="008A678B"/>
    <w:rsid w:val="008A6BB8"/>
    <w:rsid w:val="008A6EAB"/>
    <w:rsid w:val="008B0D01"/>
    <w:rsid w:val="008B10EF"/>
    <w:rsid w:val="008B160C"/>
    <w:rsid w:val="008B2F91"/>
    <w:rsid w:val="008B2FA0"/>
    <w:rsid w:val="008B3FE7"/>
    <w:rsid w:val="008B440C"/>
    <w:rsid w:val="008B5426"/>
    <w:rsid w:val="008B608F"/>
    <w:rsid w:val="008B62FF"/>
    <w:rsid w:val="008B6952"/>
    <w:rsid w:val="008B72EB"/>
    <w:rsid w:val="008C01EB"/>
    <w:rsid w:val="008C039D"/>
    <w:rsid w:val="008C0F05"/>
    <w:rsid w:val="008C1BAE"/>
    <w:rsid w:val="008C29B4"/>
    <w:rsid w:val="008C2CBC"/>
    <w:rsid w:val="008C3BDA"/>
    <w:rsid w:val="008C3C5C"/>
    <w:rsid w:val="008C41BF"/>
    <w:rsid w:val="008C4AC5"/>
    <w:rsid w:val="008C5114"/>
    <w:rsid w:val="008C540B"/>
    <w:rsid w:val="008C63A4"/>
    <w:rsid w:val="008C64C8"/>
    <w:rsid w:val="008C6760"/>
    <w:rsid w:val="008C6854"/>
    <w:rsid w:val="008C6CBA"/>
    <w:rsid w:val="008C75DB"/>
    <w:rsid w:val="008C7603"/>
    <w:rsid w:val="008C77C1"/>
    <w:rsid w:val="008C7A43"/>
    <w:rsid w:val="008C7C84"/>
    <w:rsid w:val="008D0457"/>
    <w:rsid w:val="008D0841"/>
    <w:rsid w:val="008D14F3"/>
    <w:rsid w:val="008D176B"/>
    <w:rsid w:val="008D182D"/>
    <w:rsid w:val="008D1C08"/>
    <w:rsid w:val="008D25D7"/>
    <w:rsid w:val="008D2CEC"/>
    <w:rsid w:val="008D3964"/>
    <w:rsid w:val="008D39EE"/>
    <w:rsid w:val="008D3E92"/>
    <w:rsid w:val="008D4681"/>
    <w:rsid w:val="008D510A"/>
    <w:rsid w:val="008D5D8A"/>
    <w:rsid w:val="008D5FBF"/>
    <w:rsid w:val="008D6944"/>
    <w:rsid w:val="008D6B8D"/>
    <w:rsid w:val="008D72AF"/>
    <w:rsid w:val="008D7C1C"/>
    <w:rsid w:val="008D7C4B"/>
    <w:rsid w:val="008E0184"/>
    <w:rsid w:val="008E01BB"/>
    <w:rsid w:val="008E1D8C"/>
    <w:rsid w:val="008E1F73"/>
    <w:rsid w:val="008E21F5"/>
    <w:rsid w:val="008E2331"/>
    <w:rsid w:val="008E27F2"/>
    <w:rsid w:val="008E33D4"/>
    <w:rsid w:val="008E34EB"/>
    <w:rsid w:val="008E3570"/>
    <w:rsid w:val="008E41A8"/>
    <w:rsid w:val="008E4767"/>
    <w:rsid w:val="008E4999"/>
    <w:rsid w:val="008E5170"/>
    <w:rsid w:val="008E5399"/>
    <w:rsid w:val="008E5452"/>
    <w:rsid w:val="008E6187"/>
    <w:rsid w:val="008E63A1"/>
    <w:rsid w:val="008E64A9"/>
    <w:rsid w:val="008E6731"/>
    <w:rsid w:val="008E69D0"/>
    <w:rsid w:val="008E6C9E"/>
    <w:rsid w:val="008E6EAC"/>
    <w:rsid w:val="008E7E7E"/>
    <w:rsid w:val="008F080E"/>
    <w:rsid w:val="008F0BD2"/>
    <w:rsid w:val="008F1811"/>
    <w:rsid w:val="008F1A48"/>
    <w:rsid w:val="008F1E63"/>
    <w:rsid w:val="008F21E4"/>
    <w:rsid w:val="008F2817"/>
    <w:rsid w:val="008F336D"/>
    <w:rsid w:val="008F35A0"/>
    <w:rsid w:val="008F49D8"/>
    <w:rsid w:val="008F4BEB"/>
    <w:rsid w:val="008F5706"/>
    <w:rsid w:val="008F59F1"/>
    <w:rsid w:val="008F628B"/>
    <w:rsid w:val="008F6F3D"/>
    <w:rsid w:val="008F7B44"/>
    <w:rsid w:val="009003F4"/>
    <w:rsid w:val="009009A0"/>
    <w:rsid w:val="00900F80"/>
    <w:rsid w:val="009014C3"/>
    <w:rsid w:val="00902BE6"/>
    <w:rsid w:val="00902D67"/>
    <w:rsid w:val="00903211"/>
    <w:rsid w:val="0090406E"/>
    <w:rsid w:val="009044BA"/>
    <w:rsid w:val="009049F9"/>
    <w:rsid w:val="0090516E"/>
    <w:rsid w:val="0090609D"/>
    <w:rsid w:val="009062C2"/>
    <w:rsid w:val="0090724C"/>
    <w:rsid w:val="0090774D"/>
    <w:rsid w:val="00907ADF"/>
    <w:rsid w:val="00907B2D"/>
    <w:rsid w:val="0091023D"/>
    <w:rsid w:val="009118BA"/>
    <w:rsid w:val="00912208"/>
    <w:rsid w:val="00912480"/>
    <w:rsid w:val="009124EA"/>
    <w:rsid w:val="009125C9"/>
    <w:rsid w:val="00912E88"/>
    <w:rsid w:val="00914248"/>
    <w:rsid w:val="009142CD"/>
    <w:rsid w:val="00914377"/>
    <w:rsid w:val="00914549"/>
    <w:rsid w:val="00914732"/>
    <w:rsid w:val="0091494A"/>
    <w:rsid w:val="00915284"/>
    <w:rsid w:val="009152BE"/>
    <w:rsid w:val="009158A5"/>
    <w:rsid w:val="00915DCF"/>
    <w:rsid w:val="00916731"/>
    <w:rsid w:val="00916E0E"/>
    <w:rsid w:val="00917FED"/>
    <w:rsid w:val="009203CA"/>
    <w:rsid w:val="0092126A"/>
    <w:rsid w:val="009213C8"/>
    <w:rsid w:val="009217CA"/>
    <w:rsid w:val="00922229"/>
    <w:rsid w:val="00922544"/>
    <w:rsid w:val="009229C2"/>
    <w:rsid w:val="00922F86"/>
    <w:rsid w:val="009232D0"/>
    <w:rsid w:val="00923675"/>
    <w:rsid w:val="009237A5"/>
    <w:rsid w:val="0092458B"/>
    <w:rsid w:val="00925001"/>
    <w:rsid w:val="009255F4"/>
    <w:rsid w:val="00925C4C"/>
    <w:rsid w:val="00925F0A"/>
    <w:rsid w:val="009261B4"/>
    <w:rsid w:val="00926675"/>
    <w:rsid w:val="00926C0F"/>
    <w:rsid w:val="009271AF"/>
    <w:rsid w:val="00927314"/>
    <w:rsid w:val="00930014"/>
    <w:rsid w:val="009304B6"/>
    <w:rsid w:val="00930EEB"/>
    <w:rsid w:val="009311F6"/>
    <w:rsid w:val="009317B8"/>
    <w:rsid w:val="00932369"/>
    <w:rsid w:val="00933AC4"/>
    <w:rsid w:val="00933B58"/>
    <w:rsid w:val="009340A5"/>
    <w:rsid w:val="00935087"/>
    <w:rsid w:val="0093536D"/>
    <w:rsid w:val="00935914"/>
    <w:rsid w:val="00935C05"/>
    <w:rsid w:val="0093606F"/>
    <w:rsid w:val="009367BC"/>
    <w:rsid w:val="00937198"/>
    <w:rsid w:val="00937557"/>
    <w:rsid w:val="00940CD0"/>
    <w:rsid w:val="00941FDB"/>
    <w:rsid w:val="0094203E"/>
    <w:rsid w:val="0094230E"/>
    <w:rsid w:val="0094261D"/>
    <w:rsid w:val="00943120"/>
    <w:rsid w:val="0094315B"/>
    <w:rsid w:val="0094317D"/>
    <w:rsid w:val="0094432D"/>
    <w:rsid w:val="00944431"/>
    <w:rsid w:val="00944B68"/>
    <w:rsid w:val="00944BF0"/>
    <w:rsid w:val="009451C5"/>
    <w:rsid w:val="00945A51"/>
    <w:rsid w:val="00945A75"/>
    <w:rsid w:val="00945BC4"/>
    <w:rsid w:val="00945BE5"/>
    <w:rsid w:val="00946318"/>
    <w:rsid w:val="009467D7"/>
    <w:rsid w:val="00946834"/>
    <w:rsid w:val="00946835"/>
    <w:rsid w:val="009477D7"/>
    <w:rsid w:val="0094793C"/>
    <w:rsid w:val="00947CAF"/>
    <w:rsid w:val="009509B6"/>
    <w:rsid w:val="00950AFB"/>
    <w:rsid w:val="00950C4E"/>
    <w:rsid w:val="00950CD2"/>
    <w:rsid w:val="00951ABF"/>
    <w:rsid w:val="00951CA1"/>
    <w:rsid w:val="009527EF"/>
    <w:rsid w:val="0095287D"/>
    <w:rsid w:val="009537AC"/>
    <w:rsid w:val="0095390A"/>
    <w:rsid w:val="00954062"/>
    <w:rsid w:val="009540B2"/>
    <w:rsid w:val="009553CE"/>
    <w:rsid w:val="009554BE"/>
    <w:rsid w:val="00955564"/>
    <w:rsid w:val="00955833"/>
    <w:rsid w:val="00955983"/>
    <w:rsid w:val="009562D2"/>
    <w:rsid w:val="0095634B"/>
    <w:rsid w:val="009568C6"/>
    <w:rsid w:val="009572DC"/>
    <w:rsid w:val="00957906"/>
    <w:rsid w:val="00957945"/>
    <w:rsid w:val="00960412"/>
    <w:rsid w:val="00960415"/>
    <w:rsid w:val="00960D5D"/>
    <w:rsid w:val="00960E8F"/>
    <w:rsid w:val="0096167D"/>
    <w:rsid w:val="00961D9B"/>
    <w:rsid w:val="00961E86"/>
    <w:rsid w:val="00961F17"/>
    <w:rsid w:val="00962805"/>
    <w:rsid w:val="009630A8"/>
    <w:rsid w:val="00963CE7"/>
    <w:rsid w:val="0096402E"/>
    <w:rsid w:val="009644BD"/>
    <w:rsid w:val="00964B4E"/>
    <w:rsid w:val="00964D5A"/>
    <w:rsid w:val="009652EF"/>
    <w:rsid w:val="00965507"/>
    <w:rsid w:val="0096561C"/>
    <w:rsid w:val="00965AB3"/>
    <w:rsid w:val="009662EC"/>
    <w:rsid w:val="00966E04"/>
    <w:rsid w:val="00967532"/>
    <w:rsid w:val="0096769E"/>
    <w:rsid w:val="00967D96"/>
    <w:rsid w:val="00970767"/>
    <w:rsid w:val="00970802"/>
    <w:rsid w:val="0097081F"/>
    <w:rsid w:val="00970ABB"/>
    <w:rsid w:val="00970C6D"/>
    <w:rsid w:val="00971576"/>
    <w:rsid w:val="00971785"/>
    <w:rsid w:val="0097190F"/>
    <w:rsid w:val="00971A70"/>
    <w:rsid w:val="00971AF0"/>
    <w:rsid w:val="009723DC"/>
    <w:rsid w:val="009727B0"/>
    <w:rsid w:val="0097285F"/>
    <w:rsid w:val="00972B7F"/>
    <w:rsid w:val="00974259"/>
    <w:rsid w:val="009743AF"/>
    <w:rsid w:val="009746A5"/>
    <w:rsid w:val="009751CE"/>
    <w:rsid w:val="00975C0C"/>
    <w:rsid w:val="009761E0"/>
    <w:rsid w:val="009764D0"/>
    <w:rsid w:val="009765A2"/>
    <w:rsid w:val="00977021"/>
    <w:rsid w:val="009779BF"/>
    <w:rsid w:val="0098047E"/>
    <w:rsid w:val="0098061F"/>
    <w:rsid w:val="00980AE8"/>
    <w:rsid w:val="00981C01"/>
    <w:rsid w:val="00981E0C"/>
    <w:rsid w:val="0098277D"/>
    <w:rsid w:val="00982A69"/>
    <w:rsid w:val="0098319B"/>
    <w:rsid w:val="00983890"/>
    <w:rsid w:val="009838F5"/>
    <w:rsid w:val="00983D3D"/>
    <w:rsid w:val="00983DCE"/>
    <w:rsid w:val="00984323"/>
    <w:rsid w:val="00984680"/>
    <w:rsid w:val="0098481A"/>
    <w:rsid w:val="00984F6F"/>
    <w:rsid w:val="009866D5"/>
    <w:rsid w:val="00987725"/>
    <w:rsid w:val="00990055"/>
    <w:rsid w:val="009906EA"/>
    <w:rsid w:val="00990861"/>
    <w:rsid w:val="00990B13"/>
    <w:rsid w:val="00990B5C"/>
    <w:rsid w:val="0099243A"/>
    <w:rsid w:val="00992709"/>
    <w:rsid w:val="009928B0"/>
    <w:rsid w:val="00994174"/>
    <w:rsid w:val="00994236"/>
    <w:rsid w:val="009943EC"/>
    <w:rsid w:val="0099473D"/>
    <w:rsid w:val="00994A53"/>
    <w:rsid w:val="00994B22"/>
    <w:rsid w:val="00995301"/>
    <w:rsid w:val="00995385"/>
    <w:rsid w:val="0099559E"/>
    <w:rsid w:val="0099581E"/>
    <w:rsid w:val="00996222"/>
    <w:rsid w:val="009968AE"/>
    <w:rsid w:val="009970B0"/>
    <w:rsid w:val="00997C7F"/>
    <w:rsid w:val="00997D5A"/>
    <w:rsid w:val="009A00A1"/>
    <w:rsid w:val="009A0478"/>
    <w:rsid w:val="009A12E7"/>
    <w:rsid w:val="009A143F"/>
    <w:rsid w:val="009A1B27"/>
    <w:rsid w:val="009A1F46"/>
    <w:rsid w:val="009A2333"/>
    <w:rsid w:val="009A331E"/>
    <w:rsid w:val="009A37AA"/>
    <w:rsid w:val="009A3865"/>
    <w:rsid w:val="009A3C9D"/>
    <w:rsid w:val="009A3E65"/>
    <w:rsid w:val="009A3FA9"/>
    <w:rsid w:val="009A4160"/>
    <w:rsid w:val="009A4F7D"/>
    <w:rsid w:val="009A52CC"/>
    <w:rsid w:val="009A5C39"/>
    <w:rsid w:val="009A5DE8"/>
    <w:rsid w:val="009A6424"/>
    <w:rsid w:val="009A6568"/>
    <w:rsid w:val="009A6740"/>
    <w:rsid w:val="009A71DC"/>
    <w:rsid w:val="009A7889"/>
    <w:rsid w:val="009A7A0F"/>
    <w:rsid w:val="009A7BD1"/>
    <w:rsid w:val="009B0415"/>
    <w:rsid w:val="009B1D8B"/>
    <w:rsid w:val="009B2708"/>
    <w:rsid w:val="009B2DC4"/>
    <w:rsid w:val="009B34A7"/>
    <w:rsid w:val="009B3795"/>
    <w:rsid w:val="009B44CC"/>
    <w:rsid w:val="009B461E"/>
    <w:rsid w:val="009B480B"/>
    <w:rsid w:val="009B4915"/>
    <w:rsid w:val="009B4E04"/>
    <w:rsid w:val="009B52F2"/>
    <w:rsid w:val="009B53B8"/>
    <w:rsid w:val="009B5C03"/>
    <w:rsid w:val="009B5EF7"/>
    <w:rsid w:val="009B61E8"/>
    <w:rsid w:val="009B6718"/>
    <w:rsid w:val="009B6C0D"/>
    <w:rsid w:val="009B6C7F"/>
    <w:rsid w:val="009B7284"/>
    <w:rsid w:val="009B7626"/>
    <w:rsid w:val="009B7A71"/>
    <w:rsid w:val="009C06FB"/>
    <w:rsid w:val="009C0B9D"/>
    <w:rsid w:val="009C165C"/>
    <w:rsid w:val="009C1C58"/>
    <w:rsid w:val="009C2551"/>
    <w:rsid w:val="009C2672"/>
    <w:rsid w:val="009C2953"/>
    <w:rsid w:val="009C2B8C"/>
    <w:rsid w:val="009C3C26"/>
    <w:rsid w:val="009C3CB3"/>
    <w:rsid w:val="009C42C7"/>
    <w:rsid w:val="009C4434"/>
    <w:rsid w:val="009C4637"/>
    <w:rsid w:val="009C4F63"/>
    <w:rsid w:val="009C54E1"/>
    <w:rsid w:val="009C5A96"/>
    <w:rsid w:val="009C5AF7"/>
    <w:rsid w:val="009C5B45"/>
    <w:rsid w:val="009C5D96"/>
    <w:rsid w:val="009C5E61"/>
    <w:rsid w:val="009C5EDA"/>
    <w:rsid w:val="009C6003"/>
    <w:rsid w:val="009C769A"/>
    <w:rsid w:val="009D05CE"/>
    <w:rsid w:val="009D0C11"/>
    <w:rsid w:val="009D0E3A"/>
    <w:rsid w:val="009D1901"/>
    <w:rsid w:val="009D1C43"/>
    <w:rsid w:val="009D3006"/>
    <w:rsid w:val="009D4437"/>
    <w:rsid w:val="009D507B"/>
    <w:rsid w:val="009D51FA"/>
    <w:rsid w:val="009D56AE"/>
    <w:rsid w:val="009D5967"/>
    <w:rsid w:val="009D5EEC"/>
    <w:rsid w:val="009D630B"/>
    <w:rsid w:val="009D63F5"/>
    <w:rsid w:val="009D6739"/>
    <w:rsid w:val="009D6BEF"/>
    <w:rsid w:val="009D72CA"/>
    <w:rsid w:val="009D7F05"/>
    <w:rsid w:val="009E0510"/>
    <w:rsid w:val="009E061B"/>
    <w:rsid w:val="009E07A8"/>
    <w:rsid w:val="009E08B6"/>
    <w:rsid w:val="009E0CAC"/>
    <w:rsid w:val="009E1245"/>
    <w:rsid w:val="009E1B6B"/>
    <w:rsid w:val="009E2031"/>
    <w:rsid w:val="009E265A"/>
    <w:rsid w:val="009E2A1A"/>
    <w:rsid w:val="009E2D46"/>
    <w:rsid w:val="009E37AC"/>
    <w:rsid w:val="009E3A86"/>
    <w:rsid w:val="009E4255"/>
    <w:rsid w:val="009E4602"/>
    <w:rsid w:val="009E4F7F"/>
    <w:rsid w:val="009E5211"/>
    <w:rsid w:val="009E6028"/>
    <w:rsid w:val="009E617B"/>
    <w:rsid w:val="009E677A"/>
    <w:rsid w:val="009E694D"/>
    <w:rsid w:val="009F1739"/>
    <w:rsid w:val="009F1E01"/>
    <w:rsid w:val="009F2560"/>
    <w:rsid w:val="009F2ACE"/>
    <w:rsid w:val="009F34FE"/>
    <w:rsid w:val="009F3DFF"/>
    <w:rsid w:val="009F449C"/>
    <w:rsid w:val="009F51D2"/>
    <w:rsid w:val="009F53CA"/>
    <w:rsid w:val="009F6094"/>
    <w:rsid w:val="009F683A"/>
    <w:rsid w:val="009F6993"/>
    <w:rsid w:val="009F6AE6"/>
    <w:rsid w:val="009F6CE1"/>
    <w:rsid w:val="009F7562"/>
    <w:rsid w:val="009F78DC"/>
    <w:rsid w:val="00A00218"/>
    <w:rsid w:val="00A00285"/>
    <w:rsid w:val="00A00A66"/>
    <w:rsid w:val="00A01277"/>
    <w:rsid w:val="00A014EB"/>
    <w:rsid w:val="00A01F10"/>
    <w:rsid w:val="00A02206"/>
    <w:rsid w:val="00A0271D"/>
    <w:rsid w:val="00A0273A"/>
    <w:rsid w:val="00A02F8D"/>
    <w:rsid w:val="00A03D0D"/>
    <w:rsid w:val="00A04612"/>
    <w:rsid w:val="00A04F33"/>
    <w:rsid w:val="00A05333"/>
    <w:rsid w:val="00A05771"/>
    <w:rsid w:val="00A05B3A"/>
    <w:rsid w:val="00A05BFB"/>
    <w:rsid w:val="00A05CA2"/>
    <w:rsid w:val="00A05DC2"/>
    <w:rsid w:val="00A0644D"/>
    <w:rsid w:val="00A0651A"/>
    <w:rsid w:val="00A069B8"/>
    <w:rsid w:val="00A069FE"/>
    <w:rsid w:val="00A06A2F"/>
    <w:rsid w:val="00A06BA6"/>
    <w:rsid w:val="00A06C02"/>
    <w:rsid w:val="00A0722A"/>
    <w:rsid w:val="00A07AA8"/>
    <w:rsid w:val="00A07F1C"/>
    <w:rsid w:val="00A07F89"/>
    <w:rsid w:val="00A105F0"/>
    <w:rsid w:val="00A1068F"/>
    <w:rsid w:val="00A111A3"/>
    <w:rsid w:val="00A11791"/>
    <w:rsid w:val="00A1225B"/>
    <w:rsid w:val="00A126B1"/>
    <w:rsid w:val="00A12788"/>
    <w:rsid w:val="00A13266"/>
    <w:rsid w:val="00A13CF7"/>
    <w:rsid w:val="00A13F56"/>
    <w:rsid w:val="00A14A02"/>
    <w:rsid w:val="00A14B1F"/>
    <w:rsid w:val="00A14EF6"/>
    <w:rsid w:val="00A15705"/>
    <w:rsid w:val="00A15A79"/>
    <w:rsid w:val="00A15B1A"/>
    <w:rsid w:val="00A15DD4"/>
    <w:rsid w:val="00A174D6"/>
    <w:rsid w:val="00A178C9"/>
    <w:rsid w:val="00A2019F"/>
    <w:rsid w:val="00A20F3D"/>
    <w:rsid w:val="00A214AE"/>
    <w:rsid w:val="00A21C2F"/>
    <w:rsid w:val="00A236B8"/>
    <w:rsid w:val="00A23735"/>
    <w:rsid w:val="00A238E6"/>
    <w:rsid w:val="00A23A3C"/>
    <w:rsid w:val="00A23D27"/>
    <w:rsid w:val="00A24553"/>
    <w:rsid w:val="00A269B8"/>
    <w:rsid w:val="00A269EC"/>
    <w:rsid w:val="00A270BF"/>
    <w:rsid w:val="00A30341"/>
    <w:rsid w:val="00A3037D"/>
    <w:rsid w:val="00A30CC3"/>
    <w:rsid w:val="00A31915"/>
    <w:rsid w:val="00A31CE7"/>
    <w:rsid w:val="00A32050"/>
    <w:rsid w:val="00A32575"/>
    <w:rsid w:val="00A32F11"/>
    <w:rsid w:val="00A32FB1"/>
    <w:rsid w:val="00A33127"/>
    <w:rsid w:val="00A335E7"/>
    <w:rsid w:val="00A33B8E"/>
    <w:rsid w:val="00A3463D"/>
    <w:rsid w:val="00A352BD"/>
    <w:rsid w:val="00A357D5"/>
    <w:rsid w:val="00A35D3A"/>
    <w:rsid w:val="00A35FE6"/>
    <w:rsid w:val="00A36601"/>
    <w:rsid w:val="00A36CF6"/>
    <w:rsid w:val="00A36EE3"/>
    <w:rsid w:val="00A36F8C"/>
    <w:rsid w:val="00A3705E"/>
    <w:rsid w:val="00A37818"/>
    <w:rsid w:val="00A378D9"/>
    <w:rsid w:val="00A402A7"/>
    <w:rsid w:val="00A402DE"/>
    <w:rsid w:val="00A40417"/>
    <w:rsid w:val="00A40A02"/>
    <w:rsid w:val="00A410C1"/>
    <w:rsid w:val="00A41840"/>
    <w:rsid w:val="00A4253F"/>
    <w:rsid w:val="00A42BC7"/>
    <w:rsid w:val="00A430EB"/>
    <w:rsid w:val="00A43199"/>
    <w:rsid w:val="00A432DE"/>
    <w:rsid w:val="00A43334"/>
    <w:rsid w:val="00A43628"/>
    <w:rsid w:val="00A4480D"/>
    <w:rsid w:val="00A453D5"/>
    <w:rsid w:val="00A453D8"/>
    <w:rsid w:val="00A455F4"/>
    <w:rsid w:val="00A45613"/>
    <w:rsid w:val="00A458AF"/>
    <w:rsid w:val="00A4592F"/>
    <w:rsid w:val="00A45950"/>
    <w:rsid w:val="00A45D88"/>
    <w:rsid w:val="00A46033"/>
    <w:rsid w:val="00A468AC"/>
    <w:rsid w:val="00A46E76"/>
    <w:rsid w:val="00A46EB2"/>
    <w:rsid w:val="00A479CE"/>
    <w:rsid w:val="00A479D6"/>
    <w:rsid w:val="00A47C96"/>
    <w:rsid w:val="00A47D99"/>
    <w:rsid w:val="00A502E2"/>
    <w:rsid w:val="00A507FD"/>
    <w:rsid w:val="00A513A9"/>
    <w:rsid w:val="00A51C40"/>
    <w:rsid w:val="00A5258A"/>
    <w:rsid w:val="00A5269F"/>
    <w:rsid w:val="00A53324"/>
    <w:rsid w:val="00A537A7"/>
    <w:rsid w:val="00A537EC"/>
    <w:rsid w:val="00A53814"/>
    <w:rsid w:val="00A53AD3"/>
    <w:rsid w:val="00A54DCE"/>
    <w:rsid w:val="00A55419"/>
    <w:rsid w:val="00A556B5"/>
    <w:rsid w:val="00A56148"/>
    <w:rsid w:val="00A56240"/>
    <w:rsid w:val="00A565E0"/>
    <w:rsid w:val="00A568BA"/>
    <w:rsid w:val="00A56AAA"/>
    <w:rsid w:val="00A5795A"/>
    <w:rsid w:val="00A57A6C"/>
    <w:rsid w:val="00A57D3A"/>
    <w:rsid w:val="00A57E00"/>
    <w:rsid w:val="00A57E43"/>
    <w:rsid w:val="00A6027A"/>
    <w:rsid w:val="00A60415"/>
    <w:rsid w:val="00A604A8"/>
    <w:rsid w:val="00A605B5"/>
    <w:rsid w:val="00A61082"/>
    <w:rsid w:val="00A61B08"/>
    <w:rsid w:val="00A61CF1"/>
    <w:rsid w:val="00A63237"/>
    <w:rsid w:val="00A63837"/>
    <w:rsid w:val="00A64424"/>
    <w:rsid w:val="00A644F2"/>
    <w:rsid w:val="00A650B5"/>
    <w:rsid w:val="00A65E26"/>
    <w:rsid w:val="00A6612C"/>
    <w:rsid w:val="00A671DD"/>
    <w:rsid w:val="00A673EA"/>
    <w:rsid w:val="00A702B0"/>
    <w:rsid w:val="00A70734"/>
    <w:rsid w:val="00A71705"/>
    <w:rsid w:val="00A71B9D"/>
    <w:rsid w:val="00A7213A"/>
    <w:rsid w:val="00A723FF"/>
    <w:rsid w:val="00A72EB6"/>
    <w:rsid w:val="00A731A0"/>
    <w:rsid w:val="00A73219"/>
    <w:rsid w:val="00A736FA"/>
    <w:rsid w:val="00A74481"/>
    <w:rsid w:val="00A74924"/>
    <w:rsid w:val="00A74D02"/>
    <w:rsid w:val="00A75068"/>
    <w:rsid w:val="00A7567E"/>
    <w:rsid w:val="00A75843"/>
    <w:rsid w:val="00A758C2"/>
    <w:rsid w:val="00A7637F"/>
    <w:rsid w:val="00A76E4A"/>
    <w:rsid w:val="00A773CD"/>
    <w:rsid w:val="00A77594"/>
    <w:rsid w:val="00A775B7"/>
    <w:rsid w:val="00A77C11"/>
    <w:rsid w:val="00A80765"/>
    <w:rsid w:val="00A81576"/>
    <w:rsid w:val="00A816C0"/>
    <w:rsid w:val="00A818E6"/>
    <w:rsid w:val="00A81AA1"/>
    <w:rsid w:val="00A81C53"/>
    <w:rsid w:val="00A82669"/>
    <w:rsid w:val="00A83023"/>
    <w:rsid w:val="00A8324C"/>
    <w:rsid w:val="00A83390"/>
    <w:rsid w:val="00A83392"/>
    <w:rsid w:val="00A83466"/>
    <w:rsid w:val="00A83546"/>
    <w:rsid w:val="00A83E88"/>
    <w:rsid w:val="00A83FE2"/>
    <w:rsid w:val="00A8408F"/>
    <w:rsid w:val="00A840F2"/>
    <w:rsid w:val="00A8416B"/>
    <w:rsid w:val="00A85C29"/>
    <w:rsid w:val="00A85FF8"/>
    <w:rsid w:val="00A86E5F"/>
    <w:rsid w:val="00A9001C"/>
    <w:rsid w:val="00A921AD"/>
    <w:rsid w:val="00A922FB"/>
    <w:rsid w:val="00A9242D"/>
    <w:rsid w:val="00A92431"/>
    <w:rsid w:val="00A92DB4"/>
    <w:rsid w:val="00A93761"/>
    <w:rsid w:val="00A93F00"/>
    <w:rsid w:val="00A93F25"/>
    <w:rsid w:val="00A94544"/>
    <w:rsid w:val="00A94864"/>
    <w:rsid w:val="00A950FD"/>
    <w:rsid w:val="00A95379"/>
    <w:rsid w:val="00A96432"/>
    <w:rsid w:val="00A969A7"/>
    <w:rsid w:val="00A970B7"/>
    <w:rsid w:val="00A97FB1"/>
    <w:rsid w:val="00AA015A"/>
    <w:rsid w:val="00AA0A15"/>
    <w:rsid w:val="00AA0E51"/>
    <w:rsid w:val="00AA103F"/>
    <w:rsid w:val="00AA229F"/>
    <w:rsid w:val="00AA22FC"/>
    <w:rsid w:val="00AA240E"/>
    <w:rsid w:val="00AA24D0"/>
    <w:rsid w:val="00AA2DDE"/>
    <w:rsid w:val="00AA323E"/>
    <w:rsid w:val="00AA340D"/>
    <w:rsid w:val="00AA3770"/>
    <w:rsid w:val="00AA3B4C"/>
    <w:rsid w:val="00AA43DF"/>
    <w:rsid w:val="00AA51B2"/>
    <w:rsid w:val="00AA5E9E"/>
    <w:rsid w:val="00AA60E5"/>
    <w:rsid w:val="00AA6437"/>
    <w:rsid w:val="00AA6A47"/>
    <w:rsid w:val="00AA6C83"/>
    <w:rsid w:val="00AA72B0"/>
    <w:rsid w:val="00AA7ED7"/>
    <w:rsid w:val="00AB00EF"/>
    <w:rsid w:val="00AB03D7"/>
    <w:rsid w:val="00AB1474"/>
    <w:rsid w:val="00AB1E8B"/>
    <w:rsid w:val="00AB2048"/>
    <w:rsid w:val="00AB225A"/>
    <w:rsid w:val="00AB2607"/>
    <w:rsid w:val="00AB2CA4"/>
    <w:rsid w:val="00AB3648"/>
    <w:rsid w:val="00AB3C26"/>
    <w:rsid w:val="00AB415E"/>
    <w:rsid w:val="00AB42BC"/>
    <w:rsid w:val="00AB4BEB"/>
    <w:rsid w:val="00AB5394"/>
    <w:rsid w:val="00AB5D01"/>
    <w:rsid w:val="00AB5D1B"/>
    <w:rsid w:val="00AB612C"/>
    <w:rsid w:val="00AB627B"/>
    <w:rsid w:val="00AB6AF9"/>
    <w:rsid w:val="00AB6E1E"/>
    <w:rsid w:val="00AB6EB8"/>
    <w:rsid w:val="00AB7BBA"/>
    <w:rsid w:val="00AC000F"/>
    <w:rsid w:val="00AC0037"/>
    <w:rsid w:val="00AC00B0"/>
    <w:rsid w:val="00AC0A09"/>
    <w:rsid w:val="00AC0A8C"/>
    <w:rsid w:val="00AC0D52"/>
    <w:rsid w:val="00AC0DC9"/>
    <w:rsid w:val="00AC0F1F"/>
    <w:rsid w:val="00AC0F59"/>
    <w:rsid w:val="00AC1091"/>
    <w:rsid w:val="00AC12B1"/>
    <w:rsid w:val="00AC1D07"/>
    <w:rsid w:val="00AC25F9"/>
    <w:rsid w:val="00AC2611"/>
    <w:rsid w:val="00AC291C"/>
    <w:rsid w:val="00AC2E5A"/>
    <w:rsid w:val="00AC2F3A"/>
    <w:rsid w:val="00AC46C8"/>
    <w:rsid w:val="00AC5C6F"/>
    <w:rsid w:val="00AC654F"/>
    <w:rsid w:val="00AC68A5"/>
    <w:rsid w:val="00AC6BC8"/>
    <w:rsid w:val="00AC7091"/>
    <w:rsid w:val="00AC7A23"/>
    <w:rsid w:val="00AD0373"/>
    <w:rsid w:val="00AD0EF9"/>
    <w:rsid w:val="00AD121D"/>
    <w:rsid w:val="00AD1BEA"/>
    <w:rsid w:val="00AD2D64"/>
    <w:rsid w:val="00AD43C4"/>
    <w:rsid w:val="00AD467E"/>
    <w:rsid w:val="00AD4880"/>
    <w:rsid w:val="00AD4945"/>
    <w:rsid w:val="00AD4D65"/>
    <w:rsid w:val="00AD510A"/>
    <w:rsid w:val="00AD5462"/>
    <w:rsid w:val="00AD5613"/>
    <w:rsid w:val="00AD59EC"/>
    <w:rsid w:val="00AD5E11"/>
    <w:rsid w:val="00AD6F33"/>
    <w:rsid w:val="00AD7130"/>
    <w:rsid w:val="00AD7B2E"/>
    <w:rsid w:val="00AD7B96"/>
    <w:rsid w:val="00AE0066"/>
    <w:rsid w:val="00AE113B"/>
    <w:rsid w:val="00AE12A3"/>
    <w:rsid w:val="00AE134D"/>
    <w:rsid w:val="00AE1489"/>
    <w:rsid w:val="00AE1A60"/>
    <w:rsid w:val="00AE1E2E"/>
    <w:rsid w:val="00AE200F"/>
    <w:rsid w:val="00AE2DB4"/>
    <w:rsid w:val="00AE341C"/>
    <w:rsid w:val="00AE36CB"/>
    <w:rsid w:val="00AE3921"/>
    <w:rsid w:val="00AE3CFC"/>
    <w:rsid w:val="00AE4521"/>
    <w:rsid w:val="00AE4A0B"/>
    <w:rsid w:val="00AE52DA"/>
    <w:rsid w:val="00AE6204"/>
    <w:rsid w:val="00AE6BFB"/>
    <w:rsid w:val="00AE74A1"/>
    <w:rsid w:val="00AE769F"/>
    <w:rsid w:val="00AF05F5"/>
    <w:rsid w:val="00AF0912"/>
    <w:rsid w:val="00AF0CE4"/>
    <w:rsid w:val="00AF0E4A"/>
    <w:rsid w:val="00AF1AD2"/>
    <w:rsid w:val="00AF209F"/>
    <w:rsid w:val="00AF224B"/>
    <w:rsid w:val="00AF2271"/>
    <w:rsid w:val="00AF23E1"/>
    <w:rsid w:val="00AF2E01"/>
    <w:rsid w:val="00AF2E9E"/>
    <w:rsid w:val="00AF302C"/>
    <w:rsid w:val="00AF33C8"/>
    <w:rsid w:val="00AF3638"/>
    <w:rsid w:val="00AF370C"/>
    <w:rsid w:val="00AF3849"/>
    <w:rsid w:val="00AF3A6F"/>
    <w:rsid w:val="00AF3E07"/>
    <w:rsid w:val="00AF3F59"/>
    <w:rsid w:val="00AF401E"/>
    <w:rsid w:val="00AF42F1"/>
    <w:rsid w:val="00AF5767"/>
    <w:rsid w:val="00AF580E"/>
    <w:rsid w:val="00AF5D89"/>
    <w:rsid w:val="00AF5EC9"/>
    <w:rsid w:val="00AF6AC1"/>
    <w:rsid w:val="00AF7475"/>
    <w:rsid w:val="00AF7785"/>
    <w:rsid w:val="00AF79EF"/>
    <w:rsid w:val="00AF7BF9"/>
    <w:rsid w:val="00AF7E2D"/>
    <w:rsid w:val="00B00907"/>
    <w:rsid w:val="00B00A40"/>
    <w:rsid w:val="00B01976"/>
    <w:rsid w:val="00B01AEC"/>
    <w:rsid w:val="00B01CFA"/>
    <w:rsid w:val="00B01F89"/>
    <w:rsid w:val="00B021F7"/>
    <w:rsid w:val="00B023CB"/>
    <w:rsid w:val="00B0399A"/>
    <w:rsid w:val="00B039DE"/>
    <w:rsid w:val="00B03E1B"/>
    <w:rsid w:val="00B03F4B"/>
    <w:rsid w:val="00B0435D"/>
    <w:rsid w:val="00B0449A"/>
    <w:rsid w:val="00B0460A"/>
    <w:rsid w:val="00B04AEF"/>
    <w:rsid w:val="00B04F3A"/>
    <w:rsid w:val="00B05099"/>
    <w:rsid w:val="00B061F1"/>
    <w:rsid w:val="00B06923"/>
    <w:rsid w:val="00B0706F"/>
    <w:rsid w:val="00B07380"/>
    <w:rsid w:val="00B079EF"/>
    <w:rsid w:val="00B07A4F"/>
    <w:rsid w:val="00B10821"/>
    <w:rsid w:val="00B10B13"/>
    <w:rsid w:val="00B10C8A"/>
    <w:rsid w:val="00B1120E"/>
    <w:rsid w:val="00B11258"/>
    <w:rsid w:val="00B1138F"/>
    <w:rsid w:val="00B11C09"/>
    <w:rsid w:val="00B12008"/>
    <w:rsid w:val="00B120E2"/>
    <w:rsid w:val="00B126F8"/>
    <w:rsid w:val="00B13819"/>
    <w:rsid w:val="00B13A12"/>
    <w:rsid w:val="00B13CDF"/>
    <w:rsid w:val="00B14F3A"/>
    <w:rsid w:val="00B15425"/>
    <w:rsid w:val="00B16445"/>
    <w:rsid w:val="00B167A3"/>
    <w:rsid w:val="00B170A7"/>
    <w:rsid w:val="00B174C1"/>
    <w:rsid w:val="00B17AF1"/>
    <w:rsid w:val="00B17CB4"/>
    <w:rsid w:val="00B2051F"/>
    <w:rsid w:val="00B20558"/>
    <w:rsid w:val="00B20BAE"/>
    <w:rsid w:val="00B214FA"/>
    <w:rsid w:val="00B219B8"/>
    <w:rsid w:val="00B223DB"/>
    <w:rsid w:val="00B2456F"/>
    <w:rsid w:val="00B249E4"/>
    <w:rsid w:val="00B2582E"/>
    <w:rsid w:val="00B25EC1"/>
    <w:rsid w:val="00B26FC2"/>
    <w:rsid w:val="00B274AC"/>
    <w:rsid w:val="00B27A97"/>
    <w:rsid w:val="00B27CC6"/>
    <w:rsid w:val="00B301C5"/>
    <w:rsid w:val="00B30585"/>
    <w:rsid w:val="00B3097D"/>
    <w:rsid w:val="00B30CFD"/>
    <w:rsid w:val="00B30F11"/>
    <w:rsid w:val="00B31A6D"/>
    <w:rsid w:val="00B3292A"/>
    <w:rsid w:val="00B334B7"/>
    <w:rsid w:val="00B33C46"/>
    <w:rsid w:val="00B3524B"/>
    <w:rsid w:val="00B35269"/>
    <w:rsid w:val="00B35FCF"/>
    <w:rsid w:val="00B364A2"/>
    <w:rsid w:val="00B36E28"/>
    <w:rsid w:val="00B37599"/>
    <w:rsid w:val="00B37C7D"/>
    <w:rsid w:val="00B40017"/>
    <w:rsid w:val="00B40316"/>
    <w:rsid w:val="00B415D4"/>
    <w:rsid w:val="00B41C9C"/>
    <w:rsid w:val="00B41E36"/>
    <w:rsid w:val="00B425A5"/>
    <w:rsid w:val="00B42B24"/>
    <w:rsid w:val="00B42EC6"/>
    <w:rsid w:val="00B42FC3"/>
    <w:rsid w:val="00B43BC0"/>
    <w:rsid w:val="00B43FDB"/>
    <w:rsid w:val="00B44C67"/>
    <w:rsid w:val="00B44EED"/>
    <w:rsid w:val="00B453CE"/>
    <w:rsid w:val="00B45843"/>
    <w:rsid w:val="00B45CFC"/>
    <w:rsid w:val="00B45D0B"/>
    <w:rsid w:val="00B45EF0"/>
    <w:rsid w:val="00B46183"/>
    <w:rsid w:val="00B46C22"/>
    <w:rsid w:val="00B472DF"/>
    <w:rsid w:val="00B50C04"/>
    <w:rsid w:val="00B51715"/>
    <w:rsid w:val="00B51C48"/>
    <w:rsid w:val="00B5286A"/>
    <w:rsid w:val="00B529D8"/>
    <w:rsid w:val="00B52F3E"/>
    <w:rsid w:val="00B531AB"/>
    <w:rsid w:val="00B541A4"/>
    <w:rsid w:val="00B542A1"/>
    <w:rsid w:val="00B54451"/>
    <w:rsid w:val="00B5450D"/>
    <w:rsid w:val="00B546A7"/>
    <w:rsid w:val="00B5471E"/>
    <w:rsid w:val="00B54A1B"/>
    <w:rsid w:val="00B54A41"/>
    <w:rsid w:val="00B54A68"/>
    <w:rsid w:val="00B54BD6"/>
    <w:rsid w:val="00B55E55"/>
    <w:rsid w:val="00B572EB"/>
    <w:rsid w:val="00B57B83"/>
    <w:rsid w:val="00B57CDB"/>
    <w:rsid w:val="00B612CF"/>
    <w:rsid w:val="00B617B8"/>
    <w:rsid w:val="00B6251A"/>
    <w:rsid w:val="00B6395C"/>
    <w:rsid w:val="00B64739"/>
    <w:rsid w:val="00B6491C"/>
    <w:rsid w:val="00B64C35"/>
    <w:rsid w:val="00B65471"/>
    <w:rsid w:val="00B65710"/>
    <w:rsid w:val="00B66E7F"/>
    <w:rsid w:val="00B67961"/>
    <w:rsid w:val="00B70055"/>
    <w:rsid w:val="00B710DA"/>
    <w:rsid w:val="00B71F99"/>
    <w:rsid w:val="00B727D0"/>
    <w:rsid w:val="00B72F7D"/>
    <w:rsid w:val="00B730E7"/>
    <w:rsid w:val="00B743A9"/>
    <w:rsid w:val="00B74823"/>
    <w:rsid w:val="00B7484B"/>
    <w:rsid w:val="00B75086"/>
    <w:rsid w:val="00B7517A"/>
    <w:rsid w:val="00B757E1"/>
    <w:rsid w:val="00B75863"/>
    <w:rsid w:val="00B75B3B"/>
    <w:rsid w:val="00B75F8E"/>
    <w:rsid w:val="00B761A9"/>
    <w:rsid w:val="00B76ADE"/>
    <w:rsid w:val="00B76EC3"/>
    <w:rsid w:val="00B76EFD"/>
    <w:rsid w:val="00B777F6"/>
    <w:rsid w:val="00B8022A"/>
    <w:rsid w:val="00B809AF"/>
    <w:rsid w:val="00B81B41"/>
    <w:rsid w:val="00B81BAA"/>
    <w:rsid w:val="00B81C09"/>
    <w:rsid w:val="00B83362"/>
    <w:rsid w:val="00B837CE"/>
    <w:rsid w:val="00B83E9B"/>
    <w:rsid w:val="00B842C8"/>
    <w:rsid w:val="00B848FC"/>
    <w:rsid w:val="00B85AAE"/>
    <w:rsid w:val="00B86B54"/>
    <w:rsid w:val="00B87272"/>
    <w:rsid w:val="00B87C0A"/>
    <w:rsid w:val="00B87F00"/>
    <w:rsid w:val="00B909D8"/>
    <w:rsid w:val="00B917F2"/>
    <w:rsid w:val="00B91A28"/>
    <w:rsid w:val="00B92284"/>
    <w:rsid w:val="00B9239E"/>
    <w:rsid w:val="00B9247B"/>
    <w:rsid w:val="00B9260B"/>
    <w:rsid w:val="00B926E6"/>
    <w:rsid w:val="00B92969"/>
    <w:rsid w:val="00B933DB"/>
    <w:rsid w:val="00B933F7"/>
    <w:rsid w:val="00B93548"/>
    <w:rsid w:val="00B9368C"/>
    <w:rsid w:val="00B93B23"/>
    <w:rsid w:val="00B93DD6"/>
    <w:rsid w:val="00B945E0"/>
    <w:rsid w:val="00B94798"/>
    <w:rsid w:val="00B94AE0"/>
    <w:rsid w:val="00B94EEE"/>
    <w:rsid w:val="00B94F58"/>
    <w:rsid w:val="00B95BF1"/>
    <w:rsid w:val="00B97B20"/>
    <w:rsid w:val="00B97D0F"/>
    <w:rsid w:val="00BA0735"/>
    <w:rsid w:val="00BA099A"/>
    <w:rsid w:val="00BA15AF"/>
    <w:rsid w:val="00BA1DA6"/>
    <w:rsid w:val="00BA224B"/>
    <w:rsid w:val="00BA2333"/>
    <w:rsid w:val="00BA2345"/>
    <w:rsid w:val="00BA2515"/>
    <w:rsid w:val="00BA354F"/>
    <w:rsid w:val="00BA4690"/>
    <w:rsid w:val="00BA5239"/>
    <w:rsid w:val="00BA532C"/>
    <w:rsid w:val="00BA549F"/>
    <w:rsid w:val="00BA594D"/>
    <w:rsid w:val="00BA5A61"/>
    <w:rsid w:val="00BA5A78"/>
    <w:rsid w:val="00BA658A"/>
    <w:rsid w:val="00BA6BF2"/>
    <w:rsid w:val="00BA6DAC"/>
    <w:rsid w:val="00BA6ED5"/>
    <w:rsid w:val="00BA7409"/>
    <w:rsid w:val="00BA7462"/>
    <w:rsid w:val="00BB01E0"/>
    <w:rsid w:val="00BB04DE"/>
    <w:rsid w:val="00BB0E43"/>
    <w:rsid w:val="00BB1100"/>
    <w:rsid w:val="00BB112E"/>
    <w:rsid w:val="00BB2050"/>
    <w:rsid w:val="00BB23F2"/>
    <w:rsid w:val="00BB2850"/>
    <w:rsid w:val="00BB2B68"/>
    <w:rsid w:val="00BB3981"/>
    <w:rsid w:val="00BB3E3C"/>
    <w:rsid w:val="00BB4A55"/>
    <w:rsid w:val="00BB51E7"/>
    <w:rsid w:val="00BB5672"/>
    <w:rsid w:val="00BB5BD3"/>
    <w:rsid w:val="00BB60B3"/>
    <w:rsid w:val="00BB6287"/>
    <w:rsid w:val="00BB642E"/>
    <w:rsid w:val="00BB6491"/>
    <w:rsid w:val="00BB6D82"/>
    <w:rsid w:val="00BB745B"/>
    <w:rsid w:val="00BB7BB0"/>
    <w:rsid w:val="00BB7D93"/>
    <w:rsid w:val="00BB7EB2"/>
    <w:rsid w:val="00BC007F"/>
    <w:rsid w:val="00BC00A0"/>
    <w:rsid w:val="00BC0255"/>
    <w:rsid w:val="00BC0511"/>
    <w:rsid w:val="00BC0762"/>
    <w:rsid w:val="00BC07B6"/>
    <w:rsid w:val="00BC0CF5"/>
    <w:rsid w:val="00BC0E4C"/>
    <w:rsid w:val="00BC183A"/>
    <w:rsid w:val="00BC2B2E"/>
    <w:rsid w:val="00BC3047"/>
    <w:rsid w:val="00BC35C3"/>
    <w:rsid w:val="00BC40B8"/>
    <w:rsid w:val="00BC4700"/>
    <w:rsid w:val="00BC5236"/>
    <w:rsid w:val="00BC523D"/>
    <w:rsid w:val="00BC548B"/>
    <w:rsid w:val="00BC5787"/>
    <w:rsid w:val="00BC6AE7"/>
    <w:rsid w:val="00BC6D95"/>
    <w:rsid w:val="00BC75D7"/>
    <w:rsid w:val="00BC77EA"/>
    <w:rsid w:val="00BC79F0"/>
    <w:rsid w:val="00BC7F5C"/>
    <w:rsid w:val="00BD02E2"/>
    <w:rsid w:val="00BD0CE7"/>
    <w:rsid w:val="00BD118C"/>
    <w:rsid w:val="00BD121E"/>
    <w:rsid w:val="00BD1793"/>
    <w:rsid w:val="00BD24A8"/>
    <w:rsid w:val="00BD2E0B"/>
    <w:rsid w:val="00BD2F02"/>
    <w:rsid w:val="00BD3027"/>
    <w:rsid w:val="00BD32DB"/>
    <w:rsid w:val="00BD41A1"/>
    <w:rsid w:val="00BD46AE"/>
    <w:rsid w:val="00BD46C8"/>
    <w:rsid w:val="00BD4B71"/>
    <w:rsid w:val="00BD4D26"/>
    <w:rsid w:val="00BD5734"/>
    <w:rsid w:val="00BD59F3"/>
    <w:rsid w:val="00BD64E8"/>
    <w:rsid w:val="00BD6E4A"/>
    <w:rsid w:val="00BD76E5"/>
    <w:rsid w:val="00BD7759"/>
    <w:rsid w:val="00BD790A"/>
    <w:rsid w:val="00BD7B35"/>
    <w:rsid w:val="00BE0107"/>
    <w:rsid w:val="00BE02E3"/>
    <w:rsid w:val="00BE09C6"/>
    <w:rsid w:val="00BE0D93"/>
    <w:rsid w:val="00BE1B97"/>
    <w:rsid w:val="00BE2259"/>
    <w:rsid w:val="00BE2419"/>
    <w:rsid w:val="00BE31E2"/>
    <w:rsid w:val="00BE32B2"/>
    <w:rsid w:val="00BE337A"/>
    <w:rsid w:val="00BE3827"/>
    <w:rsid w:val="00BE43C4"/>
    <w:rsid w:val="00BE46EB"/>
    <w:rsid w:val="00BE4B9B"/>
    <w:rsid w:val="00BE4D6A"/>
    <w:rsid w:val="00BE5271"/>
    <w:rsid w:val="00BE5532"/>
    <w:rsid w:val="00BE5A88"/>
    <w:rsid w:val="00BE74E6"/>
    <w:rsid w:val="00BF04B1"/>
    <w:rsid w:val="00BF04ED"/>
    <w:rsid w:val="00BF0523"/>
    <w:rsid w:val="00BF0C4B"/>
    <w:rsid w:val="00BF0E17"/>
    <w:rsid w:val="00BF1B9B"/>
    <w:rsid w:val="00BF1EDF"/>
    <w:rsid w:val="00BF299A"/>
    <w:rsid w:val="00BF2D04"/>
    <w:rsid w:val="00BF3101"/>
    <w:rsid w:val="00BF3C4B"/>
    <w:rsid w:val="00BF53EE"/>
    <w:rsid w:val="00BF54C5"/>
    <w:rsid w:val="00BF68C7"/>
    <w:rsid w:val="00BF69D5"/>
    <w:rsid w:val="00BF6E82"/>
    <w:rsid w:val="00BF7623"/>
    <w:rsid w:val="00BF7B2A"/>
    <w:rsid w:val="00BF7E94"/>
    <w:rsid w:val="00C000C0"/>
    <w:rsid w:val="00C00478"/>
    <w:rsid w:val="00C02502"/>
    <w:rsid w:val="00C02BB6"/>
    <w:rsid w:val="00C02ED3"/>
    <w:rsid w:val="00C03D39"/>
    <w:rsid w:val="00C03F17"/>
    <w:rsid w:val="00C062E7"/>
    <w:rsid w:val="00C065E6"/>
    <w:rsid w:val="00C070CC"/>
    <w:rsid w:val="00C07A93"/>
    <w:rsid w:val="00C07BC3"/>
    <w:rsid w:val="00C107A4"/>
    <w:rsid w:val="00C1119C"/>
    <w:rsid w:val="00C11293"/>
    <w:rsid w:val="00C11326"/>
    <w:rsid w:val="00C1149E"/>
    <w:rsid w:val="00C11C40"/>
    <w:rsid w:val="00C11D29"/>
    <w:rsid w:val="00C12E03"/>
    <w:rsid w:val="00C13155"/>
    <w:rsid w:val="00C14282"/>
    <w:rsid w:val="00C144FC"/>
    <w:rsid w:val="00C1467F"/>
    <w:rsid w:val="00C14970"/>
    <w:rsid w:val="00C14CD2"/>
    <w:rsid w:val="00C1532D"/>
    <w:rsid w:val="00C1631F"/>
    <w:rsid w:val="00C16346"/>
    <w:rsid w:val="00C16BAF"/>
    <w:rsid w:val="00C17174"/>
    <w:rsid w:val="00C17C8D"/>
    <w:rsid w:val="00C17CB6"/>
    <w:rsid w:val="00C17F3D"/>
    <w:rsid w:val="00C20265"/>
    <w:rsid w:val="00C208CD"/>
    <w:rsid w:val="00C20CDD"/>
    <w:rsid w:val="00C21050"/>
    <w:rsid w:val="00C21823"/>
    <w:rsid w:val="00C2262B"/>
    <w:rsid w:val="00C2292C"/>
    <w:rsid w:val="00C22959"/>
    <w:rsid w:val="00C22D76"/>
    <w:rsid w:val="00C23878"/>
    <w:rsid w:val="00C23B9F"/>
    <w:rsid w:val="00C23BDA"/>
    <w:rsid w:val="00C23C9E"/>
    <w:rsid w:val="00C24020"/>
    <w:rsid w:val="00C24185"/>
    <w:rsid w:val="00C24244"/>
    <w:rsid w:val="00C24E1A"/>
    <w:rsid w:val="00C25918"/>
    <w:rsid w:val="00C2620B"/>
    <w:rsid w:val="00C26566"/>
    <w:rsid w:val="00C266CE"/>
    <w:rsid w:val="00C26B7A"/>
    <w:rsid w:val="00C26E66"/>
    <w:rsid w:val="00C3025D"/>
    <w:rsid w:val="00C30295"/>
    <w:rsid w:val="00C305EF"/>
    <w:rsid w:val="00C30CB4"/>
    <w:rsid w:val="00C3198C"/>
    <w:rsid w:val="00C322B0"/>
    <w:rsid w:val="00C322DB"/>
    <w:rsid w:val="00C32D27"/>
    <w:rsid w:val="00C332AA"/>
    <w:rsid w:val="00C3385C"/>
    <w:rsid w:val="00C33879"/>
    <w:rsid w:val="00C33BDE"/>
    <w:rsid w:val="00C33CE7"/>
    <w:rsid w:val="00C351D4"/>
    <w:rsid w:val="00C35DBA"/>
    <w:rsid w:val="00C35FA2"/>
    <w:rsid w:val="00C366C2"/>
    <w:rsid w:val="00C36997"/>
    <w:rsid w:val="00C374C8"/>
    <w:rsid w:val="00C3777C"/>
    <w:rsid w:val="00C406D6"/>
    <w:rsid w:val="00C4091E"/>
    <w:rsid w:val="00C41259"/>
    <w:rsid w:val="00C4190E"/>
    <w:rsid w:val="00C42191"/>
    <w:rsid w:val="00C4246C"/>
    <w:rsid w:val="00C424F1"/>
    <w:rsid w:val="00C4327F"/>
    <w:rsid w:val="00C437D9"/>
    <w:rsid w:val="00C440CC"/>
    <w:rsid w:val="00C45A2B"/>
    <w:rsid w:val="00C45A5E"/>
    <w:rsid w:val="00C4749A"/>
    <w:rsid w:val="00C47740"/>
    <w:rsid w:val="00C47B37"/>
    <w:rsid w:val="00C47C7E"/>
    <w:rsid w:val="00C50DB4"/>
    <w:rsid w:val="00C51117"/>
    <w:rsid w:val="00C51134"/>
    <w:rsid w:val="00C51A65"/>
    <w:rsid w:val="00C51CE6"/>
    <w:rsid w:val="00C52CC9"/>
    <w:rsid w:val="00C536A4"/>
    <w:rsid w:val="00C537D5"/>
    <w:rsid w:val="00C53A2F"/>
    <w:rsid w:val="00C53DAB"/>
    <w:rsid w:val="00C53DB2"/>
    <w:rsid w:val="00C5400D"/>
    <w:rsid w:val="00C5427C"/>
    <w:rsid w:val="00C543C3"/>
    <w:rsid w:val="00C54605"/>
    <w:rsid w:val="00C5498C"/>
    <w:rsid w:val="00C54CC3"/>
    <w:rsid w:val="00C54D88"/>
    <w:rsid w:val="00C54D8C"/>
    <w:rsid w:val="00C5550B"/>
    <w:rsid w:val="00C560AB"/>
    <w:rsid w:val="00C562D2"/>
    <w:rsid w:val="00C5669F"/>
    <w:rsid w:val="00C568F6"/>
    <w:rsid w:val="00C56D7D"/>
    <w:rsid w:val="00C57870"/>
    <w:rsid w:val="00C602AC"/>
    <w:rsid w:val="00C602E2"/>
    <w:rsid w:val="00C60B4D"/>
    <w:rsid w:val="00C60DD5"/>
    <w:rsid w:val="00C627BD"/>
    <w:rsid w:val="00C62C06"/>
    <w:rsid w:val="00C62E25"/>
    <w:rsid w:val="00C63D5E"/>
    <w:rsid w:val="00C649FF"/>
    <w:rsid w:val="00C65D2C"/>
    <w:rsid w:val="00C65F14"/>
    <w:rsid w:val="00C66135"/>
    <w:rsid w:val="00C664B7"/>
    <w:rsid w:val="00C66D1D"/>
    <w:rsid w:val="00C66EF9"/>
    <w:rsid w:val="00C67B2E"/>
    <w:rsid w:val="00C67C02"/>
    <w:rsid w:val="00C67C17"/>
    <w:rsid w:val="00C67DEE"/>
    <w:rsid w:val="00C67FDB"/>
    <w:rsid w:val="00C706C0"/>
    <w:rsid w:val="00C7087F"/>
    <w:rsid w:val="00C71027"/>
    <w:rsid w:val="00C71523"/>
    <w:rsid w:val="00C71930"/>
    <w:rsid w:val="00C71A7A"/>
    <w:rsid w:val="00C72609"/>
    <w:rsid w:val="00C72890"/>
    <w:rsid w:val="00C737FD"/>
    <w:rsid w:val="00C74034"/>
    <w:rsid w:val="00C740C1"/>
    <w:rsid w:val="00C745D3"/>
    <w:rsid w:val="00C7510E"/>
    <w:rsid w:val="00C751A6"/>
    <w:rsid w:val="00C75772"/>
    <w:rsid w:val="00C75828"/>
    <w:rsid w:val="00C75E57"/>
    <w:rsid w:val="00C762D4"/>
    <w:rsid w:val="00C766E8"/>
    <w:rsid w:val="00C77882"/>
    <w:rsid w:val="00C77C69"/>
    <w:rsid w:val="00C8032F"/>
    <w:rsid w:val="00C81593"/>
    <w:rsid w:val="00C82C52"/>
    <w:rsid w:val="00C82ED0"/>
    <w:rsid w:val="00C8324C"/>
    <w:rsid w:val="00C8360E"/>
    <w:rsid w:val="00C83A84"/>
    <w:rsid w:val="00C841F3"/>
    <w:rsid w:val="00C84D60"/>
    <w:rsid w:val="00C84F10"/>
    <w:rsid w:val="00C85CAF"/>
    <w:rsid w:val="00C85CC8"/>
    <w:rsid w:val="00C85EE4"/>
    <w:rsid w:val="00C8661F"/>
    <w:rsid w:val="00C869E3"/>
    <w:rsid w:val="00C86A9D"/>
    <w:rsid w:val="00C86B68"/>
    <w:rsid w:val="00C87816"/>
    <w:rsid w:val="00C87C30"/>
    <w:rsid w:val="00C87DAB"/>
    <w:rsid w:val="00C9001E"/>
    <w:rsid w:val="00C90391"/>
    <w:rsid w:val="00C90E17"/>
    <w:rsid w:val="00C91688"/>
    <w:rsid w:val="00C918EE"/>
    <w:rsid w:val="00C919AE"/>
    <w:rsid w:val="00C9211F"/>
    <w:rsid w:val="00C92C9F"/>
    <w:rsid w:val="00C92ECA"/>
    <w:rsid w:val="00C93888"/>
    <w:rsid w:val="00C93ABF"/>
    <w:rsid w:val="00C94678"/>
    <w:rsid w:val="00C94938"/>
    <w:rsid w:val="00C95099"/>
    <w:rsid w:val="00C95C5D"/>
    <w:rsid w:val="00C962A5"/>
    <w:rsid w:val="00C96702"/>
    <w:rsid w:val="00C97514"/>
    <w:rsid w:val="00CA0057"/>
    <w:rsid w:val="00CA02EB"/>
    <w:rsid w:val="00CA0AB6"/>
    <w:rsid w:val="00CA0D5E"/>
    <w:rsid w:val="00CA118A"/>
    <w:rsid w:val="00CA1842"/>
    <w:rsid w:val="00CA1E27"/>
    <w:rsid w:val="00CA1E4C"/>
    <w:rsid w:val="00CA2094"/>
    <w:rsid w:val="00CA29D8"/>
    <w:rsid w:val="00CA2B78"/>
    <w:rsid w:val="00CA2BC9"/>
    <w:rsid w:val="00CA315B"/>
    <w:rsid w:val="00CA411D"/>
    <w:rsid w:val="00CA445D"/>
    <w:rsid w:val="00CA4893"/>
    <w:rsid w:val="00CA62FE"/>
    <w:rsid w:val="00CA631A"/>
    <w:rsid w:val="00CA69E5"/>
    <w:rsid w:val="00CA72AE"/>
    <w:rsid w:val="00CB02BD"/>
    <w:rsid w:val="00CB069F"/>
    <w:rsid w:val="00CB084A"/>
    <w:rsid w:val="00CB0CC0"/>
    <w:rsid w:val="00CB112A"/>
    <w:rsid w:val="00CB259E"/>
    <w:rsid w:val="00CB3720"/>
    <w:rsid w:val="00CB3D30"/>
    <w:rsid w:val="00CB4155"/>
    <w:rsid w:val="00CB41A0"/>
    <w:rsid w:val="00CB4CAB"/>
    <w:rsid w:val="00CB4FFF"/>
    <w:rsid w:val="00CB55B8"/>
    <w:rsid w:val="00CB5FE7"/>
    <w:rsid w:val="00CB62F2"/>
    <w:rsid w:val="00CB64C7"/>
    <w:rsid w:val="00CB67F0"/>
    <w:rsid w:val="00CB6C55"/>
    <w:rsid w:val="00CB6CE2"/>
    <w:rsid w:val="00CB79A8"/>
    <w:rsid w:val="00CB7DD1"/>
    <w:rsid w:val="00CC1740"/>
    <w:rsid w:val="00CC1909"/>
    <w:rsid w:val="00CC1CCA"/>
    <w:rsid w:val="00CC1CE2"/>
    <w:rsid w:val="00CC209A"/>
    <w:rsid w:val="00CC210D"/>
    <w:rsid w:val="00CC27E6"/>
    <w:rsid w:val="00CC2D55"/>
    <w:rsid w:val="00CC33A9"/>
    <w:rsid w:val="00CC3603"/>
    <w:rsid w:val="00CC3A07"/>
    <w:rsid w:val="00CC3FB8"/>
    <w:rsid w:val="00CC436C"/>
    <w:rsid w:val="00CC5334"/>
    <w:rsid w:val="00CC564B"/>
    <w:rsid w:val="00CC57D8"/>
    <w:rsid w:val="00CC5AC4"/>
    <w:rsid w:val="00CC5EBE"/>
    <w:rsid w:val="00CC60A4"/>
    <w:rsid w:val="00CC6CB4"/>
    <w:rsid w:val="00CC6EB9"/>
    <w:rsid w:val="00CC6F11"/>
    <w:rsid w:val="00CC71E3"/>
    <w:rsid w:val="00CC7779"/>
    <w:rsid w:val="00CD00B7"/>
    <w:rsid w:val="00CD0220"/>
    <w:rsid w:val="00CD0250"/>
    <w:rsid w:val="00CD07E0"/>
    <w:rsid w:val="00CD08DE"/>
    <w:rsid w:val="00CD1C47"/>
    <w:rsid w:val="00CD1C4A"/>
    <w:rsid w:val="00CD1E6B"/>
    <w:rsid w:val="00CD1F5E"/>
    <w:rsid w:val="00CD253C"/>
    <w:rsid w:val="00CD2CEC"/>
    <w:rsid w:val="00CD2CF8"/>
    <w:rsid w:val="00CD2E12"/>
    <w:rsid w:val="00CD2F94"/>
    <w:rsid w:val="00CD32CD"/>
    <w:rsid w:val="00CD32DC"/>
    <w:rsid w:val="00CD3983"/>
    <w:rsid w:val="00CD45FC"/>
    <w:rsid w:val="00CD4692"/>
    <w:rsid w:val="00CD4894"/>
    <w:rsid w:val="00CD5F5D"/>
    <w:rsid w:val="00CD6619"/>
    <w:rsid w:val="00CD6698"/>
    <w:rsid w:val="00CD673F"/>
    <w:rsid w:val="00CD6BE0"/>
    <w:rsid w:val="00CD6BF3"/>
    <w:rsid w:val="00CD6F7C"/>
    <w:rsid w:val="00CD7776"/>
    <w:rsid w:val="00CD794D"/>
    <w:rsid w:val="00CD7AE1"/>
    <w:rsid w:val="00CE0225"/>
    <w:rsid w:val="00CE085C"/>
    <w:rsid w:val="00CE0939"/>
    <w:rsid w:val="00CE0B40"/>
    <w:rsid w:val="00CE1EF3"/>
    <w:rsid w:val="00CE2344"/>
    <w:rsid w:val="00CE25DC"/>
    <w:rsid w:val="00CE2AF8"/>
    <w:rsid w:val="00CE2BAD"/>
    <w:rsid w:val="00CE2C5E"/>
    <w:rsid w:val="00CE3BA7"/>
    <w:rsid w:val="00CE4396"/>
    <w:rsid w:val="00CE472E"/>
    <w:rsid w:val="00CE4D23"/>
    <w:rsid w:val="00CE5960"/>
    <w:rsid w:val="00CE5D43"/>
    <w:rsid w:val="00CE6074"/>
    <w:rsid w:val="00CF02D9"/>
    <w:rsid w:val="00CF02DE"/>
    <w:rsid w:val="00CF04CF"/>
    <w:rsid w:val="00CF1213"/>
    <w:rsid w:val="00CF176B"/>
    <w:rsid w:val="00CF18F4"/>
    <w:rsid w:val="00CF1F40"/>
    <w:rsid w:val="00CF2C61"/>
    <w:rsid w:val="00CF36A6"/>
    <w:rsid w:val="00CF3B96"/>
    <w:rsid w:val="00CF3C6C"/>
    <w:rsid w:val="00CF443B"/>
    <w:rsid w:val="00CF4525"/>
    <w:rsid w:val="00CF4680"/>
    <w:rsid w:val="00CF47C2"/>
    <w:rsid w:val="00CF4DAF"/>
    <w:rsid w:val="00CF4DC1"/>
    <w:rsid w:val="00CF5C5F"/>
    <w:rsid w:val="00CF5FA6"/>
    <w:rsid w:val="00CF60F7"/>
    <w:rsid w:val="00CF622F"/>
    <w:rsid w:val="00CF68E9"/>
    <w:rsid w:val="00CF7187"/>
    <w:rsid w:val="00CF74B5"/>
    <w:rsid w:val="00CF74C3"/>
    <w:rsid w:val="00CF7A23"/>
    <w:rsid w:val="00D00204"/>
    <w:rsid w:val="00D01E21"/>
    <w:rsid w:val="00D035DF"/>
    <w:rsid w:val="00D04005"/>
    <w:rsid w:val="00D042A5"/>
    <w:rsid w:val="00D0432F"/>
    <w:rsid w:val="00D0433E"/>
    <w:rsid w:val="00D04B6F"/>
    <w:rsid w:val="00D04CE5"/>
    <w:rsid w:val="00D0556F"/>
    <w:rsid w:val="00D05E2D"/>
    <w:rsid w:val="00D0695D"/>
    <w:rsid w:val="00D06B7A"/>
    <w:rsid w:val="00D07115"/>
    <w:rsid w:val="00D07233"/>
    <w:rsid w:val="00D076C5"/>
    <w:rsid w:val="00D10695"/>
    <w:rsid w:val="00D10CA9"/>
    <w:rsid w:val="00D11A4F"/>
    <w:rsid w:val="00D11D8A"/>
    <w:rsid w:val="00D12D17"/>
    <w:rsid w:val="00D130FA"/>
    <w:rsid w:val="00D13414"/>
    <w:rsid w:val="00D13E33"/>
    <w:rsid w:val="00D14E04"/>
    <w:rsid w:val="00D1507E"/>
    <w:rsid w:val="00D15D1C"/>
    <w:rsid w:val="00D16820"/>
    <w:rsid w:val="00D16C57"/>
    <w:rsid w:val="00D171E3"/>
    <w:rsid w:val="00D17357"/>
    <w:rsid w:val="00D17565"/>
    <w:rsid w:val="00D20185"/>
    <w:rsid w:val="00D20517"/>
    <w:rsid w:val="00D206F3"/>
    <w:rsid w:val="00D2099B"/>
    <w:rsid w:val="00D210EF"/>
    <w:rsid w:val="00D21C49"/>
    <w:rsid w:val="00D21EB3"/>
    <w:rsid w:val="00D221FD"/>
    <w:rsid w:val="00D22335"/>
    <w:rsid w:val="00D241F1"/>
    <w:rsid w:val="00D248E2"/>
    <w:rsid w:val="00D25F7C"/>
    <w:rsid w:val="00D267C2"/>
    <w:rsid w:val="00D26BE5"/>
    <w:rsid w:val="00D26D41"/>
    <w:rsid w:val="00D27076"/>
    <w:rsid w:val="00D275D7"/>
    <w:rsid w:val="00D30017"/>
    <w:rsid w:val="00D30EDE"/>
    <w:rsid w:val="00D30F63"/>
    <w:rsid w:val="00D31560"/>
    <w:rsid w:val="00D318B3"/>
    <w:rsid w:val="00D325F7"/>
    <w:rsid w:val="00D3320E"/>
    <w:rsid w:val="00D3350C"/>
    <w:rsid w:val="00D34C46"/>
    <w:rsid w:val="00D34C62"/>
    <w:rsid w:val="00D34FBA"/>
    <w:rsid w:val="00D364D7"/>
    <w:rsid w:val="00D364F6"/>
    <w:rsid w:val="00D36671"/>
    <w:rsid w:val="00D369A4"/>
    <w:rsid w:val="00D36AEB"/>
    <w:rsid w:val="00D36D0C"/>
    <w:rsid w:val="00D37389"/>
    <w:rsid w:val="00D378E8"/>
    <w:rsid w:val="00D37AB4"/>
    <w:rsid w:val="00D40527"/>
    <w:rsid w:val="00D41876"/>
    <w:rsid w:val="00D41C61"/>
    <w:rsid w:val="00D41D6D"/>
    <w:rsid w:val="00D41E14"/>
    <w:rsid w:val="00D4210E"/>
    <w:rsid w:val="00D42515"/>
    <w:rsid w:val="00D42945"/>
    <w:rsid w:val="00D42A31"/>
    <w:rsid w:val="00D42B33"/>
    <w:rsid w:val="00D42B4C"/>
    <w:rsid w:val="00D4380C"/>
    <w:rsid w:val="00D43ECE"/>
    <w:rsid w:val="00D448D9"/>
    <w:rsid w:val="00D44B90"/>
    <w:rsid w:val="00D44E8C"/>
    <w:rsid w:val="00D4582D"/>
    <w:rsid w:val="00D458D3"/>
    <w:rsid w:val="00D4620B"/>
    <w:rsid w:val="00D46DE5"/>
    <w:rsid w:val="00D46E72"/>
    <w:rsid w:val="00D46E7B"/>
    <w:rsid w:val="00D470D3"/>
    <w:rsid w:val="00D47213"/>
    <w:rsid w:val="00D477CB"/>
    <w:rsid w:val="00D479DE"/>
    <w:rsid w:val="00D47BFD"/>
    <w:rsid w:val="00D50955"/>
    <w:rsid w:val="00D5095F"/>
    <w:rsid w:val="00D5096B"/>
    <w:rsid w:val="00D50CBC"/>
    <w:rsid w:val="00D5140D"/>
    <w:rsid w:val="00D5171F"/>
    <w:rsid w:val="00D51729"/>
    <w:rsid w:val="00D52252"/>
    <w:rsid w:val="00D525D6"/>
    <w:rsid w:val="00D527E6"/>
    <w:rsid w:val="00D52CAE"/>
    <w:rsid w:val="00D532D2"/>
    <w:rsid w:val="00D54342"/>
    <w:rsid w:val="00D548E5"/>
    <w:rsid w:val="00D549D0"/>
    <w:rsid w:val="00D559F2"/>
    <w:rsid w:val="00D55A4D"/>
    <w:rsid w:val="00D55B3C"/>
    <w:rsid w:val="00D568B8"/>
    <w:rsid w:val="00D56B7B"/>
    <w:rsid w:val="00D57202"/>
    <w:rsid w:val="00D57803"/>
    <w:rsid w:val="00D5781C"/>
    <w:rsid w:val="00D57881"/>
    <w:rsid w:val="00D57A9C"/>
    <w:rsid w:val="00D57DF3"/>
    <w:rsid w:val="00D605DA"/>
    <w:rsid w:val="00D608C0"/>
    <w:rsid w:val="00D6196A"/>
    <w:rsid w:val="00D61A81"/>
    <w:rsid w:val="00D62DE7"/>
    <w:rsid w:val="00D62E80"/>
    <w:rsid w:val="00D62FB2"/>
    <w:rsid w:val="00D633EF"/>
    <w:rsid w:val="00D6449B"/>
    <w:rsid w:val="00D64619"/>
    <w:rsid w:val="00D6469D"/>
    <w:rsid w:val="00D646BE"/>
    <w:rsid w:val="00D64F91"/>
    <w:rsid w:val="00D66677"/>
    <w:rsid w:val="00D66AFE"/>
    <w:rsid w:val="00D66E04"/>
    <w:rsid w:val="00D66F7C"/>
    <w:rsid w:val="00D673C9"/>
    <w:rsid w:val="00D67ACF"/>
    <w:rsid w:val="00D67C7A"/>
    <w:rsid w:val="00D7053E"/>
    <w:rsid w:val="00D70951"/>
    <w:rsid w:val="00D7095C"/>
    <w:rsid w:val="00D7100F"/>
    <w:rsid w:val="00D71399"/>
    <w:rsid w:val="00D714E8"/>
    <w:rsid w:val="00D71995"/>
    <w:rsid w:val="00D72049"/>
    <w:rsid w:val="00D72708"/>
    <w:rsid w:val="00D72FC5"/>
    <w:rsid w:val="00D73EB8"/>
    <w:rsid w:val="00D73ED5"/>
    <w:rsid w:val="00D74BA4"/>
    <w:rsid w:val="00D75082"/>
    <w:rsid w:val="00D752A1"/>
    <w:rsid w:val="00D755DD"/>
    <w:rsid w:val="00D760D8"/>
    <w:rsid w:val="00D76ADB"/>
    <w:rsid w:val="00D77099"/>
    <w:rsid w:val="00D772E9"/>
    <w:rsid w:val="00D77E22"/>
    <w:rsid w:val="00D80178"/>
    <w:rsid w:val="00D806FB"/>
    <w:rsid w:val="00D80C22"/>
    <w:rsid w:val="00D8158D"/>
    <w:rsid w:val="00D8173A"/>
    <w:rsid w:val="00D819A3"/>
    <w:rsid w:val="00D81F52"/>
    <w:rsid w:val="00D825DD"/>
    <w:rsid w:val="00D826CA"/>
    <w:rsid w:val="00D82D9D"/>
    <w:rsid w:val="00D82E3A"/>
    <w:rsid w:val="00D836FE"/>
    <w:rsid w:val="00D83B7E"/>
    <w:rsid w:val="00D84432"/>
    <w:rsid w:val="00D84C73"/>
    <w:rsid w:val="00D852F5"/>
    <w:rsid w:val="00D85426"/>
    <w:rsid w:val="00D862FE"/>
    <w:rsid w:val="00D867DD"/>
    <w:rsid w:val="00D8696B"/>
    <w:rsid w:val="00D86CB6"/>
    <w:rsid w:val="00D86DFA"/>
    <w:rsid w:val="00D870D5"/>
    <w:rsid w:val="00D87BB9"/>
    <w:rsid w:val="00D87C23"/>
    <w:rsid w:val="00D90CBB"/>
    <w:rsid w:val="00D90D33"/>
    <w:rsid w:val="00D91B4E"/>
    <w:rsid w:val="00D92288"/>
    <w:rsid w:val="00D92A54"/>
    <w:rsid w:val="00D937D2"/>
    <w:rsid w:val="00D938D5"/>
    <w:rsid w:val="00D93C04"/>
    <w:rsid w:val="00D93ED9"/>
    <w:rsid w:val="00D94880"/>
    <w:rsid w:val="00D9553F"/>
    <w:rsid w:val="00D96831"/>
    <w:rsid w:val="00D973AC"/>
    <w:rsid w:val="00D977B6"/>
    <w:rsid w:val="00D9789D"/>
    <w:rsid w:val="00DA0181"/>
    <w:rsid w:val="00DA0370"/>
    <w:rsid w:val="00DA1456"/>
    <w:rsid w:val="00DA15E6"/>
    <w:rsid w:val="00DA1C03"/>
    <w:rsid w:val="00DA1CA4"/>
    <w:rsid w:val="00DA2C85"/>
    <w:rsid w:val="00DA2F49"/>
    <w:rsid w:val="00DA3C63"/>
    <w:rsid w:val="00DA490A"/>
    <w:rsid w:val="00DA4C7B"/>
    <w:rsid w:val="00DA4E6E"/>
    <w:rsid w:val="00DA56B6"/>
    <w:rsid w:val="00DA60F8"/>
    <w:rsid w:val="00DA621C"/>
    <w:rsid w:val="00DA6465"/>
    <w:rsid w:val="00DA7945"/>
    <w:rsid w:val="00DA796B"/>
    <w:rsid w:val="00DB0C54"/>
    <w:rsid w:val="00DB15CC"/>
    <w:rsid w:val="00DB1B84"/>
    <w:rsid w:val="00DB1EF5"/>
    <w:rsid w:val="00DB2020"/>
    <w:rsid w:val="00DB211E"/>
    <w:rsid w:val="00DB233A"/>
    <w:rsid w:val="00DB27B9"/>
    <w:rsid w:val="00DB2B53"/>
    <w:rsid w:val="00DB3095"/>
    <w:rsid w:val="00DB3564"/>
    <w:rsid w:val="00DB39D4"/>
    <w:rsid w:val="00DB4676"/>
    <w:rsid w:val="00DB4710"/>
    <w:rsid w:val="00DB4804"/>
    <w:rsid w:val="00DB4A19"/>
    <w:rsid w:val="00DB649A"/>
    <w:rsid w:val="00DB6D30"/>
    <w:rsid w:val="00DB72F1"/>
    <w:rsid w:val="00DC170D"/>
    <w:rsid w:val="00DC187E"/>
    <w:rsid w:val="00DC1DC1"/>
    <w:rsid w:val="00DC2675"/>
    <w:rsid w:val="00DC2704"/>
    <w:rsid w:val="00DC411D"/>
    <w:rsid w:val="00DC42FC"/>
    <w:rsid w:val="00DC4A28"/>
    <w:rsid w:val="00DC4C1A"/>
    <w:rsid w:val="00DC4C5F"/>
    <w:rsid w:val="00DC53EB"/>
    <w:rsid w:val="00DC54C3"/>
    <w:rsid w:val="00DC5808"/>
    <w:rsid w:val="00DC63D4"/>
    <w:rsid w:val="00DC65A7"/>
    <w:rsid w:val="00DC7296"/>
    <w:rsid w:val="00DD02F3"/>
    <w:rsid w:val="00DD04F5"/>
    <w:rsid w:val="00DD0516"/>
    <w:rsid w:val="00DD0575"/>
    <w:rsid w:val="00DD09B8"/>
    <w:rsid w:val="00DD0A91"/>
    <w:rsid w:val="00DD2C97"/>
    <w:rsid w:val="00DD2E62"/>
    <w:rsid w:val="00DD3B8E"/>
    <w:rsid w:val="00DD4F0D"/>
    <w:rsid w:val="00DD4F75"/>
    <w:rsid w:val="00DD507D"/>
    <w:rsid w:val="00DD597B"/>
    <w:rsid w:val="00DD6599"/>
    <w:rsid w:val="00DD6E57"/>
    <w:rsid w:val="00DD72F5"/>
    <w:rsid w:val="00DD749A"/>
    <w:rsid w:val="00DE00B5"/>
    <w:rsid w:val="00DE0360"/>
    <w:rsid w:val="00DE08D6"/>
    <w:rsid w:val="00DE08ED"/>
    <w:rsid w:val="00DE0CBC"/>
    <w:rsid w:val="00DE0E58"/>
    <w:rsid w:val="00DE1019"/>
    <w:rsid w:val="00DE1030"/>
    <w:rsid w:val="00DE25DF"/>
    <w:rsid w:val="00DE385C"/>
    <w:rsid w:val="00DE3A3A"/>
    <w:rsid w:val="00DE3B79"/>
    <w:rsid w:val="00DE486D"/>
    <w:rsid w:val="00DE4EE7"/>
    <w:rsid w:val="00DE50B9"/>
    <w:rsid w:val="00DE50C6"/>
    <w:rsid w:val="00DE5887"/>
    <w:rsid w:val="00DE5F3A"/>
    <w:rsid w:val="00DE6FA8"/>
    <w:rsid w:val="00DE740B"/>
    <w:rsid w:val="00DF0596"/>
    <w:rsid w:val="00DF0C57"/>
    <w:rsid w:val="00DF100D"/>
    <w:rsid w:val="00DF10E2"/>
    <w:rsid w:val="00DF11EF"/>
    <w:rsid w:val="00DF1564"/>
    <w:rsid w:val="00DF1687"/>
    <w:rsid w:val="00DF16C4"/>
    <w:rsid w:val="00DF20A2"/>
    <w:rsid w:val="00DF219C"/>
    <w:rsid w:val="00DF2874"/>
    <w:rsid w:val="00DF3860"/>
    <w:rsid w:val="00DF3C05"/>
    <w:rsid w:val="00DF4A4A"/>
    <w:rsid w:val="00DF5235"/>
    <w:rsid w:val="00DF579C"/>
    <w:rsid w:val="00DF59C1"/>
    <w:rsid w:val="00DF5A05"/>
    <w:rsid w:val="00DF5B51"/>
    <w:rsid w:val="00DF679D"/>
    <w:rsid w:val="00DF7237"/>
    <w:rsid w:val="00DF74D7"/>
    <w:rsid w:val="00DF75F5"/>
    <w:rsid w:val="00DF7C9F"/>
    <w:rsid w:val="00E00041"/>
    <w:rsid w:val="00E00D27"/>
    <w:rsid w:val="00E0103F"/>
    <w:rsid w:val="00E01307"/>
    <w:rsid w:val="00E0138A"/>
    <w:rsid w:val="00E014FA"/>
    <w:rsid w:val="00E01AC3"/>
    <w:rsid w:val="00E022A4"/>
    <w:rsid w:val="00E0232A"/>
    <w:rsid w:val="00E02385"/>
    <w:rsid w:val="00E023E3"/>
    <w:rsid w:val="00E0280E"/>
    <w:rsid w:val="00E028BC"/>
    <w:rsid w:val="00E02BE4"/>
    <w:rsid w:val="00E03D67"/>
    <w:rsid w:val="00E04B59"/>
    <w:rsid w:val="00E05251"/>
    <w:rsid w:val="00E05429"/>
    <w:rsid w:val="00E0612B"/>
    <w:rsid w:val="00E06334"/>
    <w:rsid w:val="00E06F4D"/>
    <w:rsid w:val="00E06FDD"/>
    <w:rsid w:val="00E0783F"/>
    <w:rsid w:val="00E078D7"/>
    <w:rsid w:val="00E07B05"/>
    <w:rsid w:val="00E07DBA"/>
    <w:rsid w:val="00E07FF8"/>
    <w:rsid w:val="00E10092"/>
    <w:rsid w:val="00E100CA"/>
    <w:rsid w:val="00E1153E"/>
    <w:rsid w:val="00E11BE3"/>
    <w:rsid w:val="00E12283"/>
    <w:rsid w:val="00E12C23"/>
    <w:rsid w:val="00E13357"/>
    <w:rsid w:val="00E1359B"/>
    <w:rsid w:val="00E13EA6"/>
    <w:rsid w:val="00E147AD"/>
    <w:rsid w:val="00E1490F"/>
    <w:rsid w:val="00E14F81"/>
    <w:rsid w:val="00E1535A"/>
    <w:rsid w:val="00E1658D"/>
    <w:rsid w:val="00E17B08"/>
    <w:rsid w:val="00E21D0C"/>
    <w:rsid w:val="00E21FB8"/>
    <w:rsid w:val="00E21FC9"/>
    <w:rsid w:val="00E2263E"/>
    <w:rsid w:val="00E230F6"/>
    <w:rsid w:val="00E242CE"/>
    <w:rsid w:val="00E24824"/>
    <w:rsid w:val="00E2522C"/>
    <w:rsid w:val="00E25327"/>
    <w:rsid w:val="00E2541D"/>
    <w:rsid w:val="00E25AFD"/>
    <w:rsid w:val="00E25C33"/>
    <w:rsid w:val="00E260BF"/>
    <w:rsid w:val="00E26210"/>
    <w:rsid w:val="00E26240"/>
    <w:rsid w:val="00E26284"/>
    <w:rsid w:val="00E26324"/>
    <w:rsid w:val="00E264E4"/>
    <w:rsid w:val="00E26521"/>
    <w:rsid w:val="00E26578"/>
    <w:rsid w:val="00E267BB"/>
    <w:rsid w:val="00E2764F"/>
    <w:rsid w:val="00E27805"/>
    <w:rsid w:val="00E27B06"/>
    <w:rsid w:val="00E27DF7"/>
    <w:rsid w:val="00E27E06"/>
    <w:rsid w:val="00E30441"/>
    <w:rsid w:val="00E30FC9"/>
    <w:rsid w:val="00E313F7"/>
    <w:rsid w:val="00E31446"/>
    <w:rsid w:val="00E3163B"/>
    <w:rsid w:val="00E31B56"/>
    <w:rsid w:val="00E32341"/>
    <w:rsid w:val="00E32CDD"/>
    <w:rsid w:val="00E32E57"/>
    <w:rsid w:val="00E33406"/>
    <w:rsid w:val="00E33654"/>
    <w:rsid w:val="00E33C4E"/>
    <w:rsid w:val="00E3412F"/>
    <w:rsid w:val="00E34718"/>
    <w:rsid w:val="00E34B2D"/>
    <w:rsid w:val="00E34F18"/>
    <w:rsid w:val="00E3544F"/>
    <w:rsid w:val="00E35619"/>
    <w:rsid w:val="00E35F5B"/>
    <w:rsid w:val="00E36934"/>
    <w:rsid w:val="00E36B97"/>
    <w:rsid w:val="00E37DD8"/>
    <w:rsid w:val="00E40788"/>
    <w:rsid w:val="00E408EC"/>
    <w:rsid w:val="00E40B3F"/>
    <w:rsid w:val="00E40BDB"/>
    <w:rsid w:val="00E40CF9"/>
    <w:rsid w:val="00E41531"/>
    <w:rsid w:val="00E419C7"/>
    <w:rsid w:val="00E41D43"/>
    <w:rsid w:val="00E41E8D"/>
    <w:rsid w:val="00E42177"/>
    <w:rsid w:val="00E432C7"/>
    <w:rsid w:val="00E433F2"/>
    <w:rsid w:val="00E43415"/>
    <w:rsid w:val="00E43C6F"/>
    <w:rsid w:val="00E448B7"/>
    <w:rsid w:val="00E44CA3"/>
    <w:rsid w:val="00E450FA"/>
    <w:rsid w:val="00E45573"/>
    <w:rsid w:val="00E45710"/>
    <w:rsid w:val="00E45844"/>
    <w:rsid w:val="00E4591A"/>
    <w:rsid w:val="00E4737C"/>
    <w:rsid w:val="00E50457"/>
    <w:rsid w:val="00E50532"/>
    <w:rsid w:val="00E51B23"/>
    <w:rsid w:val="00E53310"/>
    <w:rsid w:val="00E5391A"/>
    <w:rsid w:val="00E53FFF"/>
    <w:rsid w:val="00E55865"/>
    <w:rsid w:val="00E55A66"/>
    <w:rsid w:val="00E575FA"/>
    <w:rsid w:val="00E60006"/>
    <w:rsid w:val="00E606A6"/>
    <w:rsid w:val="00E60A4F"/>
    <w:rsid w:val="00E60BD0"/>
    <w:rsid w:val="00E611D6"/>
    <w:rsid w:val="00E61879"/>
    <w:rsid w:val="00E622F5"/>
    <w:rsid w:val="00E6291E"/>
    <w:rsid w:val="00E632D1"/>
    <w:rsid w:val="00E638E9"/>
    <w:rsid w:val="00E63E8C"/>
    <w:rsid w:val="00E64062"/>
    <w:rsid w:val="00E6407E"/>
    <w:rsid w:val="00E6484B"/>
    <w:rsid w:val="00E66EF8"/>
    <w:rsid w:val="00E70128"/>
    <w:rsid w:val="00E70838"/>
    <w:rsid w:val="00E71578"/>
    <w:rsid w:val="00E7170B"/>
    <w:rsid w:val="00E71C86"/>
    <w:rsid w:val="00E7209A"/>
    <w:rsid w:val="00E72D2A"/>
    <w:rsid w:val="00E73337"/>
    <w:rsid w:val="00E7346D"/>
    <w:rsid w:val="00E73AA7"/>
    <w:rsid w:val="00E73F90"/>
    <w:rsid w:val="00E740CE"/>
    <w:rsid w:val="00E74207"/>
    <w:rsid w:val="00E7444F"/>
    <w:rsid w:val="00E744C7"/>
    <w:rsid w:val="00E7465E"/>
    <w:rsid w:val="00E74992"/>
    <w:rsid w:val="00E7501D"/>
    <w:rsid w:val="00E753A6"/>
    <w:rsid w:val="00E75406"/>
    <w:rsid w:val="00E75567"/>
    <w:rsid w:val="00E75E2F"/>
    <w:rsid w:val="00E7602B"/>
    <w:rsid w:val="00E76A7D"/>
    <w:rsid w:val="00E76C5C"/>
    <w:rsid w:val="00E76EB5"/>
    <w:rsid w:val="00E7758F"/>
    <w:rsid w:val="00E77AB5"/>
    <w:rsid w:val="00E77B39"/>
    <w:rsid w:val="00E800F1"/>
    <w:rsid w:val="00E80626"/>
    <w:rsid w:val="00E8068F"/>
    <w:rsid w:val="00E81041"/>
    <w:rsid w:val="00E810B0"/>
    <w:rsid w:val="00E817B0"/>
    <w:rsid w:val="00E81980"/>
    <w:rsid w:val="00E81A66"/>
    <w:rsid w:val="00E82D3C"/>
    <w:rsid w:val="00E8314A"/>
    <w:rsid w:val="00E831E9"/>
    <w:rsid w:val="00E8366F"/>
    <w:rsid w:val="00E83D6D"/>
    <w:rsid w:val="00E84432"/>
    <w:rsid w:val="00E84769"/>
    <w:rsid w:val="00E8498A"/>
    <w:rsid w:val="00E84C56"/>
    <w:rsid w:val="00E85DBF"/>
    <w:rsid w:val="00E85DD8"/>
    <w:rsid w:val="00E862EF"/>
    <w:rsid w:val="00E86580"/>
    <w:rsid w:val="00E86DDF"/>
    <w:rsid w:val="00E86E59"/>
    <w:rsid w:val="00E86F05"/>
    <w:rsid w:val="00E870AE"/>
    <w:rsid w:val="00E87188"/>
    <w:rsid w:val="00E87225"/>
    <w:rsid w:val="00E872B9"/>
    <w:rsid w:val="00E873F4"/>
    <w:rsid w:val="00E875AC"/>
    <w:rsid w:val="00E87644"/>
    <w:rsid w:val="00E8795D"/>
    <w:rsid w:val="00E87EFB"/>
    <w:rsid w:val="00E9025F"/>
    <w:rsid w:val="00E9027A"/>
    <w:rsid w:val="00E903BD"/>
    <w:rsid w:val="00E903CF"/>
    <w:rsid w:val="00E90582"/>
    <w:rsid w:val="00E910F3"/>
    <w:rsid w:val="00E917D8"/>
    <w:rsid w:val="00E92665"/>
    <w:rsid w:val="00E928C0"/>
    <w:rsid w:val="00E92C6F"/>
    <w:rsid w:val="00E9300E"/>
    <w:rsid w:val="00E93343"/>
    <w:rsid w:val="00E9553E"/>
    <w:rsid w:val="00E95FCC"/>
    <w:rsid w:val="00E966F2"/>
    <w:rsid w:val="00E9678E"/>
    <w:rsid w:val="00E96999"/>
    <w:rsid w:val="00E96B2A"/>
    <w:rsid w:val="00E97054"/>
    <w:rsid w:val="00E97266"/>
    <w:rsid w:val="00E97270"/>
    <w:rsid w:val="00E97388"/>
    <w:rsid w:val="00EA0244"/>
    <w:rsid w:val="00EA06B8"/>
    <w:rsid w:val="00EA07F5"/>
    <w:rsid w:val="00EA0978"/>
    <w:rsid w:val="00EA123F"/>
    <w:rsid w:val="00EA129C"/>
    <w:rsid w:val="00EA1536"/>
    <w:rsid w:val="00EA1AD8"/>
    <w:rsid w:val="00EA3422"/>
    <w:rsid w:val="00EA3DD3"/>
    <w:rsid w:val="00EA4241"/>
    <w:rsid w:val="00EA49FB"/>
    <w:rsid w:val="00EA53E0"/>
    <w:rsid w:val="00EA548B"/>
    <w:rsid w:val="00EA5BB6"/>
    <w:rsid w:val="00EA65E0"/>
    <w:rsid w:val="00EA7858"/>
    <w:rsid w:val="00EA7AD8"/>
    <w:rsid w:val="00EB0581"/>
    <w:rsid w:val="00EB1171"/>
    <w:rsid w:val="00EB15DB"/>
    <w:rsid w:val="00EB2214"/>
    <w:rsid w:val="00EB24AE"/>
    <w:rsid w:val="00EB2933"/>
    <w:rsid w:val="00EB2B56"/>
    <w:rsid w:val="00EB30C1"/>
    <w:rsid w:val="00EB32B6"/>
    <w:rsid w:val="00EB3631"/>
    <w:rsid w:val="00EB3A3A"/>
    <w:rsid w:val="00EB3B81"/>
    <w:rsid w:val="00EB42C9"/>
    <w:rsid w:val="00EB4BE4"/>
    <w:rsid w:val="00EB4EBF"/>
    <w:rsid w:val="00EB58DD"/>
    <w:rsid w:val="00EB64C9"/>
    <w:rsid w:val="00EB7ABB"/>
    <w:rsid w:val="00EB7E41"/>
    <w:rsid w:val="00EC04EE"/>
    <w:rsid w:val="00EC051E"/>
    <w:rsid w:val="00EC0563"/>
    <w:rsid w:val="00EC0618"/>
    <w:rsid w:val="00EC0997"/>
    <w:rsid w:val="00EC1055"/>
    <w:rsid w:val="00EC1522"/>
    <w:rsid w:val="00EC199F"/>
    <w:rsid w:val="00EC2085"/>
    <w:rsid w:val="00EC2652"/>
    <w:rsid w:val="00EC2659"/>
    <w:rsid w:val="00EC2795"/>
    <w:rsid w:val="00EC337D"/>
    <w:rsid w:val="00EC36F6"/>
    <w:rsid w:val="00EC38B8"/>
    <w:rsid w:val="00EC3A1C"/>
    <w:rsid w:val="00EC3A7B"/>
    <w:rsid w:val="00EC400B"/>
    <w:rsid w:val="00EC403B"/>
    <w:rsid w:val="00EC5361"/>
    <w:rsid w:val="00EC599A"/>
    <w:rsid w:val="00EC5A57"/>
    <w:rsid w:val="00EC6E62"/>
    <w:rsid w:val="00EC7214"/>
    <w:rsid w:val="00EC7A08"/>
    <w:rsid w:val="00ED0599"/>
    <w:rsid w:val="00ED167B"/>
    <w:rsid w:val="00ED1827"/>
    <w:rsid w:val="00ED209B"/>
    <w:rsid w:val="00ED2120"/>
    <w:rsid w:val="00ED24A4"/>
    <w:rsid w:val="00ED26E7"/>
    <w:rsid w:val="00ED2DAF"/>
    <w:rsid w:val="00ED36FB"/>
    <w:rsid w:val="00ED3C41"/>
    <w:rsid w:val="00ED439E"/>
    <w:rsid w:val="00ED4406"/>
    <w:rsid w:val="00ED4654"/>
    <w:rsid w:val="00ED4D0C"/>
    <w:rsid w:val="00ED52B5"/>
    <w:rsid w:val="00ED5588"/>
    <w:rsid w:val="00ED57A3"/>
    <w:rsid w:val="00ED60C7"/>
    <w:rsid w:val="00ED692B"/>
    <w:rsid w:val="00ED6ED5"/>
    <w:rsid w:val="00ED7354"/>
    <w:rsid w:val="00ED7436"/>
    <w:rsid w:val="00ED7A6D"/>
    <w:rsid w:val="00EE0034"/>
    <w:rsid w:val="00EE0052"/>
    <w:rsid w:val="00EE01E5"/>
    <w:rsid w:val="00EE1096"/>
    <w:rsid w:val="00EE10BC"/>
    <w:rsid w:val="00EE1165"/>
    <w:rsid w:val="00EE21BB"/>
    <w:rsid w:val="00EE2B7F"/>
    <w:rsid w:val="00EE2EA1"/>
    <w:rsid w:val="00EE3178"/>
    <w:rsid w:val="00EE32F8"/>
    <w:rsid w:val="00EE3365"/>
    <w:rsid w:val="00EE336C"/>
    <w:rsid w:val="00EE35CF"/>
    <w:rsid w:val="00EE3C31"/>
    <w:rsid w:val="00EE3D64"/>
    <w:rsid w:val="00EE3DDE"/>
    <w:rsid w:val="00EE42F8"/>
    <w:rsid w:val="00EE4EB7"/>
    <w:rsid w:val="00EE5433"/>
    <w:rsid w:val="00EE66E9"/>
    <w:rsid w:val="00EE758F"/>
    <w:rsid w:val="00EF042B"/>
    <w:rsid w:val="00EF0AD3"/>
    <w:rsid w:val="00EF10E4"/>
    <w:rsid w:val="00EF1187"/>
    <w:rsid w:val="00EF1B15"/>
    <w:rsid w:val="00EF22F4"/>
    <w:rsid w:val="00EF2335"/>
    <w:rsid w:val="00EF283B"/>
    <w:rsid w:val="00EF2D21"/>
    <w:rsid w:val="00EF33CA"/>
    <w:rsid w:val="00EF388C"/>
    <w:rsid w:val="00EF4186"/>
    <w:rsid w:val="00EF47A7"/>
    <w:rsid w:val="00EF4E78"/>
    <w:rsid w:val="00EF4EFF"/>
    <w:rsid w:val="00EF5F90"/>
    <w:rsid w:val="00EF76BF"/>
    <w:rsid w:val="00EF7977"/>
    <w:rsid w:val="00EF7EBB"/>
    <w:rsid w:val="00F002A7"/>
    <w:rsid w:val="00F0031D"/>
    <w:rsid w:val="00F015DB"/>
    <w:rsid w:val="00F023B1"/>
    <w:rsid w:val="00F026C4"/>
    <w:rsid w:val="00F02868"/>
    <w:rsid w:val="00F02A87"/>
    <w:rsid w:val="00F02AC0"/>
    <w:rsid w:val="00F030CF"/>
    <w:rsid w:val="00F0359B"/>
    <w:rsid w:val="00F0395D"/>
    <w:rsid w:val="00F03A57"/>
    <w:rsid w:val="00F04267"/>
    <w:rsid w:val="00F0459A"/>
    <w:rsid w:val="00F0494E"/>
    <w:rsid w:val="00F04C7A"/>
    <w:rsid w:val="00F0507E"/>
    <w:rsid w:val="00F051C1"/>
    <w:rsid w:val="00F05302"/>
    <w:rsid w:val="00F0534B"/>
    <w:rsid w:val="00F053B9"/>
    <w:rsid w:val="00F05713"/>
    <w:rsid w:val="00F05870"/>
    <w:rsid w:val="00F05E5F"/>
    <w:rsid w:val="00F05F59"/>
    <w:rsid w:val="00F0632F"/>
    <w:rsid w:val="00F071D4"/>
    <w:rsid w:val="00F0757A"/>
    <w:rsid w:val="00F07653"/>
    <w:rsid w:val="00F07787"/>
    <w:rsid w:val="00F07C8B"/>
    <w:rsid w:val="00F07F4E"/>
    <w:rsid w:val="00F104D5"/>
    <w:rsid w:val="00F10BDD"/>
    <w:rsid w:val="00F11B06"/>
    <w:rsid w:val="00F11F93"/>
    <w:rsid w:val="00F127F8"/>
    <w:rsid w:val="00F13622"/>
    <w:rsid w:val="00F13708"/>
    <w:rsid w:val="00F13721"/>
    <w:rsid w:val="00F14B75"/>
    <w:rsid w:val="00F14F1B"/>
    <w:rsid w:val="00F15102"/>
    <w:rsid w:val="00F1548D"/>
    <w:rsid w:val="00F15646"/>
    <w:rsid w:val="00F159B4"/>
    <w:rsid w:val="00F15FAA"/>
    <w:rsid w:val="00F16101"/>
    <w:rsid w:val="00F167E3"/>
    <w:rsid w:val="00F17321"/>
    <w:rsid w:val="00F176D5"/>
    <w:rsid w:val="00F17813"/>
    <w:rsid w:val="00F20130"/>
    <w:rsid w:val="00F201BA"/>
    <w:rsid w:val="00F20235"/>
    <w:rsid w:val="00F206A6"/>
    <w:rsid w:val="00F213E2"/>
    <w:rsid w:val="00F21649"/>
    <w:rsid w:val="00F21B2E"/>
    <w:rsid w:val="00F2209F"/>
    <w:rsid w:val="00F22490"/>
    <w:rsid w:val="00F22991"/>
    <w:rsid w:val="00F22C86"/>
    <w:rsid w:val="00F22F45"/>
    <w:rsid w:val="00F23766"/>
    <w:rsid w:val="00F23B72"/>
    <w:rsid w:val="00F23EE6"/>
    <w:rsid w:val="00F2457E"/>
    <w:rsid w:val="00F2468D"/>
    <w:rsid w:val="00F24910"/>
    <w:rsid w:val="00F2492F"/>
    <w:rsid w:val="00F25154"/>
    <w:rsid w:val="00F255ED"/>
    <w:rsid w:val="00F2675F"/>
    <w:rsid w:val="00F2693D"/>
    <w:rsid w:val="00F26B41"/>
    <w:rsid w:val="00F271BF"/>
    <w:rsid w:val="00F27712"/>
    <w:rsid w:val="00F27D23"/>
    <w:rsid w:val="00F304EC"/>
    <w:rsid w:val="00F30511"/>
    <w:rsid w:val="00F30750"/>
    <w:rsid w:val="00F30ACB"/>
    <w:rsid w:val="00F30F55"/>
    <w:rsid w:val="00F313FF"/>
    <w:rsid w:val="00F31943"/>
    <w:rsid w:val="00F31D10"/>
    <w:rsid w:val="00F3207B"/>
    <w:rsid w:val="00F322DE"/>
    <w:rsid w:val="00F3252C"/>
    <w:rsid w:val="00F32844"/>
    <w:rsid w:val="00F32998"/>
    <w:rsid w:val="00F338FE"/>
    <w:rsid w:val="00F344AC"/>
    <w:rsid w:val="00F34BA9"/>
    <w:rsid w:val="00F34BE1"/>
    <w:rsid w:val="00F34E37"/>
    <w:rsid w:val="00F352B9"/>
    <w:rsid w:val="00F35553"/>
    <w:rsid w:val="00F35DF4"/>
    <w:rsid w:val="00F360CD"/>
    <w:rsid w:val="00F3649B"/>
    <w:rsid w:val="00F36613"/>
    <w:rsid w:val="00F36713"/>
    <w:rsid w:val="00F3710C"/>
    <w:rsid w:val="00F37127"/>
    <w:rsid w:val="00F37B61"/>
    <w:rsid w:val="00F37BB6"/>
    <w:rsid w:val="00F402E0"/>
    <w:rsid w:val="00F40302"/>
    <w:rsid w:val="00F41127"/>
    <w:rsid w:val="00F413D9"/>
    <w:rsid w:val="00F41A10"/>
    <w:rsid w:val="00F422B1"/>
    <w:rsid w:val="00F42B05"/>
    <w:rsid w:val="00F4366D"/>
    <w:rsid w:val="00F436C5"/>
    <w:rsid w:val="00F43752"/>
    <w:rsid w:val="00F44558"/>
    <w:rsid w:val="00F44A68"/>
    <w:rsid w:val="00F45079"/>
    <w:rsid w:val="00F45734"/>
    <w:rsid w:val="00F4577C"/>
    <w:rsid w:val="00F45E94"/>
    <w:rsid w:val="00F4603B"/>
    <w:rsid w:val="00F4630F"/>
    <w:rsid w:val="00F4664A"/>
    <w:rsid w:val="00F476EC"/>
    <w:rsid w:val="00F47A1F"/>
    <w:rsid w:val="00F47B5E"/>
    <w:rsid w:val="00F50C3D"/>
    <w:rsid w:val="00F51908"/>
    <w:rsid w:val="00F5190D"/>
    <w:rsid w:val="00F544C3"/>
    <w:rsid w:val="00F54579"/>
    <w:rsid w:val="00F547BB"/>
    <w:rsid w:val="00F54916"/>
    <w:rsid w:val="00F54A49"/>
    <w:rsid w:val="00F55633"/>
    <w:rsid w:val="00F56891"/>
    <w:rsid w:val="00F56912"/>
    <w:rsid w:val="00F56F9A"/>
    <w:rsid w:val="00F56FDC"/>
    <w:rsid w:val="00F57DD5"/>
    <w:rsid w:val="00F607C1"/>
    <w:rsid w:val="00F60B44"/>
    <w:rsid w:val="00F60E23"/>
    <w:rsid w:val="00F6130E"/>
    <w:rsid w:val="00F6153D"/>
    <w:rsid w:val="00F626DB"/>
    <w:rsid w:val="00F63302"/>
    <w:rsid w:val="00F63D2A"/>
    <w:rsid w:val="00F644BF"/>
    <w:rsid w:val="00F64802"/>
    <w:rsid w:val="00F64938"/>
    <w:rsid w:val="00F64A32"/>
    <w:rsid w:val="00F65460"/>
    <w:rsid w:val="00F65468"/>
    <w:rsid w:val="00F65575"/>
    <w:rsid w:val="00F6561E"/>
    <w:rsid w:val="00F657D0"/>
    <w:rsid w:val="00F66318"/>
    <w:rsid w:val="00F6661C"/>
    <w:rsid w:val="00F6716E"/>
    <w:rsid w:val="00F6752B"/>
    <w:rsid w:val="00F67888"/>
    <w:rsid w:val="00F70973"/>
    <w:rsid w:val="00F71477"/>
    <w:rsid w:val="00F71495"/>
    <w:rsid w:val="00F71694"/>
    <w:rsid w:val="00F722AD"/>
    <w:rsid w:val="00F72C62"/>
    <w:rsid w:val="00F72EF3"/>
    <w:rsid w:val="00F73AB0"/>
    <w:rsid w:val="00F741DF"/>
    <w:rsid w:val="00F7491F"/>
    <w:rsid w:val="00F751D7"/>
    <w:rsid w:val="00F760B9"/>
    <w:rsid w:val="00F76FBB"/>
    <w:rsid w:val="00F77439"/>
    <w:rsid w:val="00F77AB2"/>
    <w:rsid w:val="00F77F5F"/>
    <w:rsid w:val="00F802B4"/>
    <w:rsid w:val="00F811B9"/>
    <w:rsid w:val="00F81273"/>
    <w:rsid w:val="00F8174B"/>
    <w:rsid w:val="00F821F0"/>
    <w:rsid w:val="00F82BDD"/>
    <w:rsid w:val="00F82D64"/>
    <w:rsid w:val="00F82F24"/>
    <w:rsid w:val="00F830B1"/>
    <w:rsid w:val="00F83429"/>
    <w:rsid w:val="00F83741"/>
    <w:rsid w:val="00F83872"/>
    <w:rsid w:val="00F85341"/>
    <w:rsid w:val="00F85648"/>
    <w:rsid w:val="00F8620A"/>
    <w:rsid w:val="00F86C40"/>
    <w:rsid w:val="00F879DF"/>
    <w:rsid w:val="00F90947"/>
    <w:rsid w:val="00F90B92"/>
    <w:rsid w:val="00F91166"/>
    <w:rsid w:val="00F91851"/>
    <w:rsid w:val="00F91D75"/>
    <w:rsid w:val="00F91E3B"/>
    <w:rsid w:val="00F930ED"/>
    <w:rsid w:val="00F94A10"/>
    <w:rsid w:val="00F95192"/>
    <w:rsid w:val="00F968F1"/>
    <w:rsid w:val="00FA0058"/>
    <w:rsid w:val="00FA04BB"/>
    <w:rsid w:val="00FA068A"/>
    <w:rsid w:val="00FA25E5"/>
    <w:rsid w:val="00FA2623"/>
    <w:rsid w:val="00FA2727"/>
    <w:rsid w:val="00FA46A1"/>
    <w:rsid w:val="00FA4F0B"/>
    <w:rsid w:val="00FA505A"/>
    <w:rsid w:val="00FA534B"/>
    <w:rsid w:val="00FA5523"/>
    <w:rsid w:val="00FA5C12"/>
    <w:rsid w:val="00FA6264"/>
    <w:rsid w:val="00FA6682"/>
    <w:rsid w:val="00FA6748"/>
    <w:rsid w:val="00FA7054"/>
    <w:rsid w:val="00FA72EC"/>
    <w:rsid w:val="00FA72ED"/>
    <w:rsid w:val="00FA75BD"/>
    <w:rsid w:val="00FA7CC6"/>
    <w:rsid w:val="00FB01BE"/>
    <w:rsid w:val="00FB02DF"/>
    <w:rsid w:val="00FB04CB"/>
    <w:rsid w:val="00FB0843"/>
    <w:rsid w:val="00FB1795"/>
    <w:rsid w:val="00FB1975"/>
    <w:rsid w:val="00FB1D04"/>
    <w:rsid w:val="00FB1E8C"/>
    <w:rsid w:val="00FB1F0E"/>
    <w:rsid w:val="00FB207A"/>
    <w:rsid w:val="00FB23BB"/>
    <w:rsid w:val="00FB39D1"/>
    <w:rsid w:val="00FB3A1F"/>
    <w:rsid w:val="00FB4F2C"/>
    <w:rsid w:val="00FB55B2"/>
    <w:rsid w:val="00FB5ECF"/>
    <w:rsid w:val="00FB63E7"/>
    <w:rsid w:val="00FB65D8"/>
    <w:rsid w:val="00FB7523"/>
    <w:rsid w:val="00FB7EB5"/>
    <w:rsid w:val="00FC024D"/>
    <w:rsid w:val="00FC029C"/>
    <w:rsid w:val="00FC09C3"/>
    <w:rsid w:val="00FC12D5"/>
    <w:rsid w:val="00FC14DE"/>
    <w:rsid w:val="00FC1795"/>
    <w:rsid w:val="00FC183C"/>
    <w:rsid w:val="00FC1FA4"/>
    <w:rsid w:val="00FC20B6"/>
    <w:rsid w:val="00FC23FC"/>
    <w:rsid w:val="00FC277A"/>
    <w:rsid w:val="00FC2DBD"/>
    <w:rsid w:val="00FC45AA"/>
    <w:rsid w:val="00FC51FB"/>
    <w:rsid w:val="00FC6EF2"/>
    <w:rsid w:val="00FC6F64"/>
    <w:rsid w:val="00FC730B"/>
    <w:rsid w:val="00FC7365"/>
    <w:rsid w:val="00FC76CF"/>
    <w:rsid w:val="00FD03FF"/>
    <w:rsid w:val="00FD0509"/>
    <w:rsid w:val="00FD065E"/>
    <w:rsid w:val="00FD079B"/>
    <w:rsid w:val="00FD07AD"/>
    <w:rsid w:val="00FD082D"/>
    <w:rsid w:val="00FD099D"/>
    <w:rsid w:val="00FD1002"/>
    <w:rsid w:val="00FD178A"/>
    <w:rsid w:val="00FD26E3"/>
    <w:rsid w:val="00FD2704"/>
    <w:rsid w:val="00FD2EF7"/>
    <w:rsid w:val="00FD3500"/>
    <w:rsid w:val="00FD3666"/>
    <w:rsid w:val="00FD37F0"/>
    <w:rsid w:val="00FD3CB4"/>
    <w:rsid w:val="00FD42BD"/>
    <w:rsid w:val="00FD43A0"/>
    <w:rsid w:val="00FD4498"/>
    <w:rsid w:val="00FD47FF"/>
    <w:rsid w:val="00FD48AE"/>
    <w:rsid w:val="00FD5064"/>
    <w:rsid w:val="00FD5B2A"/>
    <w:rsid w:val="00FD5C31"/>
    <w:rsid w:val="00FD6288"/>
    <w:rsid w:val="00FD6636"/>
    <w:rsid w:val="00FD7E69"/>
    <w:rsid w:val="00FE008A"/>
    <w:rsid w:val="00FE0351"/>
    <w:rsid w:val="00FE0463"/>
    <w:rsid w:val="00FE0EE5"/>
    <w:rsid w:val="00FE189E"/>
    <w:rsid w:val="00FE1AB4"/>
    <w:rsid w:val="00FE1E43"/>
    <w:rsid w:val="00FE3146"/>
    <w:rsid w:val="00FE31CC"/>
    <w:rsid w:val="00FE33AB"/>
    <w:rsid w:val="00FE3C4D"/>
    <w:rsid w:val="00FE44E9"/>
    <w:rsid w:val="00FE45B4"/>
    <w:rsid w:val="00FE5296"/>
    <w:rsid w:val="00FE5651"/>
    <w:rsid w:val="00FE56E2"/>
    <w:rsid w:val="00FE572E"/>
    <w:rsid w:val="00FE685A"/>
    <w:rsid w:val="00FE7169"/>
    <w:rsid w:val="00FE73A8"/>
    <w:rsid w:val="00FE7BD6"/>
    <w:rsid w:val="00FE7D20"/>
    <w:rsid w:val="00FF0913"/>
    <w:rsid w:val="00FF15A9"/>
    <w:rsid w:val="00FF17A3"/>
    <w:rsid w:val="00FF1ED1"/>
    <w:rsid w:val="00FF2128"/>
    <w:rsid w:val="00FF3288"/>
    <w:rsid w:val="00FF3748"/>
    <w:rsid w:val="00FF3A7A"/>
    <w:rsid w:val="00FF3FB0"/>
    <w:rsid w:val="00FF4FAE"/>
    <w:rsid w:val="00FF5F80"/>
    <w:rsid w:val="00FF720D"/>
    <w:rsid w:val="010C2AF2"/>
    <w:rsid w:val="010D54FC"/>
    <w:rsid w:val="01105E77"/>
    <w:rsid w:val="01177FEE"/>
    <w:rsid w:val="011C6A9B"/>
    <w:rsid w:val="011C799E"/>
    <w:rsid w:val="011D0889"/>
    <w:rsid w:val="012014ED"/>
    <w:rsid w:val="0125544C"/>
    <w:rsid w:val="01261F6C"/>
    <w:rsid w:val="012B40AC"/>
    <w:rsid w:val="0131258A"/>
    <w:rsid w:val="01341D22"/>
    <w:rsid w:val="01427DDF"/>
    <w:rsid w:val="01453AB9"/>
    <w:rsid w:val="01465DA6"/>
    <w:rsid w:val="014B49E4"/>
    <w:rsid w:val="01510AF0"/>
    <w:rsid w:val="01511F91"/>
    <w:rsid w:val="015B1B81"/>
    <w:rsid w:val="01695F14"/>
    <w:rsid w:val="016E22DD"/>
    <w:rsid w:val="016F5577"/>
    <w:rsid w:val="017156EE"/>
    <w:rsid w:val="01772103"/>
    <w:rsid w:val="017B6305"/>
    <w:rsid w:val="017C22CB"/>
    <w:rsid w:val="01820440"/>
    <w:rsid w:val="01831CFB"/>
    <w:rsid w:val="01842747"/>
    <w:rsid w:val="018A3DC3"/>
    <w:rsid w:val="01924A9B"/>
    <w:rsid w:val="01941744"/>
    <w:rsid w:val="01941B9D"/>
    <w:rsid w:val="01964FF4"/>
    <w:rsid w:val="019A7696"/>
    <w:rsid w:val="019D2A35"/>
    <w:rsid w:val="019D781B"/>
    <w:rsid w:val="01AC1D88"/>
    <w:rsid w:val="01B07441"/>
    <w:rsid w:val="01B47113"/>
    <w:rsid w:val="01B54075"/>
    <w:rsid w:val="01C308F1"/>
    <w:rsid w:val="01D12323"/>
    <w:rsid w:val="01D520D3"/>
    <w:rsid w:val="01D71195"/>
    <w:rsid w:val="01DB3802"/>
    <w:rsid w:val="01DD5482"/>
    <w:rsid w:val="01DE25C4"/>
    <w:rsid w:val="01E32275"/>
    <w:rsid w:val="01E57373"/>
    <w:rsid w:val="01E75A8F"/>
    <w:rsid w:val="01E94F58"/>
    <w:rsid w:val="01EE4AED"/>
    <w:rsid w:val="01F31C10"/>
    <w:rsid w:val="01F4073B"/>
    <w:rsid w:val="01F5344C"/>
    <w:rsid w:val="02105FBF"/>
    <w:rsid w:val="0213723A"/>
    <w:rsid w:val="02184977"/>
    <w:rsid w:val="021856E7"/>
    <w:rsid w:val="021D014B"/>
    <w:rsid w:val="02214CA4"/>
    <w:rsid w:val="022A36FB"/>
    <w:rsid w:val="023028FA"/>
    <w:rsid w:val="023837BF"/>
    <w:rsid w:val="023861A1"/>
    <w:rsid w:val="023E7E32"/>
    <w:rsid w:val="02463894"/>
    <w:rsid w:val="024B6D39"/>
    <w:rsid w:val="02591232"/>
    <w:rsid w:val="025D0ECF"/>
    <w:rsid w:val="025E49E6"/>
    <w:rsid w:val="02600114"/>
    <w:rsid w:val="026151B8"/>
    <w:rsid w:val="02625E58"/>
    <w:rsid w:val="026537E1"/>
    <w:rsid w:val="026A0490"/>
    <w:rsid w:val="026C119B"/>
    <w:rsid w:val="027054F8"/>
    <w:rsid w:val="02713C07"/>
    <w:rsid w:val="027563EF"/>
    <w:rsid w:val="02763103"/>
    <w:rsid w:val="0278221E"/>
    <w:rsid w:val="02787A10"/>
    <w:rsid w:val="027E5656"/>
    <w:rsid w:val="02834000"/>
    <w:rsid w:val="028A5A44"/>
    <w:rsid w:val="028D453C"/>
    <w:rsid w:val="029515C1"/>
    <w:rsid w:val="029A59CE"/>
    <w:rsid w:val="029B79DA"/>
    <w:rsid w:val="029C6F07"/>
    <w:rsid w:val="02A03F99"/>
    <w:rsid w:val="02A102EC"/>
    <w:rsid w:val="02A37257"/>
    <w:rsid w:val="02AD4585"/>
    <w:rsid w:val="02AD75BF"/>
    <w:rsid w:val="02B453EF"/>
    <w:rsid w:val="02B8127A"/>
    <w:rsid w:val="02BD09F0"/>
    <w:rsid w:val="02BE0F81"/>
    <w:rsid w:val="02BF419B"/>
    <w:rsid w:val="02C405E5"/>
    <w:rsid w:val="02C571DF"/>
    <w:rsid w:val="02CA7B2D"/>
    <w:rsid w:val="02CB2665"/>
    <w:rsid w:val="02D140DE"/>
    <w:rsid w:val="02D47103"/>
    <w:rsid w:val="02D507C0"/>
    <w:rsid w:val="02D638E2"/>
    <w:rsid w:val="02D70D32"/>
    <w:rsid w:val="02DD7787"/>
    <w:rsid w:val="02DE478D"/>
    <w:rsid w:val="02DE6DE7"/>
    <w:rsid w:val="02E37ACB"/>
    <w:rsid w:val="02E86B0E"/>
    <w:rsid w:val="02EC5767"/>
    <w:rsid w:val="02EE3721"/>
    <w:rsid w:val="02EF7444"/>
    <w:rsid w:val="02F478DF"/>
    <w:rsid w:val="02F7337D"/>
    <w:rsid w:val="02FC5386"/>
    <w:rsid w:val="030403F6"/>
    <w:rsid w:val="031151E8"/>
    <w:rsid w:val="03157822"/>
    <w:rsid w:val="031677F9"/>
    <w:rsid w:val="03175C49"/>
    <w:rsid w:val="031B5A16"/>
    <w:rsid w:val="031B6DA9"/>
    <w:rsid w:val="03217BDC"/>
    <w:rsid w:val="03296420"/>
    <w:rsid w:val="032D4FFA"/>
    <w:rsid w:val="03320A77"/>
    <w:rsid w:val="03325101"/>
    <w:rsid w:val="033C1E54"/>
    <w:rsid w:val="03404B13"/>
    <w:rsid w:val="03417D0D"/>
    <w:rsid w:val="03432CAF"/>
    <w:rsid w:val="034624BD"/>
    <w:rsid w:val="034D4043"/>
    <w:rsid w:val="0355344E"/>
    <w:rsid w:val="0357010A"/>
    <w:rsid w:val="03585A95"/>
    <w:rsid w:val="0358649B"/>
    <w:rsid w:val="036E3986"/>
    <w:rsid w:val="0371737E"/>
    <w:rsid w:val="037259DC"/>
    <w:rsid w:val="037F4DAF"/>
    <w:rsid w:val="03804F78"/>
    <w:rsid w:val="03840B9A"/>
    <w:rsid w:val="03850075"/>
    <w:rsid w:val="03866786"/>
    <w:rsid w:val="03867F67"/>
    <w:rsid w:val="038B20BF"/>
    <w:rsid w:val="038B7DC4"/>
    <w:rsid w:val="03916016"/>
    <w:rsid w:val="0391721B"/>
    <w:rsid w:val="03990284"/>
    <w:rsid w:val="039A5DF7"/>
    <w:rsid w:val="039D2D15"/>
    <w:rsid w:val="039E192A"/>
    <w:rsid w:val="03A77B1F"/>
    <w:rsid w:val="03AB1439"/>
    <w:rsid w:val="03B76466"/>
    <w:rsid w:val="03BB2CDF"/>
    <w:rsid w:val="03BB5AEF"/>
    <w:rsid w:val="03BC443F"/>
    <w:rsid w:val="03BD0B9C"/>
    <w:rsid w:val="03C42C56"/>
    <w:rsid w:val="03C55436"/>
    <w:rsid w:val="03CA19B5"/>
    <w:rsid w:val="03CF61AA"/>
    <w:rsid w:val="03D10491"/>
    <w:rsid w:val="03D35B67"/>
    <w:rsid w:val="03DD01D6"/>
    <w:rsid w:val="03DF01D8"/>
    <w:rsid w:val="03E95C11"/>
    <w:rsid w:val="03F45B85"/>
    <w:rsid w:val="03F67928"/>
    <w:rsid w:val="03FB02EA"/>
    <w:rsid w:val="03FF5F50"/>
    <w:rsid w:val="04012C60"/>
    <w:rsid w:val="040353D4"/>
    <w:rsid w:val="04040B34"/>
    <w:rsid w:val="04043A3B"/>
    <w:rsid w:val="040769CF"/>
    <w:rsid w:val="040866EC"/>
    <w:rsid w:val="04087254"/>
    <w:rsid w:val="040A7E6B"/>
    <w:rsid w:val="040F4B35"/>
    <w:rsid w:val="04134EE3"/>
    <w:rsid w:val="041E1783"/>
    <w:rsid w:val="043024EF"/>
    <w:rsid w:val="04347468"/>
    <w:rsid w:val="04350FFD"/>
    <w:rsid w:val="04361A94"/>
    <w:rsid w:val="044017E4"/>
    <w:rsid w:val="04407AEC"/>
    <w:rsid w:val="044371DB"/>
    <w:rsid w:val="0447261E"/>
    <w:rsid w:val="04557722"/>
    <w:rsid w:val="04571997"/>
    <w:rsid w:val="045A4FCE"/>
    <w:rsid w:val="045C550F"/>
    <w:rsid w:val="04697F9B"/>
    <w:rsid w:val="046E27E7"/>
    <w:rsid w:val="04751FB5"/>
    <w:rsid w:val="04754945"/>
    <w:rsid w:val="04793FC3"/>
    <w:rsid w:val="04850F2C"/>
    <w:rsid w:val="048655D6"/>
    <w:rsid w:val="048772C8"/>
    <w:rsid w:val="048A0A8F"/>
    <w:rsid w:val="049466DC"/>
    <w:rsid w:val="04973733"/>
    <w:rsid w:val="049F2742"/>
    <w:rsid w:val="049F660F"/>
    <w:rsid w:val="04A23D4F"/>
    <w:rsid w:val="04A479D5"/>
    <w:rsid w:val="04A569FE"/>
    <w:rsid w:val="04A605A7"/>
    <w:rsid w:val="04AF374C"/>
    <w:rsid w:val="04B2525C"/>
    <w:rsid w:val="04B55CC9"/>
    <w:rsid w:val="04B6270F"/>
    <w:rsid w:val="04BD1B77"/>
    <w:rsid w:val="04C04ED2"/>
    <w:rsid w:val="04C56764"/>
    <w:rsid w:val="04CD70E3"/>
    <w:rsid w:val="04D24DEB"/>
    <w:rsid w:val="04D73B63"/>
    <w:rsid w:val="04DD25F8"/>
    <w:rsid w:val="04DD3267"/>
    <w:rsid w:val="04E553DC"/>
    <w:rsid w:val="04EF6FF4"/>
    <w:rsid w:val="04F33D38"/>
    <w:rsid w:val="04F61267"/>
    <w:rsid w:val="04FC6FAA"/>
    <w:rsid w:val="04FE213B"/>
    <w:rsid w:val="05046BE5"/>
    <w:rsid w:val="050837D0"/>
    <w:rsid w:val="050841E8"/>
    <w:rsid w:val="050C4525"/>
    <w:rsid w:val="050E1153"/>
    <w:rsid w:val="05110867"/>
    <w:rsid w:val="05110BD4"/>
    <w:rsid w:val="05121F62"/>
    <w:rsid w:val="053321C0"/>
    <w:rsid w:val="05356E4D"/>
    <w:rsid w:val="053653C9"/>
    <w:rsid w:val="053A01B2"/>
    <w:rsid w:val="053F43D6"/>
    <w:rsid w:val="053F6978"/>
    <w:rsid w:val="05437755"/>
    <w:rsid w:val="05446AE3"/>
    <w:rsid w:val="055127D4"/>
    <w:rsid w:val="055930CC"/>
    <w:rsid w:val="05620EE4"/>
    <w:rsid w:val="05656594"/>
    <w:rsid w:val="056B3808"/>
    <w:rsid w:val="05746140"/>
    <w:rsid w:val="057675C0"/>
    <w:rsid w:val="05782D12"/>
    <w:rsid w:val="05785116"/>
    <w:rsid w:val="057A32F8"/>
    <w:rsid w:val="057D22DA"/>
    <w:rsid w:val="058246BE"/>
    <w:rsid w:val="058376BC"/>
    <w:rsid w:val="058D584F"/>
    <w:rsid w:val="05920179"/>
    <w:rsid w:val="05930469"/>
    <w:rsid w:val="0598658F"/>
    <w:rsid w:val="059A5FFD"/>
    <w:rsid w:val="059B11A1"/>
    <w:rsid w:val="05A5415F"/>
    <w:rsid w:val="05A9305C"/>
    <w:rsid w:val="05AD6755"/>
    <w:rsid w:val="05B175FF"/>
    <w:rsid w:val="05B406EA"/>
    <w:rsid w:val="05B652CD"/>
    <w:rsid w:val="05B6548E"/>
    <w:rsid w:val="05B97C07"/>
    <w:rsid w:val="05BD128C"/>
    <w:rsid w:val="05CC13D2"/>
    <w:rsid w:val="05DA3288"/>
    <w:rsid w:val="05DA3EDC"/>
    <w:rsid w:val="05DF30F5"/>
    <w:rsid w:val="05E60F74"/>
    <w:rsid w:val="05E66026"/>
    <w:rsid w:val="05EA2A29"/>
    <w:rsid w:val="05EB1426"/>
    <w:rsid w:val="05ED5C7F"/>
    <w:rsid w:val="05FD17F2"/>
    <w:rsid w:val="06082AF0"/>
    <w:rsid w:val="060A65EF"/>
    <w:rsid w:val="060D6DB3"/>
    <w:rsid w:val="060D730A"/>
    <w:rsid w:val="062073A7"/>
    <w:rsid w:val="06253E39"/>
    <w:rsid w:val="062660A6"/>
    <w:rsid w:val="0627553E"/>
    <w:rsid w:val="062A51E5"/>
    <w:rsid w:val="062C1979"/>
    <w:rsid w:val="062E75FA"/>
    <w:rsid w:val="062F7150"/>
    <w:rsid w:val="06355D6E"/>
    <w:rsid w:val="06414E45"/>
    <w:rsid w:val="064234C5"/>
    <w:rsid w:val="064C09F5"/>
    <w:rsid w:val="065227A3"/>
    <w:rsid w:val="0656114A"/>
    <w:rsid w:val="06564C3B"/>
    <w:rsid w:val="065869A5"/>
    <w:rsid w:val="066E1E92"/>
    <w:rsid w:val="066F653D"/>
    <w:rsid w:val="067407FD"/>
    <w:rsid w:val="067429A5"/>
    <w:rsid w:val="0675440C"/>
    <w:rsid w:val="067932CF"/>
    <w:rsid w:val="06875464"/>
    <w:rsid w:val="068A2632"/>
    <w:rsid w:val="068A2724"/>
    <w:rsid w:val="06974B70"/>
    <w:rsid w:val="069B4F65"/>
    <w:rsid w:val="069B58FF"/>
    <w:rsid w:val="06A01967"/>
    <w:rsid w:val="06A63873"/>
    <w:rsid w:val="06A9652A"/>
    <w:rsid w:val="06AE4206"/>
    <w:rsid w:val="06B46FA7"/>
    <w:rsid w:val="06BF4ACF"/>
    <w:rsid w:val="06BF61DF"/>
    <w:rsid w:val="06C21263"/>
    <w:rsid w:val="06C324D6"/>
    <w:rsid w:val="06C45335"/>
    <w:rsid w:val="06C720DD"/>
    <w:rsid w:val="06C7652F"/>
    <w:rsid w:val="06CA372C"/>
    <w:rsid w:val="06CB7274"/>
    <w:rsid w:val="06D312C6"/>
    <w:rsid w:val="06D65433"/>
    <w:rsid w:val="06D6590F"/>
    <w:rsid w:val="06D71610"/>
    <w:rsid w:val="06DB6FBF"/>
    <w:rsid w:val="06DF0300"/>
    <w:rsid w:val="06E311A5"/>
    <w:rsid w:val="06E40E68"/>
    <w:rsid w:val="06E65D7A"/>
    <w:rsid w:val="07090B28"/>
    <w:rsid w:val="070B32BC"/>
    <w:rsid w:val="0710799B"/>
    <w:rsid w:val="07201883"/>
    <w:rsid w:val="07220B1B"/>
    <w:rsid w:val="07252DD0"/>
    <w:rsid w:val="072701BE"/>
    <w:rsid w:val="07283F8C"/>
    <w:rsid w:val="072A1FFF"/>
    <w:rsid w:val="072C0917"/>
    <w:rsid w:val="072E443E"/>
    <w:rsid w:val="0735632F"/>
    <w:rsid w:val="073F7141"/>
    <w:rsid w:val="074046C5"/>
    <w:rsid w:val="07441F69"/>
    <w:rsid w:val="07442E0E"/>
    <w:rsid w:val="074A14F9"/>
    <w:rsid w:val="074C0582"/>
    <w:rsid w:val="074C116E"/>
    <w:rsid w:val="075430F4"/>
    <w:rsid w:val="075648DE"/>
    <w:rsid w:val="075A66F3"/>
    <w:rsid w:val="075C0DB1"/>
    <w:rsid w:val="07635E34"/>
    <w:rsid w:val="07645941"/>
    <w:rsid w:val="076534D4"/>
    <w:rsid w:val="076735A6"/>
    <w:rsid w:val="07697722"/>
    <w:rsid w:val="076E3227"/>
    <w:rsid w:val="076F3867"/>
    <w:rsid w:val="0773474C"/>
    <w:rsid w:val="077D3308"/>
    <w:rsid w:val="07862597"/>
    <w:rsid w:val="0786606B"/>
    <w:rsid w:val="07883D6F"/>
    <w:rsid w:val="0789162A"/>
    <w:rsid w:val="078C5286"/>
    <w:rsid w:val="07901536"/>
    <w:rsid w:val="07922F65"/>
    <w:rsid w:val="0799609A"/>
    <w:rsid w:val="079F2A7E"/>
    <w:rsid w:val="07A948EF"/>
    <w:rsid w:val="07AF3323"/>
    <w:rsid w:val="07AF6925"/>
    <w:rsid w:val="07B96650"/>
    <w:rsid w:val="07C02C4F"/>
    <w:rsid w:val="07C04B52"/>
    <w:rsid w:val="07CA5A25"/>
    <w:rsid w:val="07CE3027"/>
    <w:rsid w:val="07D12ABA"/>
    <w:rsid w:val="07D45108"/>
    <w:rsid w:val="07D84615"/>
    <w:rsid w:val="07D90564"/>
    <w:rsid w:val="07DA5B75"/>
    <w:rsid w:val="07E41F28"/>
    <w:rsid w:val="07E97437"/>
    <w:rsid w:val="07EB62EC"/>
    <w:rsid w:val="07ED4CCB"/>
    <w:rsid w:val="07EF1CCA"/>
    <w:rsid w:val="07EF5AEC"/>
    <w:rsid w:val="07F42884"/>
    <w:rsid w:val="07F5485C"/>
    <w:rsid w:val="07F84272"/>
    <w:rsid w:val="07FF0944"/>
    <w:rsid w:val="07FF4201"/>
    <w:rsid w:val="07FF5C1B"/>
    <w:rsid w:val="0800211E"/>
    <w:rsid w:val="080251CB"/>
    <w:rsid w:val="08055922"/>
    <w:rsid w:val="08056E95"/>
    <w:rsid w:val="080669B3"/>
    <w:rsid w:val="08086BBE"/>
    <w:rsid w:val="0809249C"/>
    <w:rsid w:val="081A71F8"/>
    <w:rsid w:val="081C4D9A"/>
    <w:rsid w:val="081D60EA"/>
    <w:rsid w:val="081F1FB8"/>
    <w:rsid w:val="08222EAE"/>
    <w:rsid w:val="0828098D"/>
    <w:rsid w:val="08297EDF"/>
    <w:rsid w:val="08380FCA"/>
    <w:rsid w:val="08453EF2"/>
    <w:rsid w:val="08480CDE"/>
    <w:rsid w:val="084B47BE"/>
    <w:rsid w:val="084C6502"/>
    <w:rsid w:val="084D6ECE"/>
    <w:rsid w:val="0853317F"/>
    <w:rsid w:val="08562869"/>
    <w:rsid w:val="085919DF"/>
    <w:rsid w:val="086316B0"/>
    <w:rsid w:val="08695774"/>
    <w:rsid w:val="086C43A0"/>
    <w:rsid w:val="08712295"/>
    <w:rsid w:val="08734AE3"/>
    <w:rsid w:val="08790C6D"/>
    <w:rsid w:val="088720B7"/>
    <w:rsid w:val="088A25F4"/>
    <w:rsid w:val="088A297E"/>
    <w:rsid w:val="088E1657"/>
    <w:rsid w:val="08945B55"/>
    <w:rsid w:val="089F1196"/>
    <w:rsid w:val="08A11A11"/>
    <w:rsid w:val="08A65680"/>
    <w:rsid w:val="08AE45FA"/>
    <w:rsid w:val="08B17CA2"/>
    <w:rsid w:val="08B744EC"/>
    <w:rsid w:val="08B96A5F"/>
    <w:rsid w:val="08BB2934"/>
    <w:rsid w:val="08CA5350"/>
    <w:rsid w:val="08CC4CC4"/>
    <w:rsid w:val="08D95AB0"/>
    <w:rsid w:val="08DA646E"/>
    <w:rsid w:val="08E05464"/>
    <w:rsid w:val="08E437C8"/>
    <w:rsid w:val="08E5100C"/>
    <w:rsid w:val="08F011A6"/>
    <w:rsid w:val="08F66827"/>
    <w:rsid w:val="08FE3579"/>
    <w:rsid w:val="09107145"/>
    <w:rsid w:val="09121992"/>
    <w:rsid w:val="091242A3"/>
    <w:rsid w:val="0914012B"/>
    <w:rsid w:val="091407E3"/>
    <w:rsid w:val="091411CA"/>
    <w:rsid w:val="09156810"/>
    <w:rsid w:val="09171883"/>
    <w:rsid w:val="091A255B"/>
    <w:rsid w:val="091C1F81"/>
    <w:rsid w:val="0920208B"/>
    <w:rsid w:val="09204385"/>
    <w:rsid w:val="09220607"/>
    <w:rsid w:val="09346A58"/>
    <w:rsid w:val="09380E85"/>
    <w:rsid w:val="09396523"/>
    <w:rsid w:val="09423D27"/>
    <w:rsid w:val="094E4405"/>
    <w:rsid w:val="094F11FD"/>
    <w:rsid w:val="094F1AA0"/>
    <w:rsid w:val="09526A44"/>
    <w:rsid w:val="095328A1"/>
    <w:rsid w:val="095528C9"/>
    <w:rsid w:val="095558D2"/>
    <w:rsid w:val="096B5933"/>
    <w:rsid w:val="09741183"/>
    <w:rsid w:val="09763D14"/>
    <w:rsid w:val="097B6A90"/>
    <w:rsid w:val="097E0C9D"/>
    <w:rsid w:val="097E7102"/>
    <w:rsid w:val="098323F9"/>
    <w:rsid w:val="098D2553"/>
    <w:rsid w:val="098D7FEC"/>
    <w:rsid w:val="098E7806"/>
    <w:rsid w:val="098F6BF0"/>
    <w:rsid w:val="099211D8"/>
    <w:rsid w:val="09961EA6"/>
    <w:rsid w:val="099969BA"/>
    <w:rsid w:val="099E6463"/>
    <w:rsid w:val="09B14345"/>
    <w:rsid w:val="09B26AFB"/>
    <w:rsid w:val="09B61A96"/>
    <w:rsid w:val="09BC762B"/>
    <w:rsid w:val="09BE390F"/>
    <w:rsid w:val="09C13641"/>
    <w:rsid w:val="09C22F4D"/>
    <w:rsid w:val="09C57EE2"/>
    <w:rsid w:val="09C74ECE"/>
    <w:rsid w:val="09CA6B47"/>
    <w:rsid w:val="09CB6DF5"/>
    <w:rsid w:val="09D25CA6"/>
    <w:rsid w:val="09DE31B3"/>
    <w:rsid w:val="09E1344D"/>
    <w:rsid w:val="09E13AB3"/>
    <w:rsid w:val="09EC1E58"/>
    <w:rsid w:val="09EE36F9"/>
    <w:rsid w:val="09F124FF"/>
    <w:rsid w:val="09F51491"/>
    <w:rsid w:val="09F73BDE"/>
    <w:rsid w:val="09F957AB"/>
    <w:rsid w:val="09FB1AA5"/>
    <w:rsid w:val="09FD5D4B"/>
    <w:rsid w:val="0A033C37"/>
    <w:rsid w:val="0A0B7103"/>
    <w:rsid w:val="0A0D67E4"/>
    <w:rsid w:val="0A0F741D"/>
    <w:rsid w:val="0A115092"/>
    <w:rsid w:val="0A133F5A"/>
    <w:rsid w:val="0A1725D2"/>
    <w:rsid w:val="0A224F42"/>
    <w:rsid w:val="0A226E60"/>
    <w:rsid w:val="0A255BD6"/>
    <w:rsid w:val="0A265B26"/>
    <w:rsid w:val="0A4876E3"/>
    <w:rsid w:val="0A4B3361"/>
    <w:rsid w:val="0A4E499E"/>
    <w:rsid w:val="0A551527"/>
    <w:rsid w:val="0A582C79"/>
    <w:rsid w:val="0A5D2132"/>
    <w:rsid w:val="0A5E0DDD"/>
    <w:rsid w:val="0A685956"/>
    <w:rsid w:val="0A693002"/>
    <w:rsid w:val="0A6B78BB"/>
    <w:rsid w:val="0A6C4BB1"/>
    <w:rsid w:val="0A731FB4"/>
    <w:rsid w:val="0A761086"/>
    <w:rsid w:val="0A77673A"/>
    <w:rsid w:val="0A7B275A"/>
    <w:rsid w:val="0A7F167F"/>
    <w:rsid w:val="0A8120DC"/>
    <w:rsid w:val="0A8E75B5"/>
    <w:rsid w:val="0A965D9E"/>
    <w:rsid w:val="0AA17636"/>
    <w:rsid w:val="0AA20417"/>
    <w:rsid w:val="0AA5573B"/>
    <w:rsid w:val="0AA75690"/>
    <w:rsid w:val="0AB53393"/>
    <w:rsid w:val="0AB807C5"/>
    <w:rsid w:val="0AC1135A"/>
    <w:rsid w:val="0AC14C55"/>
    <w:rsid w:val="0AC75ADB"/>
    <w:rsid w:val="0ACE4D1A"/>
    <w:rsid w:val="0AD1544A"/>
    <w:rsid w:val="0ADA4650"/>
    <w:rsid w:val="0AE03F43"/>
    <w:rsid w:val="0AE1679B"/>
    <w:rsid w:val="0AE427F1"/>
    <w:rsid w:val="0AE64444"/>
    <w:rsid w:val="0AF139BD"/>
    <w:rsid w:val="0AF30F3D"/>
    <w:rsid w:val="0AF72F65"/>
    <w:rsid w:val="0AFA589C"/>
    <w:rsid w:val="0AFA59F4"/>
    <w:rsid w:val="0AFB746F"/>
    <w:rsid w:val="0AFE0BBB"/>
    <w:rsid w:val="0B081068"/>
    <w:rsid w:val="0B0916FA"/>
    <w:rsid w:val="0B0B7E13"/>
    <w:rsid w:val="0B1E0AC4"/>
    <w:rsid w:val="0B1F3E91"/>
    <w:rsid w:val="0B226F40"/>
    <w:rsid w:val="0B24184E"/>
    <w:rsid w:val="0B291690"/>
    <w:rsid w:val="0B29316E"/>
    <w:rsid w:val="0B2F309C"/>
    <w:rsid w:val="0B3D056C"/>
    <w:rsid w:val="0B3D2208"/>
    <w:rsid w:val="0B3D7E48"/>
    <w:rsid w:val="0B45290B"/>
    <w:rsid w:val="0B4A1EA0"/>
    <w:rsid w:val="0B552CF9"/>
    <w:rsid w:val="0B5537F5"/>
    <w:rsid w:val="0B560ED0"/>
    <w:rsid w:val="0B561D66"/>
    <w:rsid w:val="0B6622A9"/>
    <w:rsid w:val="0B67319C"/>
    <w:rsid w:val="0B722823"/>
    <w:rsid w:val="0B7962D6"/>
    <w:rsid w:val="0B8106AA"/>
    <w:rsid w:val="0B865731"/>
    <w:rsid w:val="0B8E50CD"/>
    <w:rsid w:val="0B9513AE"/>
    <w:rsid w:val="0B9542D6"/>
    <w:rsid w:val="0B9A0614"/>
    <w:rsid w:val="0B9C4C29"/>
    <w:rsid w:val="0B9E0582"/>
    <w:rsid w:val="0B9F3D8F"/>
    <w:rsid w:val="0BA141ED"/>
    <w:rsid w:val="0BA7232F"/>
    <w:rsid w:val="0BA92929"/>
    <w:rsid w:val="0BAA0498"/>
    <w:rsid w:val="0BAB02B2"/>
    <w:rsid w:val="0BAF6922"/>
    <w:rsid w:val="0BB30AD3"/>
    <w:rsid w:val="0BB400D9"/>
    <w:rsid w:val="0BB43439"/>
    <w:rsid w:val="0BC2538A"/>
    <w:rsid w:val="0BC74AA7"/>
    <w:rsid w:val="0BC84850"/>
    <w:rsid w:val="0BC84ADA"/>
    <w:rsid w:val="0BCB0020"/>
    <w:rsid w:val="0BCE0FF5"/>
    <w:rsid w:val="0BCF124B"/>
    <w:rsid w:val="0BD764ED"/>
    <w:rsid w:val="0BD80D6E"/>
    <w:rsid w:val="0BD83AAA"/>
    <w:rsid w:val="0BDF7FE6"/>
    <w:rsid w:val="0BE674EF"/>
    <w:rsid w:val="0BF07C6D"/>
    <w:rsid w:val="0BF11CBB"/>
    <w:rsid w:val="0BF36926"/>
    <w:rsid w:val="0BFC6379"/>
    <w:rsid w:val="0BFD702B"/>
    <w:rsid w:val="0C0A1E9F"/>
    <w:rsid w:val="0C210641"/>
    <w:rsid w:val="0C290340"/>
    <w:rsid w:val="0C2E2545"/>
    <w:rsid w:val="0C2F1CE3"/>
    <w:rsid w:val="0C325BB3"/>
    <w:rsid w:val="0C341080"/>
    <w:rsid w:val="0C383E5A"/>
    <w:rsid w:val="0C3B1541"/>
    <w:rsid w:val="0C3D68CE"/>
    <w:rsid w:val="0C4364DB"/>
    <w:rsid w:val="0C474031"/>
    <w:rsid w:val="0C4D5E25"/>
    <w:rsid w:val="0C596D62"/>
    <w:rsid w:val="0C597688"/>
    <w:rsid w:val="0C5F7C1B"/>
    <w:rsid w:val="0C6072E5"/>
    <w:rsid w:val="0C6422B5"/>
    <w:rsid w:val="0C665920"/>
    <w:rsid w:val="0C6C3E39"/>
    <w:rsid w:val="0C715645"/>
    <w:rsid w:val="0C71633B"/>
    <w:rsid w:val="0C74641B"/>
    <w:rsid w:val="0C747905"/>
    <w:rsid w:val="0C7D753D"/>
    <w:rsid w:val="0C7F742A"/>
    <w:rsid w:val="0C8E7629"/>
    <w:rsid w:val="0C9B41A1"/>
    <w:rsid w:val="0C9F53E9"/>
    <w:rsid w:val="0CA2297F"/>
    <w:rsid w:val="0CA335D5"/>
    <w:rsid w:val="0CA3425D"/>
    <w:rsid w:val="0CA47863"/>
    <w:rsid w:val="0CA52B0E"/>
    <w:rsid w:val="0CB9792F"/>
    <w:rsid w:val="0CBA36A7"/>
    <w:rsid w:val="0CC1285A"/>
    <w:rsid w:val="0CC36646"/>
    <w:rsid w:val="0CC92A89"/>
    <w:rsid w:val="0CCA6634"/>
    <w:rsid w:val="0CCD2287"/>
    <w:rsid w:val="0CD95432"/>
    <w:rsid w:val="0CDA4AAC"/>
    <w:rsid w:val="0CDA68B9"/>
    <w:rsid w:val="0CEE2ECA"/>
    <w:rsid w:val="0D0024C0"/>
    <w:rsid w:val="0D076E7B"/>
    <w:rsid w:val="0D09389D"/>
    <w:rsid w:val="0D0D7453"/>
    <w:rsid w:val="0D0E1FAC"/>
    <w:rsid w:val="0D0E2258"/>
    <w:rsid w:val="0D0E2737"/>
    <w:rsid w:val="0D177588"/>
    <w:rsid w:val="0D1D593B"/>
    <w:rsid w:val="0D1E06F2"/>
    <w:rsid w:val="0D210D45"/>
    <w:rsid w:val="0D295447"/>
    <w:rsid w:val="0D2E6CD9"/>
    <w:rsid w:val="0D3743A8"/>
    <w:rsid w:val="0D393D88"/>
    <w:rsid w:val="0D444EDE"/>
    <w:rsid w:val="0D46414E"/>
    <w:rsid w:val="0D4915BA"/>
    <w:rsid w:val="0D49585F"/>
    <w:rsid w:val="0D4A46C1"/>
    <w:rsid w:val="0D4C1F3B"/>
    <w:rsid w:val="0D4E5B12"/>
    <w:rsid w:val="0D554228"/>
    <w:rsid w:val="0D564BF0"/>
    <w:rsid w:val="0D640199"/>
    <w:rsid w:val="0D647732"/>
    <w:rsid w:val="0D6B44B2"/>
    <w:rsid w:val="0D6B6F1D"/>
    <w:rsid w:val="0D6C4D63"/>
    <w:rsid w:val="0D6D6252"/>
    <w:rsid w:val="0D6D6C0B"/>
    <w:rsid w:val="0D715A7A"/>
    <w:rsid w:val="0D7954EF"/>
    <w:rsid w:val="0D9060D2"/>
    <w:rsid w:val="0D9112D8"/>
    <w:rsid w:val="0D920347"/>
    <w:rsid w:val="0D926124"/>
    <w:rsid w:val="0D937967"/>
    <w:rsid w:val="0D974AA8"/>
    <w:rsid w:val="0D993B55"/>
    <w:rsid w:val="0D9B687A"/>
    <w:rsid w:val="0D9D0077"/>
    <w:rsid w:val="0DA13D29"/>
    <w:rsid w:val="0DA6589C"/>
    <w:rsid w:val="0DAF1463"/>
    <w:rsid w:val="0DB24004"/>
    <w:rsid w:val="0DB35C95"/>
    <w:rsid w:val="0DB42005"/>
    <w:rsid w:val="0DB84C7C"/>
    <w:rsid w:val="0DD05005"/>
    <w:rsid w:val="0DD43603"/>
    <w:rsid w:val="0DD60021"/>
    <w:rsid w:val="0DD76B66"/>
    <w:rsid w:val="0DD9337F"/>
    <w:rsid w:val="0DDD7591"/>
    <w:rsid w:val="0DE27748"/>
    <w:rsid w:val="0DE54975"/>
    <w:rsid w:val="0DED4B0F"/>
    <w:rsid w:val="0DF20BDE"/>
    <w:rsid w:val="0DF27E01"/>
    <w:rsid w:val="0DF34B08"/>
    <w:rsid w:val="0DFB6EE2"/>
    <w:rsid w:val="0DFE3198"/>
    <w:rsid w:val="0E030DF7"/>
    <w:rsid w:val="0E043FEF"/>
    <w:rsid w:val="0E072B8B"/>
    <w:rsid w:val="0E081632"/>
    <w:rsid w:val="0E0F097D"/>
    <w:rsid w:val="0E107D2B"/>
    <w:rsid w:val="0E1C0423"/>
    <w:rsid w:val="0E1E7999"/>
    <w:rsid w:val="0E1F1E83"/>
    <w:rsid w:val="0E281F99"/>
    <w:rsid w:val="0E2A14E2"/>
    <w:rsid w:val="0E2D1722"/>
    <w:rsid w:val="0E2F76D4"/>
    <w:rsid w:val="0E315B22"/>
    <w:rsid w:val="0E3204D1"/>
    <w:rsid w:val="0E363450"/>
    <w:rsid w:val="0E372A3A"/>
    <w:rsid w:val="0E3B11A6"/>
    <w:rsid w:val="0E3B4C8B"/>
    <w:rsid w:val="0E3C19B7"/>
    <w:rsid w:val="0E445367"/>
    <w:rsid w:val="0E480AEC"/>
    <w:rsid w:val="0E4A503F"/>
    <w:rsid w:val="0E551EF3"/>
    <w:rsid w:val="0E582318"/>
    <w:rsid w:val="0E591C48"/>
    <w:rsid w:val="0E5B1874"/>
    <w:rsid w:val="0E5B6A70"/>
    <w:rsid w:val="0E5D33E3"/>
    <w:rsid w:val="0E5D78BF"/>
    <w:rsid w:val="0E5E1B9F"/>
    <w:rsid w:val="0E63506E"/>
    <w:rsid w:val="0E670583"/>
    <w:rsid w:val="0E6C2E11"/>
    <w:rsid w:val="0E7140BE"/>
    <w:rsid w:val="0E71468F"/>
    <w:rsid w:val="0E714DD0"/>
    <w:rsid w:val="0E733435"/>
    <w:rsid w:val="0E7E244B"/>
    <w:rsid w:val="0E83378A"/>
    <w:rsid w:val="0E860BE6"/>
    <w:rsid w:val="0E884862"/>
    <w:rsid w:val="0E892783"/>
    <w:rsid w:val="0E8A7DD7"/>
    <w:rsid w:val="0E8C6CBE"/>
    <w:rsid w:val="0E94761B"/>
    <w:rsid w:val="0E9A667D"/>
    <w:rsid w:val="0EA26270"/>
    <w:rsid w:val="0EA4542B"/>
    <w:rsid w:val="0EAB43A7"/>
    <w:rsid w:val="0EB9467F"/>
    <w:rsid w:val="0EBB5581"/>
    <w:rsid w:val="0EBC16F6"/>
    <w:rsid w:val="0EBF2CF0"/>
    <w:rsid w:val="0EBF6EA6"/>
    <w:rsid w:val="0EC24230"/>
    <w:rsid w:val="0EC411B1"/>
    <w:rsid w:val="0EC417C7"/>
    <w:rsid w:val="0EC42AA7"/>
    <w:rsid w:val="0EC467FF"/>
    <w:rsid w:val="0EC52638"/>
    <w:rsid w:val="0EC622B6"/>
    <w:rsid w:val="0EC63068"/>
    <w:rsid w:val="0EC714A8"/>
    <w:rsid w:val="0ECB53FF"/>
    <w:rsid w:val="0ECD6E51"/>
    <w:rsid w:val="0ED569D6"/>
    <w:rsid w:val="0ED90AFF"/>
    <w:rsid w:val="0EE16EF5"/>
    <w:rsid w:val="0EEB3D71"/>
    <w:rsid w:val="0EEC4A72"/>
    <w:rsid w:val="0EF513F3"/>
    <w:rsid w:val="0EF605EC"/>
    <w:rsid w:val="0EFB657B"/>
    <w:rsid w:val="0EFC7E97"/>
    <w:rsid w:val="0F011556"/>
    <w:rsid w:val="0F065E28"/>
    <w:rsid w:val="0F075135"/>
    <w:rsid w:val="0F0A692D"/>
    <w:rsid w:val="0F113D10"/>
    <w:rsid w:val="0F1469E9"/>
    <w:rsid w:val="0F170584"/>
    <w:rsid w:val="0F1C1F16"/>
    <w:rsid w:val="0F2305A3"/>
    <w:rsid w:val="0F2532E7"/>
    <w:rsid w:val="0F2D4542"/>
    <w:rsid w:val="0F2E3E2A"/>
    <w:rsid w:val="0F33519A"/>
    <w:rsid w:val="0F3A48EC"/>
    <w:rsid w:val="0F3C06E9"/>
    <w:rsid w:val="0F4B7CFA"/>
    <w:rsid w:val="0F507076"/>
    <w:rsid w:val="0F526BA2"/>
    <w:rsid w:val="0F5646CD"/>
    <w:rsid w:val="0F59330D"/>
    <w:rsid w:val="0F5E01B4"/>
    <w:rsid w:val="0F607DE9"/>
    <w:rsid w:val="0F6320AF"/>
    <w:rsid w:val="0F691955"/>
    <w:rsid w:val="0F6A73A3"/>
    <w:rsid w:val="0F7D7140"/>
    <w:rsid w:val="0F7E073F"/>
    <w:rsid w:val="0F807D77"/>
    <w:rsid w:val="0F826F7B"/>
    <w:rsid w:val="0F864AAC"/>
    <w:rsid w:val="0F8939BC"/>
    <w:rsid w:val="0F89568A"/>
    <w:rsid w:val="0F89658B"/>
    <w:rsid w:val="0F8C14B5"/>
    <w:rsid w:val="0F99185C"/>
    <w:rsid w:val="0F9E0CF2"/>
    <w:rsid w:val="0FA009D6"/>
    <w:rsid w:val="0FA61235"/>
    <w:rsid w:val="0FAF1BC3"/>
    <w:rsid w:val="0FB04D3B"/>
    <w:rsid w:val="0FB3477C"/>
    <w:rsid w:val="0FB54E29"/>
    <w:rsid w:val="0FB90351"/>
    <w:rsid w:val="0FBD3E5A"/>
    <w:rsid w:val="0FBE09DD"/>
    <w:rsid w:val="0FBF041D"/>
    <w:rsid w:val="0FC72929"/>
    <w:rsid w:val="0FE11BA3"/>
    <w:rsid w:val="0FE152FE"/>
    <w:rsid w:val="0FE44E04"/>
    <w:rsid w:val="0FE8656B"/>
    <w:rsid w:val="0FEA6889"/>
    <w:rsid w:val="0FF62F71"/>
    <w:rsid w:val="0FFA1DD4"/>
    <w:rsid w:val="0FFC033E"/>
    <w:rsid w:val="0FFC188B"/>
    <w:rsid w:val="10016DBD"/>
    <w:rsid w:val="10070CDE"/>
    <w:rsid w:val="10127441"/>
    <w:rsid w:val="10217FC9"/>
    <w:rsid w:val="10275EA4"/>
    <w:rsid w:val="10284156"/>
    <w:rsid w:val="102A7140"/>
    <w:rsid w:val="102C0F78"/>
    <w:rsid w:val="103440E7"/>
    <w:rsid w:val="103649AD"/>
    <w:rsid w:val="10370A99"/>
    <w:rsid w:val="10380D7C"/>
    <w:rsid w:val="103B14B4"/>
    <w:rsid w:val="103B3190"/>
    <w:rsid w:val="103F120A"/>
    <w:rsid w:val="10407F8F"/>
    <w:rsid w:val="10435AD2"/>
    <w:rsid w:val="10483220"/>
    <w:rsid w:val="104B1F50"/>
    <w:rsid w:val="104C673B"/>
    <w:rsid w:val="104E40F5"/>
    <w:rsid w:val="10585FE9"/>
    <w:rsid w:val="105C1EB8"/>
    <w:rsid w:val="106C5E8F"/>
    <w:rsid w:val="106F2322"/>
    <w:rsid w:val="107409C8"/>
    <w:rsid w:val="10751646"/>
    <w:rsid w:val="10892871"/>
    <w:rsid w:val="10896A74"/>
    <w:rsid w:val="108A35A3"/>
    <w:rsid w:val="109169D2"/>
    <w:rsid w:val="109F5138"/>
    <w:rsid w:val="10A2226B"/>
    <w:rsid w:val="10A539F7"/>
    <w:rsid w:val="10AE3037"/>
    <w:rsid w:val="10AE40D2"/>
    <w:rsid w:val="10B116E4"/>
    <w:rsid w:val="10B16BD4"/>
    <w:rsid w:val="10B676B9"/>
    <w:rsid w:val="10B72FD7"/>
    <w:rsid w:val="10B80BC2"/>
    <w:rsid w:val="10BF7884"/>
    <w:rsid w:val="10C90E8A"/>
    <w:rsid w:val="10CC38F5"/>
    <w:rsid w:val="10CE3780"/>
    <w:rsid w:val="10D15673"/>
    <w:rsid w:val="10D45CCA"/>
    <w:rsid w:val="10D640DA"/>
    <w:rsid w:val="10D643D2"/>
    <w:rsid w:val="10D94842"/>
    <w:rsid w:val="10DA7F26"/>
    <w:rsid w:val="10E565F7"/>
    <w:rsid w:val="10E95550"/>
    <w:rsid w:val="10EA6977"/>
    <w:rsid w:val="10F21523"/>
    <w:rsid w:val="10F74F92"/>
    <w:rsid w:val="10FA241D"/>
    <w:rsid w:val="10FF31C7"/>
    <w:rsid w:val="11095C07"/>
    <w:rsid w:val="110A2D20"/>
    <w:rsid w:val="11101685"/>
    <w:rsid w:val="1112195A"/>
    <w:rsid w:val="11122B7D"/>
    <w:rsid w:val="11234A6B"/>
    <w:rsid w:val="11251377"/>
    <w:rsid w:val="11251909"/>
    <w:rsid w:val="11254D8D"/>
    <w:rsid w:val="112A5D18"/>
    <w:rsid w:val="112D29FC"/>
    <w:rsid w:val="113706B2"/>
    <w:rsid w:val="11371CB5"/>
    <w:rsid w:val="113C3303"/>
    <w:rsid w:val="11412698"/>
    <w:rsid w:val="114A113C"/>
    <w:rsid w:val="114A1347"/>
    <w:rsid w:val="114E22AD"/>
    <w:rsid w:val="116404C7"/>
    <w:rsid w:val="1164405F"/>
    <w:rsid w:val="11646BD0"/>
    <w:rsid w:val="116B10E6"/>
    <w:rsid w:val="116C48D2"/>
    <w:rsid w:val="116E322F"/>
    <w:rsid w:val="116E4C27"/>
    <w:rsid w:val="117F01AF"/>
    <w:rsid w:val="11847131"/>
    <w:rsid w:val="118F2A19"/>
    <w:rsid w:val="119313EE"/>
    <w:rsid w:val="11A92104"/>
    <w:rsid w:val="11AA5CBC"/>
    <w:rsid w:val="11AC046F"/>
    <w:rsid w:val="11B1131B"/>
    <w:rsid w:val="11B97EC9"/>
    <w:rsid w:val="11BC4AA4"/>
    <w:rsid w:val="11BE1FCA"/>
    <w:rsid w:val="11BE4072"/>
    <w:rsid w:val="11C131C6"/>
    <w:rsid w:val="11C5503C"/>
    <w:rsid w:val="11CA7FFA"/>
    <w:rsid w:val="11D24448"/>
    <w:rsid w:val="11D6678B"/>
    <w:rsid w:val="11DE0611"/>
    <w:rsid w:val="11DF6CFD"/>
    <w:rsid w:val="11E04282"/>
    <w:rsid w:val="11E56B61"/>
    <w:rsid w:val="11E67458"/>
    <w:rsid w:val="11E70327"/>
    <w:rsid w:val="11E87B50"/>
    <w:rsid w:val="11EE10AE"/>
    <w:rsid w:val="11EF3CF6"/>
    <w:rsid w:val="11F84A8C"/>
    <w:rsid w:val="11FB647D"/>
    <w:rsid w:val="11FF6647"/>
    <w:rsid w:val="120A6EB6"/>
    <w:rsid w:val="120C2AF7"/>
    <w:rsid w:val="12131671"/>
    <w:rsid w:val="1218097B"/>
    <w:rsid w:val="12191315"/>
    <w:rsid w:val="12194406"/>
    <w:rsid w:val="1221261E"/>
    <w:rsid w:val="122156F1"/>
    <w:rsid w:val="1226519D"/>
    <w:rsid w:val="122753A8"/>
    <w:rsid w:val="122A1B2B"/>
    <w:rsid w:val="122D7098"/>
    <w:rsid w:val="122F0294"/>
    <w:rsid w:val="122F0A4F"/>
    <w:rsid w:val="12303D3A"/>
    <w:rsid w:val="1231112E"/>
    <w:rsid w:val="12347961"/>
    <w:rsid w:val="12355D79"/>
    <w:rsid w:val="12357ECC"/>
    <w:rsid w:val="12371E61"/>
    <w:rsid w:val="123B028D"/>
    <w:rsid w:val="12461E4B"/>
    <w:rsid w:val="124B1BC4"/>
    <w:rsid w:val="124D410B"/>
    <w:rsid w:val="124E11E6"/>
    <w:rsid w:val="124F5D06"/>
    <w:rsid w:val="12501DE7"/>
    <w:rsid w:val="1253684F"/>
    <w:rsid w:val="125E0CC3"/>
    <w:rsid w:val="125E0ECE"/>
    <w:rsid w:val="12623DA0"/>
    <w:rsid w:val="126362D6"/>
    <w:rsid w:val="12682D89"/>
    <w:rsid w:val="12693B17"/>
    <w:rsid w:val="126D65D5"/>
    <w:rsid w:val="12717F1E"/>
    <w:rsid w:val="12740344"/>
    <w:rsid w:val="1275194F"/>
    <w:rsid w:val="12753131"/>
    <w:rsid w:val="12753F52"/>
    <w:rsid w:val="127C506D"/>
    <w:rsid w:val="12804CD9"/>
    <w:rsid w:val="128227C2"/>
    <w:rsid w:val="128270C4"/>
    <w:rsid w:val="12840AC1"/>
    <w:rsid w:val="12852B20"/>
    <w:rsid w:val="1285365D"/>
    <w:rsid w:val="12860D37"/>
    <w:rsid w:val="12861BA0"/>
    <w:rsid w:val="12876A19"/>
    <w:rsid w:val="128A2E6B"/>
    <w:rsid w:val="128C7F40"/>
    <w:rsid w:val="12947707"/>
    <w:rsid w:val="12953B82"/>
    <w:rsid w:val="12985507"/>
    <w:rsid w:val="1299053A"/>
    <w:rsid w:val="129D4005"/>
    <w:rsid w:val="129F0A79"/>
    <w:rsid w:val="12A1667F"/>
    <w:rsid w:val="12A7582A"/>
    <w:rsid w:val="12A93D38"/>
    <w:rsid w:val="12AD2D15"/>
    <w:rsid w:val="12B234B8"/>
    <w:rsid w:val="12B47D55"/>
    <w:rsid w:val="12B65BDB"/>
    <w:rsid w:val="12B76ADA"/>
    <w:rsid w:val="12B860B6"/>
    <w:rsid w:val="12BA6439"/>
    <w:rsid w:val="12BE35D9"/>
    <w:rsid w:val="12BF4489"/>
    <w:rsid w:val="12C12635"/>
    <w:rsid w:val="12C225F9"/>
    <w:rsid w:val="12C72E69"/>
    <w:rsid w:val="12D527D9"/>
    <w:rsid w:val="12DA6376"/>
    <w:rsid w:val="12E5226E"/>
    <w:rsid w:val="12E6625C"/>
    <w:rsid w:val="12E73C6C"/>
    <w:rsid w:val="12E76B40"/>
    <w:rsid w:val="12EB051B"/>
    <w:rsid w:val="12EC3696"/>
    <w:rsid w:val="12EF0470"/>
    <w:rsid w:val="12F20157"/>
    <w:rsid w:val="12F37617"/>
    <w:rsid w:val="12F5192D"/>
    <w:rsid w:val="12F86D59"/>
    <w:rsid w:val="12FD67F2"/>
    <w:rsid w:val="13010827"/>
    <w:rsid w:val="130634D9"/>
    <w:rsid w:val="130D0CFD"/>
    <w:rsid w:val="131332F6"/>
    <w:rsid w:val="1318441C"/>
    <w:rsid w:val="131F36AE"/>
    <w:rsid w:val="13221184"/>
    <w:rsid w:val="13232682"/>
    <w:rsid w:val="132408C8"/>
    <w:rsid w:val="13241A13"/>
    <w:rsid w:val="13297D69"/>
    <w:rsid w:val="133123D8"/>
    <w:rsid w:val="13330EA3"/>
    <w:rsid w:val="13352D53"/>
    <w:rsid w:val="13395F5B"/>
    <w:rsid w:val="133A3874"/>
    <w:rsid w:val="13584633"/>
    <w:rsid w:val="135E71B4"/>
    <w:rsid w:val="13745972"/>
    <w:rsid w:val="137561D8"/>
    <w:rsid w:val="13770CF0"/>
    <w:rsid w:val="13795E03"/>
    <w:rsid w:val="137F6A4A"/>
    <w:rsid w:val="13816ECA"/>
    <w:rsid w:val="13862B69"/>
    <w:rsid w:val="1388663D"/>
    <w:rsid w:val="138B294B"/>
    <w:rsid w:val="138D7D00"/>
    <w:rsid w:val="138E69C7"/>
    <w:rsid w:val="13912EC6"/>
    <w:rsid w:val="13934CA9"/>
    <w:rsid w:val="139707DA"/>
    <w:rsid w:val="1399439E"/>
    <w:rsid w:val="139A5404"/>
    <w:rsid w:val="139E6D51"/>
    <w:rsid w:val="13A1661E"/>
    <w:rsid w:val="13A3239A"/>
    <w:rsid w:val="13AB45FB"/>
    <w:rsid w:val="13AE2BB9"/>
    <w:rsid w:val="13B428D5"/>
    <w:rsid w:val="13B832C8"/>
    <w:rsid w:val="13BF0CCC"/>
    <w:rsid w:val="13C37BEF"/>
    <w:rsid w:val="13C40B57"/>
    <w:rsid w:val="13C4161D"/>
    <w:rsid w:val="13C47A63"/>
    <w:rsid w:val="13C63BAF"/>
    <w:rsid w:val="13C8598A"/>
    <w:rsid w:val="13CE2CC5"/>
    <w:rsid w:val="13D02D40"/>
    <w:rsid w:val="13D441EE"/>
    <w:rsid w:val="13D47570"/>
    <w:rsid w:val="13D70005"/>
    <w:rsid w:val="13DF775F"/>
    <w:rsid w:val="13E950F4"/>
    <w:rsid w:val="13F70649"/>
    <w:rsid w:val="13F85B77"/>
    <w:rsid w:val="1408472C"/>
    <w:rsid w:val="140927FE"/>
    <w:rsid w:val="14095AB4"/>
    <w:rsid w:val="140B3BAF"/>
    <w:rsid w:val="140D6A8B"/>
    <w:rsid w:val="14106A3C"/>
    <w:rsid w:val="141149AC"/>
    <w:rsid w:val="14127F2E"/>
    <w:rsid w:val="14154E1B"/>
    <w:rsid w:val="141C5627"/>
    <w:rsid w:val="141E161A"/>
    <w:rsid w:val="141F2F34"/>
    <w:rsid w:val="1423100F"/>
    <w:rsid w:val="14246AE7"/>
    <w:rsid w:val="14291AEA"/>
    <w:rsid w:val="14302561"/>
    <w:rsid w:val="14356428"/>
    <w:rsid w:val="143F1158"/>
    <w:rsid w:val="144713B6"/>
    <w:rsid w:val="144A5353"/>
    <w:rsid w:val="144A6706"/>
    <w:rsid w:val="145112F7"/>
    <w:rsid w:val="14543D03"/>
    <w:rsid w:val="14576D42"/>
    <w:rsid w:val="145A6592"/>
    <w:rsid w:val="145F08C0"/>
    <w:rsid w:val="146105F7"/>
    <w:rsid w:val="1461366E"/>
    <w:rsid w:val="14631F61"/>
    <w:rsid w:val="14673742"/>
    <w:rsid w:val="1467527B"/>
    <w:rsid w:val="14704C69"/>
    <w:rsid w:val="147524DE"/>
    <w:rsid w:val="14757903"/>
    <w:rsid w:val="1481727C"/>
    <w:rsid w:val="14874924"/>
    <w:rsid w:val="148E7204"/>
    <w:rsid w:val="14922884"/>
    <w:rsid w:val="149B3929"/>
    <w:rsid w:val="149C3A85"/>
    <w:rsid w:val="149E5DBA"/>
    <w:rsid w:val="14A2643F"/>
    <w:rsid w:val="14A8014B"/>
    <w:rsid w:val="14A9316D"/>
    <w:rsid w:val="14AC088A"/>
    <w:rsid w:val="14AE1AB3"/>
    <w:rsid w:val="14AF2D9E"/>
    <w:rsid w:val="14B51E8B"/>
    <w:rsid w:val="14BD4775"/>
    <w:rsid w:val="14BF4C68"/>
    <w:rsid w:val="14C34369"/>
    <w:rsid w:val="14C8004B"/>
    <w:rsid w:val="14C97BA0"/>
    <w:rsid w:val="14DB04B7"/>
    <w:rsid w:val="14DF20DF"/>
    <w:rsid w:val="14DF7798"/>
    <w:rsid w:val="14E17D46"/>
    <w:rsid w:val="14E36524"/>
    <w:rsid w:val="14E402CA"/>
    <w:rsid w:val="14E506C5"/>
    <w:rsid w:val="14E55D50"/>
    <w:rsid w:val="14E7331A"/>
    <w:rsid w:val="14E86712"/>
    <w:rsid w:val="14EA5A59"/>
    <w:rsid w:val="14EE721A"/>
    <w:rsid w:val="14F34D7D"/>
    <w:rsid w:val="14FD26B0"/>
    <w:rsid w:val="14FE5305"/>
    <w:rsid w:val="15004EE3"/>
    <w:rsid w:val="150305B9"/>
    <w:rsid w:val="150A463D"/>
    <w:rsid w:val="15181CBF"/>
    <w:rsid w:val="15193136"/>
    <w:rsid w:val="15197C50"/>
    <w:rsid w:val="151A0545"/>
    <w:rsid w:val="15221CF7"/>
    <w:rsid w:val="15227958"/>
    <w:rsid w:val="1529049D"/>
    <w:rsid w:val="152B2A09"/>
    <w:rsid w:val="153158E8"/>
    <w:rsid w:val="153929B7"/>
    <w:rsid w:val="153944BD"/>
    <w:rsid w:val="153C5012"/>
    <w:rsid w:val="1542317C"/>
    <w:rsid w:val="15474CD2"/>
    <w:rsid w:val="1549591C"/>
    <w:rsid w:val="154B3A47"/>
    <w:rsid w:val="1550595A"/>
    <w:rsid w:val="155253F0"/>
    <w:rsid w:val="155A068C"/>
    <w:rsid w:val="155E743A"/>
    <w:rsid w:val="155F400E"/>
    <w:rsid w:val="15660EAA"/>
    <w:rsid w:val="156A217E"/>
    <w:rsid w:val="156C2F2B"/>
    <w:rsid w:val="156E5CC2"/>
    <w:rsid w:val="156F4383"/>
    <w:rsid w:val="157E04E4"/>
    <w:rsid w:val="15814495"/>
    <w:rsid w:val="1582544D"/>
    <w:rsid w:val="158324DE"/>
    <w:rsid w:val="15861B85"/>
    <w:rsid w:val="1586236B"/>
    <w:rsid w:val="15890C86"/>
    <w:rsid w:val="158B280F"/>
    <w:rsid w:val="158F709B"/>
    <w:rsid w:val="15922BBF"/>
    <w:rsid w:val="1598011E"/>
    <w:rsid w:val="159D3F2B"/>
    <w:rsid w:val="159E3A2B"/>
    <w:rsid w:val="15A348A2"/>
    <w:rsid w:val="15AA675A"/>
    <w:rsid w:val="15B5229D"/>
    <w:rsid w:val="15BC2F0D"/>
    <w:rsid w:val="15C148D5"/>
    <w:rsid w:val="15CF71CB"/>
    <w:rsid w:val="15D93E0C"/>
    <w:rsid w:val="15DE6134"/>
    <w:rsid w:val="15E516B7"/>
    <w:rsid w:val="15E742DB"/>
    <w:rsid w:val="15EE5BD5"/>
    <w:rsid w:val="15F829A9"/>
    <w:rsid w:val="15FF2253"/>
    <w:rsid w:val="15FF4EFA"/>
    <w:rsid w:val="16070CCD"/>
    <w:rsid w:val="16075213"/>
    <w:rsid w:val="16085BE0"/>
    <w:rsid w:val="160D0487"/>
    <w:rsid w:val="160E4DC2"/>
    <w:rsid w:val="160F4E3F"/>
    <w:rsid w:val="161445A4"/>
    <w:rsid w:val="161A6976"/>
    <w:rsid w:val="16245804"/>
    <w:rsid w:val="16245A9C"/>
    <w:rsid w:val="1628424E"/>
    <w:rsid w:val="162A747B"/>
    <w:rsid w:val="162D5ED9"/>
    <w:rsid w:val="16371101"/>
    <w:rsid w:val="163915E4"/>
    <w:rsid w:val="163C27DC"/>
    <w:rsid w:val="163D7BFA"/>
    <w:rsid w:val="163E5547"/>
    <w:rsid w:val="163F59C3"/>
    <w:rsid w:val="1643373A"/>
    <w:rsid w:val="164727FC"/>
    <w:rsid w:val="16491EFF"/>
    <w:rsid w:val="164960DC"/>
    <w:rsid w:val="164B479E"/>
    <w:rsid w:val="164E0387"/>
    <w:rsid w:val="16542672"/>
    <w:rsid w:val="16576A6F"/>
    <w:rsid w:val="165A0A77"/>
    <w:rsid w:val="165D2EB4"/>
    <w:rsid w:val="165F0AB6"/>
    <w:rsid w:val="1660079E"/>
    <w:rsid w:val="1661428D"/>
    <w:rsid w:val="16622774"/>
    <w:rsid w:val="16646317"/>
    <w:rsid w:val="1666204D"/>
    <w:rsid w:val="16664797"/>
    <w:rsid w:val="16675A36"/>
    <w:rsid w:val="166D406C"/>
    <w:rsid w:val="16707EB6"/>
    <w:rsid w:val="16734112"/>
    <w:rsid w:val="167622AE"/>
    <w:rsid w:val="16786935"/>
    <w:rsid w:val="168E5F9E"/>
    <w:rsid w:val="168F46A6"/>
    <w:rsid w:val="16915C97"/>
    <w:rsid w:val="169358B7"/>
    <w:rsid w:val="169827B0"/>
    <w:rsid w:val="169A5EEF"/>
    <w:rsid w:val="169B107B"/>
    <w:rsid w:val="16A16E74"/>
    <w:rsid w:val="16A97D18"/>
    <w:rsid w:val="16AB1A41"/>
    <w:rsid w:val="16AC1518"/>
    <w:rsid w:val="16B20326"/>
    <w:rsid w:val="16B3448F"/>
    <w:rsid w:val="16BC56EC"/>
    <w:rsid w:val="16BE790B"/>
    <w:rsid w:val="16C43CA2"/>
    <w:rsid w:val="16C45FF9"/>
    <w:rsid w:val="16C51F14"/>
    <w:rsid w:val="16CC686B"/>
    <w:rsid w:val="16CE0064"/>
    <w:rsid w:val="16D019FD"/>
    <w:rsid w:val="16D022D4"/>
    <w:rsid w:val="16D37577"/>
    <w:rsid w:val="16D96517"/>
    <w:rsid w:val="16DC3A03"/>
    <w:rsid w:val="16DE7992"/>
    <w:rsid w:val="16E1707F"/>
    <w:rsid w:val="16E420DC"/>
    <w:rsid w:val="16EB0FB4"/>
    <w:rsid w:val="16EF6BEF"/>
    <w:rsid w:val="16F2780C"/>
    <w:rsid w:val="16FA6AD8"/>
    <w:rsid w:val="16FB7B8C"/>
    <w:rsid w:val="16FC274B"/>
    <w:rsid w:val="1700119F"/>
    <w:rsid w:val="170025CB"/>
    <w:rsid w:val="17034D5F"/>
    <w:rsid w:val="17055B52"/>
    <w:rsid w:val="17062E95"/>
    <w:rsid w:val="170B6590"/>
    <w:rsid w:val="170F4C1D"/>
    <w:rsid w:val="170F4FAE"/>
    <w:rsid w:val="17114F47"/>
    <w:rsid w:val="171405BD"/>
    <w:rsid w:val="17236F8F"/>
    <w:rsid w:val="1724497B"/>
    <w:rsid w:val="172B3180"/>
    <w:rsid w:val="172B5875"/>
    <w:rsid w:val="172B75C4"/>
    <w:rsid w:val="17306772"/>
    <w:rsid w:val="17316ED3"/>
    <w:rsid w:val="1731765B"/>
    <w:rsid w:val="173B01A9"/>
    <w:rsid w:val="173C76CD"/>
    <w:rsid w:val="173D26E8"/>
    <w:rsid w:val="173E7E31"/>
    <w:rsid w:val="17505A91"/>
    <w:rsid w:val="17522487"/>
    <w:rsid w:val="175367A3"/>
    <w:rsid w:val="175B0D75"/>
    <w:rsid w:val="175B1C59"/>
    <w:rsid w:val="175C3741"/>
    <w:rsid w:val="17682146"/>
    <w:rsid w:val="176A1A92"/>
    <w:rsid w:val="176C56A7"/>
    <w:rsid w:val="176D1CE9"/>
    <w:rsid w:val="177047CC"/>
    <w:rsid w:val="177464E7"/>
    <w:rsid w:val="17793331"/>
    <w:rsid w:val="177D374B"/>
    <w:rsid w:val="177D4E13"/>
    <w:rsid w:val="178D2A7C"/>
    <w:rsid w:val="17944545"/>
    <w:rsid w:val="17A01FF0"/>
    <w:rsid w:val="17A15231"/>
    <w:rsid w:val="17A774FA"/>
    <w:rsid w:val="17AA137E"/>
    <w:rsid w:val="17AE5555"/>
    <w:rsid w:val="17B43756"/>
    <w:rsid w:val="17B8683E"/>
    <w:rsid w:val="17C417F4"/>
    <w:rsid w:val="17C53C3C"/>
    <w:rsid w:val="17C75066"/>
    <w:rsid w:val="17C81510"/>
    <w:rsid w:val="17CD559B"/>
    <w:rsid w:val="17D03300"/>
    <w:rsid w:val="17D06A63"/>
    <w:rsid w:val="17D77D9A"/>
    <w:rsid w:val="17DB076D"/>
    <w:rsid w:val="17DB3287"/>
    <w:rsid w:val="17DC57E8"/>
    <w:rsid w:val="17E24578"/>
    <w:rsid w:val="17E24AD2"/>
    <w:rsid w:val="17E43CE5"/>
    <w:rsid w:val="17E861A7"/>
    <w:rsid w:val="17EA0528"/>
    <w:rsid w:val="17F0313C"/>
    <w:rsid w:val="17F51C68"/>
    <w:rsid w:val="180415F6"/>
    <w:rsid w:val="18080715"/>
    <w:rsid w:val="180A6A7B"/>
    <w:rsid w:val="180D3941"/>
    <w:rsid w:val="18116B9E"/>
    <w:rsid w:val="18120A5C"/>
    <w:rsid w:val="18147B2C"/>
    <w:rsid w:val="18237A1E"/>
    <w:rsid w:val="18310724"/>
    <w:rsid w:val="1839780E"/>
    <w:rsid w:val="183D056B"/>
    <w:rsid w:val="183D41F0"/>
    <w:rsid w:val="183E6888"/>
    <w:rsid w:val="18403891"/>
    <w:rsid w:val="184F23B9"/>
    <w:rsid w:val="18577957"/>
    <w:rsid w:val="18591873"/>
    <w:rsid w:val="185A5444"/>
    <w:rsid w:val="185D0352"/>
    <w:rsid w:val="185D0F79"/>
    <w:rsid w:val="185D678A"/>
    <w:rsid w:val="185E3592"/>
    <w:rsid w:val="18655CCC"/>
    <w:rsid w:val="18671E01"/>
    <w:rsid w:val="18696837"/>
    <w:rsid w:val="18700805"/>
    <w:rsid w:val="187223F8"/>
    <w:rsid w:val="18827719"/>
    <w:rsid w:val="188A5FA9"/>
    <w:rsid w:val="189242F3"/>
    <w:rsid w:val="189970B2"/>
    <w:rsid w:val="189B08C3"/>
    <w:rsid w:val="189D5613"/>
    <w:rsid w:val="18A03611"/>
    <w:rsid w:val="18A74337"/>
    <w:rsid w:val="18AE6606"/>
    <w:rsid w:val="18B30285"/>
    <w:rsid w:val="18B332CD"/>
    <w:rsid w:val="18B548C3"/>
    <w:rsid w:val="18C15440"/>
    <w:rsid w:val="18C75AED"/>
    <w:rsid w:val="18D606EA"/>
    <w:rsid w:val="18E01EE3"/>
    <w:rsid w:val="18ED0A02"/>
    <w:rsid w:val="18F11EA5"/>
    <w:rsid w:val="18FE4B58"/>
    <w:rsid w:val="19012043"/>
    <w:rsid w:val="19027E5E"/>
    <w:rsid w:val="190D4D9B"/>
    <w:rsid w:val="19134901"/>
    <w:rsid w:val="19194375"/>
    <w:rsid w:val="191C50A4"/>
    <w:rsid w:val="191D2B40"/>
    <w:rsid w:val="191E4F54"/>
    <w:rsid w:val="19266AD5"/>
    <w:rsid w:val="192E6C2E"/>
    <w:rsid w:val="193F05E9"/>
    <w:rsid w:val="19413080"/>
    <w:rsid w:val="19440C56"/>
    <w:rsid w:val="1947061F"/>
    <w:rsid w:val="19484491"/>
    <w:rsid w:val="19490DA9"/>
    <w:rsid w:val="194E2582"/>
    <w:rsid w:val="194F44E1"/>
    <w:rsid w:val="195404E8"/>
    <w:rsid w:val="19556D8A"/>
    <w:rsid w:val="19596D91"/>
    <w:rsid w:val="19601394"/>
    <w:rsid w:val="1960754C"/>
    <w:rsid w:val="196D178F"/>
    <w:rsid w:val="196D7418"/>
    <w:rsid w:val="197C4984"/>
    <w:rsid w:val="197E348D"/>
    <w:rsid w:val="198547CC"/>
    <w:rsid w:val="19857626"/>
    <w:rsid w:val="198F61A5"/>
    <w:rsid w:val="199013E1"/>
    <w:rsid w:val="19904B0D"/>
    <w:rsid w:val="199631A1"/>
    <w:rsid w:val="19A62385"/>
    <w:rsid w:val="19B27957"/>
    <w:rsid w:val="19B3494D"/>
    <w:rsid w:val="19B55035"/>
    <w:rsid w:val="19BA37A0"/>
    <w:rsid w:val="19BD70B8"/>
    <w:rsid w:val="19BF5521"/>
    <w:rsid w:val="19CC3307"/>
    <w:rsid w:val="19CD18E5"/>
    <w:rsid w:val="19CF7F2A"/>
    <w:rsid w:val="19D014E9"/>
    <w:rsid w:val="19D37300"/>
    <w:rsid w:val="19D6337F"/>
    <w:rsid w:val="19DF36F3"/>
    <w:rsid w:val="19E04E29"/>
    <w:rsid w:val="19E45926"/>
    <w:rsid w:val="19EC49F7"/>
    <w:rsid w:val="19EC5A6F"/>
    <w:rsid w:val="19F14A9E"/>
    <w:rsid w:val="19F21B82"/>
    <w:rsid w:val="19F34393"/>
    <w:rsid w:val="19F66831"/>
    <w:rsid w:val="1A031666"/>
    <w:rsid w:val="1A035A68"/>
    <w:rsid w:val="1A08197A"/>
    <w:rsid w:val="1A1572B1"/>
    <w:rsid w:val="1A15732D"/>
    <w:rsid w:val="1A1667E9"/>
    <w:rsid w:val="1A172B4C"/>
    <w:rsid w:val="1A183FD6"/>
    <w:rsid w:val="1A1B02DC"/>
    <w:rsid w:val="1A1D7E65"/>
    <w:rsid w:val="1A1F3EE3"/>
    <w:rsid w:val="1A202E8D"/>
    <w:rsid w:val="1A29077D"/>
    <w:rsid w:val="1A3B1E03"/>
    <w:rsid w:val="1A3C3C01"/>
    <w:rsid w:val="1A3D27D4"/>
    <w:rsid w:val="1A3D4A57"/>
    <w:rsid w:val="1A3E6EB4"/>
    <w:rsid w:val="1A544E18"/>
    <w:rsid w:val="1A5C726F"/>
    <w:rsid w:val="1A601A8E"/>
    <w:rsid w:val="1A623863"/>
    <w:rsid w:val="1A6B00FE"/>
    <w:rsid w:val="1A6C5CC0"/>
    <w:rsid w:val="1A6D38E4"/>
    <w:rsid w:val="1A6F1C85"/>
    <w:rsid w:val="1A712C68"/>
    <w:rsid w:val="1A746028"/>
    <w:rsid w:val="1A7E104F"/>
    <w:rsid w:val="1A810329"/>
    <w:rsid w:val="1A814764"/>
    <w:rsid w:val="1A82775E"/>
    <w:rsid w:val="1A830D8A"/>
    <w:rsid w:val="1A8636A2"/>
    <w:rsid w:val="1A8B0D62"/>
    <w:rsid w:val="1A8E7818"/>
    <w:rsid w:val="1A902D82"/>
    <w:rsid w:val="1A944E34"/>
    <w:rsid w:val="1A9727ED"/>
    <w:rsid w:val="1AA326BE"/>
    <w:rsid w:val="1AAB678D"/>
    <w:rsid w:val="1AB32A68"/>
    <w:rsid w:val="1AB750D1"/>
    <w:rsid w:val="1ABB5564"/>
    <w:rsid w:val="1ABB5604"/>
    <w:rsid w:val="1ABC39A0"/>
    <w:rsid w:val="1ABE3651"/>
    <w:rsid w:val="1AC43A1D"/>
    <w:rsid w:val="1AC86070"/>
    <w:rsid w:val="1AC95EBE"/>
    <w:rsid w:val="1ACB6F33"/>
    <w:rsid w:val="1ACE0756"/>
    <w:rsid w:val="1AD02ED9"/>
    <w:rsid w:val="1AD8762F"/>
    <w:rsid w:val="1AD9537E"/>
    <w:rsid w:val="1ADA4E34"/>
    <w:rsid w:val="1ADA6C53"/>
    <w:rsid w:val="1AE40A8C"/>
    <w:rsid w:val="1AE45256"/>
    <w:rsid w:val="1AF6166B"/>
    <w:rsid w:val="1AF90C63"/>
    <w:rsid w:val="1AFA462F"/>
    <w:rsid w:val="1AFC3600"/>
    <w:rsid w:val="1B003DE1"/>
    <w:rsid w:val="1B043D86"/>
    <w:rsid w:val="1B21369F"/>
    <w:rsid w:val="1B242591"/>
    <w:rsid w:val="1B245D5A"/>
    <w:rsid w:val="1B2C12EE"/>
    <w:rsid w:val="1B2F79F6"/>
    <w:rsid w:val="1B326358"/>
    <w:rsid w:val="1B344988"/>
    <w:rsid w:val="1B3860BC"/>
    <w:rsid w:val="1B4828CD"/>
    <w:rsid w:val="1B4A1AE1"/>
    <w:rsid w:val="1B4B20B3"/>
    <w:rsid w:val="1B4D1787"/>
    <w:rsid w:val="1B515CBA"/>
    <w:rsid w:val="1B63343B"/>
    <w:rsid w:val="1B6A142D"/>
    <w:rsid w:val="1B6D5BF7"/>
    <w:rsid w:val="1B6E2A35"/>
    <w:rsid w:val="1B72502D"/>
    <w:rsid w:val="1B7C2F10"/>
    <w:rsid w:val="1B8A0EBA"/>
    <w:rsid w:val="1B924843"/>
    <w:rsid w:val="1B9F6BEB"/>
    <w:rsid w:val="1BA475C6"/>
    <w:rsid w:val="1BA749E0"/>
    <w:rsid w:val="1BAD4EB6"/>
    <w:rsid w:val="1BAF3B5E"/>
    <w:rsid w:val="1BB36291"/>
    <w:rsid w:val="1BB61954"/>
    <w:rsid w:val="1BBA2536"/>
    <w:rsid w:val="1BBA725F"/>
    <w:rsid w:val="1BC342FF"/>
    <w:rsid w:val="1BC4352E"/>
    <w:rsid w:val="1BC56ED0"/>
    <w:rsid w:val="1BCE65C6"/>
    <w:rsid w:val="1BE2241E"/>
    <w:rsid w:val="1BE35F9B"/>
    <w:rsid w:val="1BE916BE"/>
    <w:rsid w:val="1BEA6759"/>
    <w:rsid w:val="1BEB0CFF"/>
    <w:rsid w:val="1BEB60C4"/>
    <w:rsid w:val="1BF94D9C"/>
    <w:rsid w:val="1BFA291E"/>
    <w:rsid w:val="1BFB00F1"/>
    <w:rsid w:val="1C0D1D3C"/>
    <w:rsid w:val="1C112D60"/>
    <w:rsid w:val="1C1721AD"/>
    <w:rsid w:val="1C1831A0"/>
    <w:rsid w:val="1C1B3A8A"/>
    <w:rsid w:val="1C220756"/>
    <w:rsid w:val="1C243A1D"/>
    <w:rsid w:val="1C291548"/>
    <w:rsid w:val="1C29393B"/>
    <w:rsid w:val="1C2C44FD"/>
    <w:rsid w:val="1C36013B"/>
    <w:rsid w:val="1C381BF0"/>
    <w:rsid w:val="1C3E2254"/>
    <w:rsid w:val="1C3E62EE"/>
    <w:rsid w:val="1C3F7474"/>
    <w:rsid w:val="1C401AA1"/>
    <w:rsid w:val="1C4A24C4"/>
    <w:rsid w:val="1C4A5D22"/>
    <w:rsid w:val="1C4C360C"/>
    <w:rsid w:val="1C51594B"/>
    <w:rsid w:val="1C53412E"/>
    <w:rsid w:val="1C5E36D7"/>
    <w:rsid w:val="1C62312F"/>
    <w:rsid w:val="1C6274C9"/>
    <w:rsid w:val="1C676F6E"/>
    <w:rsid w:val="1C6839FB"/>
    <w:rsid w:val="1C6B2147"/>
    <w:rsid w:val="1C7015C2"/>
    <w:rsid w:val="1C70629F"/>
    <w:rsid w:val="1C7D2B84"/>
    <w:rsid w:val="1C7E2E66"/>
    <w:rsid w:val="1C833CE1"/>
    <w:rsid w:val="1C8949AB"/>
    <w:rsid w:val="1C8E4BAC"/>
    <w:rsid w:val="1C932C7E"/>
    <w:rsid w:val="1C95155B"/>
    <w:rsid w:val="1C9F586F"/>
    <w:rsid w:val="1C9F58B5"/>
    <w:rsid w:val="1CA71BDA"/>
    <w:rsid w:val="1CAA0BD7"/>
    <w:rsid w:val="1CAF67DB"/>
    <w:rsid w:val="1CB34832"/>
    <w:rsid w:val="1CBA2F78"/>
    <w:rsid w:val="1CBB3A0B"/>
    <w:rsid w:val="1CBC7F9E"/>
    <w:rsid w:val="1CC6531F"/>
    <w:rsid w:val="1CD17656"/>
    <w:rsid w:val="1CD963D1"/>
    <w:rsid w:val="1CDA1293"/>
    <w:rsid w:val="1CE112B0"/>
    <w:rsid w:val="1CE4480A"/>
    <w:rsid w:val="1CEE5B1C"/>
    <w:rsid w:val="1CF374DE"/>
    <w:rsid w:val="1CF41F8B"/>
    <w:rsid w:val="1CF92CA3"/>
    <w:rsid w:val="1CFB2BFF"/>
    <w:rsid w:val="1D0218BA"/>
    <w:rsid w:val="1D183CB8"/>
    <w:rsid w:val="1D1853DF"/>
    <w:rsid w:val="1D1D5802"/>
    <w:rsid w:val="1D206260"/>
    <w:rsid w:val="1D270595"/>
    <w:rsid w:val="1D2B674A"/>
    <w:rsid w:val="1D385D5B"/>
    <w:rsid w:val="1D386F0D"/>
    <w:rsid w:val="1D396735"/>
    <w:rsid w:val="1D3A67E9"/>
    <w:rsid w:val="1D3C2503"/>
    <w:rsid w:val="1D404856"/>
    <w:rsid w:val="1D434D56"/>
    <w:rsid w:val="1D446FE5"/>
    <w:rsid w:val="1D4711A1"/>
    <w:rsid w:val="1D4C5C77"/>
    <w:rsid w:val="1D4E21F4"/>
    <w:rsid w:val="1D503E6D"/>
    <w:rsid w:val="1D580A7F"/>
    <w:rsid w:val="1D5878A0"/>
    <w:rsid w:val="1D5A0143"/>
    <w:rsid w:val="1D5B2840"/>
    <w:rsid w:val="1D5E67B1"/>
    <w:rsid w:val="1D6130ED"/>
    <w:rsid w:val="1D6925FB"/>
    <w:rsid w:val="1D720A72"/>
    <w:rsid w:val="1D73002F"/>
    <w:rsid w:val="1D7E01F2"/>
    <w:rsid w:val="1D7F2970"/>
    <w:rsid w:val="1D9170CB"/>
    <w:rsid w:val="1D9229A8"/>
    <w:rsid w:val="1D94047C"/>
    <w:rsid w:val="1D976FBC"/>
    <w:rsid w:val="1D9909E2"/>
    <w:rsid w:val="1D9A22EA"/>
    <w:rsid w:val="1D9B361C"/>
    <w:rsid w:val="1D9D1F37"/>
    <w:rsid w:val="1DA30F48"/>
    <w:rsid w:val="1DA65F7B"/>
    <w:rsid w:val="1DA84C49"/>
    <w:rsid w:val="1DAE07B7"/>
    <w:rsid w:val="1DAE50A1"/>
    <w:rsid w:val="1DB2382C"/>
    <w:rsid w:val="1DB44A93"/>
    <w:rsid w:val="1DB565B7"/>
    <w:rsid w:val="1DB72E85"/>
    <w:rsid w:val="1DB8652C"/>
    <w:rsid w:val="1DBB63F9"/>
    <w:rsid w:val="1DBE6B20"/>
    <w:rsid w:val="1DBF3B08"/>
    <w:rsid w:val="1DC34C6F"/>
    <w:rsid w:val="1DC83C5C"/>
    <w:rsid w:val="1DC92538"/>
    <w:rsid w:val="1DD36731"/>
    <w:rsid w:val="1DD3747E"/>
    <w:rsid w:val="1DD650EE"/>
    <w:rsid w:val="1DDB6A7A"/>
    <w:rsid w:val="1DDF26C0"/>
    <w:rsid w:val="1DE25E01"/>
    <w:rsid w:val="1DE640FF"/>
    <w:rsid w:val="1DE65B42"/>
    <w:rsid w:val="1DED717C"/>
    <w:rsid w:val="1DF11604"/>
    <w:rsid w:val="1DF30458"/>
    <w:rsid w:val="1DF33ABD"/>
    <w:rsid w:val="1DFE11B7"/>
    <w:rsid w:val="1DFE1ACE"/>
    <w:rsid w:val="1E014261"/>
    <w:rsid w:val="1E046CCF"/>
    <w:rsid w:val="1E0B09D0"/>
    <w:rsid w:val="1E181DCA"/>
    <w:rsid w:val="1E1B1EBD"/>
    <w:rsid w:val="1E20369F"/>
    <w:rsid w:val="1E2A49B4"/>
    <w:rsid w:val="1E2D133D"/>
    <w:rsid w:val="1E302890"/>
    <w:rsid w:val="1E31114C"/>
    <w:rsid w:val="1E385302"/>
    <w:rsid w:val="1E3C0160"/>
    <w:rsid w:val="1E442D2B"/>
    <w:rsid w:val="1E4C6FA1"/>
    <w:rsid w:val="1E532200"/>
    <w:rsid w:val="1E5379B0"/>
    <w:rsid w:val="1E550756"/>
    <w:rsid w:val="1E5A6971"/>
    <w:rsid w:val="1E605269"/>
    <w:rsid w:val="1E6053DE"/>
    <w:rsid w:val="1E677DB9"/>
    <w:rsid w:val="1E701964"/>
    <w:rsid w:val="1E707F21"/>
    <w:rsid w:val="1E735B6A"/>
    <w:rsid w:val="1E754FAC"/>
    <w:rsid w:val="1E75586D"/>
    <w:rsid w:val="1E8D0848"/>
    <w:rsid w:val="1E8F2F5F"/>
    <w:rsid w:val="1E8F7AD5"/>
    <w:rsid w:val="1E910F26"/>
    <w:rsid w:val="1E913875"/>
    <w:rsid w:val="1EA20C4C"/>
    <w:rsid w:val="1EA24C92"/>
    <w:rsid w:val="1EA31540"/>
    <w:rsid w:val="1EA578B1"/>
    <w:rsid w:val="1EA654CA"/>
    <w:rsid w:val="1EA749D5"/>
    <w:rsid w:val="1EAA54C9"/>
    <w:rsid w:val="1EAB3432"/>
    <w:rsid w:val="1EAB742E"/>
    <w:rsid w:val="1EB220C8"/>
    <w:rsid w:val="1EB43A5E"/>
    <w:rsid w:val="1EB60BFC"/>
    <w:rsid w:val="1EB610D8"/>
    <w:rsid w:val="1EBD72DC"/>
    <w:rsid w:val="1EC2696B"/>
    <w:rsid w:val="1ECB498D"/>
    <w:rsid w:val="1ED055DE"/>
    <w:rsid w:val="1ED10482"/>
    <w:rsid w:val="1ED300BF"/>
    <w:rsid w:val="1ED73762"/>
    <w:rsid w:val="1EDD5C15"/>
    <w:rsid w:val="1EDE472D"/>
    <w:rsid w:val="1EE54A36"/>
    <w:rsid w:val="1EE67D5A"/>
    <w:rsid w:val="1EEA4D45"/>
    <w:rsid w:val="1EEB281C"/>
    <w:rsid w:val="1EED7D16"/>
    <w:rsid w:val="1EF35FA2"/>
    <w:rsid w:val="1EF65815"/>
    <w:rsid w:val="1EF75E0E"/>
    <w:rsid w:val="1EF7664F"/>
    <w:rsid w:val="1EF76820"/>
    <w:rsid w:val="1EF82137"/>
    <w:rsid w:val="1EF93BCC"/>
    <w:rsid w:val="1EFC06C0"/>
    <w:rsid w:val="1EFF550A"/>
    <w:rsid w:val="1F007AC5"/>
    <w:rsid w:val="1F065152"/>
    <w:rsid w:val="1F065363"/>
    <w:rsid w:val="1F065FD1"/>
    <w:rsid w:val="1F0A60F1"/>
    <w:rsid w:val="1F0B72C1"/>
    <w:rsid w:val="1F0E0C1B"/>
    <w:rsid w:val="1F105F29"/>
    <w:rsid w:val="1F131481"/>
    <w:rsid w:val="1F1530A3"/>
    <w:rsid w:val="1F1B52B9"/>
    <w:rsid w:val="1F1C1C81"/>
    <w:rsid w:val="1F23055E"/>
    <w:rsid w:val="1F282E6B"/>
    <w:rsid w:val="1F2E3A53"/>
    <w:rsid w:val="1F3024AB"/>
    <w:rsid w:val="1F346AA7"/>
    <w:rsid w:val="1F391432"/>
    <w:rsid w:val="1F3D02D0"/>
    <w:rsid w:val="1F3D1E87"/>
    <w:rsid w:val="1F3D5F74"/>
    <w:rsid w:val="1F3E7E49"/>
    <w:rsid w:val="1F417EC3"/>
    <w:rsid w:val="1F440E41"/>
    <w:rsid w:val="1F475199"/>
    <w:rsid w:val="1F476147"/>
    <w:rsid w:val="1F4D3F85"/>
    <w:rsid w:val="1F4E667B"/>
    <w:rsid w:val="1F4F07D7"/>
    <w:rsid w:val="1F50030C"/>
    <w:rsid w:val="1F513534"/>
    <w:rsid w:val="1F5713BE"/>
    <w:rsid w:val="1F5A026B"/>
    <w:rsid w:val="1F6E665B"/>
    <w:rsid w:val="1F74401E"/>
    <w:rsid w:val="1F745B3B"/>
    <w:rsid w:val="1F770ECA"/>
    <w:rsid w:val="1F7B25C3"/>
    <w:rsid w:val="1F870186"/>
    <w:rsid w:val="1F8B3499"/>
    <w:rsid w:val="1F91683E"/>
    <w:rsid w:val="1F930DD9"/>
    <w:rsid w:val="1F97008C"/>
    <w:rsid w:val="1F9A0703"/>
    <w:rsid w:val="1F9A4546"/>
    <w:rsid w:val="1F9E0B84"/>
    <w:rsid w:val="1F9F13ED"/>
    <w:rsid w:val="1FA35E0D"/>
    <w:rsid w:val="1FAD39FB"/>
    <w:rsid w:val="1FC47407"/>
    <w:rsid w:val="1FC61A27"/>
    <w:rsid w:val="1FC94A22"/>
    <w:rsid w:val="1FC94FDC"/>
    <w:rsid w:val="1FCA2698"/>
    <w:rsid w:val="1FD0432B"/>
    <w:rsid w:val="1FD52004"/>
    <w:rsid w:val="1FD60018"/>
    <w:rsid w:val="1FE35B3A"/>
    <w:rsid w:val="1FEA08A9"/>
    <w:rsid w:val="1FF0049F"/>
    <w:rsid w:val="1FF23D5E"/>
    <w:rsid w:val="1FF82660"/>
    <w:rsid w:val="2003152A"/>
    <w:rsid w:val="20065733"/>
    <w:rsid w:val="200B25CB"/>
    <w:rsid w:val="200D386D"/>
    <w:rsid w:val="201023B6"/>
    <w:rsid w:val="2011611C"/>
    <w:rsid w:val="201462F4"/>
    <w:rsid w:val="20152E6D"/>
    <w:rsid w:val="201A4D89"/>
    <w:rsid w:val="2021488D"/>
    <w:rsid w:val="20260C87"/>
    <w:rsid w:val="202E06DE"/>
    <w:rsid w:val="20315666"/>
    <w:rsid w:val="20334F55"/>
    <w:rsid w:val="203E21FB"/>
    <w:rsid w:val="20514AEA"/>
    <w:rsid w:val="20547F2D"/>
    <w:rsid w:val="2059173D"/>
    <w:rsid w:val="205B1182"/>
    <w:rsid w:val="205B3084"/>
    <w:rsid w:val="205E3D78"/>
    <w:rsid w:val="206363A5"/>
    <w:rsid w:val="20682328"/>
    <w:rsid w:val="206E6233"/>
    <w:rsid w:val="206F1489"/>
    <w:rsid w:val="20700A31"/>
    <w:rsid w:val="20700F38"/>
    <w:rsid w:val="20716A69"/>
    <w:rsid w:val="2073561B"/>
    <w:rsid w:val="20755231"/>
    <w:rsid w:val="207650EB"/>
    <w:rsid w:val="208A5D81"/>
    <w:rsid w:val="208D4A7A"/>
    <w:rsid w:val="208F6788"/>
    <w:rsid w:val="2091511C"/>
    <w:rsid w:val="20943ACE"/>
    <w:rsid w:val="2097438B"/>
    <w:rsid w:val="20982B74"/>
    <w:rsid w:val="20996FD3"/>
    <w:rsid w:val="209D47FF"/>
    <w:rsid w:val="20A20A2D"/>
    <w:rsid w:val="20A34BEC"/>
    <w:rsid w:val="20A52609"/>
    <w:rsid w:val="20A711C3"/>
    <w:rsid w:val="20A96393"/>
    <w:rsid w:val="20AC0FA4"/>
    <w:rsid w:val="20AE6245"/>
    <w:rsid w:val="20B2650A"/>
    <w:rsid w:val="20B35C37"/>
    <w:rsid w:val="20B921AC"/>
    <w:rsid w:val="20BC2695"/>
    <w:rsid w:val="20BD674D"/>
    <w:rsid w:val="20BE79F1"/>
    <w:rsid w:val="20C8032E"/>
    <w:rsid w:val="20C85859"/>
    <w:rsid w:val="20CB253F"/>
    <w:rsid w:val="20CB3DE9"/>
    <w:rsid w:val="20CF6EA5"/>
    <w:rsid w:val="20D71F19"/>
    <w:rsid w:val="20D73C3B"/>
    <w:rsid w:val="20DF3734"/>
    <w:rsid w:val="20E246C8"/>
    <w:rsid w:val="20E7428B"/>
    <w:rsid w:val="20EA702B"/>
    <w:rsid w:val="20EC3ACB"/>
    <w:rsid w:val="20ED6B7F"/>
    <w:rsid w:val="20F44796"/>
    <w:rsid w:val="20F44D87"/>
    <w:rsid w:val="20F605BC"/>
    <w:rsid w:val="20FF1B1C"/>
    <w:rsid w:val="21034B25"/>
    <w:rsid w:val="21050118"/>
    <w:rsid w:val="210837CB"/>
    <w:rsid w:val="210D5D0A"/>
    <w:rsid w:val="2119581F"/>
    <w:rsid w:val="211976AB"/>
    <w:rsid w:val="211A1505"/>
    <w:rsid w:val="211D5FD9"/>
    <w:rsid w:val="21245B84"/>
    <w:rsid w:val="212E1F5F"/>
    <w:rsid w:val="21384384"/>
    <w:rsid w:val="213A2E65"/>
    <w:rsid w:val="213C5615"/>
    <w:rsid w:val="213D13E6"/>
    <w:rsid w:val="213E44FE"/>
    <w:rsid w:val="2149025E"/>
    <w:rsid w:val="21570CEB"/>
    <w:rsid w:val="21586A6A"/>
    <w:rsid w:val="21591AD2"/>
    <w:rsid w:val="215A3D27"/>
    <w:rsid w:val="215D778A"/>
    <w:rsid w:val="21623C20"/>
    <w:rsid w:val="2164222E"/>
    <w:rsid w:val="21662030"/>
    <w:rsid w:val="21782645"/>
    <w:rsid w:val="217C24FE"/>
    <w:rsid w:val="218064D2"/>
    <w:rsid w:val="21836527"/>
    <w:rsid w:val="2187265A"/>
    <w:rsid w:val="218C5871"/>
    <w:rsid w:val="218F1DC4"/>
    <w:rsid w:val="219079BE"/>
    <w:rsid w:val="219175DC"/>
    <w:rsid w:val="219335C5"/>
    <w:rsid w:val="21981ABA"/>
    <w:rsid w:val="219C1163"/>
    <w:rsid w:val="219D5659"/>
    <w:rsid w:val="21A16211"/>
    <w:rsid w:val="21AC0F56"/>
    <w:rsid w:val="21AD748E"/>
    <w:rsid w:val="21AF550B"/>
    <w:rsid w:val="21B0097F"/>
    <w:rsid w:val="21B01F3A"/>
    <w:rsid w:val="21B350F2"/>
    <w:rsid w:val="21B35373"/>
    <w:rsid w:val="21B5451B"/>
    <w:rsid w:val="21BC25D4"/>
    <w:rsid w:val="21C42898"/>
    <w:rsid w:val="21C548FB"/>
    <w:rsid w:val="21C61AF2"/>
    <w:rsid w:val="21CF1C6F"/>
    <w:rsid w:val="21D10BFE"/>
    <w:rsid w:val="21D2629F"/>
    <w:rsid w:val="21D82D75"/>
    <w:rsid w:val="21DD35EB"/>
    <w:rsid w:val="21E53164"/>
    <w:rsid w:val="21EC4C86"/>
    <w:rsid w:val="21EF318D"/>
    <w:rsid w:val="21F665BD"/>
    <w:rsid w:val="21F7235C"/>
    <w:rsid w:val="21F914B9"/>
    <w:rsid w:val="21FC7ADD"/>
    <w:rsid w:val="22017884"/>
    <w:rsid w:val="22065C2E"/>
    <w:rsid w:val="2208408A"/>
    <w:rsid w:val="220A14AB"/>
    <w:rsid w:val="220B4C23"/>
    <w:rsid w:val="221368DE"/>
    <w:rsid w:val="221A684A"/>
    <w:rsid w:val="221F75EB"/>
    <w:rsid w:val="22241242"/>
    <w:rsid w:val="22254A11"/>
    <w:rsid w:val="22290622"/>
    <w:rsid w:val="222E0969"/>
    <w:rsid w:val="223256FC"/>
    <w:rsid w:val="223D576D"/>
    <w:rsid w:val="224C2A13"/>
    <w:rsid w:val="22521765"/>
    <w:rsid w:val="225232F9"/>
    <w:rsid w:val="225454FC"/>
    <w:rsid w:val="22596DBA"/>
    <w:rsid w:val="225D4893"/>
    <w:rsid w:val="225E40D8"/>
    <w:rsid w:val="225E486A"/>
    <w:rsid w:val="226250EC"/>
    <w:rsid w:val="2262730F"/>
    <w:rsid w:val="22661F1D"/>
    <w:rsid w:val="226771A7"/>
    <w:rsid w:val="227129A3"/>
    <w:rsid w:val="228146CD"/>
    <w:rsid w:val="228162D6"/>
    <w:rsid w:val="22826637"/>
    <w:rsid w:val="228533F7"/>
    <w:rsid w:val="228849D8"/>
    <w:rsid w:val="2290704B"/>
    <w:rsid w:val="229613E4"/>
    <w:rsid w:val="229C6B21"/>
    <w:rsid w:val="229D4BF2"/>
    <w:rsid w:val="22A207BA"/>
    <w:rsid w:val="22A73CE3"/>
    <w:rsid w:val="22A85769"/>
    <w:rsid w:val="22B02CB8"/>
    <w:rsid w:val="22B07248"/>
    <w:rsid w:val="22C01DCC"/>
    <w:rsid w:val="22C83B7A"/>
    <w:rsid w:val="22CA6202"/>
    <w:rsid w:val="22CB6263"/>
    <w:rsid w:val="22CC517E"/>
    <w:rsid w:val="22D055C6"/>
    <w:rsid w:val="22D23CB6"/>
    <w:rsid w:val="22D4272B"/>
    <w:rsid w:val="22D554A2"/>
    <w:rsid w:val="22DC643A"/>
    <w:rsid w:val="22E22F11"/>
    <w:rsid w:val="22F0145D"/>
    <w:rsid w:val="22F6496E"/>
    <w:rsid w:val="22F92A29"/>
    <w:rsid w:val="22FE78B8"/>
    <w:rsid w:val="23002389"/>
    <w:rsid w:val="230448A8"/>
    <w:rsid w:val="230662DA"/>
    <w:rsid w:val="230663EC"/>
    <w:rsid w:val="23076D92"/>
    <w:rsid w:val="230823BC"/>
    <w:rsid w:val="23101189"/>
    <w:rsid w:val="23114EFE"/>
    <w:rsid w:val="23195E5C"/>
    <w:rsid w:val="231B5CE2"/>
    <w:rsid w:val="23275420"/>
    <w:rsid w:val="23280C75"/>
    <w:rsid w:val="232A4A19"/>
    <w:rsid w:val="232A4D6F"/>
    <w:rsid w:val="232C4CBE"/>
    <w:rsid w:val="23370D49"/>
    <w:rsid w:val="233842EA"/>
    <w:rsid w:val="233E5E53"/>
    <w:rsid w:val="233F4D45"/>
    <w:rsid w:val="23464701"/>
    <w:rsid w:val="23554D29"/>
    <w:rsid w:val="23574D82"/>
    <w:rsid w:val="235818B0"/>
    <w:rsid w:val="235F4829"/>
    <w:rsid w:val="23644104"/>
    <w:rsid w:val="236C421A"/>
    <w:rsid w:val="23716BAE"/>
    <w:rsid w:val="23806CA3"/>
    <w:rsid w:val="238547B1"/>
    <w:rsid w:val="238B343F"/>
    <w:rsid w:val="238C4981"/>
    <w:rsid w:val="238F0AAA"/>
    <w:rsid w:val="23945669"/>
    <w:rsid w:val="239B25B9"/>
    <w:rsid w:val="23A65AF5"/>
    <w:rsid w:val="23AB34C2"/>
    <w:rsid w:val="23AD240B"/>
    <w:rsid w:val="23B05C92"/>
    <w:rsid w:val="23BD5979"/>
    <w:rsid w:val="23BE03D2"/>
    <w:rsid w:val="23BF0346"/>
    <w:rsid w:val="23C238A6"/>
    <w:rsid w:val="23C47E22"/>
    <w:rsid w:val="23C73B8E"/>
    <w:rsid w:val="23C76E9E"/>
    <w:rsid w:val="23CA59DA"/>
    <w:rsid w:val="23D13013"/>
    <w:rsid w:val="23D444D9"/>
    <w:rsid w:val="23D529FC"/>
    <w:rsid w:val="23D719DD"/>
    <w:rsid w:val="23D77E3B"/>
    <w:rsid w:val="23E373A1"/>
    <w:rsid w:val="23E465F1"/>
    <w:rsid w:val="23E8097A"/>
    <w:rsid w:val="23F9703A"/>
    <w:rsid w:val="23FF2F8F"/>
    <w:rsid w:val="24010544"/>
    <w:rsid w:val="240D600A"/>
    <w:rsid w:val="240F299A"/>
    <w:rsid w:val="24146A01"/>
    <w:rsid w:val="241A7904"/>
    <w:rsid w:val="242650A6"/>
    <w:rsid w:val="24265280"/>
    <w:rsid w:val="24286A2A"/>
    <w:rsid w:val="2429201A"/>
    <w:rsid w:val="242B2400"/>
    <w:rsid w:val="24302848"/>
    <w:rsid w:val="24357296"/>
    <w:rsid w:val="243E0833"/>
    <w:rsid w:val="243E7FDC"/>
    <w:rsid w:val="2444242E"/>
    <w:rsid w:val="2444718E"/>
    <w:rsid w:val="244532D3"/>
    <w:rsid w:val="24467BCC"/>
    <w:rsid w:val="244734B0"/>
    <w:rsid w:val="244F6A8B"/>
    <w:rsid w:val="24510DE4"/>
    <w:rsid w:val="24561BC6"/>
    <w:rsid w:val="245D3F96"/>
    <w:rsid w:val="2464291C"/>
    <w:rsid w:val="24663ADF"/>
    <w:rsid w:val="246760B0"/>
    <w:rsid w:val="246E1CAD"/>
    <w:rsid w:val="24873494"/>
    <w:rsid w:val="249B5E46"/>
    <w:rsid w:val="249B5F1D"/>
    <w:rsid w:val="249B7AC7"/>
    <w:rsid w:val="249D2257"/>
    <w:rsid w:val="249F2BC4"/>
    <w:rsid w:val="24AB2B1D"/>
    <w:rsid w:val="24AB6715"/>
    <w:rsid w:val="24AC7076"/>
    <w:rsid w:val="24AD4AB3"/>
    <w:rsid w:val="24B72A00"/>
    <w:rsid w:val="24BF2ABE"/>
    <w:rsid w:val="24C4138C"/>
    <w:rsid w:val="24C70908"/>
    <w:rsid w:val="24C973C8"/>
    <w:rsid w:val="24CC3933"/>
    <w:rsid w:val="24CD3BE4"/>
    <w:rsid w:val="24DA7642"/>
    <w:rsid w:val="24DB7FB3"/>
    <w:rsid w:val="24EC46AF"/>
    <w:rsid w:val="24F139AD"/>
    <w:rsid w:val="25067478"/>
    <w:rsid w:val="25116982"/>
    <w:rsid w:val="25173562"/>
    <w:rsid w:val="25223829"/>
    <w:rsid w:val="252A22E0"/>
    <w:rsid w:val="252C08E7"/>
    <w:rsid w:val="252D0019"/>
    <w:rsid w:val="252E57B5"/>
    <w:rsid w:val="252F4417"/>
    <w:rsid w:val="25342DCC"/>
    <w:rsid w:val="253443E6"/>
    <w:rsid w:val="253C7B8D"/>
    <w:rsid w:val="253D0025"/>
    <w:rsid w:val="25454894"/>
    <w:rsid w:val="25490E39"/>
    <w:rsid w:val="254C45C6"/>
    <w:rsid w:val="254D3C8A"/>
    <w:rsid w:val="255132A0"/>
    <w:rsid w:val="25554B1B"/>
    <w:rsid w:val="255669F1"/>
    <w:rsid w:val="255853A0"/>
    <w:rsid w:val="255947C0"/>
    <w:rsid w:val="255B2B05"/>
    <w:rsid w:val="255D447E"/>
    <w:rsid w:val="255F0257"/>
    <w:rsid w:val="25611C32"/>
    <w:rsid w:val="256756B6"/>
    <w:rsid w:val="25675F7C"/>
    <w:rsid w:val="256D1F58"/>
    <w:rsid w:val="256F41E9"/>
    <w:rsid w:val="25732DCB"/>
    <w:rsid w:val="257362BF"/>
    <w:rsid w:val="25770956"/>
    <w:rsid w:val="2577095A"/>
    <w:rsid w:val="25783939"/>
    <w:rsid w:val="257D2346"/>
    <w:rsid w:val="25842AB7"/>
    <w:rsid w:val="2590351B"/>
    <w:rsid w:val="259669DB"/>
    <w:rsid w:val="25982D91"/>
    <w:rsid w:val="25A044C9"/>
    <w:rsid w:val="25A77187"/>
    <w:rsid w:val="25A83BAD"/>
    <w:rsid w:val="25A90114"/>
    <w:rsid w:val="25AA7E9B"/>
    <w:rsid w:val="25AB36E1"/>
    <w:rsid w:val="25AB55FF"/>
    <w:rsid w:val="25AD21D1"/>
    <w:rsid w:val="25AD6510"/>
    <w:rsid w:val="25AE0F5D"/>
    <w:rsid w:val="25B82220"/>
    <w:rsid w:val="25BA71D8"/>
    <w:rsid w:val="25C426CD"/>
    <w:rsid w:val="25C4285B"/>
    <w:rsid w:val="25CA519B"/>
    <w:rsid w:val="25CA7081"/>
    <w:rsid w:val="25CD6092"/>
    <w:rsid w:val="25D16424"/>
    <w:rsid w:val="25D577D2"/>
    <w:rsid w:val="25DD1E66"/>
    <w:rsid w:val="25DE0BD7"/>
    <w:rsid w:val="25E50463"/>
    <w:rsid w:val="25E767F6"/>
    <w:rsid w:val="25E874F1"/>
    <w:rsid w:val="25EF0E64"/>
    <w:rsid w:val="25F11BD3"/>
    <w:rsid w:val="25F47887"/>
    <w:rsid w:val="25F50BD3"/>
    <w:rsid w:val="25FA1D77"/>
    <w:rsid w:val="25FD6DBB"/>
    <w:rsid w:val="2603372E"/>
    <w:rsid w:val="260C3729"/>
    <w:rsid w:val="260D6FE1"/>
    <w:rsid w:val="261334AE"/>
    <w:rsid w:val="26152A98"/>
    <w:rsid w:val="26162BC0"/>
    <w:rsid w:val="26196CAB"/>
    <w:rsid w:val="261A36D8"/>
    <w:rsid w:val="261C03F3"/>
    <w:rsid w:val="261D02C9"/>
    <w:rsid w:val="261D7458"/>
    <w:rsid w:val="261F211A"/>
    <w:rsid w:val="26255B20"/>
    <w:rsid w:val="262948BF"/>
    <w:rsid w:val="2635472E"/>
    <w:rsid w:val="263C06F2"/>
    <w:rsid w:val="264A1827"/>
    <w:rsid w:val="264A4781"/>
    <w:rsid w:val="264D31D2"/>
    <w:rsid w:val="2651485E"/>
    <w:rsid w:val="265454D9"/>
    <w:rsid w:val="265A01EE"/>
    <w:rsid w:val="265D3C34"/>
    <w:rsid w:val="266062FF"/>
    <w:rsid w:val="26612F17"/>
    <w:rsid w:val="2661654D"/>
    <w:rsid w:val="26657329"/>
    <w:rsid w:val="26660981"/>
    <w:rsid w:val="26692FB5"/>
    <w:rsid w:val="26717EDF"/>
    <w:rsid w:val="26754CCD"/>
    <w:rsid w:val="26782EE7"/>
    <w:rsid w:val="26790B78"/>
    <w:rsid w:val="26797639"/>
    <w:rsid w:val="267D51D5"/>
    <w:rsid w:val="267E3122"/>
    <w:rsid w:val="268620B2"/>
    <w:rsid w:val="268D4C6C"/>
    <w:rsid w:val="268E300C"/>
    <w:rsid w:val="268F553E"/>
    <w:rsid w:val="26923287"/>
    <w:rsid w:val="269C2E51"/>
    <w:rsid w:val="269C5EDF"/>
    <w:rsid w:val="269E2398"/>
    <w:rsid w:val="26A024C2"/>
    <w:rsid w:val="26A47FAD"/>
    <w:rsid w:val="26B015B7"/>
    <w:rsid w:val="26B6583A"/>
    <w:rsid w:val="26C85569"/>
    <w:rsid w:val="26C90364"/>
    <w:rsid w:val="26CB1DF6"/>
    <w:rsid w:val="26CB7717"/>
    <w:rsid w:val="26CD75AF"/>
    <w:rsid w:val="26D132F7"/>
    <w:rsid w:val="26D452D0"/>
    <w:rsid w:val="26D5433C"/>
    <w:rsid w:val="26D77D1A"/>
    <w:rsid w:val="26DE1C0E"/>
    <w:rsid w:val="26E31473"/>
    <w:rsid w:val="26E46348"/>
    <w:rsid w:val="26E673D6"/>
    <w:rsid w:val="26EB7EDB"/>
    <w:rsid w:val="26EF47F9"/>
    <w:rsid w:val="26FA217D"/>
    <w:rsid w:val="2700605B"/>
    <w:rsid w:val="270A3EA3"/>
    <w:rsid w:val="270B09B5"/>
    <w:rsid w:val="27115942"/>
    <w:rsid w:val="2716264E"/>
    <w:rsid w:val="271A60D9"/>
    <w:rsid w:val="271A6AF8"/>
    <w:rsid w:val="271D528A"/>
    <w:rsid w:val="271E6EA1"/>
    <w:rsid w:val="27246EEE"/>
    <w:rsid w:val="272C4530"/>
    <w:rsid w:val="27374585"/>
    <w:rsid w:val="2738605C"/>
    <w:rsid w:val="274472CA"/>
    <w:rsid w:val="27463980"/>
    <w:rsid w:val="27510CFE"/>
    <w:rsid w:val="275647DF"/>
    <w:rsid w:val="275B4A38"/>
    <w:rsid w:val="275C53B6"/>
    <w:rsid w:val="275F2328"/>
    <w:rsid w:val="276342C2"/>
    <w:rsid w:val="27643CCC"/>
    <w:rsid w:val="276564A9"/>
    <w:rsid w:val="27663089"/>
    <w:rsid w:val="27677DFF"/>
    <w:rsid w:val="27733CC6"/>
    <w:rsid w:val="27751F85"/>
    <w:rsid w:val="278379BD"/>
    <w:rsid w:val="27903DB0"/>
    <w:rsid w:val="279361FC"/>
    <w:rsid w:val="2794479D"/>
    <w:rsid w:val="27986A04"/>
    <w:rsid w:val="2799479B"/>
    <w:rsid w:val="279B36A6"/>
    <w:rsid w:val="27A50F0C"/>
    <w:rsid w:val="27AD0916"/>
    <w:rsid w:val="27B405AF"/>
    <w:rsid w:val="27B83C37"/>
    <w:rsid w:val="27BC0677"/>
    <w:rsid w:val="27C534C6"/>
    <w:rsid w:val="27C722DE"/>
    <w:rsid w:val="27C776A5"/>
    <w:rsid w:val="27C846CC"/>
    <w:rsid w:val="27CA2809"/>
    <w:rsid w:val="27D12C73"/>
    <w:rsid w:val="27D51E42"/>
    <w:rsid w:val="27D95929"/>
    <w:rsid w:val="27DC343B"/>
    <w:rsid w:val="27DC7471"/>
    <w:rsid w:val="27EF4799"/>
    <w:rsid w:val="27F1394C"/>
    <w:rsid w:val="27F96D39"/>
    <w:rsid w:val="27FA05ED"/>
    <w:rsid w:val="27FA19B6"/>
    <w:rsid w:val="27FC2476"/>
    <w:rsid w:val="28005963"/>
    <w:rsid w:val="28011C29"/>
    <w:rsid w:val="280B697A"/>
    <w:rsid w:val="280E219F"/>
    <w:rsid w:val="28103FAA"/>
    <w:rsid w:val="281658A7"/>
    <w:rsid w:val="2818712D"/>
    <w:rsid w:val="28187BA7"/>
    <w:rsid w:val="28267138"/>
    <w:rsid w:val="282676A4"/>
    <w:rsid w:val="282C45D4"/>
    <w:rsid w:val="282D119F"/>
    <w:rsid w:val="282F16BF"/>
    <w:rsid w:val="28393C30"/>
    <w:rsid w:val="283B241F"/>
    <w:rsid w:val="283F0B71"/>
    <w:rsid w:val="28456FEF"/>
    <w:rsid w:val="28495CF7"/>
    <w:rsid w:val="284F05CE"/>
    <w:rsid w:val="284F268E"/>
    <w:rsid w:val="284F470E"/>
    <w:rsid w:val="28514597"/>
    <w:rsid w:val="28530BDD"/>
    <w:rsid w:val="28555E98"/>
    <w:rsid w:val="285C0EC4"/>
    <w:rsid w:val="285D7068"/>
    <w:rsid w:val="28643EEE"/>
    <w:rsid w:val="286B5AFC"/>
    <w:rsid w:val="286D4567"/>
    <w:rsid w:val="2873504F"/>
    <w:rsid w:val="28741819"/>
    <w:rsid w:val="28786E38"/>
    <w:rsid w:val="287C5E4A"/>
    <w:rsid w:val="287C7756"/>
    <w:rsid w:val="28860F39"/>
    <w:rsid w:val="28884489"/>
    <w:rsid w:val="288B26F1"/>
    <w:rsid w:val="2891595C"/>
    <w:rsid w:val="289169CE"/>
    <w:rsid w:val="2896780F"/>
    <w:rsid w:val="28A45FC5"/>
    <w:rsid w:val="28A63302"/>
    <w:rsid w:val="28A95086"/>
    <w:rsid w:val="28AD24FC"/>
    <w:rsid w:val="28B210B0"/>
    <w:rsid w:val="28B71435"/>
    <w:rsid w:val="28BB637F"/>
    <w:rsid w:val="28C929D3"/>
    <w:rsid w:val="28CD4518"/>
    <w:rsid w:val="28E13B51"/>
    <w:rsid w:val="28E54F7F"/>
    <w:rsid w:val="28E7100E"/>
    <w:rsid w:val="28EB2758"/>
    <w:rsid w:val="28EF0C28"/>
    <w:rsid w:val="28FD7001"/>
    <w:rsid w:val="28FD7D79"/>
    <w:rsid w:val="29091468"/>
    <w:rsid w:val="290A5C50"/>
    <w:rsid w:val="290C3D80"/>
    <w:rsid w:val="290F27A7"/>
    <w:rsid w:val="291D36EE"/>
    <w:rsid w:val="291F793A"/>
    <w:rsid w:val="29270845"/>
    <w:rsid w:val="292C79F1"/>
    <w:rsid w:val="29324533"/>
    <w:rsid w:val="293919F2"/>
    <w:rsid w:val="29396F72"/>
    <w:rsid w:val="293A6D1A"/>
    <w:rsid w:val="293B5EA3"/>
    <w:rsid w:val="294269A9"/>
    <w:rsid w:val="294468DD"/>
    <w:rsid w:val="294D3E8D"/>
    <w:rsid w:val="29515E7C"/>
    <w:rsid w:val="29527CA7"/>
    <w:rsid w:val="29532139"/>
    <w:rsid w:val="29532878"/>
    <w:rsid w:val="295C25AB"/>
    <w:rsid w:val="29647771"/>
    <w:rsid w:val="2967784A"/>
    <w:rsid w:val="29682E01"/>
    <w:rsid w:val="296846C9"/>
    <w:rsid w:val="296D5A3B"/>
    <w:rsid w:val="296F1D0F"/>
    <w:rsid w:val="29702AB7"/>
    <w:rsid w:val="297251C3"/>
    <w:rsid w:val="297524D0"/>
    <w:rsid w:val="29760811"/>
    <w:rsid w:val="297853DC"/>
    <w:rsid w:val="297938E3"/>
    <w:rsid w:val="297B066D"/>
    <w:rsid w:val="298833AB"/>
    <w:rsid w:val="298D6074"/>
    <w:rsid w:val="298E6C96"/>
    <w:rsid w:val="2991330A"/>
    <w:rsid w:val="299405ED"/>
    <w:rsid w:val="29997E9A"/>
    <w:rsid w:val="299E06BA"/>
    <w:rsid w:val="29A27794"/>
    <w:rsid w:val="29A70527"/>
    <w:rsid w:val="29A84CD4"/>
    <w:rsid w:val="29A933DB"/>
    <w:rsid w:val="29AA2F47"/>
    <w:rsid w:val="29AF29AD"/>
    <w:rsid w:val="29BA0244"/>
    <w:rsid w:val="29BC405F"/>
    <w:rsid w:val="29BD1BCB"/>
    <w:rsid w:val="29BD20B6"/>
    <w:rsid w:val="29C915FA"/>
    <w:rsid w:val="29CB32AB"/>
    <w:rsid w:val="29D34E54"/>
    <w:rsid w:val="29E10311"/>
    <w:rsid w:val="29E7628E"/>
    <w:rsid w:val="29ED5E45"/>
    <w:rsid w:val="29F8464C"/>
    <w:rsid w:val="29FE1C52"/>
    <w:rsid w:val="2A041E0E"/>
    <w:rsid w:val="2A0F6709"/>
    <w:rsid w:val="2A1B5A97"/>
    <w:rsid w:val="2A214753"/>
    <w:rsid w:val="2A215BF5"/>
    <w:rsid w:val="2A240FF8"/>
    <w:rsid w:val="2A267303"/>
    <w:rsid w:val="2A27596D"/>
    <w:rsid w:val="2A284377"/>
    <w:rsid w:val="2A2B246E"/>
    <w:rsid w:val="2A2F5FF7"/>
    <w:rsid w:val="2A315560"/>
    <w:rsid w:val="2A333EA6"/>
    <w:rsid w:val="2A3730BF"/>
    <w:rsid w:val="2A461071"/>
    <w:rsid w:val="2A476A3D"/>
    <w:rsid w:val="2A4C641D"/>
    <w:rsid w:val="2A4D71F5"/>
    <w:rsid w:val="2A53367C"/>
    <w:rsid w:val="2A563C9D"/>
    <w:rsid w:val="2A5B18F2"/>
    <w:rsid w:val="2A5E3051"/>
    <w:rsid w:val="2A5E4AF1"/>
    <w:rsid w:val="2A612577"/>
    <w:rsid w:val="2A633984"/>
    <w:rsid w:val="2A6444CC"/>
    <w:rsid w:val="2A652B13"/>
    <w:rsid w:val="2A667866"/>
    <w:rsid w:val="2A6F0907"/>
    <w:rsid w:val="2A706CCD"/>
    <w:rsid w:val="2A72220D"/>
    <w:rsid w:val="2A754611"/>
    <w:rsid w:val="2A797DB6"/>
    <w:rsid w:val="2A81403E"/>
    <w:rsid w:val="2A850AD6"/>
    <w:rsid w:val="2A8945D0"/>
    <w:rsid w:val="2A8D52D3"/>
    <w:rsid w:val="2A933C31"/>
    <w:rsid w:val="2A9918A2"/>
    <w:rsid w:val="2A9A26D8"/>
    <w:rsid w:val="2AA045BA"/>
    <w:rsid w:val="2AA34301"/>
    <w:rsid w:val="2AA96D03"/>
    <w:rsid w:val="2AAA7985"/>
    <w:rsid w:val="2AB12C83"/>
    <w:rsid w:val="2AB72771"/>
    <w:rsid w:val="2AC36075"/>
    <w:rsid w:val="2AC961B4"/>
    <w:rsid w:val="2ACB209A"/>
    <w:rsid w:val="2ACB2686"/>
    <w:rsid w:val="2ACF62F9"/>
    <w:rsid w:val="2AD26817"/>
    <w:rsid w:val="2AD35771"/>
    <w:rsid w:val="2AD53934"/>
    <w:rsid w:val="2AEC5BDE"/>
    <w:rsid w:val="2AF5283B"/>
    <w:rsid w:val="2AF82BDC"/>
    <w:rsid w:val="2AFC3A7E"/>
    <w:rsid w:val="2AFD096B"/>
    <w:rsid w:val="2B00468C"/>
    <w:rsid w:val="2B03276E"/>
    <w:rsid w:val="2B095A35"/>
    <w:rsid w:val="2B106AC2"/>
    <w:rsid w:val="2B13794C"/>
    <w:rsid w:val="2B172BEE"/>
    <w:rsid w:val="2B182309"/>
    <w:rsid w:val="2B1C5B5A"/>
    <w:rsid w:val="2B2255E4"/>
    <w:rsid w:val="2B2367A1"/>
    <w:rsid w:val="2B24502C"/>
    <w:rsid w:val="2B273C51"/>
    <w:rsid w:val="2B273D7D"/>
    <w:rsid w:val="2B2D3C15"/>
    <w:rsid w:val="2B2D71EF"/>
    <w:rsid w:val="2B343AEA"/>
    <w:rsid w:val="2B395D11"/>
    <w:rsid w:val="2B3A6F1C"/>
    <w:rsid w:val="2B497CC4"/>
    <w:rsid w:val="2B4F439C"/>
    <w:rsid w:val="2B5D32F7"/>
    <w:rsid w:val="2B611C90"/>
    <w:rsid w:val="2B656F29"/>
    <w:rsid w:val="2B681A7D"/>
    <w:rsid w:val="2B696E7E"/>
    <w:rsid w:val="2B6E7407"/>
    <w:rsid w:val="2B753A89"/>
    <w:rsid w:val="2B770322"/>
    <w:rsid w:val="2B772985"/>
    <w:rsid w:val="2B7760BB"/>
    <w:rsid w:val="2B7B263F"/>
    <w:rsid w:val="2B7D1041"/>
    <w:rsid w:val="2B7E732B"/>
    <w:rsid w:val="2B81631B"/>
    <w:rsid w:val="2B864232"/>
    <w:rsid w:val="2B9119C7"/>
    <w:rsid w:val="2B9A2DBC"/>
    <w:rsid w:val="2B9C1939"/>
    <w:rsid w:val="2B9D524A"/>
    <w:rsid w:val="2BA3676C"/>
    <w:rsid w:val="2BB146ED"/>
    <w:rsid w:val="2BB7682C"/>
    <w:rsid w:val="2BB82D84"/>
    <w:rsid w:val="2BC606DB"/>
    <w:rsid w:val="2BC72031"/>
    <w:rsid w:val="2BD01E54"/>
    <w:rsid w:val="2BD11AE5"/>
    <w:rsid w:val="2BD26EEE"/>
    <w:rsid w:val="2BD3062F"/>
    <w:rsid w:val="2BD30DCA"/>
    <w:rsid w:val="2BD516CE"/>
    <w:rsid w:val="2BDA749B"/>
    <w:rsid w:val="2BDC1F52"/>
    <w:rsid w:val="2BDC510D"/>
    <w:rsid w:val="2BDE42D5"/>
    <w:rsid w:val="2BE2309A"/>
    <w:rsid w:val="2BE428E0"/>
    <w:rsid w:val="2BE42D66"/>
    <w:rsid w:val="2BE46E0A"/>
    <w:rsid w:val="2BE57EE2"/>
    <w:rsid w:val="2BE730E8"/>
    <w:rsid w:val="2BEA6B39"/>
    <w:rsid w:val="2BEB5470"/>
    <w:rsid w:val="2BF15B23"/>
    <w:rsid w:val="2BF420C2"/>
    <w:rsid w:val="2BF50F2F"/>
    <w:rsid w:val="2BF56A73"/>
    <w:rsid w:val="2BF964E1"/>
    <w:rsid w:val="2BFA0A0C"/>
    <w:rsid w:val="2BFC1B0E"/>
    <w:rsid w:val="2BFE0DFE"/>
    <w:rsid w:val="2C0A068D"/>
    <w:rsid w:val="2C0C1637"/>
    <w:rsid w:val="2C0D2665"/>
    <w:rsid w:val="2C0E59D3"/>
    <w:rsid w:val="2C0F76A4"/>
    <w:rsid w:val="2C1B6E55"/>
    <w:rsid w:val="2C237F9F"/>
    <w:rsid w:val="2C241349"/>
    <w:rsid w:val="2C24514F"/>
    <w:rsid w:val="2C25450C"/>
    <w:rsid w:val="2C2B3060"/>
    <w:rsid w:val="2C2F30CB"/>
    <w:rsid w:val="2C331122"/>
    <w:rsid w:val="2C36201A"/>
    <w:rsid w:val="2C370337"/>
    <w:rsid w:val="2C3C5883"/>
    <w:rsid w:val="2C4B631D"/>
    <w:rsid w:val="2C4C3E6C"/>
    <w:rsid w:val="2C565DB2"/>
    <w:rsid w:val="2C5812CD"/>
    <w:rsid w:val="2C595818"/>
    <w:rsid w:val="2C5B09CC"/>
    <w:rsid w:val="2C5D0E79"/>
    <w:rsid w:val="2C641447"/>
    <w:rsid w:val="2C654F9A"/>
    <w:rsid w:val="2C692EE9"/>
    <w:rsid w:val="2C7C024E"/>
    <w:rsid w:val="2C800E05"/>
    <w:rsid w:val="2C831FAE"/>
    <w:rsid w:val="2C866852"/>
    <w:rsid w:val="2C87596E"/>
    <w:rsid w:val="2C922B80"/>
    <w:rsid w:val="2C9E7F9A"/>
    <w:rsid w:val="2CAD5346"/>
    <w:rsid w:val="2CB01CCF"/>
    <w:rsid w:val="2CB82726"/>
    <w:rsid w:val="2CC55ABB"/>
    <w:rsid w:val="2CCC014B"/>
    <w:rsid w:val="2CD1374B"/>
    <w:rsid w:val="2CD97B0D"/>
    <w:rsid w:val="2CDA4FDE"/>
    <w:rsid w:val="2CDA5AD9"/>
    <w:rsid w:val="2CDB36A6"/>
    <w:rsid w:val="2CDC2CB7"/>
    <w:rsid w:val="2CDD510E"/>
    <w:rsid w:val="2CDF46FB"/>
    <w:rsid w:val="2CE11B1F"/>
    <w:rsid w:val="2CE56317"/>
    <w:rsid w:val="2CE67B08"/>
    <w:rsid w:val="2CE70402"/>
    <w:rsid w:val="2CE852F6"/>
    <w:rsid w:val="2CED1C36"/>
    <w:rsid w:val="2CF42183"/>
    <w:rsid w:val="2CFA441F"/>
    <w:rsid w:val="2CFB7F0C"/>
    <w:rsid w:val="2D0551EB"/>
    <w:rsid w:val="2D084051"/>
    <w:rsid w:val="2D092ACF"/>
    <w:rsid w:val="2D114199"/>
    <w:rsid w:val="2D151093"/>
    <w:rsid w:val="2D1B608D"/>
    <w:rsid w:val="2D1E4699"/>
    <w:rsid w:val="2D212F58"/>
    <w:rsid w:val="2D323CD9"/>
    <w:rsid w:val="2D352234"/>
    <w:rsid w:val="2D3729AA"/>
    <w:rsid w:val="2D3772AA"/>
    <w:rsid w:val="2D392335"/>
    <w:rsid w:val="2D455F1A"/>
    <w:rsid w:val="2D546F64"/>
    <w:rsid w:val="2D570391"/>
    <w:rsid w:val="2D5C12C5"/>
    <w:rsid w:val="2D5D7E61"/>
    <w:rsid w:val="2D5E5915"/>
    <w:rsid w:val="2D5E70A3"/>
    <w:rsid w:val="2D6B784F"/>
    <w:rsid w:val="2D6D16DA"/>
    <w:rsid w:val="2D705C5D"/>
    <w:rsid w:val="2D7655DF"/>
    <w:rsid w:val="2D7B2D24"/>
    <w:rsid w:val="2D7B4ADC"/>
    <w:rsid w:val="2D7E6B84"/>
    <w:rsid w:val="2D7F253E"/>
    <w:rsid w:val="2D825EE3"/>
    <w:rsid w:val="2D931AC6"/>
    <w:rsid w:val="2D9415F7"/>
    <w:rsid w:val="2D971208"/>
    <w:rsid w:val="2D99682A"/>
    <w:rsid w:val="2DA12CEB"/>
    <w:rsid w:val="2DA341CC"/>
    <w:rsid w:val="2DA37A9A"/>
    <w:rsid w:val="2DA65655"/>
    <w:rsid w:val="2DA67CC4"/>
    <w:rsid w:val="2DA86A6F"/>
    <w:rsid w:val="2DA95D28"/>
    <w:rsid w:val="2DAB5D6B"/>
    <w:rsid w:val="2DAC4BEB"/>
    <w:rsid w:val="2DAD3B72"/>
    <w:rsid w:val="2DB33F35"/>
    <w:rsid w:val="2DB91F4E"/>
    <w:rsid w:val="2DBF0537"/>
    <w:rsid w:val="2DBF6981"/>
    <w:rsid w:val="2DC44834"/>
    <w:rsid w:val="2DC70C3F"/>
    <w:rsid w:val="2DC84B7E"/>
    <w:rsid w:val="2DC87412"/>
    <w:rsid w:val="2DC9212D"/>
    <w:rsid w:val="2DCA55C3"/>
    <w:rsid w:val="2DD065DB"/>
    <w:rsid w:val="2DD323E6"/>
    <w:rsid w:val="2DD8186A"/>
    <w:rsid w:val="2DEC2B99"/>
    <w:rsid w:val="2DEE4A58"/>
    <w:rsid w:val="2DF71BC8"/>
    <w:rsid w:val="2DFC6456"/>
    <w:rsid w:val="2DFD2A48"/>
    <w:rsid w:val="2DFE5BF7"/>
    <w:rsid w:val="2DFF4BC8"/>
    <w:rsid w:val="2E041C0F"/>
    <w:rsid w:val="2E045040"/>
    <w:rsid w:val="2E0C6AA6"/>
    <w:rsid w:val="2E0D296A"/>
    <w:rsid w:val="2E13094D"/>
    <w:rsid w:val="2E164DE1"/>
    <w:rsid w:val="2E196FF1"/>
    <w:rsid w:val="2E1D0D5E"/>
    <w:rsid w:val="2E1D1253"/>
    <w:rsid w:val="2E1E2277"/>
    <w:rsid w:val="2E1F75F1"/>
    <w:rsid w:val="2E2208A1"/>
    <w:rsid w:val="2E255A64"/>
    <w:rsid w:val="2E274463"/>
    <w:rsid w:val="2E2B20E6"/>
    <w:rsid w:val="2E343433"/>
    <w:rsid w:val="2E3674ED"/>
    <w:rsid w:val="2E386A3F"/>
    <w:rsid w:val="2E404890"/>
    <w:rsid w:val="2E420CD0"/>
    <w:rsid w:val="2E456BCC"/>
    <w:rsid w:val="2E5067C1"/>
    <w:rsid w:val="2E536DBB"/>
    <w:rsid w:val="2E58418F"/>
    <w:rsid w:val="2E5B44D9"/>
    <w:rsid w:val="2E612D11"/>
    <w:rsid w:val="2E6525FA"/>
    <w:rsid w:val="2E716C00"/>
    <w:rsid w:val="2E7279F5"/>
    <w:rsid w:val="2E731E95"/>
    <w:rsid w:val="2E7F3453"/>
    <w:rsid w:val="2E7F48EA"/>
    <w:rsid w:val="2E846BD7"/>
    <w:rsid w:val="2E85470D"/>
    <w:rsid w:val="2E8C3FEB"/>
    <w:rsid w:val="2E8E0A21"/>
    <w:rsid w:val="2E900727"/>
    <w:rsid w:val="2E9034DC"/>
    <w:rsid w:val="2E931C5C"/>
    <w:rsid w:val="2E936B75"/>
    <w:rsid w:val="2EA87674"/>
    <w:rsid w:val="2EAD1104"/>
    <w:rsid w:val="2EB44F9C"/>
    <w:rsid w:val="2EB45A6A"/>
    <w:rsid w:val="2EB53AA7"/>
    <w:rsid w:val="2EBA42DA"/>
    <w:rsid w:val="2EBA680E"/>
    <w:rsid w:val="2EBB20FE"/>
    <w:rsid w:val="2EC30BF2"/>
    <w:rsid w:val="2EC75CED"/>
    <w:rsid w:val="2ED05A58"/>
    <w:rsid w:val="2ED144B3"/>
    <w:rsid w:val="2EDA065B"/>
    <w:rsid w:val="2EE0612B"/>
    <w:rsid w:val="2EE0730A"/>
    <w:rsid w:val="2EE42395"/>
    <w:rsid w:val="2EE433B5"/>
    <w:rsid w:val="2EE77108"/>
    <w:rsid w:val="2EED55AD"/>
    <w:rsid w:val="2EF1009D"/>
    <w:rsid w:val="2EF170C7"/>
    <w:rsid w:val="2EF55392"/>
    <w:rsid w:val="2EF55D3B"/>
    <w:rsid w:val="2EF84CF3"/>
    <w:rsid w:val="2EFE28E1"/>
    <w:rsid w:val="2EFF2DD7"/>
    <w:rsid w:val="2F057245"/>
    <w:rsid w:val="2F080D7A"/>
    <w:rsid w:val="2F154E59"/>
    <w:rsid w:val="2F227FA7"/>
    <w:rsid w:val="2F260FF4"/>
    <w:rsid w:val="2F26108C"/>
    <w:rsid w:val="2F26128C"/>
    <w:rsid w:val="2F287B8B"/>
    <w:rsid w:val="2F2D5819"/>
    <w:rsid w:val="2F3059D9"/>
    <w:rsid w:val="2F313072"/>
    <w:rsid w:val="2F360036"/>
    <w:rsid w:val="2F3A424B"/>
    <w:rsid w:val="2F485F62"/>
    <w:rsid w:val="2F492063"/>
    <w:rsid w:val="2F525661"/>
    <w:rsid w:val="2F572D1C"/>
    <w:rsid w:val="2F6D1C4B"/>
    <w:rsid w:val="2F7000E1"/>
    <w:rsid w:val="2F723015"/>
    <w:rsid w:val="2F7B6E9B"/>
    <w:rsid w:val="2F7B723B"/>
    <w:rsid w:val="2F805BC6"/>
    <w:rsid w:val="2F8835E1"/>
    <w:rsid w:val="2F8B33D9"/>
    <w:rsid w:val="2F8D5D80"/>
    <w:rsid w:val="2F922F0C"/>
    <w:rsid w:val="2F972C5F"/>
    <w:rsid w:val="2F9A23E9"/>
    <w:rsid w:val="2FA37283"/>
    <w:rsid w:val="2FA64D5C"/>
    <w:rsid w:val="2FAA315E"/>
    <w:rsid w:val="2FAE264B"/>
    <w:rsid w:val="2FB42EBD"/>
    <w:rsid w:val="2FB63170"/>
    <w:rsid w:val="2FBA1DEB"/>
    <w:rsid w:val="2FC13492"/>
    <w:rsid w:val="2FCC340A"/>
    <w:rsid w:val="2FCF799A"/>
    <w:rsid w:val="2FD161EC"/>
    <w:rsid w:val="2FE166A1"/>
    <w:rsid w:val="2FE90558"/>
    <w:rsid w:val="2FEC096F"/>
    <w:rsid w:val="2FF26F95"/>
    <w:rsid w:val="30015E78"/>
    <w:rsid w:val="30020983"/>
    <w:rsid w:val="3007565B"/>
    <w:rsid w:val="30086CD5"/>
    <w:rsid w:val="300A7392"/>
    <w:rsid w:val="301064B7"/>
    <w:rsid w:val="301435D6"/>
    <w:rsid w:val="3018414B"/>
    <w:rsid w:val="30297C13"/>
    <w:rsid w:val="302A71F4"/>
    <w:rsid w:val="302C3349"/>
    <w:rsid w:val="30306C77"/>
    <w:rsid w:val="303D2B7E"/>
    <w:rsid w:val="303E353A"/>
    <w:rsid w:val="30401890"/>
    <w:rsid w:val="304835F0"/>
    <w:rsid w:val="304A620D"/>
    <w:rsid w:val="30521A3C"/>
    <w:rsid w:val="305A79E2"/>
    <w:rsid w:val="305B368A"/>
    <w:rsid w:val="305B626B"/>
    <w:rsid w:val="305D6B9C"/>
    <w:rsid w:val="305F548E"/>
    <w:rsid w:val="306C6D8B"/>
    <w:rsid w:val="306F0CF5"/>
    <w:rsid w:val="30735627"/>
    <w:rsid w:val="30740327"/>
    <w:rsid w:val="30756E92"/>
    <w:rsid w:val="30786D33"/>
    <w:rsid w:val="307E077E"/>
    <w:rsid w:val="30821342"/>
    <w:rsid w:val="3083200B"/>
    <w:rsid w:val="30857F8C"/>
    <w:rsid w:val="30865295"/>
    <w:rsid w:val="30873E67"/>
    <w:rsid w:val="308F200F"/>
    <w:rsid w:val="30905791"/>
    <w:rsid w:val="3091149A"/>
    <w:rsid w:val="30930CD2"/>
    <w:rsid w:val="30977D4E"/>
    <w:rsid w:val="309E7D6E"/>
    <w:rsid w:val="30A6241E"/>
    <w:rsid w:val="30A83B96"/>
    <w:rsid w:val="30A933E4"/>
    <w:rsid w:val="30AA1116"/>
    <w:rsid w:val="30AD7D55"/>
    <w:rsid w:val="30AE75F7"/>
    <w:rsid w:val="30B37756"/>
    <w:rsid w:val="30B46679"/>
    <w:rsid w:val="30B60EDB"/>
    <w:rsid w:val="30BD774E"/>
    <w:rsid w:val="30C000A7"/>
    <w:rsid w:val="30C240CF"/>
    <w:rsid w:val="30DB5F30"/>
    <w:rsid w:val="30DE2AC4"/>
    <w:rsid w:val="30DE3393"/>
    <w:rsid w:val="30E727FE"/>
    <w:rsid w:val="30E86983"/>
    <w:rsid w:val="30E9392D"/>
    <w:rsid w:val="30EA61EB"/>
    <w:rsid w:val="30EE4C4C"/>
    <w:rsid w:val="30EF2739"/>
    <w:rsid w:val="30F5223A"/>
    <w:rsid w:val="30F63585"/>
    <w:rsid w:val="30F74D24"/>
    <w:rsid w:val="30F828F4"/>
    <w:rsid w:val="30FA4BDF"/>
    <w:rsid w:val="31081FA4"/>
    <w:rsid w:val="310A56BA"/>
    <w:rsid w:val="310C3047"/>
    <w:rsid w:val="311521BE"/>
    <w:rsid w:val="31161260"/>
    <w:rsid w:val="311858B9"/>
    <w:rsid w:val="31186531"/>
    <w:rsid w:val="3119161B"/>
    <w:rsid w:val="311A175A"/>
    <w:rsid w:val="311C1D25"/>
    <w:rsid w:val="312071CD"/>
    <w:rsid w:val="312237E5"/>
    <w:rsid w:val="31287887"/>
    <w:rsid w:val="312D1D80"/>
    <w:rsid w:val="31315FE6"/>
    <w:rsid w:val="3133037A"/>
    <w:rsid w:val="3136614B"/>
    <w:rsid w:val="314016BB"/>
    <w:rsid w:val="31406F9E"/>
    <w:rsid w:val="314430B9"/>
    <w:rsid w:val="3145331A"/>
    <w:rsid w:val="314A2C54"/>
    <w:rsid w:val="314B5063"/>
    <w:rsid w:val="314D2DE7"/>
    <w:rsid w:val="315255A7"/>
    <w:rsid w:val="31530341"/>
    <w:rsid w:val="31531050"/>
    <w:rsid w:val="315602D1"/>
    <w:rsid w:val="316038B8"/>
    <w:rsid w:val="31657B15"/>
    <w:rsid w:val="316B23C0"/>
    <w:rsid w:val="31706CCD"/>
    <w:rsid w:val="317A2137"/>
    <w:rsid w:val="31800C34"/>
    <w:rsid w:val="318077FE"/>
    <w:rsid w:val="31823B45"/>
    <w:rsid w:val="31875EE0"/>
    <w:rsid w:val="318E2353"/>
    <w:rsid w:val="3193144C"/>
    <w:rsid w:val="319661EF"/>
    <w:rsid w:val="31A50620"/>
    <w:rsid w:val="31AA3FBB"/>
    <w:rsid w:val="31AA6671"/>
    <w:rsid w:val="31B034AF"/>
    <w:rsid w:val="31BB5CB0"/>
    <w:rsid w:val="31C02E4E"/>
    <w:rsid w:val="31C22920"/>
    <w:rsid w:val="31C36F73"/>
    <w:rsid w:val="31C430AE"/>
    <w:rsid w:val="31CE2D7D"/>
    <w:rsid w:val="31CE720C"/>
    <w:rsid w:val="31D4597F"/>
    <w:rsid w:val="31D54F54"/>
    <w:rsid w:val="31D8291B"/>
    <w:rsid w:val="31D85155"/>
    <w:rsid w:val="31D906F1"/>
    <w:rsid w:val="31E10060"/>
    <w:rsid w:val="31E1192F"/>
    <w:rsid w:val="31E61C97"/>
    <w:rsid w:val="31E66C89"/>
    <w:rsid w:val="31E72CA8"/>
    <w:rsid w:val="31E93EA0"/>
    <w:rsid w:val="31F03691"/>
    <w:rsid w:val="31F91773"/>
    <w:rsid w:val="3201565D"/>
    <w:rsid w:val="32026FA1"/>
    <w:rsid w:val="32043BB6"/>
    <w:rsid w:val="32050F5B"/>
    <w:rsid w:val="32056151"/>
    <w:rsid w:val="32090826"/>
    <w:rsid w:val="320D7F51"/>
    <w:rsid w:val="32133ABE"/>
    <w:rsid w:val="321572B2"/>
    <w:rsid w:val="32165C6C"/>
    <w:rsid w:val="321909A6"/>
    <w:rsid w:val="321D1AAD"/>
    <w:rsid w:val="321F1253"/>
    <w:rsid w:val="32280E72"/>
    <w:rsid w:val="32287CE4"/>
    <w:rsid w:val="322D0205"/>
    <w:rsid w:val="32324F40"/>
    <w:rsid w:val="32331996"/>
    <w:rsid w:val="32341807"/>
    <w:rsid w:val="323C0B2C"/>
    <w:rsid w:val="323F3A2C"/>
    <w:rsid w:val="323F6595"/>
    <w:rsid w:val="32425660"/>
    <w:rsid w:val="32444E57"/>
    <w:rsid w:val="32466460"/>
    <w:rsid w:val="324A1A78"/>
    <w:rsid w:val="324B1E7B"/>
    <w:rsid w:val="324C0721"/>
    <w:rsid w:val="324C11B6"/>
    <w:rsid w:val="324E77F7"/>
    <w:rsid w:val="324F56D0"/>
    <w:rsid w:val="32523798"/>
    <w:rsid w:val="325F4C88"/>
    <w:rsid w:val="325F77AE"/>
    <w:rsid w:val="326416CC"/>
    <w:rsid w:val="326A0A6D"/>
    <w:rsid w:val="326B0BDE"/>
    <w:rsid w:val="326B6D1D"/>
    <w:rsid w:val="326F75AD"/>
    <w:rsid w:val="32766F3C"/>
    <w:rsid w:val="32792FA8"/>
    <w:rsid w:val="327C1B5E"/>
    <w:rsid w:val="327E4C91"/>
    <w:rsid w:val="32891145"/>
    <w:rsid w:val="328F30ED"/>
    <w:rsid w:val="328F552C"/>
    <w:rsid w:val="3290359F"/>
    <w:rsid w:val="32903E2E"/>
    <w:rsid w:val="32907ECE"/>
    <w:rsid w:val="32912C13"/>
    <w:rsid w:val="32927E46"/>
    <w:rsid w:val="3295078A"/>
    <w:rsid w:val="32953BBE"/>
    <w:rsid w:val="329F7408"/>
    <w:rsid w:val="32A47E30"/>
    <w:rsid w:val="32A63CDD"/>
    <w:rsid w:val="32A74F88"/>
    <w:rsid w:val="32AB6C90"/>
    <w:rsid w:val="32B36412"/>
    <w:rsid w:val="32B636DD"/>
    <w:rsid w:val="32C25F98"/>
    <w:rsid w:val="32C8203C"/>
    <w:rsid w:val="32CE7BCD"/>
    <w:rsid w:val="32CF4721"/>
    <w:rsid w:val="32D22024"/>
    <w:rsid w:val="32D314AD"/>
    <w:rsid w:val="32D51DA8"/>
    <w:rsid w:val="32D67716"/>
    <w:rsid w:val="32D87173"/>
    <w:rsid w:val="32DD3DAE"/>
    <w:rsid w:val="32DE335B"/>
    <w:rsid w:val="32DF2DAB"/>
    <w:rsid w:val="32E71FA2"/>
    <w:rsid w:val="32EB265E"/>
    <w:rsid w:val="32ED116F"/>
    <w:rsid w:val="32EE26E8"/>
    <w:rsid w:val="32EF3D9D"/>
    <w:rsid w:val="32F05FAD"/>
    <w:rsid w:val="32F43459"/>
    <w:rsid w:val="32F81A86"/>
    <w:rsid w:val="32F919A5"/>
    <w:rsid w:val="32FB2999"/>
    <w:rsid w:val="33023371"/>
    <w:rsid w:val="33052413"/>
    <w:rsid w:val="33060E29"/>
    <w:rsid w:val="33071CBF"/>
    <w:rsid w:val="33087E12"/>
    <w:rsid w:val="33107764"/>
    <w:rsid w:val="331D30BB"/>
    <w:rsid w:val="331E357A"/>
    <w:rsid w:val="33226A3D"/>
    <w:rsid w:val="33240D3B"/>
    <w:rsid w:val="332962E0"/>
    <w:rsid w:val="332B1FCE"/>
    <w:rsid w:val="33306D84"/>
    <w:rsid w:val="33324869"/>
    <w:rsid w:val="33342DC4"/>
    <w:rsid w:val="33365590"/>
    <w:rsid w:val="33383EC4"/>
    <w:rsid w:val="334105EE"/>
    <w:rsid w:val="334718E2"/>
    <w:rsid w:val="335344AD"/>
    <w:rsid w:val="33535E90"/>
    <w:rsid w:val="33575D3E"/>
    <w:rsid w:val="335D22E9"/>
    <w:rsid w:val="336148A1"/>
    <w:rsid w:val="33632C32"/>
    <w:rsid w:val="33647FBA"/>
    <w:rsid w:val="33746665"/>
    <w:rsid w:val="3375503E"/>
    <w:rsid w:val="33785C3B"/>
    <w:rsid w:val="337D2B80"/>
    <w:rsid w:val="337E29EA"/>
    <w:rsid w:val="33892D6B"/>
    <w:rsid w:val="338C6CBD"/>
    <w:rsid w:val="338F7625"/>
    <w:rsid w:val="33933295"/>
    <w:rsid w:val="3397246D"/>
    <w:rsid w:val="339724A4"/>
    <w:rsid w:val="33997BDC"/>
    <w:rsid w:val="339B7E2B"/>
    <w:rsid w:val="33A03C86"/>
    <w:rsid w:val="33A20BC5"/>
    <w:rsid w:val="33B35F20"/>
    <w:rsid w:val="33B56522"/>
    <w:rsid w:val="33B606A8"/>
    <w:rsid w:val="33B6230B"/>
    <w:rsid w:val="33BB376F"/>
    <w:rsid w:val="33BD2C4C"/>
    <w:rsid w:val="33C17297"/>
    <w:rsid w:val="33D14149"/>
    <w:rsid w:val="33D3583E"/>
    <w:rsid w:val="33D75B79"/>
    <w:rsid w:val="33E35FF8"/>
    <w:rsid w:val="33E45BD8"/>
    <w:rsid w:val="33E83D00"/>
    <w:rsid w:val="33E93382"/>
    <w:rsid w:val="33EF5943"/>
    <w:rsid w:val="33F30364"/>
    <w:rsid w:val="33F56DD2"/>
    <w:rsid w:val="33F87817"/>
    <w:rsid w:val="33F91B5B"/>
    <w:rsid w:val="33FB32A7"/>
    <w:rsid w:val="33FD10AF"/>
    <w:rsid w:val="33FE583A"/>
    <w:rsid w:val="34004881"/>
    <w:rsid w:val="34025193"/>
    <w:rsid w:val="34056C9C"/>
    <w:rsid w:val="340C3C5D"/>
    <w:rsid w:val="34130148"/>
    <w:rsid w:val="3413131E"/>
    <w:rsid w:val="34163A88"/>
    <w:rsid w:val="341F3671"/>
    <w:rsid w:val="34205000"/>
    <w:rsid w:val="34243228"/>
    <w:rsid w:val="34281587"/>
    <w:rsid w:val="342931AE"/>
    <w:rsid w:val="34361124"/>
    <w:rsid w:val="3438028F"/>
    <w:rsid w:val="343A63D5"/>
    <w:rsid w:val="344110B2"/>
    <w:rsid w:val="344360CD"/>
    <w:rsid w:val="34481E11"/>
    <w:rsid w:val="344C1C07"/>
    <w:rsid w:val="34572F5D"/>
    <w:rsid w:val="3457346C"/>
    <w:rsid w:val="345916F4"/>
    <w:rsid w:val="345E3304"/>
    <w:rsid w:val="346807F6"/>
    <w:rsid w:val="34693364"/>
    <w:rsid w:val="346B554C"/>
    <w:rsid w:val="346C5FBE"/>
    <w:rsid w:val="346D59A3"/>
    <w:rsid w:val="346D7401"/>
    <w:rsid w:val="34750858"/>
    <w:rsid w:val="34763830"/>
    <w:rsid w:val="34770097"/>
    <w:rsid w:val="347B5F50"/>
    <w:rsid w:val="347E0A92"/>
    <w:rsid w:val="34813A5C"/>
    <w:rsid w:val="349023C5"/>
    <w:rsid w:val="3492340F"/>
    <w:rsid w:val="349F57E2"/>
    <w:rsid w:val="34A1491E"/>
    <w:rsid w:val="34A14F0A"/>
    <w:rsid w:val="34A74A09"/>
    <w:rsid w:val="34A80ADD"/>
    <w:rsid w:val="34B33297"/>
    <w:rsid w:val="34B332E7"/>
    <w:rsid w:val="34B72D4F"/>
    <w:rsid w:val="34B937C7"/>
    <w:rsid w:val="34BF22F6"/>
    <w:rsid w:val="34C77C48"/>
    <w:rsid w:val="34CA47FE"/>
    <w:rsid w:val="34CD6E09"/>
    <w:rsid w:val="34D0646E"/>
    <w:rsid w:val="34D51E59"/>
    <w:rsid w:val="34D6416D"/>
    <w:rsid w:val="34D97D9E"/>
    <w:rsid w:val="34DA6806"/>
    <w:rsid w:val="34DB2147"/>
    <w:rsid w:val="34E32F80"/>
    <w:rsid w:val="34E716A7"/>
    <w:rsid w:val="34E85D6E"/>
    <w:rsid w:val="350C332A"/>
    <w:rsid w:val="351050A9"/>
    <w:rsid w:val="35170D11"/>
    <w:rsid w:val="3518443F"/>
    <w:rsid w:val="35261DF3"/>
    <w:rsid w:val="352A76D4"/>
    <w:rsid w:val="352D075C"/>
    <w:rsid w:val="353A6059"/>
    <w:rsid w:val="353D41A3"/>
    <w:rsid w:val="354119DE"/>
    <w:rsid w:val="35452519"/>
    <w:rsid w:val="35484697"/>
    <w:rsid w:val="354D4E95"/>
    <w:rsid w:val="355177BA"/>
    <w:rsid w:val="35594BD2"/>
    <w:rsid w:val="355A6B33"/>
    <w:rsid w:val="3561235F"/>
    <w:rsid w:val="356170CA"/>
    <w:rsid w:val="356A252F"/>
    <w:rsid w:val="356C087D"/>
    <w:rsid w:val="356E7F8A"/>
    <w:rsid w:val="356F7EE0"/>
    <w:rsid w:val="357D02B5"/>
    <w:rsid w:val="357E67DA"/>
    <w:rsid w:val="358026A9"/>
    <w:rsid w:val="35831F82"/>
    <w:rsid w:val="35843AE2"/>
    <w:rsid w:val="3591493D"/>
    <w:rsid w:val="35961525"/>
    <w:rsid w:val="35964290"/>
    <w:rsid w:val="35AC1E70"/>
    <w:rsid w:val="35B106FF"/>
    <w:rsid w:val="35B51EAF"/>
    <w:rsid w:val="35B56DF6"/>
    <w:rsid w:val="35B93A28"/>
    <w:rsid w:val="35BE21EF"/>
    <w:rsid w:val="35C82F2F"/>
    <w:rsid w:val="35C95580"/>
    <w:rsid w:val="35D32109"/>
    <w:rsid w:val="35D50B29"/>
    <w:rsid w:val="35D5181B"/>
    <w:rsid w:val="35D5562C"/>
    <w:rsid w:val="35E17978"/>
    <w:rsid w:val="35E73AD8"/>
    <w:rsid w:val="35E90F28"/>
    <w:rsid w:val="35E9366E"/>
    <w:rsid w:val="35EE2CCD"/>
    <w:rsid w:val="35EF0CEF"/>
    <w:rsid w:val="35F120AF"/>
    <w:rsid w:val="35F66497"/>
    <w:rsid w:val="35FA31EB"/>
    <w:rsid w:val="35FB2EEB"/>
    <w:rsid w:val="35FF4867"/>
    <w:rsid w:val="35FF4B62"/>
    <w:rsid w:val="36042C98"/>
    <w:rsid w:val="360C06AD"/>
    <w:rsid w:val="360E2453"/>
    <w:rsid w:val="3616339B"/>
    <w:rsid w:val="36235B2E"/>
    <w:rsid w:val="3625762F"/>
    <w:rsid w:val="36292F36"/>
    <w:rsid w:val="36337886"/>
    <w:rsid w:val="363633FB"/>
    <w:rsid w:val="363874FB"/>
    <w:rsid w:val="36392131"/>
    <w:rsid w:val="36512D95"/>
    <w:rsid w:val="365625C5"/>
    <w:rsid w:val="366379C7"/>
    <w:rsid w:val="36686F1A"/>
    <w:rsid w:val="36690088"/>
    <w:rsid w:val="366C3712"/>
    <w:rsid w:val="3672117C"/>
    <w:rsid w:val="36746DD0"/>
    <w:rsid w:val="3675654F"/>
    <w:rsid w:val="367E6C63"/>
    <w:rsid w:val="3681527A"/>
    <w:rsid w:val="36833E1B"/>
    <w:rsid w:val="368D7DD3"/>
    <w:rsid w:val="369160D7"/>
    <w:rsid w:val="3692570F"/>
    <w:rsid w:val="36976555"/>
    <w:rsid w:val="369C6D03"/>
    <w:rsid w:val="36A62DE6"/>
    <w:rsid w:val="36AC09FB"/>
    <w:rsid w:val="36AD0B08"/>
    <w:rsid w:val="36BB794E"/>
    <w:rsid w:val="36C0235C"/>
    <w:rsid w:val="36C11BDB"/>
    <w:rsid w:val="36C30CEF"/>
    <w:rsid w:val="36C421A7"/>
    <w:rsid w:val="36C9710F"/>
    <w:rsid w:val="36CC133A"/>
    <w:rsid w:val="36CD254C"/>
    <w:rsid w:val="36D3743F"/>
    <w:rsid w:val="36DC63B9"/>
    <w:rsid w:val="36DD1D8E"/>
    <w:rsid w:val="36E05BFA"/>
    <w:rsid w:val="36E61028"/>
    <w:rsid w:val="36F67A99"/>
    <w:rsid w:val="36F93278"/>
    <w:rsid w:val="36FB239D"/>
    <w:rsid w:val="36FF6F71"/>
    <w:rsid w:val="37030BE9"/>
    <w:rsid w:val="37065D7D"/>
    <w:rsid w:val="370676E3"/>
    <w:rsid w:val="370730AE"/>
    <w:rsid w:val="370C255A"/>
    <w:rsid w:val="370D5EEB"/>
    <w:rsid w:val="37110B62"/>
    <w:rsid w:val="37112C78"/>
    <w:rsid w:val="37190A9F"/>
    <w:rsid w:val="371B573C"/>
    <w:rsid w:val="371C7E09"/>
    <w:rsid w:val="371E7F92"/>
    <w:rsid w:val="37220911"/>
    <w:rsid w:val="37272F86"/>
    <w:rsid w:val="372923C9"/>
    <w:rsid w:val="37350EE8"/>
    <w:rsid w:val="37412AF1"/>
    <w:rsid w:val="37426E92"/>
    <w:rsid w:val="37457F09"/>
    <w:rsid w:val="3755590B"/>
    <w:rsid w:val="375B57E4"/>
    <w:rsid w:val="376563AB"/>
    <w:rsid w:val="376A0B69"/>
    <w:rsid w:val="376A3E70"/>
    <w:rsid w:val="376D474E"/>
    <w:rsid w:val="37780017"/>
    <w:rsid w:val="377A40D5"/>
    <w:rsid w:val="377D2729"/>
    <w:rsid w:val="378959C6"/>
    <w:rsid w:val="378C2198"/>
    <w:rsid w:val="37927545"/>
    <w:rsid w:val="37951553"/>
    <w:rsid w:val="379768F4"/>
    <w:rsid w:val="379F1D40"/>
    <w:rsid w:val="37AB1B2E"/>
    <w:rsid w:val="37AF42ED"/>
    <w:rsid w:val="37B2150D"/>
    <w:rsid w:val="37B245D1"/>
    <w:rsid w:val="37B33C0A"/>
    <w:rsid w:val="37B71522"/>
    <w:rsid w:val="37C26D81"/>
    <w:rsid w:val="37C5407E"/>
    <w:rsid w:val="37C615DB"/>
    <w:rsid w:val="37CA1DF7"/>
    <w:rsid w:val="37D02ADC"/>
    <w:rsid w:val="37D8253A"/>
    <w:rsid w:val="37DB10DF"/>
    <w:rsid w:val="37E60B6D"/>
    <w:rsid w:val="37F531D2"/>
    <w:rsid w:val="37FA224F"/>
    <w:rsid w:val="37FA75E7"/>
    <w:rsid w:val="38030D58"/>
    <w:rsid w:val="38107ABE"/>
    <w:rsid w:val="381111D1"/>
    <w:rsid w:val="38132D3D"/>
    <w:rsid w:val="381C7F33"/>
    <w:rsid w:val="381E5978"/>
    <w:rsid w:val="38211376"/>
    <w:rsid w:val="3828285E"/>
    <w:rsid w:val="382F0188"/>
    <w:rsid w:val="383367D2"/>
    <w:rsid w:val="38392AD1"/>
    <w:rsid w:val="383B6EB2"/>
    <w:rsid w:val="383F0224"/>
    <w:rsid w:val="38410C74"/>
    <w:rsid w:val="38411544"/>
    <w:rsid w:val="38485347"/>
    <w:rsid w:val="384A626B"/>
    <w:rsid w:val="384E09C8"/>
    <w:rsid w:val="3853479D"/>
    <w:rsid w:val="38536D03"/>
    <w:rsid w:val="385432E5"/>
    <w:rsid w:val="38554CD9"/>
    <w:rsid w:val="38572849"/>
    <w:rsid w:val="38611E5A"/>
    <w:rsid w:val="38671214"/>
    <w:rsid w:val="386D0941"/>
    <w:rsid w:val="38732D0B"/>
    <w:rsid w:val="3887307F"/>
    <w:rsid w:val="38891AFD"/>
    <w:rsid w:val="388B465B"/>
    <w:rsid w:val="388D546E"/>
    <w:rsid w:val="3893306C"/>
    <w:rsid w:val="3895186E"/>
    <w:rsid w:val="38970AF7"/>
    <w:rsid w:val="389E1603"/>
    <w:rsid w:val="38A7103B"/>
    <w:rsid w:val="38A71E09"/>
    <w:rsid w:val="38A72C9F"/>
    <w:rsid w:val="38AF7425"/>
    <w:rsid w:val="38B37DBF"/>
    <w:rsid w:val="38B532B9"/>
    <w:rsid w:val="38B64C28"/>
    <w:rsid w:val="38BE3520"/>
    <w:rsid w:val="38C008DC"/>
    <w:rsid w:val="38C5669D"/>
    <w:rsid w:val="38C56877"/>
    <w:rsid w:val="38C64985"/>
    <w:rsid w:val="38CA0E54"/>
    <w:rsid w:val="38D40E99"/>
    <w:rsid w:val="38D420F6"/>
    <w:rsid w:val="38D47ECC"/>
    <w:rsid w:val="38D75CA0"/>
    <w:rsid w:val="38D817DE"/>
    <w:rsid w:val="38E05F13"/>
    <w:rsid w:val="38E14397"/>
    <w:rsid w:val="38EF2D97"/>
    <w:rsid w:val="38FB4F08"/>
    <w:rsid w:val="38FF3FC8"/>
    <w:rsid w:val="39047428"/>
    <w:rsid w:val="390A1B04"/>
    <w:rsid w:val="390E41C9"/>
    <w:rsid w:val="39196D45"/>
    <w:rsid w:val="391A2521"/>
    <w:rsid w:val="391C1AD8"/>
    <w:rsid w:val="39222AE0"/>
    <w:rsid w:val="392B2F38"/>
    <w:rsid w:val="392C2497"/>
    <w:rsid w:val="392E7DCB"/>
    <w:rsid w:val="392F1BDB"/>
    <w:rsid w:val="39395AF0"/>
    <w:rsid w:val="393C25D1"/>
    <w:rsid w:val="393C7D80"/>
    <w:rsid w:val="394239AC"/>
    <w:rsid w:val="3955312D"/>
    <w:rsid w:val="39567CF1"/>
    <w:rsid w:val="395777FA"/>
    <w:rsid w:val="395B4097"/>
    <w:rsid w:val="395D09BD"/>
    <w:rsid w:val="395D6857"/>
    <w:rsid w:val="3962284A"/>
    <w:rsid w:val="396559E6"/>
    <w:rsid w:val="39676891"/>
    <w:rsid w:val="39693BA7"/>
    <w:rsid w:val="396F05B8"/>
    <w:rsid w:val="396F7168"/>
    <w:rsid w:val="39703EED"/>
    <w:rsid w:val="397A2515"/>
    <w:rsid w:val="397D08A2"/>
    <w:rsid w:val="39805E5A"/>
    <w:rsid w:val="39815F72"/>
    <w:rsid w:val="398D47B4"/>
    <w:rsid w:val="398F43C0"/>
    <w:rsid w:val="39902D7F"/>
    <w:rsid w:val="399257D7"/>
    <w:rsid w:val="399471A5"/>
    <w:rsid w:val="399B4F87"/>
    <w:rsid w:val="399E184B"/>
    <w:rsid w:val="39A06D2E"/>
    <w:rsid w:val="39A667DD"/>
    <w:rsid w:val="39AC1DC1"/>
    <w:rsid w:val="39B34E7B"/>
    <w:rsid w:val="39BA5B64"/>
    <w:rsid w:val="39C11273"/>
    <w:rsid w:val="39C4669F"/>
    <w:rsid w:val="39C8047F"/>
    <w:rsid w:val="39CB4CD0"/>
    <w:rsid w:val="39CE4197"/>
    <w:rsid w:val="39D01A4C"/>
    <w:rsid w:val="39D0776C"/>
    <w:rsid w:val="39D5593F"/>
    <w:rsid w:val="39D70458"/>
    <w:rsid w:val="39D75F6C"/>
    <w:rsid w:val="39DC1558"/>
    <w:rsid w:val="39DF5C7F"/>
    <w:rsid w:val="39E20AD7"/>
    <w:rsid w:val="39E41440"/>
    <w:rsid w:val="39ED0382"/>
    <w:rsid w:val="39EF20EB"/>
    <w:rsid w:val="39F00597"/>
    <w:rsid w:val="39F41DCB"/>
    <w:rsid w:val="39FA33EB"/>
    <w:rsid w:val="3A016893"/>
    <w:rsid w:val="3A023490"/>
    <w:rsid w:val="3A026DFC"/>
    <w:rsid w:val="3A0647A9"/>
    <w:rsid w:val="3A0A7378"/>
    <w:rsid w:val="3A0C0425"/>
    <w:rsid w:val="3A194D7C"/>
    <w:rsid w:val="3A1C360A"/>
    <w:rsid w:val="3A205C90"/>
    <w:rsid w:val="3A261242"/>
    <w:rsid w:val="3A294338"/>
    <w:rsid w:val="3A2E78DE"/>
    <w:rsid w:val="3A2F010E"/>
    <w:rsid w:val="3A330105"/>
    <w:rsid w:val="3A3658DA"/>
    <w:rsid w:val="3A394A31"/>
    <w:rsid w:val="3A3D5501"/>
    <w:rsid w:val="3A400D38"/>
    <w:rsid w:val="3A411EC5"/>
    <w:rsid w:val="3A4464CB"/>
    <w:rsid w:val="3A460BC6"/>
    <w:rsid w:val="3A492A09"/>
    <w:rsid w:val="3A4B6AAE"/>
    <w:rsid w:val="3A4C7FDE"/>
    <w:rsid w:val="3A506990"/>
    <w:rsid w:val="3A5D79EC"/>
    <w:rsid w:val="3A5F2FAE"/>
    <w:rsid w:val="3A6A50BF"/>
    <w:rsid w:val="3A72123D"/>
    <w:rsid w:val="3A7505AF"/>
    <w:rsid w:val="3A774A02"/>
    <w:rsid w:val="3A7F622C"/>
    <w:rsid w:val="3A837C55"/>
    <w:rsid w:val="3A9135C2"/>
    <w:rsid w:val="3A9564E4"/>
    <w:rsid w:val="3A997BA3"/>
    <w:rsid w:val="3A9A4C02"/>
    <w:rsid w:val="3AA813D0"/>
    <w:rsid w:val="3AAA5806"/>
    <w:rsid w:val="3AAB6357"/>
    <w:rsid w:val="3AB03086"/>
    <w:rsid w:val="3AB702EC"/>
    <w:rsid w:val="3ABF24ED"/>
    <w:rsid w:val="3AC10C35"/>
    <w:rsid w:val="3AC22074"/>
    <w:rsid w:val="3AC86CEB"/>
    <w:rsid w:val="3ACD4D6D"/>
    <w:rsid w:val="3AD01102"/>
    <w:rsid w:val="3AD14A6C"/>
    <w:rsid w:val="3AD62A5C"/>
    <w:rsid w:val="3AF11AEA"/>
    <w:rsid w:val="3AF30841"/>
    <w:rsid w:val="3AF54531"/>
    <w:rsid w:val="3AF8748A"/>
    <w:rsid w:val="3AFC1AE7"/>
    <w:rsid w:val="3B037C9F"/>
    <w:rsid w:val="3B076089"/>
    <w:rsid w:val="3B09686B"/>
    <w:rsid w:val="3B0C2E91"/>
    <w:rsid w:val="3B0D11A0"/>
    <w:rsid w:val="3B0D6309"/>
    <w:rsid w:val="3B10655D"/>
    <w:rsid w:val="3B12489A"/>
    <w:rsid w:val="3B143B38"/>
    <w:rsid w:val="3B191BB4"/>
    <w:rsid w:val="3B1A0E01"/>
    <w:rsid w:val="3B1F3B0B"/>
    <w:rsid w:val="3B21558A"/>
    <w:rsid w:val="3B273519"/>
    <w:rsid w:val="3B2E4DEC"/>
    <w:rsid w:val="3B3048D1"/>
    <w:rsid w:val="3B33167F"/>
    <w:rsid w:val="3B444BFE"/>
    <w:rsid w:val="3B445871"/>
    <w:rsid w:val="3B495F1B"/>
    <w:rsid w:val="3B4A7806"/>
    <w:rsid w:val="3B4F51C7"/>
    <w:rsid w:val="3B5419E4"/>
    <w:rsid w:val="3B595F38"/>
    <w:rsid w:val="3B5A0F86"/>
    <w:rsid w:val="3B5A289D"/>
    <w:rsid w:val="3B5C63A0"/>
    <w:rsid w:val="3B604FEA"/>
    <w:rsid w:val="3B6462B3"/>
    <w:rsid w:val="3B6E791B"/>
    <w:rsid w:val="3B74381A"/>
    <w:rsid w:val="3B7456CA"/>
    <w:rsid w:val="3B860AF9"/>
    <w:rsid w:val="3B8632B9"/>
    <w:rsid w:val="3B883569"/>
    <w:rsid w:val="3B8C7D6D"/>
    <w:rsid w:val="3B913856"/>
    <w:rsid w:val="3B9225D7"/>
    <w:rsid w:val="3B977C41"/>
    <w:rsid w:val="3B9D28F6"/>
    <w:rsid w:val="3B9E19DD"/>
    <w:rsid w:val="3BA05127"/>
    <w:rsid w:val="3BA16A98"/>
    <w:rsid w:val="3BA4147B"/>
    <w:rsid w:val="3BA5574B"/>
    <w:rsid w:val="3BAB30D8"/>
    <w:rsid w:val="3BB21417"/>
    <w:rsid w:val="3BB34F67"/>
    <w:rsid w:val="3BBB635B"/>
    <w:rsid w:val="3BBE6C67"/>
    <w:rsid w:val="3BC538A6"/>
    <w:rsid w:val="3BCD6FF6"/>
    <w:rsid w:val="3BD60CF0"/>
    <w:rsid w:val="3BD65B60"/>
    <w:rsid w:val="3BDC6712"/>
    <w:rsid w:val="3BE93456"/>
    <w:rsid w:val="3BF2580C"/>
    <w:rsid w:val="3BF32E57"/>
    <w:rsid w:val="3BF411CA"/>
    <w:rsid w:val="3BF9303A"/>
    <w:rsid w:val="3C016DB1"/>
    <w:rsid w:val="3C043087"/>
    <w:rsid w:val="3C0F62FE"/>
    <w:rsid w:val="3C0F65A1"/>
    <w:rsid w:val="3C100028"/>
    <w:rsid w:val="3C177355"/>
    <w:rsid w:val="3C1A4399"/>
    <w:rsid w:val="3C1B3C01"/>
    <w:rsid w:val="3C1D3769"/>
    <w:rsid w:val="3C22688F"/>
    <w:rsid w:val="3C2542C5"/>
    <w:rsid w:val="3C2962C4"/>
    <w:rsid w:val="3C2A63E0"/>
    <w:rsid w:val="3C2D595D"/>
    <w:rsid w:val="3C2D694B"/>
    <w:rsid w:val="3C330514"/>
    <w:rsid w:val="3C3E19F1"/>
    <w:rsid w:val="3C442EE6"/>
    <w:rsid w:val="3C4C4D2A"/>
    <w:rsid w:val="3C5B2499"/>
    <w:rsid w:val="3C5D246F"/>
    <w:rsid w:val="3C6341A7"/>
    <w:rsid w:val="3C755B8E"/>
    <w:rsid w:val="3C767DFA"/>
    <w:rsid w:val="3C7D01B2"/>
    <w:rsid w:val="3C843190"/>
    <w:rsid w:val="3C880898"/>
    <w:rsid w:val="3C8814E7"/>
    <w:rsid w:val="3C8E440E"/>
    <w:rsid w:val="3C9002A4"/>
    <w:rsid w:val="3C943A53"/>
    <w:rsid w:val="3C95687E"/>
    <w:rsid w:val="3CA51505"/>
    <w:rsid w:val="3CA5173B"/>
    <w:rsid w:val="3CB44D60"/>
    <w:rsid w:val="3CB6722B"/>
    <w:rsid w:val="3CB91615"/>
    <w:rsid w:val="3CBB5AE6"/>
    <w:rsid w:val="3CBD26DD"/>
    <w:rsid w:val="3CBD4F83"/>
    <w:rsid w:val="3CC121C8"/>
    <w:rsid w:val="3CC4370D"/>
    <w:rsid w:val="3CC83E06"/>
    <w:rsid w:val="3CCA56D4"/>
    <w:rsid w:val="3CD164DB"/>
    <w:rsid w:val="3CD45612"/>
    <w:rsid w:val="3CDB7590"/>
    <w:rsid w:val="3CDF3E81"/>
    <w:rsid w:val="3CF11131"/>
    <w:rsid w:val="3CF52562"/>
    <w:rsid w:val="3CFE3D37"/>
    <w:rsid w:val="3D0250AF"/>
    <w:rsid w:val="3D042A3C"/>
    <w:rsid w:val="3D050BC5"/>
    <w:rsid w:val="3D054DC6"/>
    <w:rsid w:val="3D0627C9"/>
    <w:rsid w:val="3D0863E1"/>
    <w:rsid w:val="3D170C2F"/>
    <w:rsid w:val="3D1F7EEB"/>
    <w:rsid w:val="3D252AB0"/>
    <w:rsid w:val="3D282DD2"/>
    <w:rsid w:val="3D287A69"/>
    <w:rsid w:val="3D2B4C39"/>
    <w:rsid w:val="3D392BB3"/>
    <w:rsid w:val="3D3B4E41"/>
    <w:rsid w:val="3D3C3188"/>
    <w:rsid w:val="3D3F0FCB"/>
    <w:rsid w:val="3D41376C"/>
    <w:rsid w:val="3D415927"/>
    <w:rsid w:val="3D421A56"/>
    <w:rsid w:val="3D490FB4"/>
    <w:rsid w:val="3D496301"/>
    <w:rsid w:val="3D4B35A5"/>
    <w:rsid w:val="3D4E57FE"/>
    <w:rsid w:val="3D5407E3"/>
    <w:rsid w:val="3D55682F"/>
    <w:rsid w:val="3D5C0B5B"/>
    <w:rsid w:val="3D633755"/>
    <w:rsid w:val="3D6545A5"/>
    <w:rsid w:val="3D6905A6"/>
    <w:rsid w:val="3D691709"/>
    <w:rsid w:val="3D6B73B6"/>
    <w:rsid w:val="3D716274"/>
    <w:rsid w:val="3D7309F5"/>
    <w:rsid w:val="3D7655F3"/>
    <w:rsid w:val="3D7B19AE"/>
    <w:rsid w:val="3D7D2FC4"/>
    <w:rsid w:val="3D7D5A00"/>
    <w:rsid w:val="3D8450A6"/>
    <w:rsid w:val="3D867D19"/>
    <w:rsid w:val="3D872CAE"/>
    <w:rsid w:val="3D892B00"/>
    <w:rsid w:val="3D8B491B"/>
    <w:rsid w:val="3D8C1005"/>
    <w:rsid w:val="3D8D0343"/>
    <w:rsid w:val="3D8D43EC"/>
    <w:rsid w:val="3D8E63F2"/>
    <w:rsid w:val="3D915111"/>
    <w:rsid w:val="3D9371D6"/>
    <w:rsid w:val="3D94377A"/>
    <w:rsid w:val="3D94635D"/>
    <w:rsid w:val="3DA079B9"/>
    <w:rsid w:val="3DA133A7"/>
    <w:rsid w:val="3DA61127"/>
    <w:rsid w:val="3DAC1297"/>
    <w:rsid w:val="3DB67EB8"/>
    <w:rsid w:val="3DBA1FA5"/>
    <w:rsid w:val="3DC0590B"/>
    <w:rsid w:val="3DC23353"/>
    <w:rsid w:val="3DC267FA"/>
    <w:rsid w:val="3DC317A4"/>
    <w:rsid w:val="3DC40AB5"/>
    <w:rsid w:val="3DC63075"/>
    <w:rsid w:val="3DC7243E"/>
    <w:rsid w:val="3DCA0A03"/>
    <w:rsid w:val="3DD04007"/>
    <w:rsid w:val="3DD854BF"/>
    <w:rsid w:val="3DD86A38"/>
    <w:rsid w:val="3DD9438C"/>
    <w:rsid w:val="3DDB50EA"/>
    <w:rsid w:val="3DF373EE"/>
    <w:rsid w:val="3DFC474B"/>
    <w:rsid w:val="3E06739B"/>
    <w:rsid w:val="3E070DA1"/>
    <w:rsid w:val="3E081771"/>
    <w:rsid w:val="3E0C7CEC"/>
    <w:rsid w:val="3E0D19BE"/>
    <w:rsid w:val="3E1A2D49"/>
    <w:rsid w:val="3E1F201C"/>
    <w:rsid w:val="3E2106AB"/>
    <w:rsid w:val="3E274173"/>
    <w:rsid w:val="3E2C283B"/>
    <w:rsid w:val="3E331E90"/>
    <w:rsid w:val="3E345331"/>
    <w:rsid w:val="3E383E91"/>
    <w:rsid w:val="3E3A0DE2"/>
    <w:rsid w:val="3E3B2BC1"/>
    <w:rsid w:val="3E3B7154"/>
    <w:rsid w:val="3E3C0304"/>
    <w:rsid w:val="3E4323CA"/>
    <w:rsid w:val="3E43478C"/>
    <w:rsid w:val="3E4769A4"/>
    <w:rsid w:val="3E4A3A1D"/>
    <w:rsid w:val="3E5208B6"/>
    <w:rsid w:val="3E571958"/>
    <w:rsid w:val="3E583E45"/>
    <w:rsid w:val="3E5C783A"/>
    <w:rsid w:val="3E640880"/>
    <w:rsid w:val="3E642C0A"/>
    <w:rsid w:val="3E66783D"/>
    <w:rsid w:val="3E6C72D2"/>
    <w:rsid w:val="3E6C7536"/>
    <w:rsid w:val="3E6E7983"/>
    <w:rsid w:val="3E700138"/>
    <w:rsid w:val="3E701994"/>
    <w:rsid w:val="3E724EBF"/>
    <w:rsid w:val="3E755509"/>
    <w:rsid w:val="3E7622FB"/>
    <w:rsid w:val="3E7F25A0"/>
    <w:rsid w:val="3E811395"/>
    <w:rsid w:val="3E852BCD"/>
    <w:rsid w:val="3E854114"/>
    <w:rsid w:val="3E8655BD"/>
    <w:rsid w:val="3E875402"/>
    <w:rsid w:val="3E8A6C50"/>
    <w:rsid w:val="3E9066F4"/>
    <w:rsid w:val="3E9235F0"/>
    <w:rsid w:val="3E956303"/>
    <w:rsid w:val="3E9C1CF6"/>
    <w:rsid w:val="3EA11344"/>
    <w:rsid w:val="3EA22D5B"/>
    <w:rsid w:val="3EA40AD2"/>
    <w:rsid w:val="3EA42064"/>
    <w:rsid w:val="3EA506C1"/>
    <w:rsid w:val="3EA738E9"/>
    <w:rsid w:val="3EB50EF0"/>
    <w:rsid w:val="3EC301F7"/>
    <w:rsid w:val="3EC971C5"/>
    <w:rsid w:val="3ECE485A"/>
    <w:rsid w:val="3ED02E1A"/>
    <w:rsid w:val="3EDC6779"/>
    <w:rsid w:val="3EDE2D09"/>
    <w:rsid w:val="3EDF3D00"/>
    <w:rsid w:val="3EDF589A"/>
    <w:rsid w:val="3EE24139"/>
    <w:rsid w:val="3EE44AA6"/>
    <w:rsid w:val="3EE76FF0"/>
    <w:rsid w:val="3EEE35A8"/>
    <w:rsid w:val="3EF20955"/>
    <w:rsid w:val="3EF32737"/>
    <w:rsid w:val="3EF8561E"/>
    <w:rsid w:val="3EFD1C88"/>
    <w:rsid w:val="3EFE521D"/>
    <w:rsid w:val="3EFF718A"/>
    <w:rsid w:val="3F0303D4"/>
    <w:rsid w:val="3F060CBC"/>
    <w:rsid w:val="3F0A458A"/>
    <w:rsid w:val="3F0C4A95"/>
    <w:rsid w:val="3F0E5BA7"/>
    <w:rsid w:val="3F0E6F22"/>
    <w:rsid w:val="3F0F08C8"/>
    <w:rsid w:val="3F161B77"/>
    <w:rsid w:val="3F264E1A"/>
    <w:rsid w:val="3F2C54A2"/>
    <w:rsid w:val="3F31626C"/>
    <w:rsid w:val="3F3174DE"/>
    <w:rsid w:val="3F330014"/>
    <w:rsid w:val="3F353777"/>
    <w:rsid w:val="3F411CB7"/>
    <w:rsid w:val="3F480518"/>
    <w:rsid w:val="3F49061F"/>
    <w:rsid w:val="3F4D03B5"/>
    <w:rsid w:val="3F511097"/>
    <w:rsid w:val="3F5319A6"/>
    <w:rsid w:val="3F5D6982"/>
    <w:rsid w:val="3F5E3E0E"/>
    <w:rsid w:val="3F622904"/>
    <w:rsid w:val="3F6662FD"/>
    <w:rsid w:val="3F681194"/>
    <w:rsid w:val="3F6C6999"/>
    <w:rsid w:val="3F6F57A1"/>
    <w:rsid w:val="3F704EE6"/>
    <w:rsid w:val="3F742E4E"/>
    <w:rsid w:val="3F77356F"/>
    <w:rsid w:val="3F7D1AD6"/>
    <w:rsid w:val="3F7F5F00"/>
    <w:rsid w:val="3F840C93"/>
    <w:rsid w:val="3F841027"/>
    <w:rsid w:val="3F886FAB"/>
    <w:rsid w:val="3F8A6B73"/>
    <w:rsid w:val="3F8C333E"/>
    <w:rsid w:val="3F8D726A"/>
    <w:rsid w:val="3F9052B6"/>
    <w:rsid w:val="3F9648EB"/>
    <w:rsid w:val="3F9D0B50"/>
    <w:rsid w:val="3FA60E77"/>
    <w:rsid w:val="3FA77339"/>
    <w:rsid w:val="3FAB56C5"/>
    <w:rsid w:val="3FAD4E72"/>
    <w:rsid w:val="3FAF0CD3"/>
    <w:rsid w:val="3FB51B23"/>
    <w:rsid w:val="3FBE1AB4"/>
    <w:rsid w:val="3FBF4B46"/>
    <w:rsid w:val="3FCA37F9"/>
    <w:rsid w:val="3FCC79A4"/>
    <w:rsid w:val="3FCD7D0F"/>
    <w:rsid w:val="3FD04C5D"/>
    <w:rsid w:val="3FD460D7"/>
    <w:rsid w:val="3FDE0B83"/>
    <w:rsid w:val="3FDE45E4"/>
    <w:rsid w:val="3FDF1EB6"/>
    <w:rsid w:val="3FE20355"/>
    <w:rsid w:val="3FE36888"/>
    <w:rsid w:val="3FE66CEA"/>
    <w:rsid w:val="3FEA2B72"/>
    <w:rsid w:val="3FEB3AB5"/>
    <w:rsid w:val="3FEC0FE2"/>
    <w:rsid w:val="3FEC6F1E"/>
    <w:rsid w:val="3FED19A1"/>
    <w:rsid w:val="3FF257EE"/>
    <w:rsid w:val="3FF72C11"/>
    <w:rsid w:val="3FFF6C35"/>
    <w:rsid w:val="400D326E"/>
    <w:rsid w:val="400D5359"/>
    <w:rsid w:val="401271D2"/>
    <w:rsid w:val="40176CCE"/>
    <w:rsid w:val="401D4728"/>
    <w:rsid w:val="401F1381"/>
    <w:rsid w:val="40233A91"/>
    <w:rsid w:val="40283E16"/>
    <w:rsid w:val="402A0897"/>
    <w:rsid w:val="40346E1C"/>
    <w:rsid w:val="40351367"/>
    <w:rsid w:val="4036238B"/>
    <w:rsid w:val="4036387A"/>
    <w:rsid w:val="4038573B"/>
    <w:rsid w:val="40395062"/>
    <w:rsid w:val="403C0943"/>
    <w:rsid w:val="40467C50"/>
    <w:rsid w:val="40542016"/>
    <w:rsid w:val="40551C09"/>
    <w:rsid w:val="40553814"/>
    <w:rsid w:val="40565FE0"/>
    <w:rsid w:val="4057629A"/>
    <w:rsid w:val="40581E4A"/>
    <w:rsid w:val="405B0421"/>
    <w:rsid w:val="406807C5"/>
    <w:rsid w:val="40691508"/>
    <w:rsid w:val="40697884"/>
    <w:rsid w:val="406D498E"/>
    <w:rsid w:val="406D725C"/>
    <w:rsid w:val="406E2BB8"/>
    <w:rsid w:val="406F36E0"/>
    <w:rsid w:val="4071174A"/>
    <w:rsid w:val="407C31D6"/>
    <w:rsid w:val="407C34BA"/>
    <w:rsid w:val="407C477F"/>
    <w:rsid w:val="40824820"/>
    <w:rsid w:val="408560F0"/>
    <w:rsid w:val="408C45EB"/>
    <w:rsid w:val="408F50C9"/>
    <w:rsid w:val="40962E50"/>
    <w:rsid w:val="409958A4"/>
    <w:rsid w:val="409C789A"/>
    <w:rsid w:val="409D27E3"/>
    <w:rsid w:val="40A046FF"/>
    <w:rsid w:val="40B0298F"/>
    <w:rsid w:val="40B56407"/>
    <w:rsid w:val="40B72888"/>
    <w:rsid w:val="40BD3951"/>
    <w:rsid w:val="40C4080A"/>
    <w:rsid w:val="40C5036D"/>
    <w:rsid w:val="40C935D1"/>
    <w:rsid w:val="40D12CC6"/>
    <w:rsid w:val="40D501D5"/>
    <w:rsid w:val="40D91984"/>
    <w:rsid w:val="40DF055E"/>
    <w:rsid w:val="40E7514F"/>
    <w:rsid w:val="40F40DA3"/>
    <w:rsid w:val="40F85048"/>
    <w:rsid w:val="410149ED"/>
    <w:rsid w:val="410A00E8"/>
    <w:rsid w:val="410D3171"/>
    <w:rsid w:val="410F4E7C"/>
    <w:rsid w:val="41121581"/>
    <w:rsid w:val="41142419"/>
    <w:rsid w:val="41194650"/>
    <w:rsid w:val="411D59B2"/>
    <w:rsid w:val="411F5FE4"/>
    <w:rsid w:val="41207689"/>
    <w:rsid w:val="41265998"/>
    <w:rsid w:val="412E7261"/>
    <w:rsid w:val="41303739"/>
    <w:rsid w:val="41331A08"/>
    <w:rsid w:val="41363C44"/>
    <w:rsid w:val="413C601E"/>
    <w:rsid w:val="413F5249"/>
    <w:rsid w:val="41490BDA"/>
    <w:rsid w:val="4158446F"/>
    <w:rsid w:val="41595695"/>
    <w:rsid w:val="415F4554"/>
    <w:rsid w:val="41623190"/>
    <w:rsid w:val="41646DBC"/>
    <w:rsid w:val="4165550B"/>
    <w:rsid w:val="416770A8"/>
    <w:rsid w:val="41695520"/>
    <w:rsid w:val="416D36E7"/>
    <w:rsid w:val="416F6002"/>
    <w:rsid w:val="41733E9B"/>
    <w:rsid w:val="41775863"/>
    <w:rsid w:val="417D3047"/>
    <w:rsid w:val="417E13AF"/>
    <w:rsid w:val="418528FC"/>
    <w:rsid w:val="41890A4A"/>
    <w:rsid w:val="41906805"/>
    <w:rsid w:val="41957BAA"/>
    <w:rsid w:val="41966E3E"/>
    <w:rsid w:val="41A212CC"/>
    <w:rsid w:val="41A85BAE"/>
    <w:rsid w:val="41AB3C15"/>
    <w:rsid w:val="41AE3437"/>
    <w:rsid w:val="41B52F53"/>
    <w:rsid w:val="41B608D0"/>
    <w:rsid w:val="41B63106"/>
    <w:rsid w:val="41B922AF"/>
    <w:rsid w:val="41C015AB"/>
    <w:rsid w:val="41C47374"/>
    <w:rsid w:val="41C97F3C"/>
    <w:rsid w:val="41CA66CA"/>
    <w:rsid w:val="41CD7F8B"/>
    <w:rsid w:val="41D97E40"/>
    <w:rsid w:val="41E766DD"/>
    <w:rsid w:val="41E8149E"/>
    <w:rsid w:val="41EA60FB"/>
    <w:rsid w:val="41F068C1"/>
    <w:rsid w:val="41F06AAB"/>
    <w:rsid w:val="41F10A72"/>
    <w:rsid w:val="41F54C88"/>
    <w:rsid w:val="41FB1B8D"/>
    <w:rsid w:val="42006D34"/>
    <w:rsid w:val="4202295C"/>
    <w:rsid w:val="42034594"/>
    <w:rsid w:val="42037B89"/>
    <w:rsid w:val="42120A7B"/>
    <w:rsid w:val="421453CC"/>
    <w:rsid w:val="421C32BE"/>
    <w:rsid w:val="421E0A54"/>
    <w:rsid w:val="422718EE"/>
    <w:rsid w:val="42274CB3"/>
    <w:rsid w:val="422C26C8"/>
    <w:rsid w:val="42333B02"/>
    <w:rsid w:val="42340107"/>
    <w:rsid w:val="42370414"/>
    <w:rsid w:val="42385528"/>
    <w:rsid w:val="42396D87"/>
    <w:rsid w:val="42437F66"/>
    <w:rsid w:val="424D15D8"/>
    <w:rsid w:val="42567E24"/>
    <w:rsid w:val="4261774A"/>
    <w:rsid w:val="42661F53"/>
    <w:rsid w:val="426663FE"/>
    <w:rsid w:val="42672613"/>
    <w:rsid w:val="4270657B"/>
    <w:rsid w:val="427203C6"/>
    <w:rsid w:val="427441F6"/>
    <w:rsid w:val="42785F6E"/>
    <w:rsid w:val="427B57FF"/>
    <w:rsid w:val="427D6A53"/>
    <w:rsid w:val="42827F45"/>
    <w:rsid w:val="42837019"/>
    <w:rsid w:val="42863DB7"/>
    <w:rsid w:val="42891353"/>
    <w:rsid w:val="428A2C73"/>
    <w:rsid w:val="428D5396"/>
    <w:rsid w:val="429250AB"/>
    <w:rsid w:val="429A66C9"/>
    <w:rsid w:val="429B21C8"/>
    <w:rsid w:val="42AA5AB2"/>
    <w:rsid w:val="42AD04EB"/>
    <w:rsid w:val="42B17F8E"/>
    <w:rsid w:val="42B865F7"/>
    <w:rsid w:val="42BE380A"/>
    <w:rsid w:val="42C21D3E"/>
    <w:rsid w:val="42C503EE"/>
    <w:rsid w:val="42C9175B"/>
    <w:rsid w:val="42CB5FC1"/>
    <w:rsid w:val="42CE4E1F"/>
    <w:rsid w:val="42D0561B"/>
    <w:rsid w:val="42D85AE3"/>
    <w:rsid w:val="42D9382F"/>
    <w:rsid w:val="42DB1386"/>
    <w:rsid w:val="42E11A68"/>
    <w:rsid w:val="42EB38F3"/>
    <w:rsid w:val="42EC4676"/>
    <w:rsid w:val="42EF61EE"/>
    <w:rsid w:val="42F603B3"/>
    <w:rsid w:val="42F94A27"/>
    <w:rsid w:val="42FE3A0A"/>
    <w:rsid w:val="430548F0"/>
    <w:rsid w:val="430624FE"/>
    <w:rsid w:val="43085A29"/>
    <w:rsid w:val="43090537"/>
    <w:rsid w:val="430B68AE"/>
    <w:rsid w:val="430D4C0F"/>
    <w:rsid w:val="431052B9"/>
    <w:rsid w:val="43140354"/>
    <w:rsid w:val="43147ECC"/>
    <w:rsid w:val="43181FE0"/>
    <w:rsid w:val="431921E0"/>
    <w:rsid w:val="43204B36"/>
    <w:rsid w:val="4322266D"/>
    <w:rsid w:val="43291D9A"/>
    <w:rsid w:val="4329748E"/>
    <w:rsid w:val="432C4C5A"/>
    <w:rsid w:val="432D1A4A"/>
    <w:rsid w:val="432F3548"/>
    <w:rsid w:val="433B3A7C"/>
    <w:rsid w:val="433E394B"/>
    <w:rsid w:val="434808C0"/>
    <w:rsid w:val="434D6258"/>
    <w:rsid w:val="434F6BB6"/>
    <w:rsid w:val="435157E5"/>
    <w:rsid w:val="43531122"/>
    <w:rsid w:val="43546BEA"/>
    <w:rsid w:val="435E6EA6"/>
    <w:rsid w:val="436337DD"/>
    <w:rsid w:val="4364113F"/>
    <w:rsid w:val="43654FDE"/>
    <w:rsid w:val="436E4B48"/>
    <w:rsid w:val="437225DB"/>
    <w:rsid w:val="437608B0"/>
    <w:rsid w:val="43761468"/>
    <w:rsid w:val="43781A46"/>
    <w:rsid w:val="43886025"/>
    <w:rsid w:val="439A463A"/>
    <w:rsid w:val="43A611BB"/>
    <w:rsid w:val="43A61553"/>
    <w:rsid w:val="43A63596"/>
    <w:rsid w:val="43AA7305"/>
    <w:rsid w:val="43AC4A37"/>
    <w:rsid w:val="43B2708B"/>
    <w:rsid w:val="43B6413C"/>
    <w:rsid w:val="43B717CE"/>
    <w:rsid w:val="43B84012"/>
    <w:rsid w:val="43B85E9B"/>
    <w:rsid w:val="43BA568D"/>
    <w:rsid w:val="43BC6AA4"/>
    <w:rsid w:val="43BF7C8B"/>
    <w:rsid w:val="43C007E7"/>
    <w:rsid w:val="43C76A34"/>
    <w:rsid w:val="43D45D7A"/>
    <w:rsid w:val="43D6228C"/>
    <w:rsid w:val="43D62B3F"/>
    <w:rsid w:val="43DE2938"/>
    <w:rsid w:val="43DE77D7"/>
    <w:rsid w:val="43E022DF"/>
    <w:rsid w:val="43E44C90"/>
    <w:rsid w:val="43E612C8"/>
    <w:rsid w:val="43ED38CB"/>
    <w:rsid w:val="43F05BA4"/>
    <w:rsid w:val="43F06CAD"/>
    <w:rsid w:val="43F258DD"/>
    <w:rsid w:val="43FB21B1"/>
    <w:rsid w:val="43FE319E"/>
    <w:rsid w:val="44011D58"/>
    <w:rsid w:val="44090BDC"/>
    <w:rsid w:val="44101AAC"/>
    <w:rsid w:val="441837AE"/>
    <w:rsid w:val="44255762"/>
    <w:rsid w:val="442614AB"/>
    <w:rsid w:val="44285D30"/>
    <w:rsid w:val="44290713"/>
    <w:rsid w:val="442A428A"/>
    <w:rsid w:val="44347CAD"/>
    <w:rsid w:val="4435224D"/>
    <w:rsid w:val="44357407"/>
    <w:rsid w:val="44363DCA"/>
    <w:rsid w:val="444E2046"/>
    <w:rsid w:val="44555D1D"/>
    <w:rsid w:val="445B52D0"/>
    <w:rsid w:val="445D2968"/>
    <w:rsid w:val="446476E7"/>
    <w:rsid w:val="446A6E0B"/>
    <w:rsid w:val="446A6F74"/>
    <w:rsid w:val="446C1C90"/>
    <w:rsid w:val="447A5BA0"/>
    <w:rsid w:val="44891323"/>
    <w:rsid w:val="448926CF"/>
    <w:rsid w:val="448A034A"/>
    <w:rsid w:val="448E0E8C"/>
    <w:rsid w:val="44914F17"/>
    <w:rsid w:val="449C4AFB"/>
    <w:rsid w:val="449E0EAA"/>
    <w:rsid w:val="44A07C14"/>
    <w:rsid w:val="44A74341"/>
    <w:rsid w:val="44AA1516"/>
    <w:rsid w:val="44AB7B82"/>
    <w:rsid w:val="44B35325"/>
    <w:rsid w:val="44B70939"/>
    <w:rsid w:val="44B8458C"/>
    <w:rsid w:val="44B86FE7"/>
    <w:rsid w:val="44B97676"/>
    <w:rsid w:val="44BA1E65"/>
    <w:rsid w:val="44BA6A0D"/>
    <w:rsid w:val="44BB5E5B"/>
    <w:rsid w:val="44BD7142"/>
    <w:rsid w:val="44BF4DBC"/>
    <w:rsid w:val="44C7420F"/>
    <w:rsid w:val="44C74DCB"/>
    <w:rsid w:val="44CD0E6D"/>
    <w:rsid w:val="44D41645"/>
    <w:rsid w:val="44D64FF3"/>
    <w:rsid w:val="44DA137C"/>
    <w:rsid w:val="44E83226"/>
    <w:rsid w:val="44E977AB"/>
    <w:rsid w:val="44EB7F82"/>
    <w:rsid w:val="44F36AD5"/>
    <w:rsid w:val="44F40731"/>
    <w:rsid w:val="44F95C14"/>
    <w:rsid w:val="44FF15FC"/>
    <w:rsid w:val="4501154A"/>
    <w:rsid w:val="4501452E"/>
    <w:rsid w:val="45016A9E"/>
    <w:rsid w:val="450427D3"/>
    <w:rsid w:val="450514AF"/>
    <w:rsid w:val="45080297"/>
    <w:rsid w:val="450873C5"/>
    <w:rsid w:val="451311FC"/>
    <w:rsid w:val="45156221"/>
    <w:rsid w:val="451E59BD"/>
    <w:rsid w:val="4528186D"/>
    <w:rsid w:val="45297008"/>
    <w:rsid w:val="4535368D"/>
    <w:rsid w:val="45363693"/>
    <w:rsid w:val="453B6BA8"/>
    <w:rsid w:val="453B7816"/>
    <w:rsid w:val="453C5D77"/>
    <w:rsid w:val="45562F5D"/>
    <w:rsid w:val="455B47DD"/>
    <w:rsid w:val="455F62ED"/>
    <w:rsid w:val="45653E9E"/>
    <w:rsid w:val="45691B33"/>
    <w:rsid w:val="456E49DC"/>
    <w:rsid w:val="45731750"/>
    <w:rsid w:val="457A04E8"/>
    <w:rsid w:val="458065F4"/>
    <w:rsid w:val="4582568E"/>
    <w:rsid w:val="4588118C"/>
    <w:rsid w:val="458E5FA7"/>
    <w:rsid w:val="458F4C54"/>
    <w:rsid w:val="45A42694"/>
    <w:rsid w:val="45A63BFA"/>
    <w:rsid w:val="45A9047B"/>
    <w:rsid w:val="45B14AB9"/>
    <w:rsid w:val="45B23DEE"/>
    <w:rsid w:val="45B40661"/>
    <w:rsid w:val="45B56270"/>
    <w:rsid w:val="45CA2636"/>
    <w:rsid w:val="45CD7F93"/>
    <w:rsid w:val="45D22C02"/>
    <w:rsid w:val="45D34B89"/>
    <w:rsid w:val="45E05BA0"/>
    <w:rsid w:val="45E716CC"/>
    <w:rsid w:val="45EB3759"/>
    <w:rsid w:val="45EC27D5"/>
    <w:rsid w:val="45ED0D52"/>
    <w:rsid w:val="45EE79D5"/>
    <w:rsid w:val="45F0034A"/>
    <w:rsid w:val="45F679D2"/>
    <w:rsid w:val="460303E2"/>
    <w:rsid w:val="46091730"/>
    <w:rsid w:val="460A712C"/>
    <w:rsid w:val="460B1720"/>
    <w:rsid w:val="460D136D"/>
    <w:rsid w:val="461649DD"/>
    <w:rsid w:val="461F7A73"/>
    <w:rsid w:val="4622296D"/>
    <w:rsid w:val="462C1EA4"/>
    <w:rsid w:val="462E1AC4"/>
    <w:rsid w:val="46307C42"/>
    <w:rsid w:val="46477878"/>
    <w:rsid w:val="464B3574"/>
    <w:rsid w:val="464F4882"/>
    <w:rsid w:val="46521CAC"/>
    <w:rsid w:val="46546AB9"/>
    <w:rsid w:val="46582652"/>
    <w:rsid w:val="4658543F"/>
    <w:rsid w:val="46602CE7"/>
    <w:rsid w:val="46655574"/>
    <w:rsid w:val="466B111D"/>
    <w:rsid w:val="466E6B35"/>
    <w:rsid w:val="467B7EB2"/>
    <w:rsid w:val="467E127F"/>
    <w:rsid w:val="467F4D15"/>
    <w:rsid w:val="46815298"/>
    <w:rsid w:val="46816713"/>
    <w:rsid w:val="46834C9F"/>
    <w:rsid w:val="46881B99"/>
    <w:rsid w:val="46894F07"/>
    <w:rsid w:val="468D6AED"/>
    <w:rsid w:val="46954E4D"/>
    <w:rsid w:val="46980109"/>
    <w:rsid w:val="46A36472"/>
    <w:rsid w:val="46A63705"/>
    <w:rsid w:val="46A958B9"/>
    <w:rsid w:val="46AB7BB9"/>
    <w:rsid w:val="46AD2440"/>
    <w:rsid w:val="46B62E1A"/>
    <w:rsid w:val="46CE3B3A"/>
    <w:rsid w:val="46DB29C4"/>
    <w:rsid w:val="46DB521D"/>
    <w:rsid w:val="46DB55B2"/>
    <w:rsid w:val="46DF6A55"/>
    <w:rsid w:val="46E025B1"/>
    <w:rsid w:val="46ED4F69"/>
    <w:rsid w:val="46F3431A"/>
    <w:rsid w:val="46F967C4"/>
    <w:rsid w:val="46FA5CFA"/>
    <w:rsid w:val="46FE646C"/>
    <w:rsid w:val="47041595"/>
    <w:rsid w:val="47047C62"/>
    <w:rsid w:val="47084025"/>
    <w:rsid w:val="470A7C8B"/>
    <w:rsid w:val="470D3C23"/>
    <w:rsid w:val="47114E9D"/>
    <w:rsid w:val="47163215"/>
    <w:rsid w:val="47193912"/>
    <w:rsid w:val="471A43FA"/>
    <w:rsid w:val="471C7B04"/>
    <w:rsid w:val="472A7B17"/>
    <w:rsid w:val="472D6FBC"/>
    <w:rsid w:val="472E5807"/>
    <w:rsid w:val="47302D0B"/>
    <w:rsid w:val="473E751F"/>
    <w:rsid w:val="47403E64"/>
    <w:rsid w:val="4742328E"/>
    <w:rsid w:val="47424178"/>
    <w:rsid w:val="47445BD1"/>
    <w:rsid w:val="47461A9F"/>
    <w:rsid w:val="47485C7E"/>
    <w:rsid w:val="47495338"/>
    <w:rsid w:val="474B6360"/>
    <w:rsid w:val="475208F1"/>
    <w:rsid w:val="47566EC6"/>
    <w:rsid w:val="47576E4E"/>
    <w:rsid w:val="475B45D5"/>
    <w:rsid w:val="475D347F"/>
    <w:rsid w:val="475E355C"/>
    <w:rsid w:val="47654813"/>
    <w:rsid w:val="47672048"/>
    <w:rsid w:val="476C39FA"/>
    <w:rsid w:val="47815E14"/>
    <w:rsid w:val="478A5BAF"/>
    <w:rsid w:val="478C5E29"/>
    <w:rsid w:val="478F5DE0"/>
    <w:rsid w:val="47947D11"/>
    <w:rsid w:val="47971320"/>
    <w:rsid w:val="47996B0F"/>
    <w:rsid w:val="47997694"/>
    <w:rsid w:val="479A61EB"/>
    <w:rsid w:val="47A03846"/>
    <w:rsid w:val="47A227A0"/>
    <w:rsid w:val="47A536C3"/>
    <w:rsid w:val="47A544ED"/>
    <w:rsid w:val="47A61D6D"/>
    <w:rsid w:val="47AB4AB7"/>
    <w:rsid w:val="47AE7F6C"/>
    <w:rsid w:val="47BA7E5A"/>
    <w:rsid w:val="47BB39A5"/>
    <w:rsid w:val="47BC7192"/>
    <w:rsid w:val="47BE7F4C"/>
    <w:rsid w:val="47C934C8"/>
    <w:rsid w:val="47CC1AB7"/>
    <w:rsid w:val="47E322C2"/>
    <w:rsid w:val="47E857B3"/>
    <w:rsid w:val="47F934B5"/>
    <w:rsid w:val="47FB25ED"/>
    <w:rsid w:val="47FC6DBC"/>
    <w:rsid w:val="47FD776A"/>
    <w:rsid w:val="47FE0813"/>
    <w:rsid w:val="48127C93"/>
    <w:rsid w:val="48185E14"/>
    <w:rsid w:val="481B2C99"/>
    <w:rsid w:val="4821696B"/>
    <w:rsid w:val="482232DE"/>
    <w:rsid w:val="482D61CE"/>
    <w:rsid w:val="482F557C"/>
    <w:rsid w:val="482F623B"/>
    <w:rsid w:val="48304C6C"/>
    <w:rsid w:val="48306F82"/>
    <w:rsid w:val="4834673D"/>
    <w:rsid w:val="484440FE"/>
    <w:rsid w:val="48474C51"/>
    <w:rsid w:val="48522371"/>
    <w:rsid w:val="485C44EE"/>
    <w:rsid w:val="485D15FE"/>
    <w:rsid w:val="485E5BE2"/>
    <w:rsid w:val="48612D08"/>
    <w:rsid w:val="48613485"/>
    <w:rsid w:val="486465BF"/>
    <w:rsid w:val="486577C2"/>
    <w:rsid w:val="48667307"/>
    <w:rsid w:val="48671750"/>
    <w:rsid w:val="486E7A80"/>
    <w:rsid w:val="487360FE"/>
    <w:rsid w:val="48737404"/>
    <w:rsid w:val="48741DE7"/>
    <w:rsid w:val="48760989"/>
    <w:rsid w:val="48761137"/>
    <w:rsid w:val="487E0E78"/>
    <w:rsid w:val="48830369"/>
    <w:rsid w:val="48851A17"/>
    <w:rsid w:val="488829A4"/>
    <w:rsid w:val="488E0ADE"/>
    <w:rsid w:val="488F2B83"/>
    <w:rsid w:val="48906BD9"/>
    <w:rsid w:val="48945904"/>
    <w:rsid w:val="48972AB1"/>
    <w:rsid w:val="489A4244"/>
    <w:rsid w:val="489A452E"/>
    <w:rsid w:val="489B4AA1"/>
    <w:rsid w:val="489D69EC"/>
    <w:rsid w:val="489D7105"/>
    <w:rsid w:val="489E0FAB"/>
    <w:rsid w:val="489F7EB1"/>
    <w:rsid w:val="48AD667E"/>
    <w:rsid w:val="48BA6E65"/>
    <w:rsid w:val="48BD0DAF"/>
    <w:rsid w:val="48C174BA"/>
    <w:rsid w:val="48C95298"/>
    <w:rsid w:val="48CB6AF4"/>
    <w:rsid w:val="48D51093"/>
    <w:rsid w:val="48D74550"/>
    <w:rsid w:val="48D97C67"/>
    <w:rsid w:val="48DA14E3"/>
    <w:rsid w:val="48DD2693"/>
    <w:rsid w:val="48DF2FEE"/>
    <w:rsid w:val="48E062B1"/>
    <w:rsid w:val="48E80A7A"/>
    <w:rsid w:val="48EB558A"/>
    <w:rsid w:val="48F419F4"/>
    <w:rsid w:val="49005F65"/>
    <w:rsid w:val="49041449"/>
    <w:rsid w:val="4904699D"/>
    <w:rsid w:val="49056D48"/>
    <w:rsid w:val="490C0DF2"/>
    <w:rsid w:val="49151A62"/>
    <w:rsid w:val="491554A3"/>
    <w:rsid w:val="49167492"/>
    <w:rsid w:val="491E482B"/>
    <w:rsid w:val="491F671F"/>
    <w:rsid w:val="492B68E3"/>
    <w:rsid w:val="49301D7B"/>
    <w:rsid w:val="49335125"/>
    <w:rsid w:val="493400ED"/>
    <w:rsid w:val="49373027"/>
    <w:rsid w:val="493D6529"/>
    <w:rsid w:val="494A1DB5"/>
    <w:rsid w:val="495366DB"/>
    <w:rsid w:val="49545F46"/>
    <w:rsid w:val="495F21E5"/>
    <w:rsid w:val="49603D1A"/>
    <w:rsid w:val="496B4123"/>
    <w:rsid w:val="4971083B"/>
    <w:rsid w:val="49792B86"/>
    <w:rsid w:val="497B110E"/>
    <w:rsid w:val="497B38A5"/>
    <w:rsid w:val="497D77B2"/>
    <w:rsid w:val="49811185"/>
    <w:rsid w:val="498316C7"/>
    <w:rsid w:val="498B62B1"/>
    <w:rsid w:val="498E2773"/>
    <w:rsid w:val="498E7CE9"/>
    <w:rsid w:val="498F12AC"/>
    <w:rsid w:val="49901467"/>
    <w:rsid w:val="49917C02"/>
    <w:rsid w:val="499F7A04"/>
    <w:rsid w:val="49A02128"/>
    <w:rsid w:val="49A47D79"/>
    <w:rsid w:val="49A804FF"/>
    <w:rsid w:val="49AA3E1A"/>
    <w:rsid w:val="49AC2AC9"/>
    <w:rsid w:val="49B14E9A"/>
    <w:rsid w:val="49B63DD3"/>
    <w:rsid w:val="49BB12BF"/>
    <w:rsid w:val="49BF4CAD"/>
    <w:rsid w:val="49C04F46"/>
    <w:rsid w:val="49C17166"/>
    <w:rsid w:val="49C2073D"/>
    <w:rsid w:val="49CC55DD"/>
    <w:rsid w:val="49D43EFC"/>
    <w:rsid w:val="49E05577"/>
    <w:rsid w:val="49E45D1F"/>
    <w:rsid w:val="49EC35B0"/>
    <w:rsid w:val="49ED2FE0"/>
    <w:rsid w:val="49EF5B64"/>
    <w:rsid w:val="49F417CE"/>
    <w:rsid w:val="49F92261"/>
    <w:rsid w:val="49FC4FF5"/>
    <w:rsid w:val="4A041799"/>
    <w:rsid w:val="4A086746"/>
    <w:rsid w:val="4A08692D"/>
    <w:rsid w:val="4A0B1F95"/>
    <w:rsid w:val="4A217D68"/>
    <w:rsid w:val="4A221F72"/>
    <w:rsid w:val="4A2C2E08"/>
    <w:rsid w:val="4A2D3A70"/>
    <w:rsid w:val="4A2F048B"/>
    <w:rsid w:val="4A2F32B2"/>
    <w:rsid w:val="4A33357E"/>
    <w:rsid w:val="4A340465"/>
    <w:rsid w:val="4A466562"/>
    <w:rsid w:val="4A4748E4"/>
    <w:rsid w:val="4A493B5B"/>
    <w:rsid w:val="4A4D2F5C"/>
    <w:rsid w:val="4A4E0474"/>
    <w:rsid w:val="4A5050A6"/>
    <w:rsid w:val="4A535C2C"/>
    <w:rsid w:val="4A5A5045"/>
    <w:rsid w:val="4A5F31C5"/>
    <w:rsid w:val="4A600764"/>
    <w:rsid w:val="4A630D58"/>
    <w:rsid w:val="4A6C416C"/>
    <w:rsid w:val="4A721EC4"/>
    <w:rsid w:val="4A782137"/>
    <w:rsid w:val="4A82413F"/>
    <w:rsid w:val="4A846C5F"/>
    <w:rsid w:val="4A876478"/>
    <w:rsid w:val="4A8E6479"/>
    <w:rsid w:val="4A927E66"/>
    <w:rsid w:val="4A9419FA"/>
    <w:rsid w:val="4A97008A"/>
    <w:rsid w:val="4A9A5D50"/>
    <w:rsid w:val="4A9C3964"/>
    <w:rsid w:val="4AA17F0B"/>
    <w:rsid w:val="4AA608FD"/>
    <w:rsid w:val="4AAE18E9"/>
    <w:rsid w:val="4AB56527"/>
    <w:rsid w:val="4AB94159"/>
    <w:rsid w:val="4ABF7258"/>
    <w:rsid w:val="4AC01887"/>
    <w:rsid w:val="4AC06029"/>
    <w:rsid w:val="4AC100D4"/>
    <w:rsid w:val="4AC1279C"/>
    <w:rsid w:val="4AC31F25"/>
    <w:rsid w:val="4ACD0146"/>
    <w:rsid w:val="4AD160F9"/>
    <w:rsid w:val="4AD2781B"/>
    <w:rsid w:val="4AD31B6A"/>
    <w:rsid w:val="4ADF780A"/>
    <w:rsid w:val="4AE5536E"/>
    <w:rsid w:val="4AE76737"/>
    <w:rsid w:val="4AEC6092"/>
    <w:rsid w:val="4AF455EC"/>
    <w:rsid w:val="4AFB0EFB"/>
    <w:rsid w:val="4AFC58C5"/>
    <w:rsid w:val="4B05457C"/>
    <w:rsid w:val="4B0B6FC4"/>
    <w:rsid w:val="4B131192"/>
    <w:rsid w:val="4B137E9F"/>
    <w:rsid w:val="4B147406"/>
    <w:rsid w:val="4B1970B1"/>
    <w:rsid w:val="4B1C787E"/>
    <w:rsid w:val="4B1E76BC"/>
    <w:rsid w:val="4B1F6BE4"/>
    <w:rsid w:val="4B272EAE"/>
    <w:rsid w:val="4B280BAD"/>
    <w:rsid w:val="4B3014DE"/>
    <w:rsid w:val="4B337990"/>
    <w:rsid w:val="4B390F0F"/>
    <w:rsid w:val="4B3A135B"/>
    <w:rsid w:val="4B3B284C"/>
    <w:rsid w:val="4B3F7EF2"/>
    <w:rsid w:val="4B414BEC"/>
    <w:rsid w:val="4B5062FA"/>
    <w:rsid w:val="4B571BCA"/>
    <w:rsid w:val="4B5A51E5"/>
    <w:rsid w:val="4B5B3DD1"/>
    <w:rsid w:val="4B5C698C"/>
    <w:rsid w:val="4B5E18D0"/>
    <w:rsid w:val="4B5E7AA2"/>
    <w:rsid w:val="4B610AA5"/>
    <w:rsid w:val="4B667DDC"/>
    <w:rsid w:val="4B686345"/>
    <w:rsid w:val="4B6B40D6"/>
    <w:rsid w:val="4B6E0A56"/>
    <w:rsid w:val="4B7264CC"/>
    <w:rsid w:val="4B7440F7"/>
    <w:rsid w:val="4B7D4B7D"/>
    <w:rsid w:val="4B7F26DB"/>
    <w:rsid w:val="4B840186"/>
    <w:rsid w:val="4B8D3630"/>
    <w:rsid w:val="4B994F1B"/>
    <w:rsid w:val="4B997C51"/>
    <w:rsid w:val="4B9F4EEF"/>
    <w:rsid w:val="4BA3071A"/>
    <w:rsid w:val="4BA42E12"/>
    <w:rsid w:val="4BA56F4E"/>
    <w:rsid w:val="4BA60A58"/>
    <w:rsid w:val="4BA83378"/>
    <w:rsid w:val="4BBC2B44"/>
    <w:rsid w:val="4BC37957"/>
    <w:rsid w:val="4BC536FB"/>
    <w:rsid w:val="4BD01900"/>
    <w:rsid w:val="4BD63FDA"/>
    <w:rsid w:val="4BD84689"/>
    <w:rsid w:val="4BDA5C1F"/>
    <w:rsid w:val="4BDB2C86"/>
    <w:rsid w:val="4BDB74A6"/>
    <w:rsid w:val="4BE03480"/>
    <w:rsid w:val="4BE27888"/>
    <w:rsid w:val="4BE82AE8"/>
    <w:rsid w:val="4BE9692E"/>
    <w:rsid w:val="4BEC2B09"/>
    <w:rsid w:val="4BEC3F6D"/>
    <w:rsid w:val="4BF233C8"/>
    <w:rsid w:val="4BFC71C9"/>
    <w:rsid w:val="4BFE1BCB"/>
    <w:rsid w:val="4BFE7869"/>
    <w:rsid w:val="4C0220D1"/>
    <w:rsid w:val="4C0A5DEE"/>
    <w:rsid w:val="4C136544"/>
    <w:rsid w:val="4C187D99"/>
    <w:rsid w:val="4C1A540C"/>
    <w:rsid w:val="4C1F6ED1"/>
    <w:rsid w:val="4C2717C4"/>
    <w:rsid w:val="4C2B1AAB"/>
    <w:rsid w:val="4C310C47"/>
    <w:rsid w:val="4C3D7F12"/>
    <w:rsid w:val="4C3E4F09"/>
    <w:rsid w:val="4C421B4B"/>
    <w:rsid w:val="4C473AAD"/>
    <w:rsid w:val="4C573920"/>
    <w:rsid w:val="4C6A739E"/>
    <w:rsid w:val="4C77340D"/>
    <w:rsid w:val="4C7C6EE6"/>
    <w:rsid w:val="4C7D54CE"/>
    <w:rsid w:val="4C803FA5"/>
    <w:rsid w:val="4C8357DF"/>
    <w:rsid w:val="4C8419C2"/>
    <w:rsid w:val="4C84536D"/>
    <w:rsid w:val="4C8A4EF0"/>
    <w:rsid w:val="4C8C4659"/>
    <w:rsid w:val="4C8E0F07"/>
    <w:rsid w:val="4C8F6904"/>
    <w:rsid w:val="4C955FE0"/>
    <w:rsid w:val="4C985BED"/>
    <w:rsid w:val="4C9A7C0A"/>
    <w:rsid w:val="4CA86471"/>
    <w:rsid w:val="4CA9684F"/>
    <w:rsid w:val="4CA97C10"/>
    <w:rsid w:val="4CAC495E"/>
    <w:rsid w:val="4CB24A35"/>
    <w:rsid w:val="4CB35DAE"/>
    <w:rsid w:val="4CB413C1"/>
    <w:rsid w:val="4CB916A4"/>
    <w:rsid w:val="4CBC3EA9"/>
    <w:rsid w:val="4CBE114F"/>
    <w:rsid w:val="4CC83BB1"/>
    <w:rsid w:val="4CCB0A68"/>
    <w:rsid w:val="4CCC1A9F"/>
    <w:rsid w:val="4CD92DB3"/>
    <w:rsid w:val="4CDB3BFA"/>
    <w:rsid w:val="4CE6627F"/>
    <w:rsid w:val="4CE815D7"/>
    <w:rsid w:val="4CE8285A"/>
    <w:rsid w:val="4CE96C9C"/>
    <w:rsid w:val="4CEC6266"/>
    <w:rsid w:val="4CF04B75"/>
    <w:rsid w:val="4CF9570A"/>
    <w:rsid w:val="4CFA2148"/>
    <w:rsid w:val="4D061C53"/>
    <w:rsid w:val="4D0661D9"/>
    <w:rsid w:val="4D0720B9"/>
    <w:rsid w:val="4D0D35F4"/>
    <w:rsid w:val="4D0E2287"/>
    <w:rsid w:val="4D18649D"/>
    <w:rsid w:val="4D192C00"/>
    <w:rsid w:val="4D221438"/>
    <w:rsid w:val="4D2A2C4E"/>
    <w:rsid w:val="4D2C60D2"/>
    <w:rsid w:val="4D2D0B48"/>
    <w:rsid w:val="4D2D1367"/>
    <w:rsid w:val="4D2D7C47"/>
    <w:rsid w:val="4D305B88"/>
    <w:rsid w:val="4D327667"/>
    <w:rsid w:val="4D36397C"/>
    <w:rsid w:val="4D372F0E"/>
    <w:rsid w:val="4D37363F"/>
    <w:rsid w:val="4D435781"/>
    <w:rsid w:val="4D477C27"/>
    <w:rsid w:val="4D4F5CE2"/>
    <w:rsid w:val="4D4F6086"/>
    <w:rsid w:val="4D5608EC"/>
    <w:rsid w:val="4D570943"/>
    <w:rsid w:val="4D5C0A43"/>
    <w:rsid w:val="4D5C5E38"/>
    <w:rsid w:val="4D6729A8"/>
    <w:rsid w:val="4D696670"/>
    <w:rsid w:val="4D71390A"/>
    <w:rsid w:val="4D795D02"/>
    <w:rsid w:val="4D7A208F"/>
    <w:rsid w:val="4D7C0C3D"/>
    <w:rsid w:val="4D7F34AE"/>
    <w:rsid w:val="4D8A62EE"/>
    <w:rsid w:val="4D8F17FD"/>
    <w:rsid w:val="4D9532F3"/>
    <w:rsid w:val="4DA27ADF"/>
    <w:rsid w:val="4DB6427D"/>
    <w:rsid w:val="4DB935FB"/>
    <w:rsid w:val="4DBC47F1"/>
    <w:rsid w:val="4DC17532"/>
    <w:rsid w:val="4DC27013"/>
    <w:rsid w:val="4DC63648"/>
    <w:rsid w:val="4DCB2150"/>
    <w:rsid w:val="4DCE2BA7"/>
    <w:rsid w:val="4DCF7853"/>
    <w:rsid w:val="4DD12B73"/>
    <w:rsid w:val="4DDC6F11"/>
    <w:rsid w:val="4DE07ECA"/>
    <w:rsid w:val="4DE16203"/>
    <w:rsid w:val="4DE605F2"/>
    <w:rsid w:val="4DF41C76"/>
    <w:rsid w:val="4DF776B7"/>
    <w:rsid w:val="4DF87F1B"/>
    <w:rsid w:val="4DFA3B85"/>
    <w:rsid w:val="4DFB29B0"/>
    <w:rsid w:val="4E023DAB"/>
    <w:rsid w:val="4E072686"/>
    <w:rsid w:val="4E082732"/>
    <w:rsid w:val="4E0B3D36"/>
    <w:rsid w:val="4E0D27C0"/>
    <w:rsid w:val="4E231609"/>
    <w:rsid w:val="4E23168B"/>
    <w:rsid w:val="4E28053E"/>
    <w:rsid w:val="4E2A280B"/>
    <w:rsid w:val="4E2F1EFE"/>
    <w:rsid w:val="4E3B1B8A"/>
    <w:rsid w:val="4E3C3D32"/>
    <w:rsid w:val="4E42490E"/>
    <w:rsid w:val="4E4A50BB"/>
    <w:rsid w:val="4E4C35A5"/>
    <w:rsid w:val="4E4F4F52"/>
    <w:rsid w:val="4E58273D"/>
    <w:rsid w:val="4E5A66BC"/>
    <w:rsid w:val="4E600D17"/>
    <w:rsid w:val="4E6020B0"/>
    <w:rsid w:val="4E6A52AC"/>
    <w:rsid w:val="4E6B4592"/>
    <w:rsid w:val="4E6F0998"/>
    <w:rsid w:val="4E705087"/>
    <w:rsid w:val="4E716A20"/>
    <w:rsid w:val="4E716B25"/>
    <w:rsid w:val="4E731FBE"/>
    <w:rsid w:val="4E7715B0"/>
    <w:rsid w:val="4E7832BB"/>
    <w:rsid w:val="4E7B3332"/>
    <w:rsid w:val="4E7F3129"/>
    <w:rsid w:val="4E850EAC"/>
    <w:rsid w:val="4E8B4769"/>
    <w:rsid w:val="4E8C7409"/>
    <w:rsid w:val="4E9007CB"/>
    <w:rsid w:val="4E9224E3"/>
    <w:rsid w:val="4E9240B0"/>
    <w:rsid w:val="4E95445E"/>
    <w:rsid w:val="4E962F98"/>
    <w:rsid w:val="4E9C24E3"/>
    <w:rsid w:val="4E9C44D9"/>
    <w:rsid w:val="4E9C7897"/>
    <w:rsid w:val="4E9E7846"/>
    <w:rsid w:val="4EA124F4"/>
    <w:rsid w:val="4EA43F41"/>
    <w:rsid w:val="4EA665C7"/>
    <w:rsid w:val="4EA77D97"/>
    <w:rsid w:val="4EA82FE8"/>
    <w:rsid w:val="4EB27EB9"/>
    <w:rsid w:val="4EB339DD"/>
    <w:rsid w:val="4EBB17A0"/>
    <w:rsid w:val="4EBD2E3C"/>
    <w:rsid w:val="4EC10302"/>
    <w:rsid w:val="4EC37087"/>
    <w:rsid w:val="4ED45936"/>
    <w:rsid w:val="4ED4627D"/>
    <w:rsid w:val="4ED5149E"/>
    <w:rsid w:val="4ED77E62"/>
    <w:rsid w:val="4ED90EB6"/>
    <w:rsid w:val="4EDD4F26"/>
    <w:rsid w:val="4EDE3A55"/>
    <w:rsid w:val="4EE6240E"/>
    <w:rsid w:val="4EEC560C"/>
    <w:rsid w:val="4EF1682D"/>
    <w:rsid w:val="4F0C477E"/>
    <w:rsid w:val="4F0C51FC"/>
    <w:rsid w:val="4F114CD7"/>
    <w:rsid w:val="4F123186"/>
    <w:rsid w:val="4F173147"/>
    <w:rsid w:val="4F18659D"/>
    <w:rsid w:val="4F1C0CBD"/>
    <w:rsid w:val="4F2C3C8C"/>
    <w:rsid w:val="4F3036F0"/>
    <w:rsid w:val="4F355903"/>
    <w:rsid w:val="4F397BD1"/>
    <w:rsid w:val="4F3B6779"/>
    <w:rsid w:val="4F400713"/>
    <w:rsid w:val="4F443447"/>
    <w:rsid w:val="4F4504FD"/>
    <w:rsid w:val="4F45792E"/>
    <w:rsid w:val="4F5E724C"/>
    <w:rsid w:val="4F600F6E"/>
    <w:rsid w:val="4F65755E"/>
    <w:rsid w:val="4F684710"/>
    <w:rsid w:val="4F6B50BF"/>
    <w:rsid w:val="4F6D76B0"/>
    <w:rsid w:val="4F6E3813"/>
    <w:rsid w:val="4F741D33"/>
    <w:rsid w:val="4F76712A"/>
    <w:rsid w:val="4F7D7329"/>
    <w:rsid w:val="4F7E1D26"/>
    <w:rsid w:val="4F7F2461"/>
    <w:rsid w:val="4F820AA1"/>
    <w:rsid w:val="4F8562D6"/>
    <w:rsid w:val="4F8D7522"/>
    <w:rsid w:val="4F8E0B1C"/>
    <w:rsid w:val="4F92166B"/>
    <w:rsid w:val="4F933A4D"/>
    <w:rsid w:val="4F942FF2"/>
    <w:rsid w:val="4F957006"/>
    <w:rsid w:val="4F9B382E"/>
    <w:rsid w:val="4F9C2BE6"/>
    <w:rsid w:val="4FA1588C"/>
    <w:rsid w:val="4FA75263"/>
    <w:rsid w:val="4FAE2348"/>
    <w:rsid w:val="4FB4615B"/>
    <w:rsid w:val="4FB55B61"/>
    <w:rsid w:val="4FB90AF5"/>
    <w:rsid w:val="4FBE26BF"/>
    <w:rsid w:val="4FC06249"/>
    <w:rsid w:val="4FC61833"/>
    <w:rsid w:val="4FC812F0"/>
    <w:rsid w:val="4FC90DE2"/>
    <w:rsid w:val="4FC917D6"/>
    <w:rsid w:val="4FCD33F2"/>
    <w:rsid w:val="4FCE3544"/>
    <w:rsid w:val="4FD1243A"/>
    <w:rsid w:val="4FD36A03"/>
    <w:rsid w:val="4FD76A71"/>
    <w:rsid w:val="4FD926FE"/>
    <w:rsid w:val="4FE12A4A"/>
    <w:rsid w:val="4FEA233B"/>
    <w:rsid w:val="4FF1685C"/>
    <w:rsid w:val="4FF522B9"/>
    <w:rsid w:val="4FF64080"/>
    <w:rsid w:val="4FF85F8C"/>
    <w:rsid w:val="4FFC623A"/>
    <w:rsid w:val="5002228C"/>
    <w:rsid w:val="500516AE"/>
    <w:rsid w:val="50074CAE"/>
    <w:rsid w:val="50082D41"/>
    <w:rsid w:val="50085CF0"/>
    <w:rsid w:val="500B6372"/>
    <w:rsid w:val="500C3EC3"/>
    <w:rsid w:val="5010054E"/>
    <w:rsid w:val="501671E7"/>
    <w:rsid w:val="50192841"/>
    <w:rsid w:val="501A455B"/>
    <w:rsid w:val="501E3F05"/>
    <w:rsid w:val="50217DAC"/>
    <w:rsid w:val="502270EB"/>
    <w:rsid w:val="502619C5"/>
    <w:rsid w:val="502B1CF5"/>
    <w:rsid w:val="502D1A71"/>
    <w:rsid w:val="502D69B7"/>
    <w:rsid w:val="502E1ECF"/>
    <w:rsid w:val="503067FD"/>
    <w:rsid w:val="50352CDB"/>
    <w:rsid w:val="50383133"/>
    <w:rsid w:val="503C4952"/>
    <w:rsid w:val="503F0950"/>
    <w:rsid w:val="50412741"/>
    <w:rsid w:val="50442BA0"/>
    <w:rsid w:val="5045646B"/>
    <w:rsid w:val="50491CF7"/>
    <w:rsid w:val="504F0D72"/>
    <w:rsid w:val="50560873"/>
    <w:rsid w:val="505D1FAC"/>
    <w:rsid w:val="505D213E"/>
    <w:rsid w:val="505E1B05"/>
    <w:rsid w:val="5063205D"/>
    <w:rsid w:val="506871F6"/>
    <w:rsid w:val="506A55FF"/>
    <w:rsid w:val="506E0220"/>
    <w:rsid w:val="5074441C"/>
    <w:rsid w:val="50746CD8"/>
    <w:rsid w:val="507E04DE"/>
    <w:rsid w:val="507E0791"/>
    <w:rsid w:val="50815D68"/>
    <w:rsid w:val="50824E8B"/>
    <w:rsid w:val="5085331B"/>
    <w:rsid w:val="508B1201"/>
    <w:rsid w:val="508B66EF"/>
    <w:rsid w:val="509603A7"/>
    <w:rsid w:val="50965E44"/>
    <w:rsid w:val="50997BC7"/>
    <w:rsid w:val="509A3FFB"/>
    <w:rsid w:val="50A57654"/>
    <w:rsid w:val="50AB5A3D"/>
    <w:rsid w:val="50AD154B"/>
    <w:rsid w:val="50AF4F2C"/>
    <w:rsid w:val="50B21066"/>
    <w:rsid w:val="50BD2826"/>
    <w:rsid w:val="50BE1157"/>
    <w:rsid w:val="50BE1881"/>
    <w:rsid w:val="50C33FDA"/>
    <w:rsid w:val="50C670A3"/>
    <w:rsid w:val="50C81686"/>
    <w:rsid w:val="50C85EB0"/>
    <w:rsid w:val="50C9079A"/>
    <w:rsid w:val="50D0618D"/>
    <w:rsid w:val="50D255E2"/>
    <w:rsid w:val="50D73F23"/>
    <w:rsid w:val="50D76B5B"/>
    <w:rsid w:val="50DD4FEC"/>
    <w:rsid w:val="50DF3506"/>
    <w:rsid w:val="50E071CA"/>
    <w:rsid w:val="50F42FD9"/>
    <w:rsid w:val="50F557FA"/>
    <w:rsid w:val="50FB52F5"/>
    <w:rsid w:val="51006087"/>
    <w:rsid w:val="510068B5"/>
    <w:rsid w:val="510106F8"/>
    <w:rsid w:val="510167E6"/>
    <w:rsid w:val="51026C66"/>
    <w:rsid w:val="51043061"/>
    <w:rsid w:val="5105374A"/>
    <w:rsid w:val="510B099C"/>
    <w:rsid w:val="511C197B"/>
    <w:rsid w:val="512417A2"/>
    <w:rsid w:val="51271332"/>
    <w:rsid w:val="51274B9A"/>
    <w:rsid w:val="5130483B"/>
    <w:rsid w:val="513078F5"/>
    <w:rsid w:val="513532AC"/>
    <w:rsid w:val="513B148B"/>
    <w:rsid w:val="513F49CB"/>
    <w:rsid w:val="514F0062"/>
    <w:rsid w:val="514F6A78"/>
    <w:rsid w:val="51510D29"/>
    <w:rsid w:val="51523A09"/>
    <w:rsid w:val="515437D2"/>
    <w:rsid w:val="5155610E"/>
    <w:rsid w:val="51561476"/>
    <w:rsid w:val="51646130"/>
    <w:rsid w:val="516C05ED"/>
    <w:rsid w:val="516D6562"/>
    <w:rsid w:val="516F0DBD"/>
    <w:rsid w:val="51736BA6"/>
    <w:rsid w:val="5175242F"/>
    <w:rsid w:val="51770613"/>
    <w:rsid w:val="51887AEC"/>
    <w:rsid w:val="518C1467"/>
    <w:rsid w:val="518C2DF2"/>
    <w:rsid w:val="518D3B3E"/>
    <w:rsid w:val="518D46A2"/>
    <w:rsid w:val="5191168F"/>
    <w:rsid w:val="51922277"/>
    <w:rsid w:val="519555E7"/>
    <w:rsid w:val="5199310A"/>
    <w:rsid w:val="51995383"/>
    <w:rsid w:val="519D55F1"/>
    <w:rsid w:val="519D59FF"/>
    <w:rsid w:val="51A10451"/>
    <w:rsid w:val="51A51389"/>
    <w:rsid w:val="51AB7B93"/>
    <w:rsid w:val="51B3169F"/>
    <w:rsid w:val="51B923FA"/>
    <w:rsid w:val="51BC5039"/>
    <w:rsid w:val="51BD4034"/>
    <w:rsid w:val="51C02D69"/>
    <w:rsid w:val="51C11D2B"/>
    <w:rsid w:val="51C2366D"/>
    <w:rsid w:val="51CD3B05"/>
    <w:rsid w:val="51D53101"/>
    <w:rsid w:val="51D62180"/>
    <w:rsid w:val="51D62261"/>
    <w:rsid w:val="51DC240F"/>
    <w:rsid w:val="51DD334E"/>
    <w:rsid w:val="51E551BC"/>
    <w:rsid w:val="51E845E9"/>
    <w:rsid w:val="51EE57F7"/>
    <w:rsid w:val="51F1608F"/>
    <w:rsid w:val="51F72753"/>
    <w:rsid w:val="51F74AB7"/>
    <w:rsid w:val="52056970"/>
    <w:rsid w:val="52092DBB"/>
    <w:rsid w:val="52115113"/>
    <w:rsid w:val="52163F55"/>
    <w:rsid w:val="52170A5C"/>
    <w:rsid w:val="521967CD"/>
    <w:rsid w:val="522127F6"/>
    <w:rsid w:val="522206A1"/>
    <w:rsid w:val="522B19BC"/>
    <w:rsid w:val="522B1F38"/>
    <w:rsid w:val="522E4E06"/>
    <w:rsid w:val="5235560C"/>
    <w:rsid w:val="52457E74"/>
    <w:rsid w:val="524B177A"/>
    <w:rsid w:val="524C2298"/>
    <w:rsid w:val="524E77D4"/>
    <w:rsid w:val="52513BD1"/>
    <w:rsid w:val="525240DC"/>
    <w:rsid w:val="5256287D"/>
    <w:rsid w:val="525C5B84"/>
    <w:rsid w:val="525F2403"/>
    <w:rsid w:val="52625C96"/>
    <w:rsid w:val="52836313"/>
    <w:rsid w:val="52856813"/>
    <w:rsid w:val="52887B86"/>
    <w:rsid w:val="528B0589"/>
    <w:rsid w:val="528C0690"/>
    <w:rsid w:val="52903A51"/>
    <w:rsid w:val="52922426"/>
    <w:rsid w:val="52943172"/>
    <w:rsid w:val="52950DA4"/>
    <w:rsid w:val="529A5E4A"/>
    <w:rsid w:val="52A3119D"/>
    <w:rsid w:val="52A82AF4"/>
    <w:rsid w:val="52AD00E2"/>
    <w:rsid w:val="52AD1EB7"/>
    <w:rsid w:val="52AE4E73"/>
    <w:rsid w:val="52C34034"/>
    <w:rsid w:val="52C623F3"/>
    <w:rsid w:val="52CF598B"/>
    <w:rsid w:val="52D21797"/>
    <w:rsid w:val="52D51351"/>
    <w:rsid w:val="52D63FCA"/>
    <w:rsid w:val="52DA29EF"/>
    <w:rsid w:val="52DA5482"/>
    <w:rsid w:val="52DC2B3F"/>
    <w:rsid w:val="52DF689C"/>
    <w:rsid w:val="52EC5B53"/>
    <w:rsid w:val="52F05A8A"/>
    <w:rsid w:val="52FF14A2"/>
    <w:rsid w:val="53081D7E"/>
    <w:rsid w:val="530A37D7"/>
    <w:rsid w:val="530C3E5A"/>
    <w:rsid w:val="530E0F96"/>
    <w:rsid w:val="531236F7"/>
    <w:rsid w:val="53140829"/>
    <w:rsid w:val="53212602"/>
    <w:rsid w:val="53220549"/>
    <w:rsid w:val="532B79DF"/>
    <w:rsid w:val="532E62B3"/>
    <w:rsid w:val="53304DBE"/>
    <w:rsid w:val="533357C5"/>
    <w:rsid w:val="53361457"/>
    <w:rsid w:val="533800B6"/>
    <w:rsid w:val="53420D37"/>
    <w:rsid w:val="53426DAB"/>
    <w:rsid w:val="5351520C"/>
    <w:rsid w:val="53573C49"/>
    <w:rsid w:val="5358687A"/>
    <w:rsid w:val="535D5DF0"/>
    <w:rsid w:val="53616D29"/>
    <w:rsid w:val="5369086A"/>
    <w:rsid w:val="53694C32"/>
    <w:rsid w:val="536D1C73"/>
    <w:rsid w:val="536F3B48"/>
    <w:rsid w:val="53700A4A"/>
    <w:rsid w:val="537232F3"/>
    <w:rsid w:val="5372404B"/>
    <w:rsid w:val="53845558"/>
    <w:rsid w:val="53870397"/>
    <w:rsid w:val="53875351"/>
    <w:rsid w:val="538B4F46"/>
    <w:rsid w:val="538C3E69"/>
    <w:rsid w:val="538F3765"/>
    <w:rsid w:val="5391455F"/>
    <w:rsid w:val="539632DA"/>
    <w:rsid w:val="539D5638"/>
    <w:rsid w:val="53A20080"/>
    <w:rsid w:val="53A87678"/>
    <w:rsid w:val="53AD0223"/>
    <w:rsid w:val="53AE482B"/>
    <w:rsid w:val="53AF6D8B"/>
    <w:rsid w:val="53AF73E3"/>
    <w:rsid w:val="53B650A7"/>
    <w:rsid w:val="53BE24B6"/>
    <w:rsid w:val="53C34C8D"/>
    <w:rsid w:val="53C62ABC"/>
    <w:rsid w:val="53D14D55"/>
    <w:rsid w:val="53D512CA"/>
    <w:rsid w:val="53DB5C0E"/>
    <w:rsid w:val="53DF73C9"/>
    <w:rsid w:val="53E13EA4"/>
    <w:rsid w:val="53E14BC2"/>
    <w:rsid w:val="53E4402E"/>
    <w:rsid w:val="53E61749"/>
    <w:rsid w:val="53E61809"/>
    <w:rsid w:val="53E76714"/>
    <w:rsid w:val="53EC17B7"/>
    <w:rsid w:val="53F67C77"/>
    <w:rsid w:val="53FE5F3F"/>
    <w:rsid w:val="540314C1"/>
    <w:rsid w:val="540675EC"/>
    <w:rsid w:val="54076D72"/>
    <w:rsid w:val="540E51EE"/>
    <w:rsid w:val="5415258E"/>
    <w:rsid w:val="541E6D99"/>
    <w:rsid w:val="54241CF6"/>
    <w:rsid w:val="54262C60"/>
    <w:rsid w:val="542D5899"/>
    <w:rsid w:val="542E7A7C"/>
    <w:rsid w:val="54312527"/>
    <w:rsid w:val="543167E1"/>
    <w:rsid w:val="54343392"/>
    <w:rsid w:val="5436361A"/>
    <w:rsid w:val="543A0010"/>
    <w:rsid w:val="543C171C"/>
    <w:rsid w:val="544A7B34"/>
    <w:rsid w:val="5457352F"/>
    <w:rsid w:val="545A7F4D"/>
    <w:rsid w:val="545F325F"/>
    <w:rsid w:val="546263B3"/>
    <w:rsid w:val="546641B5"/>
    <w:rsid w:val="546C7542"/>
    <w:rsid w:val="546F39D0"/>
    <w:rsid w:val="547C77CB"/>
    <w:rsid w:val="548A5910"/>
    <w:rsid w:val="548B5133"/>
    <w:rsid w:val="548D6D08"/>
    <w:rsid w:val="548E6D99"/>
    <w:rsid w:val="548F03B4"/>
    <w:rsid w:val="54921D74"/>
    <w:rsid w:val="54925DF9"/>
    <w:rsid w:val="54A91942"/>
    <w:rsid w:val="54A97C32"/>
    <w:rsid w:val="54AA2552"/>
    <w:rsid w:val="54AB2FF1"/>
    <w:rsid w:val="54AD6FCE"/>
    <w:rsid w:val="54B051CC"/>
    <w:rsid w:val="54B92941"/>
    <w:rsid w:val="54BB1324"/>
    <w:rsid w:val="54DA62AC"/>
    <w:rsid w:val="54DE3D63"/>
    <w:rsid w:val="54E0697A"/>
    <w:rsid w:val="54E518FA"/>
    <w:rsid w:val="54E82D1B"/>
    <w:rsid w:val="54F75F24"/>
    <w:rsid w:val="54F81834"/>
    <w:rsid w:val="54FA2230"/>
    <w:rsid w:val="54FB0956"/>
    <w:rsid w:val="54FB6B12"/>
    <w:rsid w:val="54FC2551"/>
    <w:rsid w:val="54FD318E"/>
    <w:rsid w:val="550465BA"/>
    <w:rsid w:val="55060D1D"/>
    <w:rsid w:val="55072637"/>
    <w:rsid w:val="55096F0F"/>
    <w:rsid w:val="550C577A"/>
    <w:rsid w:val="551158FC"/>
    <w:rsid w:val="55120B30"/>
    <w:rsid w:val="551431CF"/>
    <w:rsid w:val="5514640B"/>
    <w:rsid w:val="551A1C6F"/>
    <w:rsid w:val="551A2A2F"/>
    <w:rsid w:val="55204874"/>
    <w:rsid w:val="552169FF"/>
    <w:rsid w:val="55216ED3"/>
    <w:rsid w:val="552317D0"/>
    <w:rsid w:val="5528038E"/>
    <w:rsid w:val="55281BF7"/>
    <w:rsid w:val="552A4ABA"/>
    <w:rsid w:val="552D3FC2"/>
    <w:rsid w:val="552F132F"/>
    <w:rsid w:val="5534355D"/>
    <w:rsid w:val="5536486B"/>
    <w:rsid w:val="553C202D"/>
    <w:rsid w:val="55561E6D"/>
    <w:rsid w:val="55567479"/>
    <w:rsid w:val="555C47A2"/>
    <w:rsid w:val="555F17D4"/>
    <w:rsid w:val="55652BD4"/>
    <w:rsid w:val="55656070"/>
    <w:rsid w:val="55661790"/>
    <w:rsid w:val="556B21DF"/>
    <w:rsid w:val="55706E1A"/>
    <w:rsid w:val="557B5A6E"/>
    <w:rsid w:val="557D3889"/>
    <w:rsid w:val="557F2707"/>
    <w:rsid w:val="559567C9"/>
    <w:rsid w:val="55991BB4"/>
    <w:rsid w:val="559C40D2"/>
    <w:rsid w:val="55A116AC"/>
    <w:rsid w:val="55AC5F84"/>
    <w:rsid w:val="55AD0276"/>
    <w:rsid w:val="55AE5C12"/>
    <w:rsid w:val="55B22E46"/>
    <w:rsid w:val="55B2517F"/>
    <w:rsid w:val="55BB7829"/>
    <w:rsid w:val="55BC3FAB"/>
    <w:rsid w:val="55C042AC"/>
    <w:rsid w:val="55C15C83"/>
    <w:rsid w:val="55C4542C"/>
    <w:rsid w:val="55C6025C"/>
    <w:rsid w:val="55CB3DAA"/>
    <w:rsid w:val="55D91782"/>
    <w:rsid w:val="55DE36BF"/>
    <w:rsid w:val="55E0042D"/>
    <w:rsid w:val="55E37B00"/>
    <w:rsid w:val="55E44ED6"/>
    <w:rsid w:val="55E73DA8"/>
    <w:rsid w:val="55E750FE"/>
    <w:rsid w:val="55F3067B"/>
    <w:rsid w:val="55F96194"/>
    <w:rsid w:val="560378B3"/>
    <w:rsid w:val="560879EB"/>
    <w:rsid w:val="561A3E88"/>
    <w:rsid w:val="561D2C1B"/>
    <w:rsid w:val="561E25E5"/>
    <w:rsid w:val="56223E65"/>
    <w:rsid w:val="562425E9"/>
    <w:rsid w:val="56244AEF"/>
    <w:rsid w:val="562F683B"/>
    <w:rsid w:val="56327843"/>
    <w:rsid w:val="563506F9"/>
    <w:rsid w:val="56381CC1"/>
    <w:rsid w:val="564A247E"/>
    <w:rsid w:val="564C3C6B"/>
    <w:rsid w:val="564F622E"/>
    <w:rsid w:val="565117CC"/>
    <w:rsid w:val="56584506"/>
    <w:rsid w:val="56591519"/>
    <w:rsid w:val="565D05A1"/>
    <w:rsid w:val="56604575"/>
    <w:rsid w:val="56645A0A"/>
    <w:rsid w:val="566D6F9B"/>
    <w:rsid w:val="56704B2A"/>
    <w:rsid w:val="56714739"/>
    <w:rsid w:val="56722DC2"/>
    <w:rsid w:val="56726C48"/>
    <w:rsid w:val="56775ED5"/>
    <w:rsid w:val="567B1D11"/>
    <w:rsid w:val="567D68E1"/>
    <w:rsid w:val="567F769F"/>
    <w:rsid w:val="56804B4F"/>
    <w:rsid w:val="568930CB"/>
    <w:rsid w:val="568C61D7"/>
    <w:rsid w:val="568E26FB"/>
    <w:rsid w:val="56956579"/>
    <w:rsid w:val="56973388"/>
    <w:rsid w:val="56976AC0"/>
    <w:rsid w:val="569925E2"/>
    <w:rsid w:val="569A3B7E"/>
    <w:rsid w:val="56A05160"/>
    <w:rsid w:val="56AB4C0B"/>
    <w:rsid w:val="56AC566B"/>
    <w:rsid w:val="56AF0972"/>
    <w:rsid w:val="56B32A8F"/>
    <w:rsid w:val="56B772A8"/>
    <w:rsid w:val="56B86167"/>
    <w:rsid w:val="56BD22E0"/>
    <w:rsid w:val="56BD5238"/>
    <w:rsid w:val="56C045DA"/>
    <w:rsid w:val="56C275CE"/>
    <w:rsid w:val="56CA490A"/>
    <w:rsid w:val="56CA4DD4"/>
    <w:rsid w:val="56CA52A9"/>
    <w:rsid w:val="56CD3C26"/>
    <w:rsid w:val="56D23829"/>
    <w:rsid w:val="56D329FA"/>
    <w:rsid w:val="56D61C63"/>
    <w:rsid w:val="56DC349B"/>
    <w:rsid w:val="56E34914"/>
    <w:rsid w:val="56E629BD"/>
    <w:rsid w:val="56ED6871"/>
    <w:rsid w:val="56F507E9"/>
    <w:rsid w:val="56F82B77"/>
    <w:rsid w:val="56FA17E2"/>
    <w:rsid w:val="56FA1857"/>
    <w:rsid w:val="56FB3147"/>
    <w:rsid w:val="56FD591A"/>
    <w:rsid w:val="56FD7B76"/>
    <w:rsid w:val="57007A51"/>
    <w:rsid w:val="57097559"/>
    <w:rsid w:val="570A6489"/>
    <w:rsid w:val="571C150D"/>
    <w:rsid w:val="571F6410"/>
    <w:rsid w:val="57215003"/>
    <w:rsid w:val="57243419"/>
    <w:rsid w:val="57246A97"/>
    <w:rsid w:val="573506D8"/>
    <w:rsid w:val="57386D29"/>
    <w:rsid w:val="57396534"/>
    <w:rsid w:val="573A5995"/>
    <w:rsid w:val="573A6B58"/>
    <w:rsid w:val="57400E04"/>
    <w:rsid w:val="57426F02"/>
    <w:rsid w:val="57492064"/>
    <w:rsid w:val="574951FC"/>
    <w:rsid w:val="574C1F6C"/>
    <w:rsid w:val="574D327F"/>
    <w:rsid w:val="57523F1D"/>
    <w:rsid w:val="57550543"/>
    <w:rsid w:val="575721CF"/>
    <w:rsid w:val="57573A70"/>
    <w:rsid w:val="575A37D2"/>
    <w:rsid w:val="57682DD5"/>
    <w:rsid w:val="576E0D16"/>
    <w:rsid w:val="57702C8B"/>
    <w:rsid w:val="577265FA"/>
    <w:rsid w:val="57734C2A"/>
    <w:rsid w:val="57810907"/>
    <w:rsid w:val="57827CDF"/>
    <w:rsid w:val="578B5C23"/>
    <w:rsid w:val="578B7591"/>
    <w:rsid w:val="578D058E"/>
    <w:rsid w:val="57915D02"/>
    <w:rsid w:val="579176FC"/>
    <w:rsid w:val="579764CE"/>
    <w:rsid w:val="579931D8"/>
    <w:rsid w:val="579E4708"/>
    <w:rsid w:val="57A23EED"/>
    <w:rsid w:val="57A51A5B"/>
    <w:rsid w:val="57A56720"/>
    <w:rsid w:val="57AB62DA"/>
    <w:rsid w:val="57AD43F8"/>
    <w:rsid w:val="57B350F7"/>
    <w:rsid w:val="57B42C6D"/>
    <w:rsid w:val="57B962A6"/>
    <w:rsid w:val="57BC3D98"/>
    <w:rsid w:val="57C4197F"/>
    <w:rsid w:val="57C644A0"/>
    <w:rsid w:val="57CD3B0B"/>
    <w:rsid w:val="57CF4A85"/>
    <w:rsid w:val="57D473FC"/>
    <w:rsid w:val="57D57573"/>
    <w:rsid w:val="57D8279F"/>
    <w:rsid w:val="57D87A63"/>
    <w:rsid w:val="57DA6C70"/>
    <w:rsid w:val="57DC0F67"/>
    <w:rsid w:val="57E1188A"/>
    <w:rsid w:val="57E31CC2"/>
    <w:rsid w:val="57EA03F1"/>
    <w:rsid w:val="57F378A6"/>
    <w:rsid w:val="57FA6CD3"/>
    <w:rsid w:val="57FC7401"/>
    <w:rsid w:val="57FE1231"/>
    <w:rsid w:val="580171B8"/>
    <w:rsid w:val="580532D4"/>
    <w:rsid w:val="58062C63"/>
    <w:rsid w:val="580B25C4"/>
    <w:rsid w:val="58116E88"/>
    <w:rsid w:val="58173031"/>
    <w:rsid w:val="58236517"/>
    <w:rsid w:val="5825038A"/>
    <w:rsid w:val="58266271"/>
    <w:rsid w:val="5829009B"/>
    <w:rsid w:val="58295334"/>
    <w:rsid w:val="582D6EB0"/>
    <w:rsid w:val="58303D79"/>
    <w:rsid w:val="583205A3"/>
    <w:rsid w:val="58347CF8"/>
    <w:rsid w:val="58357113"/>
    <w:rsid w:val="583F3ACB"/>
    <w:rsid w:val="58426026"/>
    <w:rsid w:val="584C4AF8"/>
    <w:rsid w:val="584F5654"/>
    <w:rsid w:val="58507A7B"/>
    <w:rsid w:val="58535131"/>
    <w:rsid w:val="585938D4"/>
    <w:rsid w:val="585C03E0"/>
    <w:rsid w:val="58630B99"/>
    <w:rsid w:val="586507FB"/>
    <w:rsid w:val="586568D9"/>
    <w:rsid w:val="5867279B"/>
    <w:rsid w:val="586D0A0E"/>
    <w:rsid w:val="586E7B26"/>
    <w:rsid w:val="587B0A00"/>
    <w:rsid w:val="587B4B6F"/>
    <w:rsid w:val="587F7CDC"/>
    <w:rsid w:val="58847F37"/>
    <w:rsid w:val="588B719D"/>
    <w:rsid w:val="58907970"/>
    <w:rsid w:val="58920B29"/>
    <w:rsid w:val="58961A25"/>
    <w:rsid w:val="58990B45"/>
    <w:rsid w:val="589D51C4"/>
    <w:rsid w:val="589E70CC"/>
    <w:rsid w:val="58A12251"/>
    <w:rsid w:val="58A2214F"/>
    <w:rsid w:val="58AD16F6"/>
    <w:rsid w:val="58AF353A"/>
    <w:rsid w:val="58BC70BD"/>
    <w:rsid w:val="58C71CDE"/>
    <w:rsid w:val="58D24345"/>
    <w:rsid w:val="58D25451"/>
    <w:rsid w:val="58D448E5"/>
    <w:rsid w:val="58DB745E"/>
    <w:rsid w:val="58ED2F90"/>
    <w:rsid w:val="58F149A8"/>
    <w:rsid w:val="58F30731"/>
    <w:rsid w:val="58F46CD9"/>
    <w:rsid w:val="58FD0030"/>
    <w:rsid w:val="590B5904"/>
    <w:rsid w:val="590B7464"/>
    <w:rsid w:val="590C0218"/>
    <w:rsid w:val="591A2219"/>
    <w:rsid w:val="591E6ADA"/>
    <w:rsid w:val="592D1AC4"/>
    <w:rsid w:val="593A67F7"/>
    <w:rsid w:val="593C15EC"/>
    <w:rsid w:val="5947264B"/>
    <w:rsid w:val="59512E27"/>
    <w:rsid w:val="59545BFC"/>
    <w:rsid w:val="595827DF"/>
    <w:rsid w:val="595B34B8"/>
    <w:rsid w:val="595E139D"/>
    <w:rsid w:val="595F6802"/>
    <w:rsid w:val="59673BE4"/>
    <w:rsid w:val="596F1CDC"/>
    <w:rsid w:val="59767B01"/>
    <w:rsid w:val="5978500C"/>
    <w:rsid w:val="5979244C"/>
    <w:rsid w:val="597B0145"/>
    <w:rsid w:val="597B6355"/>
    <w:rsid w:val="597E3070"/>
    <w:rsid w:val="598623E4"/>
    <w:rsid w:val="59896501"/>
    <w:rsid w:val="59897956"/>
    <w:rsid w:val="59912132"/>
    <w:rsid w:val="59930147"/>
    <w:rsid w:val="59966CA1"/>
    <w:rsid w:val="599A2D10"/>
    <w:rsid w:val="599A6D3C"/>
    <w:rsid w:val="599B522D"/>
    <w:rsid w:val="599C4BA0"/>
    <w:rsid w:val="599F50F7"/>
    <w:rsid w:val="59A01F38"/>
    <w:rsid w:val="59AF6E1C"/>
    <w:rsid w:val="59B7090F"/>
    <w:rsid w:val="59BC16A2"/>
    <w:rsid w:val="59BF444B"/>
    <w:rsid w:val="59C06028"/>
    <w:rsid w:val="59C07B99"/>
    <w:rsid w:val="59C31034"/>
    <w:rsid w:val="59C438FD"/>
    <w:rsid w:val="59CC66BB"/>
    <w:rsid w:val="59D052FC"/>
    <w:rsid w:val="59D06659"/>
    <w:rsid w:val="59D60D7F"/>
    <w:rsid w:val="59D673B9"/>
    <w:rsid w:val="59E2788F"/>
    <w:rsid w:val="59E431E9"/>
    <w:rsid w:val="59E768C5"/>
    <w:rsid w:val="59EC7B3F"/>
    <w:rsid w:val="59EE6037"/>
    <w:rsid w:val="59F25B39"/>
    <w:rsid w:val="59F35F1E"/>
    <w:rsid w:val="59F52D4C"/>
    <w:rsid w:val="59FD6D8A"/>
    <w:rsid w:val="5A053371"/>
    <w:rsid w:val="5A0A6C96"/>
    <w:rsid w:val="5A0C4939"/>
    <w:rsid w:val="5A1D571A"/>
    <w:rsid w:val="5A25699C"/>
    <w:rsid w:val="5A292500"/>
    <w:rsid w:val="5A2969CB"/>
    <w:rsid w:val="5A2B75D4"/>
    <w:rsid w:val="5A376130"/>
    <w:rsid w:val="5A533796"/>
    <w:rsid w:val="5A54361D"/>
    <w:rsid w:val="5A5654D3"/>
    <w:rsid w:val="5A570E77"/>
    <w:rsid w:val="5A5D5C61"/>
    <w:rsid w:val="5A611B36"/>
    <w:rsid w:val="5A625D5A"/>
    <w:rsid w:val="5A684ADD"/>
    <w:rsid w:val="5A707801"/>
    <w:rsid w:val="5A71425D"/>
    <w:rsid w:val="5A714B2F"/>
    <w:rsid w:val="5A7627CE"/>
    <w:rsid w:val="5A781B97"/>
    <w:rsid w:val="5A79009B"/>
    <w:rsid w:val="5A7A4D8F"/>
    <w:rsid w:val="5A8133DE"/>
    <w:rsid w:val="5A81740F"/>
    <w:rsid w:val="5A83099D"/>
    <w:rsid w:val="5A840C6B"/>
    <w:rsid w:val="5A861491"/>
    <w:rsid w:val="5A8E6BFC"/>
    <w:rsid w:val="5A8F196C"/>
    <w:rsid w:val="5A911F0C"/>
    <w:rsid w:val="5A945F59"/>
    <w:rsid w:val="5A987393"/>
    <w:rsid w:val="5A9D57CE"/>
    <w:rsid w:val="5AA02555"/>
    <w:rsid w:val="5AA23D31"/>
    <w:rsid w:val="5AAE40F7"/>
    <w:rsid w:val="5AAE543F"/>
    <w:rsid w:val="5AB4125F"/>
    <w:rsid w:val="5AB635F6"/>
    <w:rsid w:val="5AB9007D"/>
    <w:rsid w:val="5ABC416F"/>
    <w:rsid w:val="5ABD0001"/>
    <w:rsid w:val="5ABF7D29"/>
    <w:rsid w:val="5AC50318"/>
    <w:rsid w:val="5ACB4A02"/>
    <w:rsid w:val="5AD5429D"/>
    <w:rsid w:val="5AD7333F"/>
    <w:rsid w:val="5ADA1A08"/>
    <w:rsid w:val="5ADB20EB"/>
    <w:rsid w:val="5AE35657"/>
    <w:rsid w:val="5AE84194"/>
    <w:rsid w:val="5AEF7F0D"/>
    <w:rsid w:val="5AF074C6"/>
    <w:rsid w:val="5AF6535C"/>
    <w:rsid w:val="5AFB1690"/>
    <w:rsid w:val="5AFB3C17"/>
    <w:rsid w:val="5B122769"/>
    <w:rsid w:val="5B1853E1"/>
    <w:rsid w:val="5B2014C9"/>
    <w:rsid w:val="5B266ECE"/>
    <w:rsid w:val="5B295714"/>
    <w:rsid w:val="5B2B0A94"/>
    <w:rsid w:val="5B346E6D"/>
    <w:rsid w:val="5B3D027E"/>
    <w:rsid w:val="5B422CA7"/>
    <w:rsid w:val="5B441B14"/>
    <w:rsid w:val="5B4466A8"/>
    <w:rsid w:val="5B4C1F8D"/>
    <w:rsid w:val="5B4C206B"/>
    <w:rsid w:val="5B4C32EA"/>
    <w:rsid w:val="5B527B48"/>
    <w:rsid w:val="5B5F03CA"/>
    <w:rsid w:val="5B617614"/>
    <w:rsid w:val="5B63663B"/>
    <w:rsid w:val="5B6A43A7"/>
    <w:rsid w:val="5B7155C1"/>
    <w:rsid w:val="5B744CF8"/>
    <w:rsid w:val="5B764E2E"/>
    <w:rsid w:val="5B79227B"/>
    <w:rsid w:val="5B7B413C"/>
    <w:rsid w:val="5B7C0842"/>
    <w:rsid w:val="5B8316FE"/>
    <w:rsid w:val="5B8330F0"/>
    <w:rsid w:val="5B861AAC"/>
    <w:rsid w:val="5B8C17DF"/>
    <w:rsid w:val="5B8F6EAF"/>
    <w:rsid w:val="5B9D77F1"/>
    <w:rsid w:val="5B9E53E7"/>
    <w:rsid w:val="5BA82704"/>
    <w:rsid w:val="5BA83617"/>
    <w:rsid w:val="5BB14816"/>
    <w:rsid w:val="5BB35D3E"/>
    <w:rsid w:val="5BB6737E"/>
    <w:rsid w:val="5BB70056"/>
    <w:rsid w:val="5BBE3DA2"/>
    <w:rsid w:val="5BC35347"/>
    <w:rsid w:val="5BC357D9"/>
    <w:rsid w:val="5BC83CB8"/>
    <w:rsid w:val="5BCA6369"/>
    <w:rsid w:val="5BCF5F3A"/>
    <w:rsid w:val="5BDC207C"/>
    <w:rsid w:val="5BDD52E8"/>
    <w:rsid w:val="5BE652D6"/>
    <w:rsid w:val="5BE75604"/>
    <w:rsid w:val="5BE81764"/>
    <w:rsid w:val="5BEB7F60"/>
    <w:rsid w:val="5BED1763"/>
    <w:rsid w:val="5BEF3E98"/>
    <w:rsid w:val="5BF353E7"/>
    <w:rsid w:val="5BF67CB9"/>
    <w:rsid w:val="5BFC1AEE"/>
    <w:rsid w:val="5C0305FE"/>
    <w:rsid w:val="5C0E604A"/>
    <w:rsid w:val="5C0F5D79"/>
    <w:rsid w:val="5C105B27"/>
    <w:rsid w:val="5C1151D2"/>
    <w:rsid w:val="5C151265"/>
    <w:rsid w:val="5C1E5B01"/>
    <w:rsid w:val="5C2102E1"/>
    <w:rsid w:val="5C296AA7"/>
    <w:rsid w:val="5C34501E"/>
    <w:rsid w:val="5C366E96"/>
    <w:rsid w:val="5C3E1916"/>
    <w:rsid w:val="5C3E363C"/>
    <w:rsid w:val="5C480383"/>
    <w:rsid w:val="5C4C6031"/>
    <w:rsid w:val="5C4E283D"/>
    <w:rsid w:val="5C4E7401"/>
    <w:rsid w:val="5C547FBD"/>
    <w:rsid w:val="5C560301"/>
    <w:rsid w:val="5C5E3508"/>
    <w:rsid w:val="5C6915D2"/>
    <w:rsid w:val="5C69231B"/>
    <w:rsid w:val="5C69354D"/>
    <w:rsid w:val="5C6B48C0"/>
    <w:rsid w:val="5C6D1E0B"/>
    <w:rsid w:val="5C6E5BE7"/>
    <w:rsid w:val="5C6F39B1"/>
    <w:rsid w:val="5C725EAE"/>
    <w:rsid w:val="5C827296"/>
    <w:rsid w:val="5C86157A"/>
    <w:rsid w:val="5C873E27"/>
    <w:rsid w:val="5C8E39CE"/>
    <w:rsid w:val="5C8E652A"/>
    <w:rsid w:val="5C8E6679"/>
    <w:rsid w:val="5C937ED6"/>
    <w:rsid w:val="5C992846"/>
    <w:rsid w:val="5C995CAA"/>
    <w:rsid w:val="5C99695F"/>
    <w:rsid w:val="5C9B56A1"/>
    <w:rsid w:val="5C9E542F"/>
    <w:rsid w:val="5C9F3AAF"/>
    <w:rsid w:val="5CAA1004"/>
    <w:rsid w:val="5CAC3F8F"/>
    <w:rsid w:val="5CB160A2"/>
    <w:rsid w:val="5CB2344D"/>
    <w:rsid w:val="5CB9669A"/>
    <w:rsid w:val="5CBA7C37"/>
    <w:rsid w:val="5CBB5EA6"/>
    <w:rsid w:val="5CBD620B"/>
    <w:rsid w:val="5CC86BB9"/>
    <w:rsid w:val="5CCB1624"/>
    <w:rsid w:val="5CCB1FFA"/>
    <w:rsid w:val="5CD0030B"/>
    <w:rsid w:val="5CD0384D"/>
    <w:rsid w:val="5CD36026"/>
    <w:rsid w:val="5CD61490"/>
    <w:rsid w:val="5CD84AF7"/>
    <w:rsid w:val="5CDA597F"/>
    <w:rsid w:val="5CDE2B9C"/>
    <w:rsid w:val="5CDF0136"/>
    <w:rsid w:val="5CDF6A31"/>
    <w:rsid w:val="5CE47F38"/>
    <w:rsid w:val="5CE520A1"/>
    <w:rsid w:val="5CEC6AFF"/>
    <w:rsid w:val="5CEE222A"/>
    <w:rsid w:val="5CF03A49"/>
    <w:rsid w:val="5CF93CA9"/>
    <w:rsid w:val="5CFA6641"/>
    <w:rsid w:val="5D033681"/>
    <w:rsid w:val="5D0D2F3B"/>
    <w:rsid w:val="5D16388F"/>
    <w:rsid w:val="5D1F25CC"/>
    <w:rsid w:val="5D222E97"/>
    <w:rsid w:val="5D250831"/>
    <w:rsid w:val="5D255BFB"/>
    <w:rsid w:val="5D2A04FE"/>
    <w:rsid w:val="5D2C5B64"/>
    <w:rsid w:val="5D2D6247"/>
    <w:rsid w:val="5D2F4D55"/>
    <w:rsid w:val="5D3055E0"/>
    <w:rsid w:val="5D32045F"/>
    <w:rsid w:val="5D3E59CC"/>
    <w:rsid w:val="5D456580"/>
    <w:rsid w:val="5D456909"/>
    <w:rsid w:val="5D4C60CA"/>
    <w:rsid w:val="5D4D7E4E"/>
    <w:rsid w:val="5D51547E"/>
    <w:rsid w:val="5D5449BF"/>
    <w:rsid w:val="5D56792F"/>
    <w:rsid w:val="5D587379"/>
    <w:rsid w:val="5D5A44F2"/>
    <w:rsid w:val="5D5A4AB0"/>
    <w:rsid w:val="5D5F4386"/>
    <w:rsid w:val="5D636D2B"/>
    <w:rsid w:val="5D6401B2"/>
    <w:rsid w:val="5D66507F"/>
    <w:rsid w:val="5D7073BF"/>
    <w:rsid w:val="5D744391"/>
    <w:rsid w:val="5D757BF0"/>
    <w:rsid w:val="5D7C7C83"/>
    <w:rsid w:val="5D80469C"/>
    <w:rsid w:val="5D8A5E44"/>
    <w:rsid w:val="5D8E55A2"/>
    <w:rsid w:val="5D913DE1"/>
    <w:rsid w:val="5D924B9B"/>
    <w:rsid w:val="5D955350"/>
    <w:rsid w:val="5D9569FC"/>
    <w:rsid w:val="5D9B1264"/>
    <w:rsid w:val="5DA05EB5"/>
    <w:rsid w:val="5DA5575A"/>
    <w:rsid w:val="5DA632E0"/>
    <w:rsid w:val="5DA65331"/>
    <w:rsid w:val="5DB05F46"/>
    <w:rsid w:val="5DB56353"/>
    <w:rsid w:val="5DBC475C"/>
    <w:rsid w:val="5DC92AB4"/>
    <w:rsid w:val="5DCA0F9D"/>
    <w:rsid w:val="5DCB545E"/>
    <w:rsid w:val="5DCB6640"/>
    <w:rsid w:val="5DCD3550"/>
    <w:rsid w:val="5DD47CE5"/>
    <w:rsid w:val="5DD86E87"/>
    <w:rsid w:val="5DE72CCA"/>
    <w:rsid w:val="5DE83A59"/>
    <w:rsid w:val="5DEA326B"/>
    <w:rsid w:val="5DF13420"/>
    <w:rsid w:val="5DF924CB"/>
    <w:rsid w:val="5DFE0C53"/>
    <w:rsid w:val="5E087F4A"/>
    <w:rsid w:val="5E0F61EB"/>
    <w:rsid w:val="5E11474D"/>
    <w:rsid w:val="5E167F3B"/>
    <w:rsid w:val="5E201A76"/>
    <w:rsid w:val="5E242238"/>
    <w:rsid w:val="5E273E1B"/>
    <w:rsid w:val="5E3276F4"/>
    <w:rsid w:val="5E387A99"/>
    <w:rsid w:val="5E4162B3"/>
    <w:rsid w:val="5E447C6C"/>
    <w:rsid w:val="5E4501A8"/>
    <w:rsid w:val="5E48516F"/>
    <w:rsid w:val="5E4B3BB6"/>
    <w:rsid w:val="5E4D38C8"/>
    <w:rsid w:val="5E5D10BA"/>
    <w:rsid w:val="5E5F3C3C"/>
    <w:rsid w:val="5E5F5391"/>
    <w:rsid w:val="5E5F5E57"/>
    <w:rsid w:val="5E63701B"/>
    <w:rsid w:val="5E692121"/>
    <w:rsid w:val="5E6B5CBB"/>
    <w:rsid w:val="5E6B7BB3"/>
    <w:rsid w:val="5E707F55"/>
    <w:rsid w:val="5E7256A3"/>
    <w:rsid w:val="5E735DFB"/>
    <w:rsid w:val="5E7426C8"/>
    <w:rsid w:val="5E78468F"/>
    <w:rsid w:val="5E8824EA"/>
    <w:rsid w:val="5E8E17D6"/>
    <w:rsid w:val="5E940A9A"/>
    <w:rsid w:val="5E946AE2"/>
    <w:rsid w:val="5EA65025"/>
    <w:rsid w:val="5EA75E42"/>
    <w:rsid w:val="5EA87070"/>
    <w:rsid w:val="5EAD608E"/>
    <w:rsid w:val="5EB342F1"/>
    <w:rsid w:val="5EC00CF3"/>
    <w:rsid w:val="5EC348C8"/>
    <w:rsid w:val="5EC95F30"/>
    <w:rsid w:val="5ECB682F"/>
    <w:rsid w:val="5ED02EA3"/>
    <w:rsid w:val="5EDB5834"/>
    <w:rsid w:val="5EE27F36"/>
    <w:rsid w:val="5EE41C32"/>
    <w:rsid w:val="5EE619C9"/>
    <w:rsid w:val="5EE7754E"/>
    <w:rsid w:val="5EEF6D02"/>
    <w:rsid w:val="5EF63860"/>
    <w:rsid w:val="5EFA399F"/>
    <w:rsid w:val="5EFF2E80"/>
    <w:rsid w:val="5F01446A"/>
    <w:rsid w:val="5F106C97"/>
    <w:rsid w:val="5F147623"/>
    <w:rsid w:val="5F162841"/>
    <w:rsid w:val="5F164740"/>
    <w:rsid w:val="5F1655EC"/>
    <w:rsid w:val="5F174354"/>
    <w:rsid w:val="5F1F6050"/>
    <w:rsid w:val="5F2304B3"/>
    <w:rsid w:val="5F2358C3"/>
    <w:rsid w:val="5F254137"/>
    <w:rsid w:val="5F3410DA"/>
    <w:rsid w:val="5F381850"/>
    <w:rsid w:val="5F386359"/>
    <w:rsid w:val="5F3A01B8"/>
    <w:rsid w:val="5F3D7CCE"/>
    <w:rsid w:val="5F441197"/>
    <w:rsid w:val="5F475C27"/>
    <w:rsid w:val="5F4B08B2"/>
    <w:rsid w:val="5F527420"/>
    <w:rsid w:val="5F553A20"/>
    <w:rsid w:val="5F577139"/>
    <w:rsid w:val="5F5802B7"/>
    <w:rsid w:val="5F5F6AB4"/>
    <w:rsid w:val="5F612B77"/>
    <w:rsid w:val="5F69453C"/>
    <w:rsid w:val="5F6E0D6B"/>
    <w:rsid w:val="5F6F22EA"/>
    <w:rsid w:val="5F7E3149"/>
    <w:rsid w:val="5F881933"/>
    <w:rsid w:val="5F8B238B"/>
    <w:rsid w:val="5F903155"/>
    <w:rsid w:val="5F952E09"/>
    <w:rsid w:val="5F992609"/>
    <w:rsid w:val="5F9A25A5"/>
    <w:rsid w:val="5F9B2226"/>
    <w:rsid w:val="5F9B5211"/>
    <w:rsid w:val="5F9E581D"/>
    <w:rsid w:val="5FA63F93"/>
    <w:rsid w:val="5FA66217"/>
    <w:rsid w:val="5FB36CBA"/>
    <w:rsid w:val="5FB4765C"/>
    <w:rsid w:val="5FB6724C"/>
    <w:rsid w:val="5FBC59DC"/>
    <w:rsid w:val="5FC267A1"/>
    <w:rsid w:val="5FC41933"/>
    <w:rsid w:val="5FC502D0"/>
    <w:rsid w:val="5FC9102D"/>
    <w:rsid w:val="5FC97BAF"/>
    <w:rsid w:val="5FCB5207"/>
    <w:rsid w:val="5FCC19B4"/>
    <w:rsid w:val="5FD86FC0"/>
    <w:rsid w:val="5FDA4636"/>
    <w:rsid w:val="5FDE6178"/>
    <w:rsid w:val="5FE21688"/>
    <w:rsid w:val="5FE74089"/>
    <w:rsid w:val="5FF07565"/>
    <w:rsid w:val="5FF95DB8"/>
    <w:rsid w:val="5FF97E1A"/>
    <w:rsid w:val="5FFE3824"/>
    <w:rsid w:val="5FFE5461"/>
    <w:rsid w:val="5FFF4C33"/>
    <w:rsid w:val="6011710B"/>
    <w:rsid w:val="60140110"/>
    <w:rsid w:val="601901D5"/>
    <w:rsid w:val="60192D89"/>
    <w:rsid w:val="60196D0E"/>
    <w:rsid w:val="601B3435"/>
    <w:rsid w:val="601F60C4"/>
    <w:rsid w:val="602843CB"/>
    <w:rsid w:val="60410E64"/>
    <w:rsid w:val="60444AEB"/>
    <w:rsid w:val="60463A57"/>
    <w:rsid w:val="60465A5D"/>
    <w:rsid w:val="60637CBF"/>
    <w:rsid w:val="606A3F38"/>
    <w:rsid w:val="607025FF"/>
    <w:rsid w:val="60744B67"/>
    <w:rsid w:val="6075007A"/>
    <w:rsid w:val="607641F5"/>
    <w:rsid w:val="6076705A"/>
    <w:rsid w:val="607B6C8D"/>
    <w:rsid w:val="607E4CC1"/>
    <w:rsid w:val="6080556B"/>
    <w:rsid w:val="60836464"/>
    <w:rsid w:val="6087533F"/>
    <w:rsid w:val="608F5E13"/>
    <w:rsid w:val="60904421"/>
    <w:rsid w:val="60911A38"/>
    <w:rsid w:val="60930E58"/>
    <w:rsid w:val="60932A4B"/>
    <w:rsid w:val="6094644B"/>
    <w:rsid w:val="60960789"/>
    <w:rsid w:val="60967461"/>
    <w:rsid w:val="609C156D"/>
    <w:rsid w:val="609D0FF3"/>
    <w:rsid w:val="60A316BE"/>
    <w:rsid w:val="60A41EF5"/>
    <w:rsid w:val="60A877A2"/>
    <w:rsid w:val="60A91480"/>
    <w:rsid w:val="60AD1585"/>
    <w:rsid w:val="60BA5155"/>
    <w:rsid w:val="60BE389B"/>
    <w:rsid w:val="60BE5406"/>
    <w:rsid w:val="60C81141"/>
    <w:rsid w:val="60CD3244"/>
    <w:rsid w:val="60CE19A4"/>
    <w:rsid w:val="60D27E0F"/>
    <w:rsid w:val="60D87901"/>
    <w:rsid w:val="60D9400A"/>
    <w:rsid w:val="60D94D92"/>
    <w:rsid w:val="60DF4460"/>
    <w:rsid w:val="60E95170"/>
    <w:rsid w:val="60EC49D1"/>
    <w:rsid w:val="60ED3376"/>
    <w:rsid w:val="60F47F03"/>
    <w:rsid w:val="60FA285B"/>
    <w:rsid w:val="60FB65D5"/>
    <w:rsid w:val="61102878"/>
    <w:rsid w:val="61167D36"/>
    <w:rsid w:val="611B3342"/>
    <w:rsid w:val="6122473C"/>
    <w:rsid w:val="612459F1"/>
    <w:rsid w:val="612521A9"/>
    <w:rsid w:val="612B240C"/>
    <w:rsid w:val="612D6355"/>
    <w:rsid w:val="6136372D"/>
    <w:rsid w:val="613A3FAD"/>
    <w:rsid w:val="613B2CBC"/>
    <w:rsid w:val="613F717C"/>
    <w:rsid w:val="614617E2"/>
    <w:rsid w:val="6147720B"/>
    <w:rsid w:val="61495E00"/>
    <w:rsid w:val="615050AA"/>
    <w:rsid w:val="61511F41"/>
    <w:rsid w:val="61581330"/>
    <w:rsid w:val="61583069"/>
    <w:rsid w:val="615C2CA5"/>
    <w:rsid w:val="61650D22"/>
    <w:rsid w:val="616D551F"/>
    <w:rsid w:val="616E2012"/>
    <w:rsid w:val="6172465C"/>
    <w:rsid w:val="617762A2"/>
    <w:rsid w:val="61793870"/>
    <w:rsid w:val="617F3BA1"/>
    <w:rsid w:val="61837E1A"/>
    <w:rsid w:val="6189215B"/>
    <w:rsid w:val="618E164C"/>
    <w:rsid w:val="6193058C"/>
    <w:rsid w:val="619746D7"/>
    <w:rsid w:val="619B6F4A"/>
    <w:rsid w:val="619D4A3C"/>
    <w:rsid w:val="619E7198"/>
    <w:rsid w:val="61A36D58"/>
    <w:rsid w:val="61A44D5F"/>
    <w:rsid w:val="61A91653"/>
    <w:rsid w:val="61B50E9A"/>
    <w:rsid w:val="61BA0D26"/>
    <w:rsid w:val="61BB69D4"/>
    <w:rsid w:val="61BF5F78"/>
    <w:rsid w:val="61C27412"/>
    <w:rsid w:val="61C62D49"/>
    <w:rsid w:val="61CD7E76"/>
    <w:rsid w:val="61D4292D"/>
    <w:rsid w:val="61D80B40"/>
    <w:rsid w:val="61DF5806"/>
    <w:rsid w:val="61E37069"/>
    <w:rsid w:val="61E46F55"/>
    <w:rsid w:val="61E554FB"/>
    <w:rsid w:val="61EE250F"/>
    <w:rsid w:val="61F32911"/>
    <w:rsid w:val="61F528F1"/>
    <w:rsid w:val="61F60F00"/>
    <w:rsid w:val="61F90895"/>
    <w:rsid w:val="61F9213B"/>
    <w:rsid w:val="61F978D6"/>
    <w:rsid w:val="61FA3217"/>
    <w:rsid w:val="62053B9C"/>
    <w:rsid w:val="620677F4"/>
    <w:rsid w:val="620710EA"/>
    <w:rsid w:val="621236D4"/>
    <w:rsid w:val="621374BE"/>
    <w:rsid w:val="62182072"/>
    <w:rsid w:val="621B2F84"/>
    <w:rsid w:val="622111D4"/>
    <w:rsid w:val="62277629"/>
    <w:rsid w:val="62301175"/>
    <w:rsid w:val="62327664"/>
    <w:rsid w:val="62371CCB"/>
    <w:rsid w:val="623A5558"/>
    <w:rsid w:val="623E4296"/>
    <w:rsid w:val="62434E93"/>
    <w:rsid w:val="624448F9"/>
    <w:rsid w:val="62490781"/>
    <w:rsid w:val="624B27EE"/>
    <w:rsid w:val="624D4263"/>
    <w:rsid w:val="624E5F49"/>
    <w:rsid w:val="6251688B"/>
    <w:rsid w:val="62591979"/>
    <w:rsid w:val="625E18EC"/>
    <w:rsid w:val="625E4A34"/>
    <w:rsid w:val="625F176C"/>
    <w:rsid w:val="62622BBC"/>
    <w:rsid w:val="62661919"/>
    <w:rsid w:val="626A21AB"/>
    <w:rsid w:val="6271159A"/>
    <w:rsid w:val="62716E08"/>
    <w:rsid w:val="62734E75"/>
    <w:rsid w:val="627523BF"/>
    <w:rsid w:val="62755E02"/>
    <w:rsid w:val="627D22B9"/>
    <w:rsid w:val="627E57C1"/>
    <w:rsid w:val="628106F9"/>
    <w:rsid w:val="62841B9A"/>
    <w:rsid w:val="628F1233"/>
    <w:rsid w:val="629037A2"/>
    <w:rsid w:val="629D7040"/>
    <w:rsid w:val="629E66E4"/>
    <w:rsid w:val="62A27086"/>
    <w:rsid w:val="62A359CF"/>
    <w:rsid w:val="62A50687"/>
    <w:rsid w:val="62A75971"/>
    <w:rsid w:val="62A8391C"/>
    <w:rsid w:val="62A919EC"/>
    <w:rsid w:val="62AE3703"/>
    <w:rsid w:val="62AE65F1"/>
    <w:rsid w:val="62B141E2"/>
    <w:rsid w:val="62B83581"/>
    <w:rsid w:val="62B87DBF"/>
    <w:rsid w:val="62BA0D51"/>
    <w:rsid w:val="62C0543B"/>
    <w:rsid w:val="62C33C47"/>
    <w:rsid w:val="62C80222"/>
    <w:rsid w:val="62C822E2"/>
    <w:rsid w:val="62C94ADF"/>
    <w:rsid w:val="62CA2E39"/>
    <w:rsid w:val="62CD3158"/>
    <w:rsid w:val="62D16BED"/>
    <w:rsid w:val="62D2291D"/>
    <w:rsid w:val="62D37ABD"/>
    <w:rsid w:val="62D84097"/>
    <w:rsid w:val="62EB639B"/>
    <w:rsid w:val="62EF4A35"/>
    <w:rsid w:val="62F72FCB"/>
    <w:rsid w:val="62F94C1B"/>
    <w:rsid w:val="630139ED"/>
    <w:rsid w:val="63046EC4"/>
    <w:rsid w:val="63097F84"/>
    <w:rsid w:val="630C45D7"/>
    <w:rsid w:val="630F079C"/>
    <w:rsid w:val="631259D2"/>
    <w:rsid w:val="631E1F10"/>
    <w:rsid w:val="631F0B24"/>
    <w:rsid w:val="631F169C"/>
    <w:rsid w:val="631F3E35"/>
    <w:rsid w:val="63221B5B"/>
    <w:rsid w:val="63224518"/>
    <w:rsid w:val="63274366"/>
    <w:rsid w:val="632E7F4A"/>
    <w:rsid w:val="633115A1"/>
    <w:rsid w:val="63317A02"/>
    <w:rsid w:val="63332E04"/>
    <w:rsid w:val="63337326"/>
    <w:rsid w:val="633D257A"/>
    <w:rsid w:val="633D737B"/>
    <w:rsid w:val="634033A8"/>
    <w:rsid w:val="63403972"/>
    <w:rsid w:val="634163EB"/>
    <w:rsid w:val="63416847"/>
    <w:rsid w:val="63432201"/>
    <w:rsid w:val="634B5187"/>
    <w:rsid w:val="634B5BBF"/>
    <w:rsid w:val="6350067F"/>
    <w:rsid w:val="63532630"/>
    <w:rsid w:val="63574C41"/>
    <w:rsid w:val="635D12F4"/>
    <w:rsid w:val="635F6074"/>
    <w:rsid w:val="636E301F"/>
    <w:rsid w:val="636E319D"/>
    <w:rsid w:val="637064FC"/>
    <w:rsid w:val="6370695C"/>
    <w:rsid w:val="63732F25"/>
    <w:rsid w:val="63741267"/>
    <w:rsid w:val="6379168C"/>
    <w:rsid w:val="637A4E25"/>
    <w:rsid w:val="637B1780"/>
    <w:rsid w:val="638350DC"/>
    <w:rsid w:val="63881757"/>
    <w:rsid w:val="63897FA3"/>
    <w:rsid w:val="63934B9B"/>
    <w:rsid w:val="639513F0"/>
    <w:rsid w:val="639B767C"/>
    <w:rsid w:val="639F312C"/>
    <w:rsid w:val="63A2603F"/>
    <w:rsid w:val="63AB2C70"/>
    <w:rsid w:val="63B02B69"/>
    <w:rsid w:val="63BC37A6"/>
    <w:rsid w:val="63BE401A"/>
    <w:rsid w:val="63C95DC1"/>
    <w:rsid w:val="63D42A04"/>
    <w:rsid w:val="63D5048A"/>
    <w:rsid w:val="63E418DC"/>
    <w:rsid w:val="63E5696E"/>
    <w:rsid w:val="63E7577C"/>
    <w:rsid w:val="63E93771"/>
    <w:rsid w:val="63E97443"/>
    <w:rsid w:val="63F7447C"/>
    <w:rsid w:val="63FE6001"/>
    <w:rsid w:val="63FF5EC1"/>
    <w:rsid w:val="64025799"/>
    <w:rsid w:val="640868F7"/>
    <w:rsid w:val="640B03C0"/>
    <w:rsid w:val="640C11D7"/>
    <w:rsid w:val="640D6A4E"/>
    <w:rsid w:val="640F13BF"/>
    <w:rsid w:val="6411150B"/>
    <w:rsid w:val="64130C6D"/>
    <w:rsid w:val="641F55CF"/>
    <w:rsid w:val="64212957"/>
    <w:rsid w:val="642463F8"/>
    <w:rsid w:val="64254EC6"/>
    <w:rsid w:val="64300FCD"/>
    <w:rsid w:val="64307E25"/>
    <w:rsid w:val="64332552"/>
    <w:rsid w:val="643A0EB7"/>
    <w:rsid w:val="644963CC"/>
    <w:rsid w:val="644D4AED"/>
    <w:rsid w:val="644F302A"/>
    <w:rsid w:val="6456235A"/>
    <w:rsid w:val="64580D04"/>
    <w:rsid w:val="64602789"/>
    <w:rsid w:val="64643EEF"/>
    <w:rsid w:val="646505CC"/>
    <w:rsid w:val="64656FD1"/>
    <w:rsid w:val="646777AD"/>
    <w:rsid w:val="646C6B8C"/>
    <w:rsid w:val="64722394"/>
    <w:rsid w:val="64796B47"/>
    <w:rsid w:val="64806FAA"/>
    <w:rsid w:val="64896967"/>
    <w:rsid w:val="648C2192"/>
    <w:rsid w:val="648D7EF4"/>
    <w:rsid w:val="64921702"/>
    <w:rsid w:val="649623E9"/>
    <w:rsid w:val="64975724"/>
    <w:rsid w:val="64992F68"/>
    <w:rsid w:val="64A056CC"/>
    <w:rsid w:val="64A535FB"/>
    <w:rsid w:val="64A537E4"/>
    <w:rsid w:val="64A81CE7"/>
    <w:rsid w:val="64AE22FE"/>
    <w:rsid w:val="64AF577E"/>
    <w:rsid w:val="64B6473D"/>
    <w:rsid w:val="64BF5961"/>
    <w:rsid w:val="64C970A4"/>
    <w:rsid w:val="64D52CBC"/>
    <w:rsid w:val="64D91950"/>
    <w:rsid w:val="64DA60E4"/>
    <w:rsid w:val="64DB351F"/>
    <w:rsid w:val="64DC6024"/>
    <w:rsid w:val="64DD474B"/>
    <w:rsid w:val="64DD4EA7"/>
    <w:rsid w:val="64E218A4"/>
    <w:rsid w:val="64E70398"/>
    <w:rsid w:val="64ED53C7"/>
    <w:rsid w:val="64F0569D"/>
    <w:rsid w:val="64F066BE"/>
    <w:rsid w:val="64F20B09"/>
    <w:rsid w:val="64F4397B"/>
    <w:rsid w:val="64F94F7D"/>
    <w:rsid w:val="64FA69CA"/>
    <w:rsid w:val="64FB2035"/>
    <w:rsid w:val="65003EBD"/>
    <w:rsid w:val="650136B1"/>
    <w:rsid w:val="650329E3"/>
    <w:rsid w:val="65063408"/>
    <w:rsid w:val="65065801"/>
    <w:rsid w:val="650777F1"/>
    <w:rsid w:val="650F7DCA"/>
    <w:rsid w:val="651035E2"/>
    <w:rsid w:val="65193FE8"/>
    <w:rsid w:val="651B6B60"/>
    <w:rsid w:val="65205AAD"/>
    <w:rsid w:val="652356DC"/>
    <w:rsid w:val="652C3920"/>
    <w:rsid w:val="65390CEC"/>
    <w:rsid w:val="653C35E9"/>
    <w:rsid w:val="653E6CD1"/>
    <w:rsid w:val="654E7370"/>
    <w:rsid w:val="654F04EF"/>
    <w:rsid w:val="6552018D"/>
    <w:rsid w:val="6552172F"/>
    <w:rsid w:val="6553220D"/>
    <w:rsid w:val="65566352"/>
    <w:rsid w:val="655A58E6"/>
    <w:rsid w:val="656471FD"/>
    <w:rsid w:val="656D3184"/>
    <w:rsid w:val="656F35C4"/>
    <w:rsid w:val="6571115B"/>
    <w:rsid w:val="65737351"/>
    <w:rsid w:val="65844EA4"/>
    <w:rsid w:val="658617BE"/>
    <w:rsid w:val="65884B36"/>
    <w:rsid w:val="658A0713"/>
    <w:rsid w:val="658A5819"/>
    <w:rsid w:val="658E292D"/>
    <w:rsid w:val="658F79F1"/>
    <w:rsid w:val="65923A32"/>
    <w:rsid w:val="65970A65"/>
    <w:rsid w:val="65A06DA4"/>
    <w:rsid w:val="65AD79DE"/>
    <w:rsid w:val="65B15BD1"/>
    <w:rsid w:val="65BE64A4"/>
    <w:rsid w:val="65BF383C"/>
    <w:rsid w:val="65C172A4"/>
    <w:rsid w:val="65C278F0"/>
    <w:rsid w:val="65C4414C"/>
    <w:rsid w:val="65C72A57"/>
    <w:rsid w:val="65C963D5"/>
    <w:rsid w:val="65DC28C7"/>
    <w:rsid w:val="65DE0569"/>
    <w:rsid w:val="65DE0C07"/>
    <w:rsid w:val="65E443B0"/>
    <w:rsid w:val="65E61BE3"/>
    <w:rsid w:val="65E85050"/>
    <w:rsid w:val="65E859C9"/>
    <w:rsid w:val="65E869E9"/>
    <w:rsid w:val="65EF6F65"/>
    <w:rsid w:val="65F026FC"/>
    <w:rsid w:val="65F17121"/>
    <w:rsid w:val="65F843D2"/>
    <w:rsid w:val="65FD4A00"/>
    <w:rsid w:val="66001338"/>
    <w:rsid w:val="660237B8"/>
    <w:rsid w:val="6609373F"/>
    <w:rsid w:val="660F55AB"/>
    <w:rsid w:val="66113BC8"/>
    <w:rsid w:val="6615699F"/>
    <w:rsid w:val="661A2EA0"/>
    <w:rsid w:val="661D5507"/>
    <w:rsid w:val="66223EF0"/>
    <w:rsid w:val="66241AFE"/>
    <w:rsid w:val="66255009"/>
    <w:rsid w:val="662F2F70"/>
    <w:rsid w:val="663D0AE7"/>
    <w:rsid w:val="663F058C"/>
    <w:rsid w:val="663F104A"/>
    <w:rsid w:val="66407F04"/>
    <w:rsid w:val="664544BF"/>
    <w:rsid w:val="6646383B"/>
    <w:rsid w:val="66465B60"/>
    <w:rsid w:val="664811E6"/>
    <w:rsid w:val="664A67E7"/>
    <w:rsid w:val="664D19F2"/>
    <w:rsid w:val="66562A10"/>
    <w:rsid w:val="665907FC"/>
    <w:rsid w:val="665E0874"/>
    <w:rsid w:val="6664557C"/>
    <w:rsid w:val="666A2F6B"/>
    <w:rsid w:val="666F7B67"/>
    <w:rsid w:val="66732A6E"/>
    <w:rsid w:val="66763C0E"/>
    <w:rsid w:val="66862C7E"/>
    <w:rsid w:val="66863F17"/>
    <w:rsid w:val="66903DB5"/>
    <w:rsid w:val="66904847"/>
    <w:rsid w:val="66974992"/>
    <w:rsid w:val="66A0242C"/>
    <w:rsid w:val="66A373B3"/>
    <w:rsid w:val="66A64026"/>
    <w:rsid w:val="66A65102"/>
    <w:rsid w:val="66A65C99"/>
    <w:rsid w:val="66AB53AE"/>
    <w:rsid w:val="66B017DD"/>
    <w:rsid w:val="66B7502D"/>
    <w:rsid w:val="66B9648C"/>
    <w:rsid w:val="66BE3174"/>
    <w:rsid w:val="66C67051"/>
    <w:rsid w:val="66D038A2"/>
    <w:rsid w:val="66E014B1"/>
    <w:rsid w:val="66E81B08"/>
    <w:rsid w:val="66E97F5E"/>
    <w:rsid w:val="66F80FBC"/>
    <w:rsid w:val="66F92105"/>
    <w:rsid w:val="66FA54E4"/>
    <w:rsid w:val="66FB184A"/>
    <w:rsid w:val="66FC3676"/>
    <w:rsid w:val="670270B6"/>
    <w:rsid w:val="6704038F"/>
    <w:rsid w:val="670D1DD6"/>
    <w:rsid w:val="671228BD"/>
    <w:rsid w:val="671B3016"/>
    <w:rsid w:val="672A4287"/>
    <w:rsid w:val="672D54F2"/>
    <w:rsid w:val="673828D3"/>
    <w:rsid w:val="673B4E05"/>
    <w:rsid w:val="673C0749"/>
    <w:rsid w:val="674164C2"/>
    <w:rsid w:val="67460D3C"/>
    <w:rsid w:val="67547601"/>
    <w:rsid w:val="67582BBD"/>
    <w:rsid w:val="675A136C"/>
    <w:rsid w:val="675C205E"/>
    <w:rsid w:val="675F316B"/>
    <w:rsid w:val="67603144"/>
    <w:rsid w:val="676341E5"/>
    <w:rsid w:val="67646B7A"/>
    <w:rsid w:val="676A689B"/>
    <w:rsid w:val="676F4572"/>
    <w:rsid w:val="67702D5E"/>
    <w:rsid w:val="67764FFB"/>
    <w:rsid w:val="67801E1B"/>
    <w:rsid w:val="67806A92"/>
    <w:rsid w:val="678277C6"/>
    <w:rsid w:val="678C391B"/>
    <w:rsid w:val="678C6C74"/>
    <w:rsid w:val="678D724A"/>
    <w:rsid w:val="678E0C47"/>
    <w:rsid w:val="678F1B8F"/>
    <w:rsid w:val="6791485D"/>
    <w:rsid w:val="679301BD"/>
    <w:rsid w:val="679310ED"/>
    <w:rsid w:val="679B6FD3"/>
    <w:rsid w:val="679C2FFE"/>
    <w:rsid w:val="679E3E21"/>
    <w:rsid w:val="67A05364"/>
    <w:rsid w:val="67A57DA9"/>
    <w:rsid w:val="67A713F5"/>
    <w:rsid w:val="67AE6543"/>
    <w:rsid w:val="67AF4674"/>
    <w:rsid w:val="67B11B46"/>
    <w:rsid w:val="67B36A7D"/>
    <w:rsid w:val="67B800CD"/>
    <w:rsid w:val="67C77F6E"/>
    <w:rsid w:val="67C83F4F"/>
    <w:rsid w:val="67CF010D"/>
    <w:rsid w:val="67CF35DA"/>
    <w:rsid w:val="67D053D4"/>
    <w:rsid w:val="67D21A32"/>
    <w:rsid w:val="67D270C1"/>
    <w:rsid w:val="67D44DD9"/>
    <w:rsid w:val="67E34210"/>
    <w:rsid w:val="67E5522D"/>
    <w:rsid w:val="67E82405"/>
    <w:rsid w:val="67F63220"/>
    <w:rsid w:val="67F84DE1"/>
    <w:rsid w:val="67FA00E3"/>
    <w:rsid w:val="68002B46"/>
    <w:rsid w:val="680267BB"/>
    <w:rsid w:val="68096041"/>
    <w:rsid w:val="68102DFD"/>
    <w:rsid w:val="68176106"/>
    <w:rsid w:val="68205478"/>
    <w:rsid w:val="683111E6"/>
    <w:rsid w:val="68333A08"/>
    <w:rsid w:val="68363665"/>
    <w:rsid w:val="68392B1D"/>
    <w:rsid w:val="683C217B"/>
    <w:rsid w:val="6840785C"/>
    <w:rsid w:val="6846191E"/>
    <w:rsid w:val="684E0F2F"/>
    <w:rsid w:val="685257C3"/>
    <w:rsid w:val="68555320"/>
    <w:rsid w:val="6858514E"/>
    <w:rsid w:val="685C1FD0"/>
    <w:rsid w:val="685E6F77"/>
    <w:rsid w:val="6868310E"/>
    <w:rsid w:val="686B6FF6"/>
    <w:rsid w:val="687269C7"/>
    <w:rsid w:val="687309EA"/>
    <w:rsid w:val="68747BA3"/>
    <w:rsid w:val="68772B0F"/>
    <w:rsid w:val="68781DD5"/>
    <w:rsid w:val="68847573"/>
    <w:rsid w:val="688D0997"/>
    <w:rsid w:val="689528CD"/>
    <w:rsid w:val="68981489"/>
    <w:rsid w:val="689A0FCC"/>
    <w:rsid w:val="689F65FE"/>
    <w:rsid w:val="68A16DA5"/>
    <w:rsid w:val="68A30E3A"/>
    <w:rsid w:val="68A65321"/>
    <w:rsid w:val="68A72046"/>
    <w:rsid w:val="68AF7663"/>
    <w:rsid w:val="68B342B5"/>
    <w:rsid w:val="68BB3BB3"/>
    <w:rsid w:val="68BF28B1"/>
    <w:rsid w:val="68C13254"/>
    <w:rsid w:val="68C42A34"/>
    <w:rsid w:val="68C95E2C"/>
    <w:rsid w:val="68CE71BA"/>
    <w:rsid w:val="68D132D4"/>
    <w:rsid w:val="68D53B6C"/>
    <w:rsid w:val="68D73EC2"/>
    <w:rsid w:val="68DB1240"/>
    <w:rsid w:val="68DD3073"/>
    <w:rsid w:val="68E62800"/>
    <w:rsid w:val="68F020ED"/>
    <w:rsid w:val="68F02ECA"/>
    <w:rsid w:val="68F0784A"/>
    <w:rsid w:val="68F11C11"/>
    <w:rsid w:val="68F920A0"/>
    <w:rsid w:val="68F97348"/>
    <w:rsid w:val="68FA4C4E"/>
    <w:rsid w:val="68FB1462"/>
    <w:rsid w:val="68FB1784"/>
    <w:rsid w:val="68FC5AA9"/>
    <w:rsid w:val="68FE3352"/>
    <w:rsid w:val="690053B4"/>
    <w:rsid w:val="6903031A"/>
    <w:rsid w:val="690A30FD"/>
    <w:rsid w:val="69117664"/>
    <w:rsid w:val="691A3935"/>
    <w:rsid w:val="691C2A43"/>
    <w:rsid w:val="691C7BD6"/>
    <w:rsid w:val="69212289"/>
    <w:rsid w:val="6926501F"/>
    <w:rsid w:val="692C5AE2"/>
    <w:rsid w:val="692F29ED"/>
    <w:rsid w:val="6932387C"/>
    <w:rsid w:val="693401F7"/>
    <w:rsid w:val="69380200"/>
    <w:rsid w:val="69383970"/>
    <w:rsid w:val="693D69EF"/>
    <w:rsid w:val="694540CB"/>
    <w:rsid w:val="694754AD"/>
    <w:rsid w:val="694B132F"/>
    <w:rsid w:val="694D0C44"/>
    <w:rsid w:val="69546EC1"/>
    <w:rsid w:val="695957E1"/>
    <w:rsid w:val="695A40FD"/>
    <w:rsid w:val="695F2431"/>
    <w:rsid w:val="69602150"/>
    <w:rsid w:val="69683354"/>
    <w:rsid w:val="696E5BB8"/>
    <w:rsid w:val="697A3340"/>
    <w:rsid w:val="697B24ED"/>
    <w:rsid w:val="697B40A4"/>
    <w:rsid w:val="697C0145"/>
    <w:rsid w:val="697C3ECF"/>
    <w:rsid w:val="697F420F"/>
    <w:rsid w:val="698144BA"/>
    <w:rsid w:val="69850887"/>
    <w:rsid w:val="69863CF7"/>
    <w:rsid w:val="69872E67"/>
    <w:rsid w:val="698F22C4"/>
    <w:rsid w:val="6993641D"/>
    <w:rsid w:val="69947F0A"/>
    <w:rsid w:val="699B14D9"/>
    <w:rsid w:val="699C0D4B"/>
    <w:rsid w:val="699D5C60"/>
    <w:rsid w:val="69A52845"/>
    <w:rsid w:val="69A6619D"/>
    <w:rsid w:val="69A90826"/>
    <w:rsid w:val="69AB297C"/>
    <w:rsid w:val="69AF79F1"/>
    <w:rsid w:val="69B1060F"/>
    <w:rsid w:val="69B7403D"/>
    <w:rsid w:val="69BA0EA4"/>
    <w:rsid w:val="69BB1F19"/>
    <w:rsid w:val="69BC1B55"/>
    <w:rsid w:val="69BC531F"/>
    <w:rsid w:val="69C21C4E"/>
    <w:rsid w:val="69C44880"/>
    <w:rsid w:val="69C72251"/>
    <w:rsid w:val="69C92283"/>
    <w:rsid w:val="69D32034"/>
    <w:rsid w:val="69D939AB"/>
    <w:rsid w:val="69DA3430"/>
    <w:rsid w:val="69DE1187"/>
    <w:rsid w:val="69E0634F"/>
    <w:rsid w:val="69E07643"/>
    <w:rsid w:val="69E5152D"/>
    <w:rsid w:val="69E646B4"/>
    <w:rsid w:val="69EB1B68"/>
    <w:rsid w:val="69F13A0B"/>
    <w:rsid w:val="69F317A7"/>
    <w:rsid w:val="69F70A83"/>
    <w:rsid w:val="69FB0EAF"/>
    <w:rsid w:val="69FC0492"/>
    <w:rsid w:val="6A000436"/>
    <w:rsid w:val="6A077C8C"/>
    <w:rsid w:val="6A08021B"/>
    <w:rsid w:val="6A0E0AEB"/>
    <w:rsid w:val="6A0E7093"/>
    <w:rsid w:val="6A135238"/>
    <w:rsid w:val="6A187CB5"/>
    <w:rsid w:val="6A1F7B5A"/>
    <w:rsid w:val="6A1F7EDB"/>
    <w:rsid w:val="6A20414C"/>
    <w:rsid w:val="6A2354FD"/>
    <w:rsid w:val="6A241749"/>
    <w:rsid w:val="6A2C05E6"/>
    <w:rsid w:val="6A2D69FA"/>
    <w:rsid w:val="6A2F1B46"/>
    <w:rsid w:val="6A2F4C00"/>
    <w:rsid w:val="6A2F6140"/>
    <w:rsid w:val="6A30667A"/>
    <w:rsid w:val="6A362E6E"/>
    <w:rsid w:val="6A394EDA"/>
    <w:rsid w:val="6A397822"/>
    <w:rsid w:val="6A3F1326"/>
    <w:rsid w:val="6A3F7529"/>
    <w:rsid w:val="6A40696B"/>
    <w:rsid w:val="6A4479CC"/>
    <w:rsid w:val="6A454734"/>
    <w:rsid w:val="6A470FBD"/>
    <w:rsid w:val="6A477D74"/>
    <w:rsid w:val="6A4F5240"/>
    <w:rsid w:val="6A503CE2"/>
    <w:rsid w:val="6A527FE6"/>
    <w:rsid w:val="6A552C4D"/>
    <w:rsid w:val="6A57311B"/>
    <w:rsid w:val="6A5A433A"/>
    <w:rsid w:val="6A681898"/>
    <w:rsid w:val="6A6A63C3"/>
    <w:rsid w:val="6A7042FE"/>
    <w:rsid w:val="6A7669F2"/>
    <w:rsid w:val="6A7C2A32"/>
    <w:rsid w:val="6A7C48C2"/>
    <w:rsid w:val="6A7D263F"/>
    <w:rsid w:val="6A7E2122"/>
    <w:rsid w:val="6A826506"/>
    <w:rsid w:val="6A87777D"/>
    <w:rsid w:val="6A8A2B86"/>
    <w:rsid w:val="6A8E0D58"/>
    <w:rsid w:val="6A8E4005"/>
    <w:rsid w:val="6A990603"/>
    <w:rsid w:val="6A9F2ECD"/>
    <w:rsid w:val="6AA12C53"/>
    <w:rsid w:val="6AA16362"/>
    <w:rsid w:val="6AA32F18"/>
    <w:rsid w:val="6AA61CF0"/>
    <w:rsid w:val="6AB3036F"/>
    <w:rsid w:val="6AB66EAC"/>
    <w:rsid w:val="6ABA3BAF"/>
    <w:rsid w:val="6AC30832"/>
    <w:rsid w:val="6AC66735"/>
    <w:rsid w:val="6AC905C6"/>
    <w:rsid w:val="6ACA3AB6"/>
    <w:rsid w:val="6ACA3CBE"/>
    <w:rsid w:val="6ACF3685"/>
    <w:rsid w:val="6AD658F0"/>
    <w:rsid w:val="6ADF00FC"/>
    <w:rsid w:val="6AE83ED7"/>
    <w:rsid w:val="6AEE7116"/>
    <w:rsid w:val="6AF14A48"/>
    <w:rsid w:val="6AF14CEC"/>
    <w:rsid w:val="6AF15CC5"/>
    <w:rsid w:val="6AF2354A"/>
    <w:rsid w:val="6AFC5FF1"/>
    <w:rsid w:val="6AFD0AA3"/>
    <w:rsid w:val="6B003461"/>
    <w:rsid w:val="6B011C61"/>
    <w:rsid w:val="6B04768A"/>
    <w:rsid w:val="6B091A0C"/>
    <w:rsid w:val="6B0F0214"/>
    <w:rsid w:val="6B1126BF"/>
    <w:rsid w:val="6B153635"/>
    <w:rsid w:val="6B1E0A60"/>
    <w:rsid w:val="6B1E4C31"/>
    <w:rsid w:val="6B26016F"/>
    <w:rsid w:val="6B33571B"/>
    <w:rsid w:val="6B35525E"/>
    <w:rsid w:val="6B383771"/>
    <w:rsid w:val="6B383E1E"/>
    <w:rsid w:val="6B3B1E9B"/>
    <w:rsid w:val="6B3B3153"/>
    <w:rsid w:val="6B466D0F"/>
    <w:rsid w:val="6B4806C9"/>
    <w:rsid w:val="6B484D75"/>
    <w:rsid w:val="6B49045B"/>
    <w:rsid w:val="6B511437"/>
    <w:rsid w:val="6B570919"/>
    <w:rsid w:val="6B575239"/>
    <w:rsid w:val="6B5A4C7E"/>
    <w:rsid w:val="6B5A5C2A"/>
    <w:rsid w:val="6B5F3B23"/>
    <w:rsid w:val="6B605167"/>
    <w:rsid w:val="6B6144BE"/>
    <w:rsid w:val="6B630D9D"/>
    <w:rsid w:val="6B6D376A"/>
    <w:rsid w:val="6B73398D"/>
    <w:rsid w:val="6B7A5A36"/>
    <w:rsid w:val="6B7E60D9"/>
    <w:rsid w:val="6B804E3E"/>
    <w:rsid w:val="6B835157"/>
    <w:rsid w:val="6B880306"/>
    <w:rsid w:val="6B891629"/>
    <w:rsid w:val="6B8A0784"/>
    <w:rsid w:val="6B8B0D02"/>
    <w:rsid w:val="6B950678"/>
    <w:rsid w:val="6B986312"/>
    <w:rsid w:val="6B9913D6"/>
    <w:rsid w:val="6B9C1D1C"/>
    <w:rsid w:val="6B9D66DF"/>
    <w:rsid w:val="6BA037B6"/>
    <w:rsid w:val="6BAA7052"/>
    <w:rsid w:val="6BAE6A0C"/>
    <w:rsid w:val="6BB46B7E"/>
    <w:rsid w:val="6BB65A0E"/>
    <w:rsid w:val="6BB86CE0"/>
    <w:rsid w:val="6BB9525B"/>
    <w:rsid w:val="6BBA73EC"/>
    <w:rsid w:val="6BBF1930"/>
    <w:rsid w:val="6BC61EED"/>
    <w:rsid w:val="6BC622B3"/>
    <w:rsid w:val="6BC712B5"/>
    <w:rsid w:val="6BD16A0B"/>
    <w:rsid w:val="6BD25DDD"/>
    <w:rsid w:val="6BD716E8"/>
    <w:rsid w:val="6BE0353F"/>
    <w:rsid w:val="6BE5163C"/>
    <w:rsid w:val="6BE97E00"/>
    <w:rsid w:val="6BEA4C3A"/>
    <w:rsid w:val="6BEB0C1E"/>
    <w:rsid w:val="6BF228D8"/>
    <w:rsid w:val="6BF61EE9"/>
    <w:rsid w:val="6BFA4FCF"/>
    <w:rsid w:val="6BFB2DDA"/>
    <w:rsid w:val="6C023ACA"/>
    <w:rsid w:val="6C027D90"/>
    <w:rsid w:val="6C056988"/>
    <w:rsid w:val="6C077E1F"/>
    <w:rsid w:val="6C0B1FE0"/>
    <w:rsid w:val="6C100BA5"/>
    <w:rsid w:val="6C122324"/>
    <w:rsid w:val="6C142A24"/>
    <w:rsid w:val="6C176083"/>
    <w:rsid w:val="6C1A3522"/>
    <w:rsid w:val="6C1B7F6A"/>
    <w:rsid w:val="6C1F28AE"/>
    <w:rsid w:val="6C203F98"/>
    <w:rsid w:val="6C2370D7"/>
    <w:rsid w:val="6C2A46A4"/>
    <w:rsid w:val="6C2B550D"/>
    <w:rsid w:val="6C3078D5"/>
    <w:rsid w:val="6C34654A"/>
    <w:rsid w:val="6C393A1A"/>
    <w:rsid w:val="6C3A4222"/>
    <w:rsid w:val="6C3A4470"/>
    <w:rsid w:val="6C3C0573"/>
    <w:rsid w:val="6C3E475A"/>
    <w:rsid w:val="6C3E68F6"/>
    <w:rsid w:val="6C423727"/>
    <w:rsid w:val="6C466B48"/>
    <w:rsid w:val="6C520506"/>
    <w:rsid w:val="6C5333AF"/>
    <w:rsid w:val="6C644E57"/>
    <w:rsid w:val="6C714C52"/>
    <w:rsid w:val="6C8233FD"/>
    <w:rsid w:val="6C830109"/>
    <w:rsid w:val="6C8A3CBA"/>
    <w:rsid w:val="6C8B5E1C"/>
    <w:rsid w:val="6C933658"/>
    <w:rsid w:val="6C997DE3"/>
    <w:rsid w:val="6C9C62EE"/>
    <w:rsid w:val="6CA206EB"/>
    <w:rsid w:val="6CA3788B"/>
    <w:rsid w:val="6CA960B4"/>
    <w:rsid w:val="6CAB15B6"/>
    <w:rsid w:val="6CB244A3"/>
    <w:rsid w:val="6CB37708"/>
    <w:rsid w:val="6CBC2496"/>
    <w:rsid w:val="6CC400A1"/>
    <w:rsid w:val="6CC44DE1"/>
    <w:rsid w:val="6CC920E3"/>
    <w:rsid w:val="6CCE5B6A"/>
    <w:rsid w:val="6CD46746"/>
    <w:rsid w:val="6CD63C83"/>
    <w:rsid w:val="6CD77FCB"/>
    <w:rsid w:val="6CE14BB8"/>
    <w:rsid w:val="6CE35091"/>
    <w:rsid w:val="6CE73ECD"/>
    <w:rsid w:val="6CE80FFC"/>
    <w:rsid w:val="6CEA5CDF"/>
    <w:rsid w:val="6CED45C5"/>
    <w:rsid w:val="6CED5AC6"/>
    <w:rsid w:val="6CEE4D5A"/>
    <w:rsid w:val="6CEE539A"/>
    <w:rsid w:val="6CEF737B"/>
    <w:rsid w:val="6CF26D49"/>
    <w:rsid w:val="6CF8662E"/>
    <w:rsid w:val="6CFC068A"/>
    <w:rsid w:val="6D02334B"/>
    <w:rsid w:val="6D0C707A"/>
    <w:rsid w:val="6D191B73"/>
    <w:rsid w:val="6D1A57B7"/>
    <w:rsid w:val="6D263233"/>
    <w:rsid w:val="6D263EE7"/>
    <w:rsid w:val="6D272A8E"/>
    <w:rsid w:val="6D275351"/>
    <w:rsid w:val="6D2F058A"/>
    <w:rsid w:val="6D3633D2"/>
    <w:rsid w:val="6D3776A6"/>
    <w:rsid w:val="6D381C4A"/>
    <w:rsid w:val="6D4439BC"/>
    <w:rsid w:val="6D49255F"/>
    <w:rsid w:val="6D4D3615"/>
    <w:rsid w:val="6D50324E"/>
    <w:rsid w:val="6D531A62"/>
    <w:rsid w:val="6D532AF8"/>
    <w:rsid w:val="6D6D7E7E"/>
    <w:rsid w:val="6D701FD3"/>
    <w:rsid w:val="6D7562AF"/>
    <w:rsid w:val="6D7924D7"/>
    <w:rsid w:val="6D7C765F"/>
    <w:rsid w:val="6D7E4C35"/>
    <w:rsid w:val="6D7E7A7D"/>
    <w:rsid w:val="6D813995"/>
    <w:rsid w:val="6D826595"/>
    <w:rsid w:val="6D82697D"/>
    <w:rsid w:val="6D8622B6"/>
    <w:rsid w:val="6D874CDB"/>
    <w:rsid w:val="6D9B1203"/>
    <w:rsid w:val="6DA239FE"/>
    <w:rsid w:val="6DA44073"/>
    <w:rsid w:val="6DA909C0"/>
    <w:rsid w:val="6DAE5BA6"/>
    <w:rsid w:val="6DBD599B"/>
    <w:rsid w:val="6DC3304A"/>
    <w:rsid w:val="6DC41D62"/>
    <w:rsid w:val="6DC64E83"/>
    <w:rsid w:val="6DE13C32"/>
    <w:rsid w:val="6DE73739"/>
    <w:rsid w:val="6DEB03F4"/>
    <w:rsid w:val="6DED19AB"/>
    <w:rsid w:val="6DF77061"/>
    <w:rsid w:val="6DF917E6"/>
    <w:rsid w:val="6DFA0E6E"/>
    <w:rsid w:val="6DFB66EC"/>
    <w:rsid w:val="6DFC3368"/>
    <w:rsid w:val="6DFF2E05"/>
    <w:rsid w:val="6E01633E"/>
    <w:rsid w:val="6E027334"/>
    <w:rsid w:val="6E0A10E9"/>
    <w:rsid w:val="6E0B210B"/>
    <w:rsid w:val="6E10292C"/>
    <w:rsid w:val="6E105171"/>
    <w:rsid w:val="6E106C4F"/>
    <w:rsid w:val="6E123694"/>
    <w:rsid w:val="6E123953"/>
    <w:rsid w:val="6E184B8D"/>
    <w:rsid w:val="6E1D2555"/>
    <w:rsid w:val="6E2A4E2D"/>
    <w:rsid w:val="6E3420CE"/>
    <w:rsid w:val="6E38315D"/>
    <w:rsid w:val="6E431900"/>
    <w:rsid w:val="6E446688"/>
    <w:rsid w:val="6E447C26"/>
    <w:rsid w:val="6E4902B6"/>
    <w:rsid w:val="6E4D000E"/>
    <w:rsid w:val="6E4E7B17"/>
    <w:rsid w:val="6E54146E"/>
    <w:rsid w:val="6E6534F3"/>
    <w:rsid w:val="6E661A13"/>
    <w:rsid w:val="6E6B595B"/>
    <w:rsid w:val="6E740F44"/>
    <w:rsid w:val="6E764E53"/>
    <w:rsid w:val="6E771B6C"/>
    <w:rsid w:val="6E79770C"/>
    <w:rsid w:val="6E7B2B12"/>
    <w:rsid w:val="6E7F4E01"/>
    <w:rsid w:val="6E810416"/>
    <w:rsid w:val="6E876ABA"/>
    <w:rsid w:val="6E885167"/>
    <w:rsid w:val="6E931EAB"/>
    <w:rsid w:val="6E934D7E"/>
    <w:rsid w:val="6E985385"/>
    <w:rsid w:val="6E9A3DFE"/>
    <w:rsid w:val="6E9B01BC"/>
    <w:rsid w:val="6E9C60F0"/>
    <w:rsid w:val="6EB4251D"/>
    <w:rsid w:val="6EC34CBC"/>
    <w:rsid w:val="6EC4697C"/>
    <w:rsid w:val="6ECA27E3"/>
    <w:rsid w:val="6ECB45FE"/>
    <w:rsid w:val="6ECC5F0E"/>
    <w:rsid w:val="6ED204CD"/>
    <w:rsid w:val="6ED50D0C"/>
    <w:rsid w:val="6ED76991"/>
    <w:rsid w:val="6ED95C64"/>
    <w:rsid w:val="6EF00AB4"/>
    <w:rsid w:val="6EF142E8"/>
    <w:rsid w:val="6EFA3F23"/>
    <w:rsid w:val="6F063965"/>
    <w:rsid w:val="6F0A1713"/>
    <w:rsid w:val="6F0D6D67"/>
    <w:rsid w:val="6F123661"/>
    <w:rsid w:val="6F181047"/>
    <w:rsid w:val="6F1A2484"/>
    <w:rsid w:val="6F1A5B1E"/>
    <w:rsid w:val="6F1B28E6"/>
    <w:rsid w:val="6F1C6247"/>
    <w:rsid w:val="6F1D6783"/>
    <w:rsid w:val="6F1E6F9A"/>
    <w:rsid w:val="6F2A7E57"/>
    <w:rsid w:val="6F2C17B3"/>
    <w:rsid w:val="6F3127D0"/>
    <w:rsid w:val="6F31481B"/>
    <w:rsid w:val="6F325346"/>
    <w:rsid w:val="6F326E81"/>
    <w:rsid w:val="6F382C0E"/>
    <w:rsid w:val="6F3B12BA"/>
    <w:rsid w:val="6F4148BB"/>
    <w:rsid w:val="6F4326EC"/>
    <w:rsid w:val="6F441FF1"/>
    <w:rsid w:val="6F4F5283"/>
    <w:rsid w:val="6F53254B"/>
    <w:rsid w:val="6F561156"/>
    <w:rsid w:val="6F5741AC"/>
    <w:rsid w:val="6F592A86"/>
    <w:rsid w:val="6F596E51"/>
    <w:rsid w:val="6F5C7BF4"/>
    <w:rsid w:val="6F634AC8"/>
    <w:rsid w:val="6F6A41B3"/>
    <w:rsid w:val="6F7100B1"/>
    <w:rsid w:val="6F7C2745"/>
    <w:rsid w:val="6F7C5F10"/>
    <w:rsid w:val="6F814CC0"/>
    <w:rsid w:val="6F825ADE"/>
    <w:rsid w:val="6F8A4A0D"/>
    <w:rsid w:val="6F8F3916"/>
    <w:rsid w:val="6F9D70DB"/>
    <w:rsid w:val="6FA07689"/>
    <w:rsid w:val="6FA177E5"/>
    <w:rsid w:val="6FA26F06"/>
    <w:rsid w:val="6FAA66C1"/>
    <w:rsid w:val="6FAD66AD"/>
    <w:rsid w:val="6FB54845"/>
    <w:rsid w:val="6FB54E01"/>
    <w:rsid w:val="6FB62218"/>
    <w:rsid w:val="6FB62674"/>
    <w:rsid w:val="6FB677DC"/>
    <w:rsid w:val="6FBD0412"/>
    <w:rsid w:val="6FC30E1A"/>
    <w:rsid w:val="6FC42C38"/>
    <w:rsid w:val="6FC60780"/>
    <w:rsid w:val="6FC94F05"/>
    <w:rsid w:val="6FCB0BD0"/>
    <w:rsid w:val="6FD15463"/>
    <w:rsid w:val="6FD72F28"/>
    <w:rsid w:val="6FDA79F3"/>
    <w:rsid w:val="6FDB2D3F"/>
    <w:rsid w:val="6FE63CC4"/>
    <w:rsid w:val="6FEA10FC"/>
    <w:rsid w:val="6FF126B9"/>
    <w:rsid w:val="6FF27BBD"/>
    <w:rsid w:val="6FF77BAE"/>
    <w:rsid w:val="6FF823EC"/>
    <w:rsid w:val="6FFA4919"/>
    <w:rsid w:val="70034107"/>
    <w:rsid w:val="700970CF"/>
    <w:rsid w:val="700A796B"/>
    <w:rsid w:val="70100506"/>
    <w:rsid w:val="701275D1"/>
    <w:rsid w:val="70173DBA"/>
    <w:rsid w:val="701F15CF"/>
    <w:rsid w:val="702A2E6C"/>
    <w:rsid w:val="70382E46"/>
    <w:rsid w:val="703A76BB"/>
    <w:rsid w:val="703F766D"/>
    <w:rsid w:val="70421A6C"/>
    <w:rsid w:val="70425E8B"/>
    <w:rsid w:val="704313AB"/>
    <w:rsid w:val="704439BC"/>
    <w:rsid w:val="70450429"/>
    <w:rsid w:val="704D577C"/>
    <w:rsid w:val="704F1E0C"/>
    <w:rsid w:val="705125C6"/>
    <w:rsid w:val="70515CF1"/>
    <w:rsid w:val="705E689A"/>
    <w:rsid w:val="70615589"/>
    <w:rsid w:val="7063143F"/>
    <w:rsid w:val="707773FF"/>
    <w:rsid w:val="707867A2"/>
    <w:rsid w:val="707E0E21"/>
    <w:rsid w:val="70872448"/>
    <w:rsid w:val="708915C1"/>
    <w:rsid w:val="708D6483"/>
    <w:rsid w:val="70920B9F"/>
    <w:rsid w:val="7096620A"/>
    <w:rsid w:val="709A423C"/>
    <w:rsid w:val="70A47F45"/>
    <w:rsid w:val="70AB0CDC"/>
    <w:rsid w:val="70AC58BE"/>
    <w:rsid w:val="70B86BB6"/>
    <w:rsid w:val="70C06FEC"/>
    <w:rsid w:val="70C141D5"/>
    <w:rsid w:val="70C22E65"/>
    <w:rsid w:val="70C45CE5"/>
    <w:rsid w:val="70C71AF7"/>
    <w:rsid w:val="70C764B7"/>
    <w:rsid w:val="70C9799F"/>
    <w:rsid w:val="70CC6FB8"/>
    <w:rsid w:val="70CD6F24"/>
    <w:rsid w:val="70D23662"/>
    <w:rsid w:val="70D82328"/>
    <w:rsid w:val="70D86A07"/>
    <w:rsid w:val="70D87276"/>
    <w:rsid w:val="70D927FB"/>
    <w:rsid w:val="70E109F4"/>
    <w:rsid w:val="70E40FA6"/>
    <w:rsid w:val="70E52D1B"/>
    <w:rsid w:val="70E80B61"/>
    <w:rsid w:val="70EA63BB"/>
    <w:rsid w:val="70ED149C"/>
    <w:rsid w:val="70F31A1D"/>
    <w:rsid w:val="70F41DD2"/>
    <w:rsid w:val="70FB2A5F"/>
    <w:rsid w:val="71036B95"/>
    <w:rsid w:val="71046DDD"/>
    <w:rsid w:val="710A1C10"/>
    <w:rsid w:val="711D5975"/>
    <w:rsid w:val="711E09AB"/>
    <w:rsid w:val="71263432"/>
    <w:rsid w:val="71274CEF"/>
    <w:rsid w:val="712835D3"/>
    <w:rsid w:val="712A2E73"/>
    <w:rsid w:val="712E2CAD"/>
    <w:rsid w:val="71350391"/>
    <w:rsid w:val="71351E30"/>
    <w:rsid w:val="71393255"/>
    <w:rsid w:val="713F7907"/>
    <w:rsid w:val="71404E62"/>
    <w:rsid w:val="714964F5"/>
    <w:rsid w:val="71520B19"/>
    <w:rsid w:val="71544CC8"/>
    <w:rsid w:val="715560BB"/>
    <w:rsid w:val="71580C09"/>
    <w:rsid w:val="715E1DC8"/>
    <w:rsid w:val="715E3C2D"/>
    <w:rsid w:val="716133D8"/>
    <w:rsid w:val="71617825"/>
    <w:rsid w:val="71637A2A"/>
    <w:rsid w:val="717A243D"/>
    <w:rsid w:val="717A3F32"/>
    <w:rsid w:val="718032E6"/>
    <w:rsid w:val="71865A7F"/>
    <w:rsid w:val="718B2A1D"/>
    <w:rsid w:val="718B2EB2"/>
    <w:rsid w:val="719B2511"/>
    <w:rsid w:val="719E4A83"/>
    <w:rsid w:val="719E5954"/>
    <w:rsid w:val="71A55F3A"/>
    <w:rsid w:val="71A60FA5"/>
    <w:rsid w:val="71AA5B65"/>
    <w:rsid w:val="71B55F45"/>
    <w:rsid w:val="71B839C5"/>
    <w:rsid w:val="71BD337C"/>
    <w:rsid w:val="71BD440D"/>
    <w:rsid w:val="71BE1BA2"/>
    <w:rsid w:val="71BE29B8"/>
    <w:rsid w:val="71BF691C"/>
    <w:rsid w:val="71C13B1E"/>
    <w:rsid w:val="71C34D3E"/>
    <w:rsid w:val="71C35AFC"/>
    <w:rsid w:val="71C739E1"/>
    <w:rsid w:val="71CA0FE7"/>
    <w:rsid w:val="71CA5834"/>
    <w:rsid w:val="71CF48A5"/>
    <w:rsid w:val="71D77EAE"/>
    <w:rsid w:val="71D82C85"/>
    <w:rsid w:val="71E86933"/>
    <w:rsid w:val="71EB00F4"/>
    <w:rsid w:val="71EC4358"/>
    <w:rsid w:val="71F23E68"/>
    <w:rsid w:val="71FA2B88"/>
    <w:rsid w:val="71FE27FD"/>
    <w:rsid w:val="72001776"/>
    <w:rsid w:val="7205718B"/>
    <w:rsid w:val="72060023"/>
    <w:rsid w:val="720C3129"/>
    <w:rsid w:val="72161A9E"/>
    <w:rsid w:val="72240AB3"/>
    <w:rsid w:val="722D4428"/>
    <w:rsid w:val="722F1A59"/>
    <w:rsid w:val="7236613E"/>
    <w:rsid w:val="72374649"/>
    <w:rsid w:val="723B569B"/>
    <w:rsid w:val="723E34A1"/>
    <w:rsid w:val="72407A65"/>
    <w:rsid w:val="72417C3A"/>
    <w:rsid w:val="72481AC4"/>
    <w:rsid w:val="72485FFB"/>
    <w:rsid w:val="72504F5F"/>
    <w:rsid w:val="72583F8D"/>
    <w:rsid w:val="725E7A97"/>
    <w:rsid w:val="7265256B"/>
    <w:rsid w:val="72717289"/>
    <w:rsid w:val="727615BA"/>
    <w:rsid w:val="727A3B93"/>
    <w:rsid w:val="72836203"/>
    <w:rsid w:val="72865DD3"/>
    <w:rsid w:val="72874CC6"/>
    <w:rsid w:val="728D54A0"/>
    <w:rsid w:val="728E105A"/>
    <w:rsid w:val="72952402"/>
    <w:rsid w:val="72982F13"/>
    <w:rsid w:val="72994B47"/>
    <w:rsid w:val="72996282"/>
    <w:rsid w:val="729A4A17"/>
    <w:rsid w:val="729E740D"/>
    <w:rsid w:val="72A21E79"/>
    <w:rsid w:val="72A442DD"/>
    <w:rsid w:val="72AC7399"/>
    <w:rsid w:val="72AD2E42"/>
    <w:rsid w:val="72B145C7"/>
    <w:rsid w:val="72B717E9"/>
    <w:rsid w:val="72BA6995"/>
    <w:rsid w:val="72BB5968"/>
    <w:rsid w:val="72BC0AAD"/>
    <w:rsid w:val="72C11F4D"/>
    <w:rsid w:val="72C62488"/>
    <w:rsid w:val="72C677AE"/>
    <w:rsid w:val="72CA41AF"/>
    <w:rsid w:val="72CB4080"/>
    <w:rsid w:val="72CE76B5"/>
    <w:rsid w:val="72D56016"/>
    <w:rsid w:val="72D71016"/>
    <w:rsid w:val="72DB756B"/>
    <w:rsid w:val="72DD6F8B"/>
    <w:rsid w:val="72DE05AB"/>
    <w:rsid w:val="72DE1367"/>
    <w:rsid w:val="72E01EA1"/>
    <w:rsid w:val="72E048A5"/>
    <w:rsid w:val="72E54DE6"/>
    <w:rsid w:val="72EA032B"/>
    <w:rsid w:val="72EB0EA4"/>
    <w:rsid w:val="72F070A5"/>
    <w:rsid w:val="72F12697"/>
    <w:rsid w:val="72F366CD"/>
    <w:rsid w:val="72F47E19"/>
    <w:rsid w:val="72F51AC3"/>
    <w:rsid w:val="72FA71A6"/>
    <w:rsid w:val="73014264"/>
    <w:rsid w:val="7302197A"/>
    <w:rsid w:val="730E23B5"/>
    <w:rsid w:val="73113305"/>
    <w:rsid w:val="73134FE5"/>
    <w:rsid w:val="731629F3"/>
    <w:rsid w:val="73184E6D"/>
    <w:rsid w:val="73234B20"/>
    <w:rsid w:val="732837E1"/>
    <w:rsid w:val="732B03E9"/>
    <w:rsid w:val="732B1455"/>
    <w:rsid w:val="73345A6F"/>
    <w:rsid w:val="73372DBC"/>
    <w:rsid w:val="733A5E74"/>
    <w:rsid w:val="733A6FDD"/>
    <w:rsid w:val="733B057A"/>
    <w:rsid w:val="733D76BB"/>
    <w:rsid w:val="733E5926"/>
    <w:rsid w:val="734158FF"/>
    <w:rsid w:val="734E7188"/>
    <w:rsid w:val="735454F8"/>
    <w:rsid w:val="735562E9"/>
    <w:rsid w:val="735970C4"/>
    <w:rsid w:val="735B62D9"/>
    <w:rsid w:val="73611B09"/>
    <w:rsid w:val="7365330B"/>
    <w:rsid w:val="737C03E7"/>
    <w:rsid w:val="737F41F5"/>
    <w:rsid w:val="738A7B19"/>
    <w:rsid w:val="738C6BE7"/>
    <w:rsid w:val="738D36AF"/>
    <w:rsid w:val="738D782B"/>
    <w:rsid w:val="738E3A8F"/>
    <w:rsid w:val="73945EAB"/>
    <w:rsid w:val="73954CB0"/>
    <w:rsid w:val="739B58D8"/>
    <w:rsid w:val="739F3E70"/>
    <w:rsid w:val="73A35BA5"/>
    <w:rsid w:val="73B04A5A"/>
    <w:rsid w:val="73B2461C"/>
    <w:rsid w:val="73B4513F"/>
    <w:rsid w:val="73B552CE"/>
    <w:rsid w:val="73B56BC7"/>
    <w:rsid w:val="73B71442"/>
    <w:rsid w:val="73C3504F"/>
    <w:rsid w:val="73C71767"/>
    <w:rsid w:val="73D27BAD"/>
    <w:rsid w:val="73D87AFD"/>
    <w:rsid w:val="73DA17F7"/>
    <w:rsid w:val="73DC5E73"/>
    <w:rsid w:val="73DF3A12"/>
    <w:rsid w:val="73E05B6F"/>
    <w:rsid w:val="73E55ABF"/>
    <w:rsid w:val="73EB6D8D"/>
    <w:rsid w:val="73EC6220"/>
    <w:rsid w:val="73F5420B"/>
    <w:rsid w:val="73FA7C1B"/>
    <w:rsid w:val="73FB5966"/>
    <w:rsid w:val="74002DCD"/>
    <w:rsid w:val="740241A5"/>
    <w:rsid w:val="74067B01"/>
    <w:rsid w:val="74074A54"/>
    <w:rsid w:val="740E0249"/>
    <w:rsid w:val="740E3B78"/>
    <w:rsid w:val="741025FC"/>
    <w:rsid w:val="74191B3D"/>
    <w:rsid w:val="74193E28"/>
    <w:rsid w:val="741B7697"/>
    <w:rsid w:val="741E7DA5"/>
    <w:rsid w:val="741F4903"/>
    <w:rsid w:val="741F6192"/>
    <w:rsid w:val="741F61B6"/>
    <w:rsid w:val="74315E53"/>
    <w:rsid w:val="74334468"/>
    <w:rsid w:val="74375ECA"/>
    <w:rsid w:val="7438114F"/>
    <w:rsid w:val="743E7A7F"/>
    <w:rsid w:val="744212DD"/>
    <w:rsid w:val="7447001E"/>
    <w:rsid w:val="74493E52"/>
    <w:rsid w:val="744A1C23"/>
    <w:rsid w:val="744C5C9B"/>
    <w:rsid w:val="744E54C7"/>
    <w:rsid w:val="744E7CE0"/>
    <w:rsid w:val="74533C58"/>
    <w:rsid w:val="74552E1D"/>
    <w:rsid w:val="74555690"/>
    <w:rsid w:val="745E7718"/>
    <w:rsid w:val="74633A47"/>
    <w:rsid w:val="746369D5"/>
    <w:rsid w:val="74670FA3"/>
    <w:rsid w:val="74687EB0"/>
    <w:rsid w:val="746A43F8"/>
    <w:rsid w:val="746D4D28"/>
    <w:rsid w:val="74727D31"/>
    <w:rsid w:val="7475527E"/>
    <w:rsid w:val="747F5D8E"/>
    <w:rsid w:val="74873DF1"/>
    <w:rsid w:val="74880338"/>
    <w:rsid w:val="7488531E"/>
    <w:rsid w:val="74914C75"/>
    <w:rsid w:val="74932AC2"/>
    <w:rsid w:val="74932AFC"/>
    <w:rsid w:val="74A24D48"/>
    <w:rsid w:val="74A55A63"/>
    <w:rsid w:val="74AB0EC2"/>
    <w:rsid w:val="74AE02FC"/>
    <w:rsid w:val="74B4241C"/>
    <w:rsid w:val="74BC3CAF"/>
    <w:rsid w:val="74CA55BE"/>
    <w:rsid w:val="74CD2666"/>
    <w:rsid w:val="74CE44E2"/>
    <w:rsid w:val="74D07E42"/>
    <w:rsid w:val="74D42E71"/>
    <w:rsid w:val="74D56B4F"/>
    <w:rsid w:val="74D70376"/>
    <w:rsid w:val="74D862D2"/>
    <w:rsid w:val="74DF18F2"/>
    <w:rsid w:val="74E34192"/>
    <w:rsid w:val="74F2783D"/>
    <w:rsid w:val="74FA3139"/>
    <w:rsid w:val="75051421"/>
    <w:rsid w:val="750A4D8E"/>
    <w:rsid w:val="75172970"/>
    <w:rsid w:val="751B2BFB"/>
    <w:rsid w:val="751C18C1"/>
    <w:rsid w:val="751F1E4B"/>
    <w:rsid w:val="751F7682"/>
    <w:rsid w:val="75222B83"/>
    <w:rsid w:val="75261C52"/>
    <w:rsid w:val="75261CB8"/>
    <w:rsid w:val="75405969"/>
    <w:rsid w:val="75405FF1"/>
    <w:rsid w:val="75492D16"/>
    <w:rsid w:val="75496AB8"/>
    <w:rsid w:val="754B6BF0"/>
    <w:rsid w:val="755771A9"/>
    <w:rsid w:val="755A5456"/>
    <w:rsid w:val="755E33AF"/>
    <w:rsid w:val="756C5766"/>
    <w:rsid w:val="756D0D31"/>
    <w:rsid w:val="75703694"/>
    <w:rsid w:val="757C02B8"/>
    <w:rsid w:val="75824BF6"/>
    <w:rsid w:val="75841C79"/>
    <w:rsid w:val="75872F7D"/>
    <w:rsid w:val="75881796"/>
    <w:rsid w:val="758E3F25"/>
    <w:rsid w:val="75A11434"/>
    <w:rsid w:val="75AD1560"/>
    <w:rsid w:val="75B0626A"/>
    <w:rsid w:val="75B13DEE"/>
    <w:rsid w:val="75BA0F8E"/>
    <w:rsid w:val="75BB423D"/>
    <w:rsid w:val="75BC6B40"/>
    <w:rsid w:val="75BD7691"/>
    <w:rsid w:val="75C17161"/>
    <w:rsid w:val="75C53323"/>
    <w:rsid w:val="75CB7381"/>
    <w:rsid w:val="75CC33FF"/>
    <w:rsid w:val="75CD029F"/>
    <w:rsid w:val="75D11238"/>
    <w:rsid w:val="75D4418A"/>
    <w:rsid w:val="75D57E54"/>
    <w:rsid w:val="75D61259"/>
    <w:rsid w:val="75D912D0"/>
    <w:rsid w:val="75EA514C"/>
    <w:rsid w:val="75EC5B3B"/>
    <w:rsid w:val="75ED30FA"/>
    <w:rsid w:val="75F07E73"/>
    <w:rsid w:val="75F65258"/>
    <w:rsid w:val="75FB6AC9"/>
    <w:rsid w:val="75FC395A"/>
    <w:rsid w:val="760A0AD1"/>
    <w:rsid w:val="7612618D"/>
    <w:rsid w:val="761317EC"/>
    <w:rsid w:val="761E260C"/>
    <w:rsid w:val="76205118"/>
    <w:rsid w:val="76213C7E"/>
    <w:rsid w:val="7632488E"/>
    <w:rsid w:val="763456CA"/>
    <w:rsid w:val="763E773B"/>
    <w:rsid w:val="764539D4"/>
    <w:rsid w:val="764670C6"/>
    <w:rsid w:val="7651771B"/>
    <w:rsid w:val="76544ABA"/>
    <w:rsid w:val="7656435C"/>
    <w:rsid w:val="76595511"/>
    <w:rsid w:val="765B7676"/>
    <w:rsid w:val="76630E57"/>
    <w:rsid w:val="76662287"/>
    <w:rsid w:val="766F3327"/>
    <w:rsid w:val="767078E4"/>
    <w:rsid w:val="76744948"/>
    <w:rsid w:val="767D2EBE"/>
    <w:rsid w:val="767E3C39"/>
    <w:rsid w:val="7680538C"/>
    <w:rsid w:val="76820947"/>
    <w:rsid w:val="768C2C03"/>
    <w:rsid w:val="768C799E"/>
    <w:rsid w:val="76902745"/>
    <w:rsid w:val="76934CC3"/>
    <w:rsid w:val="76943F64"/>
    <w:rsid w:val="76961645"/>
    <w:rsid w:val="76965AE0"/>
    <w:rsid w:val="7696737F"/>
    <w:rsid w:val="769C108F"/>
    <w:rsid w:val="769D5FB0"/>
    <w:rsid w:val="769F196E"/>
    <w:rsid w:val="769F79DE"/>
    <w:rsid w:val="76A01DA1"/>
    <w:rsid w:val="76A11FEA"/>
    <w:rsid w:val="76A57598"/>
    <w:rsid w:val="76A71654"/>
    <w:rsid w:val="76A743F3"/>
    <w:rsid w:val="76AB5ECB"/>
    <w:rsid w:val="76AD083E"/>
    <w:rsid w:val="76B13964"/>
    <w:rsid w:val="76B64C32"/>
    <w:rsid w:val="76BA211D"/>
    <w:rsid w:val="76C10E41"/>
    <w:rsid w:val="76C136AE"/>
    <w:rsid w:val="76C43AA1"/>
    <w:rsid w:val="76C75323"/>
    <w:rsid w:val="76C80A93"/>
    <w:rsid w:val="76CC76B1"/>
    <w:rsid w:val="76CF5139"/>
    <w:rsid w:val="76D151F0"/>
    <w:rsid w:val="76D40316"/>
    <w:rsid w:val="76D77082"/>
    <w:rsid w:val="76D812D6"/>
    <w:rsid w:val="76DC34E1"/>
    <w:rsid w:val="76DD7C84"/>
    <w:rsid w:val="76DE19E0"/>
    <w:rsid w:val="76DF0805"/>
    <w:rsid w:val="76E40314"/>
    <w:rsid w:val="76E96DD7"/>
    <w:rsid w:val="76EC3681"/>
    <w:rsid w:val="76ED79BC"/>
    <w:rsid w:val="76F1705B"/>
    <w:rsid w:val="76F2450D"/>
    <w:rsid w:val="76F71B83"/>
    <w:rsid w:val="76FB6E50"/>
    <w:rsid w:val="76FE3E87"/>
    <w:rsid w:val="770D231D"/>
    <w:rsid w:val="77113BEF"/>
    <w:rsid w:val="771C6BE0"/>
    <w:rsid w:val="77211052"/>
    <w:rsid w:val="77221927"/>
    <w:rsid w:val="77226874"/>
    <w:rsid w:val="77251B4C"/>
    <w:rsid w:val="77277366"/>
    <w:rsid w:val="77287911"/>
    <w:rsid w:val="772C20C0"/>
    <w:rsid w:val="772D68D8"/>
    <w:rsid w:val="773A7EE9"/>
    <w:rsid w:val="773F0971"/>
    <w:rsid w:val="77460E10"/>
    <w:rsid w:val="77464C33"/>
    <w:rsid w:val="774800DC"/>
    <w:rsid w:val="77482048"/>
    <w:rsid w:val="774A55D4"/>
    <w:rsid w:val="774C77DE"/>
    <w:rsid w:val="7754653D"/>
    <w:rsid w:val="77575AC0"/>
    <w:rsid w:val="7758587A"/>
    <w:rsid w:val="775B0EA2"/>
    <w:rsid w:val="775B517A"/>
    <w:rsid w:val="77604C33"/>
    <w:rsid w:val="776F0522"/>
    <w:rsid w:val="777053AF"/>
    <w:rsid w:val="7776130E"/>
    <w:rsid w:val="77776F71"/>
    <w:rsid w:val="777832D7"/>
    <w:rsid w:val="777F02FB"/>
    <w:rsid w:val="7787615C"/>
    <w:rsid w:val="778A41FF"/>
    <w:rsid w:val="778B75C7"/>
    <w:rsid w:val="778D7EA5"/>
    <w:rsid w:val="77916281"/>
    <w:rsid w:val="77977C88"/>
    <w:rsid w:val="77982A55"/>
    <w:rsid w:val="779A33A8"/>
    <w:rsid w:val="779E40C8"/>
    <w:rsid w:val="77A63CAC"/>
    <w:rsid w:val="77A84585"/>
    <w:rsid w:val="77AB1180"/>
    <w:rsid w:val="77AD758E"/>
    <w:rsid w:val="77B54CE4"/>
    <w:rsid w:val="77B97FF6"/>
    <w:rsid w:val="77C013D9"/>
    <w:rsid w:val="77C36D9E"/>
    <w:rsid w:val="77CC1857"/>
    <w:rsid w:val="77CC5857"/>
    <w:rsid w:val="77CE0186"/>
    <w:rsid w:val="77CE3352"/>
    <w:rsid w:val="77D21CBE"/>
    <w:rsid w:val="77D52DE8"/>
    <w:rsid w:val="77D56093"/>
    <w:rsid w:val="77E02C47"/>
    <w:rsid w:val="77E17BE4"/>
    <w:rsid w:val="77E2140C"/>
    <w:rsid w:val="77E37A8F"/>
    <w:rsid w:val="77E56C4A"/>
    <w:rsid w:val="77E9441E"/>
    <w:rsid w:val="77EC6B18"/>
    <w:rsid w:val="77EF3792"/>
    <w:rsid w:val="77F22AF4"/>
    <w:rsid w:val="77F77BBE"/>
    <w:rsid w:val="77F8422E"/>
    <w:rsid w:val="77F908FA"/>
    <w:rsid w:val="77FC2AA8"/>
    <w:rsid w:val="78005798"/>
    <w:rsid w:val="780170F2"/>
    <w:rsid w:val="78024C74"/>
    <w:rsid w:val="780D3D3E"/>
    <w:rsid w:val="780F2C83"/>
    <w:rsid w:val="78114694"/>
    <w:rsid w:val="78121917"/>
    <w:rsid w:val="78142780"/>
    <w:rsid w:val="78187AAC"/>
    <w:rsid w:val="781B696C"/>
    <w:rsid w:val="78227E24"/>
    <w:rsid w:val="78264778"/>
    <w:rsid w:val="7827234B"/>
    <w:rsid w:val="78280397"/>
    <w:rsid w:val="782C15EC"/>
    <w:rsid w:val="78316C70"/>
    <w:rsid w:val="78332A51"/>
    <w:rsid w:val="783425B4"/>
    <w:rsid w:val="78362C39"/>
    <w:rsid w:val="783B546E"/>
    <w:rsid w:val="78440F77"/>
    <w:rsid w:val="78531DF8"/>
    <w:rsid w:val="785A17AE"/>
    <w:rsid w:val="785C18F3"/>
    <w:rsid w:val="78627B04"/>
    <w:rsid w:val="786328A5"/>
    <w:rsid w:val="786423E3"/>
    <w:rsid w:val="7868341F"/>
    <w:rsid w:val="786D3365"/>
    <w:rsid w:val="78703C1C"/>
    <w:rsid w:val="78741529"/>
    <w:rsid w:val="78816175"/>
    <w:rsid w:val="78834D2D"/>
    <w:rsid w:val="78861F3E"/>
    <w:rsid w:val="78874013"/>
    <w:rsid w:val="788C1779"/>
    <w:rsid w:val="788C5100"/>
    <w:rsid w:val="788D0E0C"/>
    <w:rsid w:val="78900552"/>
    <w:rsid w:val="789058FF"/>
    <w:rsid w:val="789433F2"/>
    <w:rsid w:val="78945242"/>
    <w:rsid w:val="78A2481C"/>
    <w:rsid w:val="78A87D29"/>
    <w:rsid w:val="78AA14BC"/>
    <w:rsid w:val="78B10DF1"/>
    <w:rsid w:val="78B27F86"/>
    <w:rsid w:val="78B868AF"/>
    <w:rsid w:val="78B95CDB"/>
    <w:rsid w:val="78C219FA"/>
    <w:rsid w:val="78C4144F"/>
    <w:rsid w:val="78C64A44"/>
    <w:rsid w:val="78C86580"/>
    <w:rsid w:val="78CA3D2F"/>
    <w:rsid w:val="78CE65F9"/>
    <w:rsid w:val="78CF03CE"/>
    <w:rsid w:val="78CF6E90"/>
    <w:rsid w:val="78D10E8B"/>
    <w:rsid w:val="78D11295"/>
    <w:rsid w:val="78D64119"/>
    <w:rsid w:val="78D677E9"/>
    <w:rsid w:val="78D86117"/>
    <w:rsid w:val="78DF2108"/>
    <w:rsid w:val="78DF7CCA"/>
    <w:rsid w:val="78E55ED0"/>
    <w:rsid w:val="78E80A60"/>
    <w:rsid w:val="78E8406B"/>
    <w:rsid w:val="78EE03DB"/>
    <w:rsid w:val="78F1269E"/>
    <w:rsid w:val="78F443B2"/>
    <w:rsid w:val="78F65C89"/>
    <w:rsid w:val="78F96F2D"/>
    <w:rsid w:val="790A052C"/>
    <w:rsid w:val="790F64ED"/>
    <w:rsid w:val="7912726F"/>
    <w:rsid w:val="791953EB"/>
    <w:rsid w:val="791B2CA9"/>
    <w:rsid w:val="79201D98"/>
    <w:rsid w:val="79203A66"/>
    <w:rsid w:val="7923313C"/>
    <w:rsid w:val="792F4280"/>
    <w:rsid w:val="792F6B70"/>
    <w:rsid w:val="79366903"/>
    <w:rsid w:val="79384A84"/>
    <w:rsid w:val="79394B2B"/>
    <w:rsid w:val="793B7B53"/>
    <w:rsid w:val="79425E12"/>
    <w:rsid w:val="7943005E"/>
    <w:rsid w:val="79442376"/>
    <w:rsid w:val="794B0495"/>
    <w:rsid w:val="794E3A3D"/>
    <w:rsid w:val="794E52E8"/>
    <w:rsid w:val="794F65E4"/>
    <w:rsid w:val="79524090"/>
    <w:rsid w:val="79565E0F"/>
    <w:rsid w:val="795959E4"/>
    <w:rsid w:val="795D105A"/>
    <w:rsid w:val="795E244C"/>
    <w:rsid w:val="795E54A0"/>
    <w:rsid w:val="795F1571"/>
    <w:rsid w:val="795F7156"/>
    <w:rsid w:val="795F7513"/>
    <w:rsid w:val="7960754E"/>
    <w:rsid w:val="796107FA"/>
    <w:rsid w:val="7962089A"/>
    <w:rsid w:val="7964137A"/>
    <w:rsid w:val="79685800"/>
    <w:rsid w:val="79691CB7"/>
    <w:rsid w:val="796A75EF"/>
    <w:rsid w:val="796B74C8"/>
    <w:rsid w:val="796E62DC"/>
    <w:rsid w:val="79726288"/>
    <w:rsid w:val="797B305B"/>
    <w:rsid w:val="797C72BB"/>
    <w:rsid w:val="797E0358"/>
    <w:rsid w:val="7985561F"/>
    <w:rsid w:val="798B032B"/>
    <w:rsid w:val="798C45CE"/>
    <w:rsid w:val="798F0F35"/>
    <w:rsid w:val="79935341"/>
    <w:rsid w:val="7998166F"/>
    <w:rsid w:val="799D2AEC"/>
    <w:rsid w:val="799D6750"/>
    <w:rsid w:val="799F5FF7"/>
    <w:rsid w:val="79AF4B47"/>
    <w:rsid w:val="79B70AA8"/>
    <w:rsid w:val="79B8128A"/>
    <w:rsid w:val="79B8773D"/>
    <w:rsid w:val="79C42B9B"/>
    <w:rsid w:val="79C93608"/>
    <w:rsid w:val="79CC6566"/>
    <w:rsid w:val="79D30D23"/>
    <w:rsid w:val="79D525AE"/>
    <w:rsid w:val="79DE662E"/>
    <w:rsid w:val="79DF457E"/>
    <w:rsid w:val="79E07360"/>
    <w:rsid w:val="79E13B05"/>
    <w:rsid w:val="79E96D5B"/>
    <w:rsid w:val="79EF7A6E"/>
    <w:rsid w:val="79F21544"/>
    <w:rsid w:val="79F36CA0"/>
    <w:rsid w:val="79F66E94"/>
    <w:rsid w:val="79FA414A"/>
    <w:rsid w:val="79FB25AB"/>
    <w:rsid w:val="79FB2D97"/>
    <w:rsid w:val="79FB6DB2"/>
    <w:rsid w:val="7A0254F0"/>
    <w:rsid w:val="7A0566D7"/>
    <w:rsid w:val="7A0835D2"/>
    <w:rsid w:val="7A0F6DD9"/>
    <w:rsid w:val="7A155FF6"/>
    <w:rsid w:val="7A1F10DD"/>
    <w:rsid w:val="7A2153C5"/>
    <w:rsid w:val="7A231B90"/>
    <w:rsid w:val="7A287274"/>
    <w:rsid w:val="7A2B37D9"/>
    <w:rsid w:val="7A2D7802"/>
    <w:rsid w:val="7A446788"/>
    <w:rsid w:val="7A4852C4"/>
    <w:rsid w:val="7A501AC8"/>
    <w:rsid w:val="7A5626A8"/>
    <w:rsid w:val="7A5B6068"/>
    <w:rsid w:val="7A5E2F44"/>
    <w:rsid w:val="7A625496"/>
    <w:rsid w:val="7A631FB9"/>
    <w:rsid w:val="7A653B32"/>
    <w:rsid w:val="7A65731A"/>
    <w:rsid w:val="7A6A4ABF"/>
    <w:rsid w:val="7A6E3AF1"/>
    <w:rsid w:val="7A6E743E"/>
    <w:rsid w:val="7A71620E"/>
    <w:rsid w:val="7A735B8E"/>
    <w:rsid w:val="7A79252F"/>
    <w:rsid w:val="7A7B3AF7"/>
    <w:rsid w:val="7A7D02D9"/>
    <w:rsid w:val="7A7D32B9"/>
    <w:rsid w:val="7A7F0A1D"/>
    <w:rsid w:val="7A8106E7"/>
    <w:rsid w:val="7A837FB1"/>
    <w:rsid w:val="7A856C7D"/>
    <w:rsid w:val="7A902393"/>
    <w:rsid w:val="7A927E5E"/>
    <w:rsid w:val="7A97570F"/>
    <w:rsid w:val="7A981501"/>
    <w:rsid w:val="7A9B3BB7"/>
    <w:rsid w:val="7AA51CD4"/>
    <w:rsid w:val="7AA61D37"/>
    <w:rsid w:val="7AA701B7"/>
    <w:rsid w:val="7AAB2CF6"/>
    <w:rsid w:val="7AAE6961"/>
    <w:rsid w:val="7AB77973"/>
    <w:rsid w:val="7ABE75D1"/>
    <w:rsid w:val="7AC10F30"/>
    <w:rsid w:val="7ACD0C19"/>
    <w:rsid w:val="7AD06D3F"/>
    <w:rsid w:val="7AD23F17"/>
    <w:rsid w:val="7ADB31FB"/>
    <w:rsid w:val="7AE43907"/>
    <w:rsid w:val="7AEB32D4"/>
    <w:rsid w:val="7AF66E9B"/>
    <w:rsid w:val="7AF95B40"/>
    <w:rsid w:val="7AFB7627"/>
    <w:rsid w:val="7B00790E"/>
    <w:rsid w:val="7B024FA1"/>
    <w:rsid w:val="7B097572"/>
    <w:rsid w:val="7B0E6C44"/>
    <w:rsid w:val="7B12134D"/>
    <w:rsid w:val="7B162BE8"/>
    <w:rsid w:val="7B184F00"/>
    <w:rsid w:val="7B1B4638"/>
    <w:rsid w:val="7B2125FB"/>
    <w:rsid w:val="7B275B67"/>
    <w:rsid w:val="7B2C23D0"/>
    <w:rsid w:val="7B2F3CCE"/>
    <w:rsid w:val="7B312C58"/>
    <w:rsid w:val="7B3A64C6"/>
    <w:rsid w:val="7B3F60FB"/>
    <w:rsid w:val="7B404053"/>
    <w:rsid w:val="7B4623AD"/>
    <w:rsid w:val="7B510362"/>
    <w:rsid w:val="7B587872"/>
    <w:rsid w:val="7B5E0CF4"/>
    <w:rsid w:val="7B611CF5"/>
    <w:rsid w:val="7B613CC1"/>
    <w:rsid w:val="7B615208"/>
    <w:rsid w:val="7B656BFD"/>
    <w:rsid w:val="7B6A4EBB"/>
    <w:rsid w:val="7B706F60"/>
    <w:rsid w:val="7B7353DF"/>
    <w:rsid w:val="7B7453FC"/>
    <w:rsid w:val="7B802CA5"/>
    <w:rsid w:val="7B827052"/>
    <w:rsid w:val="7B844B75"/>
    <w:rsid w:val="7B8608D7"/>
    <w:rsid w:val="7B872F56"/>
    <w:rsid w:val="7B87670F"/>
    <w:rsid w:val="7B8B77F0"/>
    <w:rsid w:val="7B8C1F67"/>
    <w:rsid w:val="7B8D4875"/>
    <w:rsid w:val="7B902930"/>
    <w:rsid w:val="7B994C99"/>
    <w:rsid w:val="7B9B2C86"/>
    <w:rsid w:val="7B9B67D3"/>
    <w:rsid w:val="7B9D515E"/>
    <w:rsid w:val="7BA06DB3"/>
    <w:rsid w:val="7BA25353"/>
    <w:rsid w:val="7BA35119"/>
    <w:rsid w:val="7BA476A6"/>
    <w:rsid w:val="7BA64CDA"/>
    <w:rsid w:val="7BAC1AD3"/>
    <w:rsid w:val="7BAF7D73"/>
    <w:rsid w:val="7BBB1561"/>
    <w:rsid w:val="7BBC3DED"/>
    <w:rsid w:val="7BC01DCB"/>
    <w:rsid w:val="7BC1128D"/>
    <w:rsid w:val="7BC37F02"/>
    <w:rsid w:val="7BC84944"/>
    <w:rsid w:val="7BCA0218"/>
    <w:rsid w:val="7BCC3A06"/>
    <w:rsid w:val="7BCE4CC5"/>
    <w:rsid w:val="7BD012E8"/>
    <w:rsid w:val="7BD54E24"/>
    <w:rsid w:val="7BDA1A43"/>
    <w:rsid w:val="7BDE1465"/>
    <w:rsid w:val="7BDE2C37"/>
    <w:rsid w:val="7BE0384F"/>
    <w:rsid w:val="7BE12C47"/>
    <w:rsid w:val="7BE31DDE"/>
    <w:rsid w:val="7BE72C8B"/>
    <w:rsid w:val="7BF02861"/>
    <w:rsid w:val="7BFA43C5"/>
    <w:rsid w:val="7BFD166F"/>
    <w:rsid w:val="7BFD36CD"/>
    <w:rsid w:val="7C00252F"/>
    <w:rsid w:val="7C01555E"/>
    <w:rsid w:val="7C0C66F0"/>
    <w:rsid w:val="7C16585B"/>
    <w:rsid w:val="7C1A60D1"/>
    <w:rsid w:val="7C1E0245"/>
    <w:rsid w:val="7C224646"/>
    <w:rsid w:val="7C2A7AEA"/>
    <w:rsid w:val="7C336034"/>
    <w:rsid w:val="7C352739"/>
    <w:rsid w:val="7C35780E"/>
    <w:rsid w:val="7C3964EB"/>
    <w:rsid w:val="7C4C63A2"/>
    <w:rsid w:val="7C4E713F"/>
    <w:rsid w:val="7C504CA3"/>
    <w:rsid w:val="7C512FFA"/>
    <w:rsid w:val="7C55159D"/>
    <w:rsid w:val="7C56758C"/>
    <w:rsid w:val="7C5B0BD6"/>
    <w:rsid w:val="7C6045B0"/>
    <w:rsid w:val="7C62455C"/>
    <w:rsid w:val="7C6C7F23"/>
    <w:rsid w:val="7C6D411B"/>
    <w:rsid w:val="7C6F2D65"/>
    <w:rsid w:val="7C712523"/>
    <w:rsid w:val="7C713600"/>
    <w:rsid w:val="7C740785"/>
    <w:rsid w:val="7C746AAB"/>
    <w:rsid w:val="7C757DB6"/>
    <w:rsid w:val="7C760E5F"/>
    <w:rsid w:val="7C79420B"/>
    <w:rsid w:val="7C953C94"/>
    <w:rsid w:val="7C962C72"/>
    <w:rsid w:val="7C96362F"/>
    <w:rsid w:val="7C972647"/>
    <w:rsid w:val="7C9D548D"/>
    <w:rsid w:val="7CA827C9"/>
    <w:rsid w:val="7CAD5748"/>
    <w:rsid w:val="7CAF1B97"/>
    <w:rsid w:val="7CB1187B"/>
    <w:rsid w:val="7CBE5FA2"/>
    <w:rsid w:val="7CC57880"/>
    <w:rsid w:val="7CC81F99"/>
    <w:rsid w:val="7CC91622"/>
    <w:rsid w:val="7CCC4839"/>
    <w:rsid w:val="7CD00A0A"/>
    <w:rsid w:val="7CD07BB6"/>
    <w:rsid w:val="7CD85A31"/>
    <w:rsid w:val="7CDA10CA"/>
    <w:rsid w:val="7CDA381A"/>
    <w:rsid w:val="7CDB0AD4"/>
    <w:rsid w:val="7CDC311F"/>
    <w:rsid w:val="7CDF3098"/>
    <w:rsid w:val="7CE00C5D"/>
    <w:rsid w:val="7CE45E20"/>
    <w:rsid w:val="7CE55DC0"/>
    <w:rsid w:val="7CF1062B"/>
    <w:rsid w:val="7CF11669"/>
    <w:rsid w:val="7CF9019C"/>
    <w:rsid w:val="7CFA72EC"/>
    <w:rsid w:val="7CFE5905"/>
    <w:rsid w:val="7CFF295D"/>
    <w:rsid w:val="7D0D2CE9"/>
    <w:rsid w:val="7D1029C3"/>
    <w:rsid w:val="7D152DF1"/>
    <w:rsid w:val="7D1F259C"/>
    <w:rsid w:val="7D203A5A"/>
    <w:rsid w:val="7D212C16"/>
    <w:rsid w:val="7D2505CD"/>
    <w:rsid w:val="7D2866D7"/>
    <w:rsid w:val="7D346D1B"/>
    <w:rsid w:val="7D4015FD"/>
    <w:rsid w:val="7D4B21B3"/>
    <w:rsid w:val="7D4B5664"/>
    <w:rsid w:val="7D59598D"/>
    <w:rsid w:val="7D5A4B55"/>
    <w:rsid w:val="7D5C64DD"/>
    <w:rsid w:val="7D5D7A33"/>
    <w:rsid w:val="7D6104F9"/>
    <w:rsid w:val="7D612962"/>
    <w:rsid w:val="7D612F32"/>
    <w:rsid w:val="7D614250"/>
    <w:rsid w:val="7D68151A"/>
    <w:rsid w:val="7D7244E9"/>
    <w:rsid w:val="7D735F03"/>
    <w:rsid w:val="7D747848"/>
    <w:rsid w:val="7D75384E"/>
    <w:rsid w:val="7D7850C7"/>
    <w:rsid w:val="7D7851DD"/>
    <w:rsid w:val="7D8D6F02"/>
    <w:rsid w:val="7D8F12E2"/>
    <w:rsid w:val="7D9274B0"/>
    <w:rsid w:val="7D941FDE"/>
    <w:rsid w:val="7D986DB7"/>
    <w:rsid w:val="7D9A2C27"/>
    <w:rsid w:val="7DA36EBA"/>
    <w:rsid w:val="7DA70066"/>
    <w:rsid w:val="7DA97619"/>
    <w:rsid w:val="7DB35188"/>
    <w:rsid w:val="7DB5551E"/>
    <w:rsid w:val="7DC170D9"/>
    <w:rsid w:val="7DC23318"/>
    <w:rsid w:val="7DC6235C"/>
    <w:rsid w:val="7DCA4B93"/>
    <w:rsid w:val="7DCA50E9"/>
    <w:rsid w:val="7DCA6236"/>
    <w:rsid w:val="7DCB0879"/>
    <w:rsid w:val="7DCF26A9"/>
    <w:rsid w:val="7DD87C55"/>
    <w:rsid w:val="7DDE6ED9"/>
    <w:rsid w:val="7DE161EE"/>
    <w:rsid w:val="7DE371A0"/>
    <w:rsid w:val="7DE43205"/>
    <w:rsid w:val="7DF565DF"/>
    <w:rsid w:val="7DF77225"/>
    <w:rsid w:val="7DFC4820"/>
    <w:rsid w:val="7DFE47B4"/>
    <w:rsid w:val="7E031604"/>
    <w:rsid w:val="7E09718E"/>
    <w:rsid w:val="7E1D5365"/>
    <w:rsid w:val="7E1D6A46"/>
    <w:rsid w:val="7E2934AF"/>
    <w:rsid w:val="7E2B4458"/>
    <w:rsid w:val="7E2E7BB6"/>
    <w:rsid w:val="7E343778"/>
    <w:rsid w:val="7E3724D1"/>
    <w:rsid w:val="7E386F11"/>
    <w:rsid w:val="7E3D280B"/>
    <w:rsid w:val="7E3F042F"/>
    <w:rsid w:val="7E4304FC"/>
    <w:rsid w:val="7E4F0015"/>
    <w:rsid w:val="7E5000DE"/>
    <w:rsid w:val="7E5A7889"/>
    <w:rsid w:val="7E5D6821"/>
    <w:rsid w:val="7E5E3F2B"/>
    <w:rsid w:val="7E627047"/>
    <w:rsid w:val="7E635846"/>
    <w:rsid w:val="7E663D37"/>
    <w:rsid w:val="7E6649FF"/>
    <w:rsid w:val="7E681287"/>
    <w:rsid w:val="7E7006CA"/>
    <w:rsid w:val="7E7B6738"/>
    <w:rsid w:val="7E8314FC"/>
    <w:rsid w:val="7E840324"/>
    <w:rsid w:val="7E857E9F"/>
    <w:rsid w:val="7E8B67E4"/>
    <w:rsid w:val="7E8E1678"/>
    <w:rsid w:val="7E905061"/>
    <w:rsid w:val="7E937BDE"/>
    <w:rsid w:val="7E9933D2"/>
    <w:rsid w:val="7E9F30C7"/>
    <w:rsid w:val="7EA82CCE"/>
    <w:rsid w:val="7EC22AFA"/>
    <w:rsid w:val="7EC929DA"/>
    <w:rsid w:val="7ECF0779"/>
    <w:rsid w:val="7ECF280B"/>
    <w:rsid w:val="7ED05187"/>
    <w:rsid w:val="7ED11654"/>
    <w:rsid w:val="7ED14F2F"/>
    <w:rsid w:val="7ED85F01"/>
    <w:rsid w:val="7EDE6BA5"/>
    <w:rsid w:val="7EDF0329"/>
    <w:rsid w:val="7EE959A4"/>
    <w:rsid w:val="7EF41BCA"/>
    <w:rsid w:val="7EFD3C3E"/>
    <w:rsid w:val="7F00044C"/>
    <w:rsid w:val="7F014BB0"/>
    <w:rsid w:val="7F047AF2"/>
    <w:rsid w:val="7F0644E1"/>
    <w:rsid w:val="7F0B30C0"/>
    <w:rsid w:val="7F0C0AE8"/>
    <w:rsid w:val="7F0D162F"/>
    <w:rsid w:val="7F173C1D"/>
    <w:rsid w:val="7F176855"/>
    <w:rsid w:val="7F191169"/>
    <w:rsid w:val="7F197F0E"/>
    <w:rsid w:val="7F1C0F22"/>
    <w:rsid w:val="7F1E67E4"/>
    <w:rsid w:val="7F206C59"/>
    <w:rsid w:val="7F21716B"/>
    <w:rsid w:val="7F274588"/>
    <w:rsid w:val="7F3E1982"/>
    <w:rsid w:val="7F3F0181"/>
    <w:rsid w:val="7F40696E"/>
    <w:rsid w:val="7F41466D"/>
    <w:rsid w:val="7F427813"/>
    <w:rsid w:val="7F474455"/>
    <w:rsid w:val="7F4760F7"/>
    <w:rsid w:val="7F482D41"/>
    <w:rsid w:val="7F4D7DDE"/>
    <w:rsid w:val="7F4E33A4"/>
    <w:rsid w:val="7F4E416A"/>
    <w:rsid w:val="7F56353C"/>
    <w:rsid w:val="7F580A65"/>
    <w:rsid w:val="7F5F3040"/>
    <w:rsid w:val="7F673538"/>
    <w:rsid w:val="7F6A7166"/>
    <w:rsid w:val="7F6A781B"/>
    <w:rsid w:val="7F6E70EE"/>
    <w:rsid w:val="7F700D9C"/>
    <w:rsid w:val="7F74299E"/>
    <w:rsid w:val="7F7C2DBA"/>
    <w:rsid w:val="7F7F07B6"/>
    <w:rsid w:val="7F800A64"/>
    <w:rsid w:val="7F8637A3"/>
    <w:rsid w:val="7F8B19EF"/>
    <w:rsid w:val="7F9341D5"/>
    <w:rsid w:val="7F9913AF"/>
    <w:rsid w:val="7F9917DB"/>
    <w:rsid w:val="7F996384"/>
    <w:rsid w:val="7F9D1FEC"/>
    <w:rsid w:val="7FA374C7"/>
    <w:rsid w:val="7FA47241"/>
    <w:rsid w:val="7FA47B3F"/>
    <w:rsid w:val="7FAC6E61"/>
    <w:rsid w:val="7FB65E9E"/>
    <w:rsid w:val="7FB71478"/>
    <w:rsid w:val="7FC11981"/>
    <w:rsid w:val="7FC12A9F"/>
    <w:rsid w:val="7FC22052"/>
    <w:rsid w:val="7FC952AA"/>
    <w:rsid w:val="7FCB6CAC"/>
    <w:rsid w:val="7FCE612D"/>
    <w:rsid w:val="7FD87E5D"/>
    <w:rsid w:val="7FD95DF6"/>
    <w:rsid w:val="7FE00BEF"/>
    <w:rsid w:val="7FE128BD"/>
    <w:rsid w:val="7FE55142"/>
    <w:rsid w:val="7FE96795"/>
    <w:rsid w:val="7FF201DA"/>
    <w:rsid w:val="7FFC5FCD"/>
    <w:rsid w:val="7FFD7317"/>
    <w:rsid w:val="7FFE04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69"/>
        <o:r id="V:Rule2" type="connector" idref="#自选图形 82"/>
        <o:r id="V:Rule3" type="connector" idref="#自选图形 81"/>
        <o:r id="V:Rule4" type="connector" idref="#自选图形 80"/>
        <o:r id="V:Rule5" type="connector" idref="#自选图形 60"/>
        <o:r id="V:Rule6" type="connector" idref="#自选图形 58"/>
        <o:r id="V:Rule7" type="connector" idref="#自选图形 56"/>
        <o:r id="V:Rule8" type="connector" idref="#自选图形 5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pageBreakBefore/>
      <w:tabs>
        <w:tab w:val="left" w:pos="1080"/>
      </w:tabs>
      <w:spacing w:before="340" w:after="330" w:line="578" w:lineRule="auto"/>
      <w:ind w:left="432" w:hanging="432"/>
      <w:jc w:val="center"/>
      <w:outlineLvl w:val="0"/>
    </w:pPr>
    <w:rPr>
      <w:rFonts w:eastAsia="黑体"/>
      <w:b/>
      <w:kern w:val="44"/>
      <w:sz w:val="36"/>
      <w:szCs w:val="20"/>
    </w:rPr>
  </w:style>
  <w:style w:type="paragraph" w:styleId="3">
    <w:name w:val="heading 2"/>
    <w:basedOn w:val="1"/>
    <w:next w:val="4"/>
    <w:qFormat/>
    <w:uiPriority w:val="0"/>
    <w:pPr>
      <w:keepNext/>
      <w:keepLines/>
      <w:tabs>
        <w:tab w:val="left" w:pos="576"/>
      </w:tabs>
      <w:spacing w:before="260" w:line="415" w:lineRule="auto"/>
      <w:ind w:left="576" w:hanging="576"/>
      <w:outlineLvl w:val="1"/>
    </w:pPr>
    <w:rPr>
      <w:b/>
      <w:sz w:val="28"/>
      <w:szCs w:val="20"/>
    </w:rPr>
  </w:style>
  <w:style w:type="paragraph" w:styleId="5">
    <w:name w:val="heading 3"/>
    <w:basedOn w:val="1"/>
    <w:next w:val="4"/>
    <w:qFormat/>
    <w:uiPriority w:val="0"/>
    <w:pPr>
      <w:keepNext/>
      <w:keepLines/>
      <w:tabs>
        <w:tab w:val="left" w:pos="720"/>
      </w:tabs>
      <w:spacing w:before="120" w:after="120" w:line="415" w:lineRule="auto"/>
      <w:ind w:left="720" w:hanging="720"/>
      <w:outlineLvl w:val="2"/>
    </w:pPr>
    <w:rPr>
      <w:rFonts w:eastAsia="楷体_GB2312"/>
      <w:b/>
      <w:sz w:val="28"/>
      <w:szCs w:val="20"/>
    </w:rPr>
  </w:style>
  <w:style w:type="paragraph" w:styleId="6">
    <w:name w:val="heading 4"/>
    <w:basedOn w:val="1"/>
    <w:next w:val="4"/>
    <w:qFormat/>
    <w:uiPriority w:val="0"/>
    <w:pPr>
      <w:keepNext/>
      <w:keepLines/>
      <w:adjustRightInd w:val="0"/>
      <w:snapToGrid w:val="0"/>
      <w:textAlignment w:val="baseline"/>
      <w:outlineLvl w:val="3"/>
    </w:pPr>
    <w:rPr>
      <w:rFonts w:ascii="黑体" w:eastAsia="黑体"/>
      <w:b/>
      <w:kern w:val="0"/>
      <w:sz w:val="28"/>
    </w:rPr>
  </w:style>
  <w:style w:type="paragraph" w:styleId="7">
    <w:name w:val="heading 5"/>
    <w:basedOn w:val="1"/>
    <w:next w:val="4"/>
    <w:qFormat/>
    <w:uiPriority w:val="0"/>
    <w:pPr>
      <w:keepNext/>
      <w:keepLines/>
      <w:tabs>
        <w:tab w:val="left" w:pos="1440"/>
      </w:tabs>
      <w:spacing w:before="280" w:after="290" w:line="376" w:lineRule="auto"/>
      <w:ind w:left="1008" w:hanging="1008"/>
      <w:outlineLvl w:val="4"/>
    </w:pPr>
    <w:rPr>
      <w:b/>
      <w:sz w:val="28"/>
      <w:szCs w:val="20"/>
    </w:rPr>
  </w:style>
  <w:style w:type="paragraph" w:styleId="8">
    <w:name w:val="heading 6"/>
    <w:basedOn w:val="1"/>
    <w:next w:val="4"/>
    <w:qFormat/>
    <w:uiPriority w:val="0"/>
    <w:pPr>
      <w:keepNext/>
      <w:keepLines/>
      <w:tabs>
        <w:tab w:val="left" w:pos="1800"/>
      </w:tabs>
      <w:spacing w:before="240" w:after="64" w:line="320" w:lineRule="auto"/>
      <w:ind w:left="1152" w:hanging="1152"/>
      <w:outlineLvl w:val="5"/>
    </w:pPr>
    <w:rPr>
      <w:rFonts w:ascii="Arial" w:hAnsi="Arial" w:eastAsia="黑体"/>
      <w:b/>
      <w:sz w:val="24"/>
      <w:szCs w:val="20"/>
    </w:rPr>
  </w:style>
  <w:style w:type="paragraph" w:styleId="9">
    <w:name w:val="heading 7"/>
    <w:basedOn w:val="1"/>
    <w:next w:val="4"/>
    <w:qFormat/>
    <w:uiPriority w:val="0"/>
    <w:pPr>
      <w:keepNext/>
      <w:keepLines/>
      <w:tabs>
        <w:tab w:val="left" w:pos="1800"/>
      </w:tabs>
      <w:spacing w:before="240" w:after="64" w:line="320" w:lineRule="auto"/>
      <w:ind w:left="1296" w:hanging="1296"/>
      <w:outlineLvl w:val="6"/>
    </w:pPr>
    <w:rPr>
      <w:b/>
      <w:sz w:val="24"/>
      <w:szCs w:val="20"/>
    </w:rPr>
  </w:style>
  <w:style w:type="paragraph" w:styleId="10">
    <w:name w:val="heading 8"/>
    <w:basedOn w:val="1"/>
    <w:next w:val="4"/>
    <w:qFormat/>
    <w:uiPriority w:val="0"/>
    <w:pPr>
      <w:keepNext/>
      <w:keepLines/>
      <w:tabs>
        <w:tab w:val="left" w:pos="2160"/>
      </w:tabs>
      <w:spacing w:before="240" w:after="64" w:line="320" w:lineRule="auto"/>
      <w:ind w:left="1440" w:hanging="1440"/>
      <w:outlineLvl w:val="7"/>
    </w:pPr>
    <w:rPr>
      <w:rFonts w:ascii="Arial" w:hAnsi="Arial" w:eastAsia="黑体"/>
      <w:sz w:val="24"/>
      <w:szCs w:val="20"/>
    </w:rPr>
  </w:style>
  <w:style w:type="paragraph" w:styleId="11">
    <w:name w:val="heading 9"/>
    <w:basedOn w:val="1"/>
    <w:next w:val="4"/>
    <w:qFormat/>
    <w:uiPriority w:val="0"/>
    <w:pPr>
      <w:keepNext/>
      <w:keepLines/>
      <w:tabs>
        <w:tab w:val="left" w:pos="2520"/>
      </w:tabs>
      <w:spacing w:before="240" w:after="64" w:line="320" w:lineRule="auto"/>
      <w:ind w:left="1584" w:hanging="1584"/>
      <w:outlineLvl w:val="8"/>
    </w:pPr>
    <w:rPr>
      <w:rFonts w:ascii="Arial" w:hAnsi="Arial" w:eastAsia="黑体"/>
      <w:sz w:val="28"/>
      <w:szCs w:val="2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39"/>
    <w:qFormat/>
    <w:uiPriority w:val="0"/>
    <w:pPr>
      <w:ind w:firstLine="420" w:firstLineChars="200"/>
    </w:pPr>
  </w:style>
  <w:style w:type="paragraph" w:styleId="12">
    <w:name w:val="caption"/>
    <w:basedOn w:val="1"/>
    <w:next w:val="1"/>
    <w:qFormat/>
    <w:uiPriority w:val="0"/>
    <w:rPr>
      <w:rFonts w:ascii="Arial" w:hAnsi="Arial" w:eastAsia="黑体"/>
      <w:sz w:val="20"/>
      <w:szCs w:val="20"/>
    </w:rPr>
  </w:style>
  <w:style w:type="paragraph" w:styleId="13">
    <w:name w:val="annotation text"/>
    <w:basedOn w:val="1"/>
    <w:link w:val="96"/>
    <w:qFormat/>
    <w:uiPriority w:val="0"/>
    <w:pPr>
      <w:jc w:val="left"/>
    </w:pPr>
  </w:style>
  <w:style w:type="paragraph" w:styleId="14">
    <w:name w:val="Body Text"/>
    <w:basedOn w:val="1"/>
    <w:link w:val="54"/>
    <w:qFormat/>
    <w:uiPriority w:val="0"/>
    <w:pPr>
      <w:spacing w:after="120"/>
    </w:pPr>
  </w:style>
  <w:style w:type="paragraph" w:styleId="15">
    <w:name w:val="Body Text Indent"/>
    <w:basedOn w:val="1"/>
    <w:next w:val="14"/>
    <w:link w:val="98"/>
    <w:qFormat/>
    <w:uiPriority w:val="0"/>
    <w:pPr>
      <w:ind w:firstLine="560" w:firstLineChars="200"/>
      <w:jc w:val="left"/>
    </w:pPr>
    <w:rPr>
      <w:sz w:val="28"/>
    </w:rPr>
  </w:style>
  <w:style w:type="paragraph" w:styleId="16">
    <w:name w:val="Block Text"/>
    <w:basedOn w:val="1"/>
    <w:unhideWhenUsed/>
    <w:qFormat/>
    <w:uiPriority w:val="0"/>
    <w:pPr>
      <w:ind w:left="100" w:right="100" w:firstLine="425"/>
    </w:pPr>
    <w:rPr>
      <w:sz w:val="28"/>
      <w:szCs w:val="20"/>
    </w:rPr>
  </w:style>
  <w:style w:type="paragraph" w:styleId="17">
    <w:name w:val="Plain Text"/>
    <w:basedOn w:val="1"/>
    <w:link w:val="42"/>
    <w:qFormat/>
    <w:uiPriority w:val="0"/>
    <w:rPr>
      <w:rFonts w:ascii="宋体" w:hAnsi="Courier New"/>
    </w:rPr>
  </w:style>
  <w:style w:type="paragraph" w:styleId="18">
    <w:name w:val="Date"/>
    <w:basedOn w:val="1"/>
    <w:next w:val="1"/>
    <w:link w:val="64"/>
    <w:qFormat/>
    <w:uiPriority w:val="0"/>
    <w:pPr>
      <w:adjustRightInd w:val="0"/>
      <w:textAlignment w:val="baseline"/>
    </w:pPr>
    <w:rPr>
      <w:sz w:val="24"/>
      <w:szCs w:val="20"/>
    </w:rPr>
  </w:style>
  <w:style w:type="paragraph" w:styleId="19">
    <w:name w:val="Body Text Indent 2"/>
    <w:basedOn w:val="1"/>
    <w:qFormat/>
    <w:uiPriority w:val="0"/>
    <w:pPr>
      <w:ind w:firstLine="560" w:firstLineChars="200"/>
    </w:pPr>
    <w:rPr>
      <w:bCs/>
      <w:sz w:val="28"/>
    </w:rPr>
  </w:style>
  <w:style w:type="paragraph" w:styleId="20">
    <w:name w:val="Balloon Text"/>
    <w:basedOn w:val="1"/>
    <w:link w:val="43"/>
    <w:semiHidden/>
    <w:qFormat/>
    <w:uiPriority w:val="0"/>
    <w:rPr>
      <w:sz w:val="18"/>
      <w:szCs w:val="18"/>
    </w:rPr>
  </w:style>
  <w:style w:type="paragraph" w:styleId="21">
    <w:name w:val="footer"/>
    <w:basedOn w:val="1"/>
    <w:link w:val="40"/>
    <w:qFormat/>
    <w:uiPriority w:val="0"/>
    <w:pPr>
      <w:tabs>
        <w:tab w:val="center" w:pos="4153"/>
        <w:tab w:val="right" w:pos="8306"/>
      </w:tabs>
      <w:snapToGrid w:val="0"/>
      <w:jc w:val="left"/>
    </w:pPr>
    <w:rPr>
      <w:sz w:val="18"/>
    </w:rPr>
  </w:style>
  <w:style w:type="paragraph" w:styleId="22">
    <w:name w:val="header"/>
    <w:basedOn w:val="1"/>
    <w:link w:val="41"/>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0"/>
    <w:pPr>
      <w:tabs>
        <w:tab w:val="left" w:pos="5760"/>
      </w:tabs>
      <w:adjustRightInd w:val="0"/>
      <w:snapToGrid w:val="0"/>
      <w:jc w:val="center"/>
    </w:pPr>
    <w:rPr>
      <w:rFonts w:ascii="宋体" w:hAnsi="宋体"/>
      <w:sz w:val="24"/>
      <w:szCs w:val="20"/>
    </w:rPr>
  </w:style>
  <w:style w:type="paragraph" w:styleId="24">
    <w:name w:val="Body Text Indent 3"/>
    <w:basedOn w:val="1"/>
    <w:qFormat/>
    <w:uiPriority w:val="0"/>
    <w:pPr>
      <w:spacing w:after="120"/>
      <w:ind w:left="420" w:leftChars="200"/>
    </w:pPr>
    <w:rPr>
      <w:sz w:val="16"/>
      <w:szCs w:val="16"/>
    </w:rPr>
  </w:style>
  <w:style w:type="paragraph" w:styleId="25">
    <w:name w:val="Body Text 2"/>
    <w:basedOn w:val="1"/>
    <w:link w:val="61"/>
    <w:qFormat/>
    <w:uiPriority w:val="0"/>
    <w:pPr>
      <w:spacing w:after="120" w:line="480" w:lineRule="auto"/>
    </w:pPr>
  </w:style>
  <w:style w:type="paragraph" w:styleId="26">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7">
    <w:name w:val="annotation subject"/>
    <w:basedOn w:val="13"/>
    <w:next w:val="13"/>
    <w:link w:val="97"/>
    <w:qFormat/>
    <w:uiPriority w:val="0"/>
    <w:rPr>
      <w:b/>
      <w:bCs/>
    </w:rPr>
  </w:style>
  <w:style w:type="paragraph" w:styleId="28">
    <w:name w:val="Body Text First Indent"/>
    <w:basedOn w:val="14"/>
    <w:link w:val="66"/>
    <w:qFormat/>
    <w:uiPriority w:val="0"/>
    <w:pPr>
      <w:ind w:firstLine="420" w:firstLineChars="100"/>
    </w:pPr>
    <w:rPr>
      <w:rFonts w:eastAsia="Times New Roman"/>
      <w:szCs w:val="20"/>
    </w:rPr>
  </w:style>
  <w:style w:type="paragraph" w:styleId="29">
    <w:name w:val="Body Text First Indent 2"/>
    <w:basedOn w:val="15"/>
    <w:link w:val="99"/>
    <w:qFormat/>
    <w:uiPriority w:val="0"/>
    <w:pPr>
      <w:spacing w:after="120"/>
      <w:ind w:left="420" w:leftChars="200" w:firstLine="420"/>
      <w:jc w:val="both"/>
    </w:pPr>
    <w:rPr>
      <w:sz w:val="21"/>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rFonts w:cs="Times New Roman"/>
      <w:b/>
      <w:bCs/>
    </w:rPr>
  </w:style>
  <w:style w:type="character" w:styleId="34">
    <w:name w:val="page number"/>
    <w:basedOn w:val="32"/>
    <w:qFormat/>
    <w:uiPriority w:val="0"/>
  </w:style>
  <w:style w:type="character" w:styleId="35">
    <w:name w:val="FollowedHyperlink"/>
    <w:basedOn w:val="32"/>
    <w:qFormat/>
    <w:uiPriority w:val="0"/>
    <w:rPr>
      <w:color w:val="800080"/>
      <w:u w:val="single"/>
    </w:rPr>
  </w:style>
  <w:style w:type="character" w:styleId="36">
    <w:name w:val="Hyperlink"/>
    <w:basedOn w:val="32"/>
    <w:qFormat/>
    <w:uiPriority w:val="0"/>
    <w:rPr>
      <w:color w:val="0000CC"/>
      <w:u w:val="single"/>
    </w:rPr>
  </w:style>
  <w:style w:type="character" w:styleId="37">
    <w:name w:val="annotation reference"/>
    <w:basedOn w:val="32"/>
    <w:qFormat/>
    <w:uiPriority w:val="0"/>
    <w:rPr>
      <w:sz w:val="21"/>
      <w:szCs w:val="21"/>
    </w:rPr>
  </w:style>
  <w:style w:type="paragraph" w:customStyle="1" w:styleId="3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39">
    <w:name w:val="正文缩进 Char"/>
    <w:basedOn w:val="32"/>
    <w:link w:val="4"/>
    <w:qFormat/>
    <w:locked/>
    <w:uiPriority w:val="0"/>
    <w:rPr>
      <w:rFonts w:eastAsia="宋体"/>
      <w:kern w:val="2"/>
      <w:sz w:val="21"/>
      <w:szCs w:val="24"/>
      <w:lang w:val="en-US" w:eastAsia="zh-CN" w:bidi="ar-SA"/>
    </w:rPr>
  </w:style>
  <w:style w:type="character" w:customStyle="1" w:styleId="40">
    <w:name w:val="页脚 Char"/>
    <w:basedOn w:val="32"/>
    <w:link w:val="21"/>
    <w:qFormat/>
    <w:uiPriority w:val="0"/>
    <w:rPr>
      <w:rFonts w:eastAsia="宋体"/>
      <w:kern w:val="2"/>
      <w:sz w:val="18"/>
      <w:szCs w:val="24"/>
      <w:lang w:val="en-US" w:eastAsia="zh-CN" w:bidi="ar-SA"/>
    </w:rPr>
  </w:style>
  <w:style w:type="character" w:customStyle="1" w:styleId="41">
    <w:name w:val="页眉 Char"/>
    <w:basedOn w:val="32"/>
    <w:link w:val="22"/>
    <w:qFormat/>
    <w:uiPriority w:val="0"/>
    <w:rPr>
      <w:rFonts w:eastAsia="宋体"/>
      <w:kern w:val="2"/>
      <w:sz w:val="18"/>
      <w:szCs w:val="24"/>
      <w:lang w:val="en-US" w:eastAsia="zh-CN" w:bidi="ar-SA"/>
    </w:rPr>
  </w:style>
  <w:style w:type="character" w:customStyle="1" w:styleId="42">
    <w:name w:val="纯文本 Char"/>
    <w:basedOn w:val="32"/>
    <w:link w:val="17"/>
    <w:qFormat/>
    <w:uiPriority w:val="0"/>
    <w:rPr>
      <w:rFonts w:ascii="宋体" w:hAnsi="Courier New" w:eastAsia="宋体"/>
      <w:kern w:val="2"/>
      <w:sz w:val="21"/>
      <w:szCs w:val="24"/>
      <w:lang w:val="en-US" w:eastAsia="zh-CN" w:bidi="ar-SA"/>
    </w:rPr>
  </w:style>
  <w:style w:type="character" w:customStyle="1" w:styleId="43">
    <w:name w:val="批注框文本 Char"/>
    <w:basedOn w:val="32"/>
    <w:link w:val="20"/>
    <w:qFormat/>
    <w:uiPriority w:val="0"/>
    <w:rPr>
      <w:rFonts w:eastAsia="宋体"/>
      <w:kern w:val="2"/>
      <w:sz w:val="18"/>
      <w:szCs w:val="18"/>
      <w:lang w:val="en-US" w:eastAsia="zh-CN" w:bidi="ar-SA"/>
    </w:rPr>
  </w:style>
  <w:style w:type="paragraph" w:customStyle="1" w:styleId="44">
    <w:name w:val="正文1"/>
    <w:basedOn w:val="1"/>
    <w:qFormat/>
    <w:uiPriority w:val="0"/>
    <w:pPr>
      <w:ind w:firstLine="552"/>
    </w:pPr>
    <w:rPr>
      <w:rFonts w:ascii="楷体_GB2312" w:eastAsia="楷体_GB2312"/>
      <w:b/>
      <w:sz w:val="28"/>
    </w:rPr>
  </w:style>
  <w:style w:type="paragraph" w:customStyle="1" w:styleId="45">
    <w:name w:val="五号表格"/>
    <w:basedOn w:val="1"/>
    <w:qFormat/>
    <w:uiPriority w:val="0"/>
    <w:pPr>
      <w:jc w:val="center"/>
    </w:pPr>
  </w:style>
  <w:style w:type="paragraph" w:customStyle="1" w:styleId="46">
    <w:name w:val="段落"/>
    <w:basedOn w:val="17"/>
    <w:link w:val="47"/>
    <w:qFormat/>
    <w:uiPriority w:val="0"/>
    <w:pPr>
      <w:spacing w:line="500" w:lineRule="exact"/>
      <w:ind w:firstLine="578"/>
    </w:pPr>
    <w:rPr>
      <w:rFonts w:ascii="Times New Roman" w:hAnsi="Times New Roman"/>
      <w:sz w:val="28"/>
    </w:rPr>
  </w:style>
  <w:style w:type="character" w:customStyle="1" w:styleId="47">
    <w:name w:val="段落 Char"/>
    <w:basedOn w:val="48"/>
    <w:link w:val="46"/>
    <w:qFormat/>
    <w:uiPriority w:val="0"/>
    <w:rPr>
      <w:rFonts w:ascii="宋体" w:hAnsi="Courier New" w:eastAsia="宋体" w:cs="Courier New"/>
      <w:kern w:val="2"/>
      <w:sz w:val="28"/>
      <w:szCs w:val="24"/>
      <w:lang w:val="en-US" w:eastAsia="zh-CN" w:bidi="ar-SA"/>
    </w:rPr>
  </w:style>
  <w:style w:type="character" w:customStyle="1" w:styleId="48">
    <w:name w:val="普通文字 Char Char"/>
    <w:basedOn w:val="32"/>
    <w:qFormat/>
    <w:uiPriority w:val="0"/>
    <w:rPr>
      <w:rFonts w:ascii="宋体" w:hAnsi="Courier New" w:eastAsia="宋体" w:cs="Courier New"/>
      <w:kern w:val="2"/>
      <w:sz w:val="21"/>
      <w:szCs w:val="21"/>
      <w:lang w:val="en-US" w:eastAsia="zh-CN" w:bidi="ar-SA"/>
    </w:rPr>
  </w:style>
  <w:style w:type="paragraph" w:customStyle="1" w:styleId="49">
    <w:name w:val="Char"/>
    <w:basedOn w:val="1"/>
    <w:qFormat/>
    <w:uiPriority w:val="0"/>
    <w:pPr>
      <w:spacing w:line="360" w:lineRule="auto"/>
      <w:ind w:firstLine="200" w:firstLineChars="200"/>
    </w:pPr>
    <w:rPr>
      <w:rFonts w:ascii="宋体" w:hAnsi="宋体" w:cs="宋体"/>
      <w:sz w:val="24"/>
    </w:rPr>
  </w:style>
  <w:style w:type="paragraph" w:customStyle="1" w:styleId="50">
    <w:name w:val="默认段落字体 Para Char"/>
    <w:basedOn w:val="1"/>
    <w:qFormat/>
    <w:uiPriority w:val="0"/>
    <w:pPr>
      <w:adjustRightInd w:val="0"/>
      <w:spacing w:line="360" w:lineRule="atLeast"/>
      <w:textAlignment w:val="baseline"/>
    </w:pPr>
  </w:style>
  <w:style w:type="paragraph" w:customStyle="1" w:styleId="51">
    <w:name w:val="Char1"/>
    <w:basedOn w:val="1"/>
    <w:qFormat/>
    <w:uiPriority w:val="0"/>
    <w:pPr>
      <w:spacing w:line="360" w:lineRule="auto"/>
      <w:ind w:firstLine="200" w:firstLineChars="200"/>
    </w:pPr>
    <w:rPr>
      <w:rFonts w:ascii="宋体" w:hAnsi="宋体" w:cs="宋体"/>
      <w:sz w:val="24"/>
    </w:rPr>
  </w:style>
  <w:style w:type="paragraph" w:customStyle="1" w:styleId="52">
    <w:name w:val="表头 Char Char"/>
    <w:basedOn w:val="17"/>
    <w:link w:val="53"/>
    <w:qFormat/>
    <w:uiPriority w:val="0"/>
    <w:pPr>
      <w:spacing w:before="200" w:afterLines="30"/>
      <w:ind w:firstLine="352" w:firstLineChars="149"/>
    </w:pPr>
    <w:rPr>
      <w:rFonts w:ascii="Times New Roman" w:hAnsi="Times New Roman" w:eastAsia="黑体"/>
      <w:sz w:val="24"/>
    </w:rPr>
  </w:style>
  <w:style w:type="character" w:customStyle="1" w:styleId="53">
    <w:name w:val="表头 Char Char Char"/>
    <w:basedOn w:val="32"/>
    <w:link w:val="52"/>
    <w:qFormat/>
    <w:uiPriority w:val="0"/>
    <w:rPr>
      <w:rFonts w:eastAsia="黑体"/>
      <w:kern w:val="2"/>
      <w:sz w:val="24"/>
      <w:szCs w:val="24"/>
      <w:lang w:val="en-US" w:eastAsia="zh-CN" w:bidi="ar-SA"/>
    </w:rPr>
  </w:style>
  <w:style w:type="character" w:customStyle="1" w:styleId="54">
    <w:name w:val="正文文本 Char"/>
    <w:basedOn w:val="32"/>
    <w:link w:val="14"/>
    <w:qFormat/>
    <w:uiPriority w:val="0"/>
    <w:rPr>
      <w:rFonts w:eastAsia="宋体"/>
      <w:kern w:val="2"/>
      <w:sz w:val="21"/>
      <w:szCs w:val="24"/>
      <w:lang w:val="en-US" w:eastAsia="zh-CN" w:bidi="ar-SA"/>
    </w:rPr>
  </w:style>
  <w:style w:type="paragraph" w:customStyle="1" w:styleId="55">
    <w:name w:val="Char Char Char Char Char"/>
    <w:basedOn w:val="1"/>
    <w:qFormat/>
    <w:uiPriority w:val="0"/>
    <w:pPr>
      <w:spacing w:line="360" w:lineRule="auto"/>
      <w:ind w:firstLine="200" w:firstLineChars="200"/>
    </w:pPr>
    <w:rPr>
      <w:rFonts w:ascii="宋体" w:hAnsi="宋体" w:cs="宋体"/>
      <w:sz w:val="24"/>
    </w:rPr>
  </w:style>
  <w:style w:type="paragraph" w:customStyle="1" w:styleId="56">
    <w:name w:val="Char Char Char Char"/>
    <w:basedOn w:val="1"/>
    <w:qFormat/>
    <w:uiPriority w:val="0"/>
  </w:style>
  <w:style w:type="paragraph" w:customStyle="1" w:styleId="57">
    <w:name w:val="表头"/>
    <w:basedOn w:val="1"/>
    <w:link w:val="58"/>
    <w:qFormat/>
    <w:uiPriority w:val="0"/>
    <w:pPr>
      <w:spacing w:before="200" w:line="500" w:lineRule="exact"/>
    </w:pPr>
    <w:rPr>
      <w:rFonts w:ascii="黑体" w:hAnsi="宋体" w:eastAsia="黑体"/>
      <w:spacing w:val="20"/>
      <w:kern w:val="36"/>
      <w:sz w:val="24"/>
    </w:rPr>
  </w:style>
  <w:style w:type="character" w:customStyle="1" w:styleId="58">
    <w:name w:val="表头 Char1"/>
    <w:basedOn w:val="32"/>
    <w:link w:val="57"/>
    <w:qFormat/>
    <w:uiPriority w:val="0"/>
    <w:rPr>
      <w:rFonts w:ascii="黑体" w:hAnsi="宋体" w:eastAsia="黑体"/>
      <w:spacing w:val="20"/>
      <w:kern w:val="36"/>
      <w:sz w:val="24"/>
      <w:szCs w:val="24"/>
      <w:lang w:val="en-US" w:eastAsia="zh-CN" w:bidi="ar-SA"/>
    </w:rPr>
  </w:style>
  <w:style w:type="paragraph" w:customStyle="1" w:styleId="59">
    <w:name w:val="样式 正文（首行缩进两字） + 五号 居中"/>
    <w:basedOn w:val="1"/>
    <w:qFormat/>
    <w:uiPriority w:val="0"/>
    <w:pPr>
      <w:adjustRightInd w:val="0"/>
      <w:jc w:val="center"/>
    </w:pPr>
    <w:rPr>
      <w:rFonts w:ascii="宋体" w:cs="宋体"/>
      <w:kern w:val="0"/>
    </w:rPr>
  </w:style>
  <w:style w:type="paragraph" w:customStyle="1" w:styleId="60">
    <w:name w:val="正文五"/>
    <w:basedOn w:val="1"/>
    <w:qFormat/>
    <w:uiPriority w:val="0"/>
    <w:pPr>
      <w:snapToGrid w:val="0"/>
      <w:jc w:val="center"/>
    </w:pPr>
    <w:rPr>
      <w:sz w:val="24"/>
      <w:szCs w:val="20"/>
    </w:rPr>
  </w:style>
  <w:style w:type="character" w:customStyle="1" w:styleId="61">
    <w:name w:val="正文文本 2 Char"/>
    <w:basedOn w:val="32"/>
    <w:link w:val="25"/>
    <w:qFormat/>
    <w:uiPriority w:val="0"/>
    <w:rPr>
      <w:rFonts w:eastAsia="宋体"/>
      <w:kern w:val="2"/>
      <w:sz w:val="21"/>
      <w:szCs w:val="24"/>
      <w:lang w:val="en-US" w:eastAsia="zh-CN" w:bidi="ar-SA"/>
    </w:rPr>
  </w:style>
  <w:style w:type="paragraph" w:customStyle="1" w:styleId="62">
    <w:name w:val="1正文段落"/>
    <w:basedOn w:val="1"/>
    <w:qFormat/>
    <w:uiPriority w:val="0"/>
    <w:pPr>
      <w:spacing w:line="360" w:lineRule="auto"/>
      <w:ind w:firstLine="480" w:firstLineChars="200"/>
      <w:jc w:val="left"/>
    </w:pPr>
    <w:rPr>
      <w:kern w:val="0"/>
      <w:sz w:val="24"/>
    </w:rPr>
  </w:style>
  <w:style w:type="paragraph" w:customStyle="1" w:styleId="63">
    <w:name w:val="表头 Char"/>
    <w:basedOn w:val="1"/>
    <w:qFormat/>
    <w:uiPriority w:val="0"/>
    <w:pPr>
      <w:spacing w:before="200"/>
    </w:pPr>
    <w:rPr>
      <w:rFonts w:eastAsia="黑体"/>
      <w:sz w:val="24"/>
      <w:szCs w:val="20"/>
    </w:rPr>
  </w:style>
  <w:style w:type="character" w:customStyle="1" w:styleId="64">
    <w:name w:val="日期 Char"/>
    <w:basedOn w:val="32"/>
    <w:link w:val="18"/>
    <w:qFormat/>
    <w:uiPriority w:val="0"/>
    <w:rPr>
      <w:rFonts w:eastAsia="宋体"/>
      <w:kern w:val="2"/>
      <w:sz w:val="24"/>
      <w:lang w:val="en-US" w:eastAsia="zh-CN" w:bidi="ar-SA"/>
    </w:rPr>
  </w:style>
  <w:style w:type="character" w:customStyle="1" w:styleId="65">
    <w:name w:val="content"/>
    <w:basedOn w:val="32"/>
    <w:qFormat/>
    <w:uiPriority w:val="0"/>
  </w:style>
  <w:style w:type="character" w:customStyle="1" w:styleId="66">
    <w:name w:val="正文首行缩进 Char"/>
    <w:basedOn w:val="67"/>
    <w:link w:val="28"/>
    <w:qFormat/>
    <w:uiPriority w:val="0"/>
    <w:rPr>
      <w:kern w:val="2"/>
      <w:sz w:val="21"/>
      <w:lang w:bidi="ar-SA"/>
    </w:rPr>
  </w:style>
  <w:style w:type="character" w:customStyle="1" w:styleId="67">
    <w:name w:val="Char Char1"/>
    <w:basedOn w:val="32"/>
    <w:qFormat/>
    <w:uiPriority w:val="0"/>
    <w:rPr>
      <w:kern w:val="2"/>
      <w:sz w:val="21"/>
    </w:rPr>
  </w:style>
  <w:style w:type="paragraph" w:customStyle="1" w:styleId="68">
    <w:name w:val="1.1.1"/>
    <w:basedOn w:val="1"/>
    <w:qFormat/>
    <w:uiPriority w:val="0"/>
    <w:rPr>
      <w:rFonts w:ascii="黑体"/>
      <w:sz w:val="24"/>
      <w:szCs w:val="20"/>
    </w:rPr>
  </w:style>
  <w:style w:type="paragraph" w:customStyle="1" w:styleId="69">
    <w:name w:val="xl26"/>
    <w:basedOn w:val="1"/>
    <w:qFormat/>
    <w:uiPriority w:val="0"/>
    <w:pPr>
      <w:widowControl/>
      <w:pBdr>
        <w:bottom w:val="single" w:color="auto" w:sz="4" w:space="0"/>
        <w:right w:val="single" w:color="auto" w:sz="4" w:space="0"/>
      </w:pBdr>
      <w:spacing w:before="100" w:after="100"/>
      <w:jc w:val="center"/>
      <w:textAlignment w:val="top"/>
    </w:pPr>
    <w:rPr>
      <w:rFonts w:ascii="宋体" w:hAnsi="宋体"/>
      <w:kern w:val="0"/>
      <w:szCs w:val="20"/>
    </w:rPr>
  </w:style>
  <w:style w:type="paragraph" w:customStyle="1" w:styleId="70">
    <w:name w:val="中文报告书"/>
    <w:basedOn w:val="1"/>
    <w:qFormat/>
    <w:uiPriority w:val="0"/>
    <w:pPr>
      <w:adjustRightInd w:val="0"/>
      <w:spacing w:after="80" w:line="420" w:lineRule="atLeast"/>
      <w:jc w:val="left"/>
      <w:textAlignment w:val="baseline"/>
    </w:pPr>
    <w:rPr>
      <w:kern w:val="0"/>
      <w:sz w:val="24"/>
      <w:szCs w:val="20"/>
    </w:rPr>
  </w:style>
  <w:style w:type="paragraph" w:customStyle="1" w:styleId="71">
    <w:name w:val="居中正文"/>
    <w:basedOn w:val="1"/>
    <w:next w:val="1"/>
    <w:qFormat/>
    <w:uiPriority w:val="0"/>
    <w:pPr>
      <w:adjustRightInd w:val="0"/>
      <w:spacing w:before="120" w:line="360" w:lineRule="auto"/>
      <w:jc w:val="center"/>
      <w:textAlignment w:val="baseline"/>
    </w:pPr>
    <w:rPr>
      <w:rFonts w:ascii="宋体"/>
      <w:kern w:val="28"/>
      <w:sz w:val="24"/>
      <w:szCs w:val="20"/>
    </w:rPr>
  </w:style>
  <w:style w:type="paragraph" w:customStyle="1" w:styleId="72">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73">
    <w:name w:val="Char4"/>
    <w:basedOn w:val="1"/>
    <w:qFormat/>
    <w:uiPriority w:val="0"/>
    <w:pPr>
      <w:spacing w:line="360" w:lineRule="auto"/>
      <w:ind w:firstLine="200" w:firstLineChars="200"/>
    </w:pPr>
    <w:rPr>
      <w:rFonts w:ascii="宋体" w:hAnsi="宋体"/>
      <w:sz w:val="24"/>
      <w:szCs w:val="20"/>
    </w:rPr>
  </w:style>
  <w:style w:type="paragraph" w:customStyle="1" w:styleId="74">
    <w:name w:val="2 Char Char Char Char"/>
    <w:basedOn w:val="1"/>
    <w:qFormat/>
    <w:uiPriority w:val="0"/>
    <w:pPr>
      <w:snapToGrid w:val="0"/>
      <w:spacing w:line="360" w:lineRule="auto"/>
      <w:ind w:firstLine="529" w:firstLineChars="200"/>
    </w:pPr>
    <w:rPr>
      <w:rFonts w:ascii="宋体" w:hAnsi="宋体"/>
      <w:b/>
    </w:rPr>
  </w:style>
  <w:style w:type="paragraph" w:customStyle="1" w:styleId="75">
    <w:name w:val="Char Char Char Char1"/>
    <w:basedOn w:val="1"/>
    <w:qFormat/>
    <w:uiPriority w:val="0"/>
    <w:pPr>
      <w:spacing w:line="360" w:lineRule="auto"/>
      <w:ind w:firstLine="200" w:firstLineChars="200"/>
    </w:pPr>
    <w:rPr>
      <w:rFonts w:ascii="宋体" w:hAnsi="宋体" w:cs="宋体"/>
      <w:sz w:val="24"/>
    </w:rPr>
  </w:style>
  <w:style w:type="paragraph" w:customStyle="1" w:styleId="76">
    <w:name w:val="xl22"/>
    <w:basedOn w:val="1"/>
    <w:qFormat/>
    <w:uiPriority w:val="0"/>
    <w:pPr>
      <w:widowControl/>
      <w:spacing w:before="100" w:after="100"/>
      <w:jc w:val="center"/>
    </w:pPr>
    <w:rPr>
      <w:kern w:val="0"/>
      <w:sz w:val="24"/>
    </w:rPr>
  </w:style>
  <w:style w:type="paragraph" w:customStyle="1" w:styleId="77">
    <w:name w:val="0"/>
    <w:basedOn w:val="1"/>
    <w:qFormat/>
    <w:uiPriority w:val="0"/>
    <w:pPr>
      <w:widowControl/>
      <w:spacing w:before="100" w:beforeAutospacing="1" w:after="100" w:afterAutospacing="1"/>
      <w:jc w:val="left"/>
    </w:pPr>
    <w:rPr>
      <w:rFonts w:ascii="宋体" w:hAnsi="宋体"/>
      <w:kern w:val="0"/>
      <w:sz w:val="24"/>
      <w:szCs w:val="20"/>
    </w:rPr>
  </w:style>
  <w:style w:type="character" w:customStyle="1" w:styleId="78">
    <w:name w:val="hang2"/>
    <w:basedOn w:val="32"/>
    <w:qFormat/>
    <w:uiPriority w:val="0"/>
    <w:rPr>
      <w:rFonts w:hint="default" w:ascii="??" w:hAnsi="??"/>
      <w:color w:val="000000"/>
      <w:sz w:val="18"/>
      <w:szCs w:val="18"/>
      <w:u w:val="none"/>
    </w:rPr>
  </w:style>
  <w:style w:type="paragraph" w:customStyle="1" w:styleId="79">
    <w:name w:val="样式3"/>
    <w:basedOn w:val="12"/>
    <w:qFormat/>
    <w:uiPriority w:val="0"/>
    <w:pPr>
      <w:spacing w:before="152" w:after="160"/>
      <w:ind w:firstLine="482"/>
    </w:pPr>
    <w:rPr>
      <w:rFonts w:eastAsia="宋体"/>
      <w:sz w:val="24"/>
    </w:rPr>
  </w:style>
  <w:style w:type="paragraph" w:customStyle="1" w:styleId="80">
    <w:name w:val="p0"/>
    <w:basedOn w:val="1"/>
    <w:qFormat/>
    <w:uiPriority w:val="0"/>
    <w:pPr>
      <w:widowControl/>
      <w:jc w:val="left"/>
    </w:pPr>
    <w:rPr>
      <w:kern w:val="0"/>
      <w:sz w:val="20"/>
      <w:szCs w:val="20"/>
    </w:rPr>
  </w:style>
  <w:style w:type="character" w:customStyle="1" w:styleId="81">
    <w:name w:val="apple-style-span"/>
    <w:basedOn w:val="32"/>
    <w:qFormat/>
    <w:uiPriority w:val="0"/>
  </w:style>
  <w:style w:type="character" w:customStyle="1" w:styleId="82">
    <w:name w:val="正文2 Char"/>
    <w:basedOn w:val="32"/>
    <w:qFormat/>
    <w:uiPriority w:val="0"/>
    <w:rPr>
      <w:kern w:val="2"/>
      <w:sz w:val="28"/>
    </w:rPr>
  </w:style>
  <w:style w:type="paragraph" w:customStyle="1" w:styleId="83">
    <w:name w:val="表头 Char Char Char Char"/>
    <w:basedOn w:val="1"/>
    <w:link w:val="84"/>
    <w:qFormat/>
    <w:uiPriority w:val="0"/>
    <w:pPr>
      <w:spacing w:before="200" w:line="500" w:lineRule="exact"/>
    </w:pPr>
    <w:rPr>
      <w:rFonts w:ascii="黑体" w:eastAsia="黑体"/>
      <w:spacing w:val="20"/>
      <w:sz w:val="24"/>
    </w:rPr>
  </w:style>
  <w:style w:type="character" w:customStyle="1" w:styleId="84">
    <w:name w:val="表头 Char Char Char Char Char"/>
    <w:basedOn w:val="32"/>
    <w:link w:val="83"/>
    <w:qFormat/>
    <w:uiPriority w:val="0"/>
    <w:rPr>
      <w:rFonts w:ascii="黑体" w:eastAsia="黑体"/>
      <w:spacing w:val="20"/>
      <w:kern w:val="2"/>
      <w:sz w:val="24"/>
      <w:szCs w:val="24"/>
      <w:lang w:val="en-US" w:eastAsia="zh-CN" w:bidi="ar-SA"/>
    </w:rPr>
  </w:style>
  <w:style w:type="character" w:customStyle="1" w:styleId="85">
    <w:name w:val="段落 Char Char"/>
    <w:basedOn w:val="32"/>
    <w:qFormat/>
    <w:uiPriority w:val="0"/>
    <w:rPr>
      <w:rFonts w:eastAsia="宋体"/>
      <w:kern w:val="2"/>
      <w:sz w:val="28"/>
      <w:lang w:val="en-US" w:eastAsia="zh-CN" w:bidi="ar-SA"/>
    </w:rPr>
  </w:style>
  <w:style w:type="character" w:customStyle="1" w:styleId="86">
    <w:name w:val="段落 Char Char Char"/>
    <w:basedOn w:val="32"/>
    <w:qFormat/>
    <w:uiPriority w:val="0"/>
    <w:rPr>
      <w:rFonts w:ascii="宋体" w:hAnsi="宋体" w:eastAsia="宋体"/>
      <w:kern w:val="2"/>
      <w:sz w:val="28"/>
      <w:szCs w:val="28"/>
      <w:lang w:val="en-US" w:eastAsia="zh-CN" w:bidi="ar-SA"/>
    </w:rPr>
  </w:style>
  <w:style w:type="paragraph" w:customStyle="1" w:styleId="87">
    <w:name w:val="样式 结论 + 段后: 0.5 行"/>
    <w:basedOn w:val="1"/>
    <w:qFormat/>
    <w:uiPriority w:val="0"/>
    <w:pPr>
      <w:snapToGrid w:val="0"/>
      <w:spacing w:beforeLines="50" w:afterLines="50" w:line="500" w:lineRule="atLeast"/>
      <w:ind w:firstLine="561"/>
    </w:pPr>
    <w:rPr>
      <w:rFonts w:ascii="楷体_GB2312" w:eastAsia="楷体_GB2312" w:cs="宋体"/>
      <w:b/>
      <w:bCs/>
      <w:sz w:val="28"/>
      <w:szCs w:val="20"/>
    </w:rPr>
  </w:style>
  <w:style w:type="paragraph" w:customStyle="1" w:styleId="88">
    <w:name w:val="段落 Char1"/>
    <w:basedOn w:val="1"/>
    <w:qFormat/>
    <w:uiPriority w:val="0"/>
    <w:pPr>
      <w:spacing w:line="500" w:lineRule="exact"/>
      <w:ind w:firstLine="578"/>
    </w:pPr>
    <w:rPr>
      <w:sz w:val="28"/>
      <w:szCs w:val="28"/>
    </w:rPr>
  </w:style>
  <w:style w:type="paragraph" w:customStyle="1" w:styleId="89">
    <w:name w:val="段落 Char Char Char Char Char"/>
    <w:basedOn w:val="17"/>
    <w:link w:val="90"/>
    <w:qFormat/>
    <w:uiPriority w:val="0"/>
    <w:pPr>
      <w:tabs>
        <w:tab w:val="left" w:pos="600"/>
        <w:tab w:val="left" w:pos="720"/>
      </w:tabs>
      <w:snapToGrid w:val="0"/>
      <w:spacing w:line="240" w:lineRule="atLeast"/>
      <w:jc w:val="center"/>
    </w:pPr>
    <w:rPr>
      <w:rFonts w:ascii="Times New Roman" w:hAnsi="Times New Roman"/>
      <w:szCs w:val="21"/>
    </w:rPr>
  </w:style>
  <w:style w:type="character" w:customStyle="1" w:styleId="90">
    <w:name w:val="段落 Char Char Char Char Char Char"/>
    <w:basedOn w:val="32"/>
    <w:link w:val="89"/>
    <w:qFormat/>
    <w:uiPriority w:val="0"/>
    <w:rPr>
      <w:rFonts w:eastAsia="宋体"/>
      <w:kern w:val="2"/>
      <w:sz w:val="21"/>
      <w:szCs w:val="21"/>
      <w:lang w:val="en-US" w:eastAsia="zh-CN" w:bidi="ar-SA"/>
    </w:rPr>
  </w:style>
  <w:style w:type="paragraph" w:customStyle="1" w:styleId="91">
    <w:name w:val="结论"/>
    <w:basedOn w:val="1"/>
    <w:qFormat/>
    <w:uiPriority w:val="0"/>
    <w:pPr>
      <w:snapToGrid w:val="0"/>
      <w:spacing w:beforeLines="50" w:afterLines="50" w:line="500" w:lineRule="atLeast"/>
      <w:ind w:firstLine="561"/>
    </w:pPr>
    <w:rPr>
      <w:rFonts w:ascii="楷体_GB2312" w:eastAsia="楷体_GB2312" w:cs="宋体"/>
      <w:b/>
      <w:bCs/>
      <w:sz w:val="28"/>
      <w:szCs w:val="20"/>
    </w:rPr>
  </w:style>
  <w:style w:type="paragraph" w:customStyle="1" w:styleId="92">
    <w:name w:val="Char1 Char Char Char"/>
    <w:basedOn w:val="1"/>
    <w:qFormat/>
    <w:uiPriority w:val="0"/>
    <w:pPr>
      <w:spacing w:line="360" w:lineRule="auto"/>
      <w:ind w:firstLine="200" w:firstLineChars="200"/>
    </w:pPr>
    <w:rPr>
      <w:rFonts w:ascii="宋体" w:hAnsi="宋体" w:cs="宋体"/>
      <w:sz w:val="24"/>
    </w:rPr>
  </w:style>
  <w:style w:type="paragraph" w:customStyle="1" w:styleId="93">
    <w:name w:val="15"/>
    <w:basedOn w:val="1"/>
    <w:next w:val="4"/>
    <w:qFormat/>
    <w:uiPriority w:val="0"/>
    <w:pPr>
      <w:ind w:firstLine="420" w:firstLineChars="200"/>
    </w:pPr>
    <w:rPr>
      <w:sz w:val="28"/>
    </w:rPr>
  </w:style>
  <w:style w:type="paragraph" w:customStyle="1" w:styleId="94">
    <w:name w:val="正文表"/>
    <w:basedOn w:val="1"/>
    <w:qFormat/>
    <w:uiPriority w:val="0"/>
    <w:pPr>
      <w:tabs>
        <w:tab w:val="left" w:pos="0"/>
      </w:tabs>
      <w:spacing w:line="440" w:lineRule="exact"/>
      <w:jc w:val="center"/>
    </w:pPr>
    <w:rPr>
      <w:sz w:val="24"/>
    </w:rPr>
  </w:style>
  <w:style w:type="character" w:customStyle="1" w:styleId="95">
    <w:name w:val="apple-converted-space"/>
    <w:basedOn w:val="32"/>
    <w:qFormat/>
    <w:uiPriority w:val="0"/>
  </w:style>
  <w:style w:type="character" w:customStyle="1" w:styleId="96">
    <w:name w:val="批注文字 Char"/>
    <w:basedOn w:val="32"/>
    <w:link w:val="13"/>
    <w:qFormat/>
    <w:uiPriority w:val="0"/>
    <w:rPr>
      <w:kern w:val="2"/>
      <w:sz w:val="21"/>
      <w:szCs w:val="24"/>
    </w:rPr>
  </w:style>
  <w:style w:type="character" w:customStyle="1" w:styleId="97">
    <w:name w:val="批注主题 Char"/>
    <w:basedOn w:val="96"/>
    <w:link w:val="27"/>
    <w:qFormat/>
    <w:uiPriority w:val="0"/>
    <w:rPr>
      <w:b/>
      <w:bCs/>
      <w:kern w:val="2"/>
      <w:sz w:val="21"/>
      <w:szCs w:val="24"/>
    </w:rPr>
  </w:style>
  <w:style w:type="character" w:customStyle="1" w:styleId="98">
    <w:name w:val="正文文本缩进 Char"/>
    <w:basedOn w:val="32"/>
    <w:link w:val="15"/>
    <w:qFormat/>
    <w:uiPriority w:val="0"/>
    <w:rPr>
      <w:kern w:val="2"/>
      <w:sz w:val="28"/>
      <w:szCs w:val="24"/>
    </w:rPr>
  </w:style>
  <w:style w:type="character" w:customStyle="1" w:styleId="99">
    <w:name w:val="正文首行缩进 2 Char"/>
    <w:basedOn w:val="98"/>
    <w:link w:val="29"/>
    <w:qFormat/>
    <w:uiPriority w:val="0"/>
    <w:rPr>
      <w:kern w:val="2"/>
      <w:sz w:val="28"/>
      <w:szCs w:val="24"/>
    </w:rPr>
  </w:style>
  <w:style w:type="paragraph" w:customStyle="1" w:styleId="100">
    <w:name w:val="Table Paragraph"/>
    <w:basedOn w:val="1"/>
    <w:qFormat/>
    <w:uiPriority w:val="1"/>
    <w:pPr>
      <w:widowControl/>
      <w:jc w:val="left"/>
    </w:pPr>
    <w:rPr>
      <w:rFonts w:ascii="Calibri" w:hAnsi="Calibri" w:cs="宋体"/>
      <w:kern w:val="0"/>
      <w:sz w:val="22"/>
      <w:szCs w:val="22"/>
    </w:rPr>
  </w:style>
  <w:style w:type="paragraph" w:styleId="101">
    <w:name w:val="List Paragraph"/>
    <w:basedOn w:val="1"/>
    <w:qFormat/>
    <w:uiPriority w:val="34"/>
    <w:pPr>
      <w:ind w:firstLine="420" w:firstLineChars="200"/>
    </w:pPr>
  </w:style>
  <w:style w:type="paragraph" w:customStyle="1" w:styleId="10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03">
    <w:name w:val="5文章(治)"/>
    <w:basedOn w:val="1"/>
    <w:link w:val="104"/>
    <w:qFormat/>
    <w:uiPriority w:val="0"/>
    <w:pPr>
      <w:spacing w:line="360" w:lineRule="auto"/>
      <w:ind w:firstLine="560" w:firstLineChars="200"/>
    </w:pPr>
    <w:rPr>
      <w:color w:val="000000"/>
      <w:sz w:val="24"/>
      <w:szCs w:val="20"/>
    </w:rPr>
  </w:style>
  <w:style w:type="character" w:customStyle="1" w:styleId="104">
    <w:name w:val="5文章(治) Char1"/>
    <w:basedOn w:val="32"/>
    <w:link w:val="103"/>
    <w:qFormat/>
    <w:uiPriority w:val="0"/>
    <w:rPr>
      <w:color w:val="000000"/>
      <w:kern w:val="2"/>
      <w:sz w:val="24"/>
    </w:rPr>
  </w:style>
  <w:style w:type="character" w:customStyle="1" w:styleId="105">
    <w:name w:val="5文章(治) Char"/>
    <w:qFormat/>
    <w:uiPriority w:val="0"/>
    <w:rPr>
      <w:rFonts w:eastAsia="宋体"/>
      <w:kern w:val="2"/>
      <w:sz w:val="24"/>
      <w:lang w:val="en-US" w:eastAsia="zh-CN" w:bidi="ar-SA"/>
    </w:rPr>
  </w:style>
  <w:style w:type="paragraph" w:customStyle="1" w:styleId="106">
    <w:name w:val="TT正文"/>
    <w:basedOn w:val="1"/>
    <w:qFormat/>
    <w:uiPriority w:val="0"/>
    <w:pPr>
      <w:ind w:firstLine="200" w:firstLineChars="200"/>
    </w:pPr>
    <w:rPr>
      <w:rFonts w:cs="宋体"/>
      <w:color w:val="000000"/>
      <w:sz w:val="24"/>
      <w:szCs w:val="20"/>
    </w:rPr>
  </w:style>
  <w:style w:type="character" w:customStyle="1" w:styleId="107">
    <w:name w:val="16"/>
    <w:basedOn w:val="32"/>
    <w:qFormat/>
    <w:uiPriority w:val="0"/>
    <w:rPr>
      <w:rFonts w:hint="default" w:ascii="Times New Roman" w:hAnsi="Times New Roman" w:cs="Times New Roman"/>
      <w:b/>
      <w:bCs/>
      <w:sz w:val="24"/>
      <w:szCs w:val="24"/>
    </w:rPr>
  </w:style>
  <w:style w:type="paragraph" w:customStyle="1" w:styleId="108">
    <w:name w:val="正文缩进1"/>
    <w:basedOn w:val="1"/>
    <w:qFormat/>
    <w:uiPriority w:val="0"/>
    <w:rPr>
      <w:sz w:val="28"/>
      <w:szCs w:val="28"/>
    </w:rPr>
  </w:style>
  <w:style w:type="paragraph" w:customStyle="1" w:styleId="109">
    <w:name w:val="段"/>
    <w:qFormat/>
    <w:uiPriority w:val="0"/>
    <w:pPr>
      <w:autoSpaceDE w:val="0"/>
      <w:autoSpaceDN w:val="0"/>
      <w:ind w:firstLine="200" w:firstLineChars="200"/>
      <w:jc w:val="both"/>
    </w:pPr>
    <w:rPr>
      <w:rFonts w:ascii="宋体" w:hAnsi="Calibri" w:eastAsia="宋体" w:cs="Times New Roman"/>
      <w:sz w:val="21"/>
      <w:szCs w:val="22"/>
      <w:lang w:val="zh-CN" w:eastAsia="zh-CN" w:bidi="ar-SA"/>
    </w:rPr>
  </w:style>
  <w:style w:type="character" w:customStyle="1" w:styleId="110">
    <w:name w:val="c正文 字符"/>
    <w:link w:val="111"/>
    <w:qFormat/>
    <w:uiPriority w:val="0"/>
    <w:rPr>
      <w:sz w:val="24"/>
    </w:rPr>
  </w:style>
  <w:style w:type="paragraph" w:customStyle="1" w:styleId="111">
    <w:name w:val="c正文"/>
    <w:basedOn w:val="1"/>
    <w:link w:val="110"/>
    <w:qFormat/>
    <w:uiPriority w:val="0"/>
    <w:pPr>
      <w:adjustRightInd w:val="0"/>
      <w:snapToGrid w:val="0"/>
      <w:spacing w:line="500" w:lineRule="exact"/>
      <w:ind w:firstLine="480" w:firstLineChars="200"/>
    </w:pPr>
    <w:rPr>
      <w:rFonts w:asciiTheme="minorHAnsi" w:hAnsiTheme="minorHAnsi" w:eastAsiaTheme="minorEastAsia" w:cstheme="minorBidi"/>
      <w:kern w:val="0"/>
      <w:sz w:val="24"/>
      <w:szCs w:val="20"/>
    </w:rPr>
  </w:style>
  <w:style w:type="paragraph" w:customStyle="1" w:styleId="112">
    <w:name w:val="鸿达表格文字"/>
    <w:basedOn w:val="1"/>
    <w:qFormat/>
    <w:uiPriority w:val="0"/>
    <w:pPr>
      <w:contextualSpacing/>
      <w:jc w:val="center"/>
    </w:pPr>
    <w:rPr>
      <w:szCs w:val="21"/>
    </w:rPr>
  </w:style>
  <w:style w:type="paragraph" w:customStyle="1" w:styleId="113">
    <w:name w:val="表格文字"/>
    <w:basedOn w:val="14"/>
    <w:qFormat/>
    <w:uiPriority w:val="0"/>
    <w:pPr>
      <w:spacing w:after="0" w:line="400" w:lineRule="exact"/>
      <w:jc w:val="center"/>
    </w:pPr>
    <w:rPr>
      <w:szCs w:val="21"/>
    </w:rPr>
  </w:style>
  <w:style w:type="paragraph" w:customStyle="1" w:styleId="114">
    <w:name w:val="正文缩进3"/>
    <w:basedOn w:val="1"/>
    <w:qFormat/>
    <w:uiPriority w:val="0"/>
    <w:rPr>
      <w:sz w:val="28"/>
      <w:szCs w:val="28"/>
    </w:rPr>
  </w:style>
  <w:style w:type="paragraph" w:customStyle="1" w:styleId="115">
    <w:name w:val="正文文本缩进1"/>
    <w:basedOn w:val="1"/>
    <w:qFormat/>
    <w:uiPriority w:val="0"/>
    <w:pPr>
      <w:spacing w:line="360" w:lineRule="auto"/>
      <w:ind w:firstLine="420" w:firstLineChars="175"/>
    </w:pPr>
    <w:rPr>
      <w:kern w:val="0"/>
      <w:sz w:val="20"/>
      <w:szCs w:val="20"/>
    </w:rPr>
  </w:style>
  <w:style w:type="paragraph" w:customStyle="1" w:styleId="116">
    <w:name w:val="赵正文"/>
    <w:basedOn w:val="1"/>
    <w:qFormat/>
    <w:uiPriority w:val="0"/>
    <w:pPr>
      <w:spacing w:line="520" w:lineRule="exact"/>
      <w:ind w:firstLine="640" w:firstLineChars="200"/>
    </w:pPr>
    <w:rPr>
      <w:kern w:val="0"/>
      <w:sz w:val="24"/>
    </w:rPr>
  </w:style>
  <w:style w:type="paragraph" w:customStyle="1" w:styleId="117">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character" w:customStyle="1" w:styleId="118">
    <w:name w:val="font21"/>
    <w:qFormat/>
    <w:uiPriority w:val="0"/>
    <w:rPr>
      <w:rFonts w:hint="eastAsia" w:ascii="宋体" w:hAnsi="宋体" w:eastAsia="宋体" w:cs="宋体"/>
      <w:color w:val="000000"/>
      <w:sz w:val="22"/>
      <w:szCs w:val="22"/>
      <w:u w:val="none"/>
    </w:rPr>
  </w:style>
  <w:style w:type="character" w:customStyle="1" w:styleId="119">
    <w:name w:val="font41"/>
    <w:qFormat/>
    <w:uiPriority w:val="0"/>
    <w:rPr>
      <w:rFonts w:hint="default" w:ascii="Times New Roman" w:hAnsi="Times New Roman" w:cs="Times New Roman"/>
      <w:color w:val="000000"/>
      <w:sz w:val="22"/>
      <w:szCs w:val="22"/>
      <w:u w:val="none"/>
    </w:rPr>
  </w:style>
  <w:style w:type="character" w:customStyle="1" w:styleId="120">
    <w:name w:val="font31"/>
    <w:qFormat/>
    <w:uiPriority w:val="0"/>
    <w:rPr>
      <w:rFonts w:ascii="Wingdings 2" w:hAnsi="Wingdings 2" w:eastAsia="Wingdings 2" w:cs="Wingdings 2"/>
      <w:color w:val="000000"/>
      <w:sz w:val="24"/>
      <w:szCs w:val="24"/>
      <w:u w:val="none"/>
    </w:rPr>
  </w:style>
  <w:style w:type="character" w:customStyle="1" w:styleId="121">
    <w:name w:val="font11"/>
    <w:qFormat/>
    <w:uiPriority w:val="0"/>
    <w:rPr>
      <w:rFonts w:hint="default" w:ascii="Times New Roman" w:hAnsi="Times New Roman" w:cs="Times New Roman"/>
      <w:color w:val="000000"/>
      <w:sz w:val="22"/>
      <w:szCs w:val="22"/>
      <w:u w:val="none"/>
      <w:vertAlign w:val="subscript"/>
    </w:rPr>
  </w:style>
  <w:style w:type="character" w:customStyle="1" w:styleId="122">
    <w:name w:val="font01"/>
    <w:qFormat/>
    <w:uiPriority w:val="0"/>
    <w:rPr>
      <w:rFonts w:hint="eastAsia" w:ascii="宋体" w:hAnsi="宋体" w:eastAsia="宋体" w:cs="宋体"/>
      <w:color w:val="000000"/>
      <w:sz w:val="22"/>
      <w:szCs w:val="22"/>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wmf"/><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w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87"/>
    <customShpInfo spid="_x0000_s2088"/>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82"/>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5"/>
    <customShpInfo spid="_x0000_s208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04D0C5-FD62-4F7B-9CCC-19FFF710CF4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4396</Words>
  <Characters>25062</Characters>
  <Lines>208</Lines>
  <Paragraphs>58</Paragraphs>
  <TotalTime>1</TotalTime>
  <ScaleCrop>false</ScaleCrop>
  <LinksUpToDate>false</LinksUpToDate>
  <CharactersWithSpaces>29400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2019-10-20T06:05:00Z</dcterms:created>
  <dc:creator>微软中国</dc:creator>
  <cp:lastModifiedBy>Administrator</cp:lastModifiedBy>
  <cp:lastPrinted>2019-12-27T03:32:00Z</cp:lastPrinted>
  <dcterms:modified xsi:type="dcterms:W3CDTF">2020-11-24T08:21:18Z</dcterms:modified>
  <dc:title>建设项目基本情况</dc:title>
  <cp:revision>1937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