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bidi w:val="0"/>
        <w:rPr>
          <w:rFonts w:hint="eastAsia"/>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eastAsia="宋体"/>
          <w:highlight w:val="none"/>
          <w:lang w:eastAsia="zh-CN"/>
        </w:rPr>
        <w:drawing>
          <wp:anchor distT="0" distB="0" distL="114300" distR="114300" simplePos="0" relativeHeight="299712512" behindDoc="0" locked="0" layoutInCell="1" allowOverlap="1">
            <wp:simplePos x="0" y="0"/>
            <wp:positionH relativeFrom="column">
              <wp:posOffset>0</wp:posOffset>
            </wp:positionH>
            <wp:positionV relativeFrom="paragraph">
              <wp:posOffset>30480</wp:posOffset>
            </wp:positionV>
            <wp:extent cx="7560310" cy="10692130"/>
            <wp:effectExtent l="0" t="0" r="2540" b="13970"/>
            <wp:wrapSquare wrapText="bothSides"/>
            <wp:docPr id="44" name="图片 44" descr="Scan20201113143036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Scan20201113143036_001"/>
                    <pic:cNvPicPr>
                      <a:picLocks noChangeAspect="1"/>
                    </pic:cNvPicPr>
                  </pic:nvPicPr>
                  <pic:blipFill>
                    <a:blip r:embed="rId6"/>
                    <a:stretch>
                      <a:fillRect/>
                    </a:stretch>
                  </pic:blipFill>
                  <pic:spPr>
                    <a:xfrm>
                      <a:off x="0" y="0"/>
                      <a:ext cx="7560310" cy="10692130"/>
                    </a:xfrm>
                    <a:prstGeom prst="rect">
                      <a:avLst/>
                    </a:prstGeom>
                  </pic:spPr>
                </pic:pic>
              </a:graphicData>
            </a:graphic>
          </wp:anchor>
        </w:drawing>
      </w:r>
    </w:p>
    <w:p>
      <w:pPr>
        <w:rPr>
          <w:rFonts w:hint="eastAsia"/>
        </w:rPr>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eastAsia="宋体"/>
          <w:lang w:eastAsia="zh-CN"/>
        </w:rPr>
        <w:drawing>
          <wp:anchor distT="0" distB="0" distL="114300" distR="114300" simplePos="0" relativeHeight="299720704" behindDoc="0" locked="0" layoutInCell="1" allowOverlap="1">
            <wp:simplePos x="0" y="0"/>
            <wp:positionH relativeFrom="column">
              <wp:posOffset>304800</wp:posOffset>
            </wp:positionH>
            <wp:positionV relativeFrom="paragraph">
              <wp:posOffset>30480</wp:posOffset>
            </wp:positionV>
            <wp:extent cx="7533640" cy="10655935"/>
            <wp:effectExtent l="0" t="0" r="10160" b="12065"/>
            <wp:wrapSquare wrapText="bothSides"/>
            <wp:docPr id="45" name="图片 45" descr="C:/Users/ADMINI~1/AppData/Local/Temp/picturecompress_2020111315423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ADMINI~1/AppData/Local/Temp/picturecompress_20201113154231/output_1.jpgoutput_1"/>
                    <pic:cNvPicPr>
                      <a:picLocks noChangeAspect="1"/>
                    </pic:cNvPicPr>
                  </pic:nvPicPr>
                  <pic:blipFill>
                    <a:blip r:embed="rId7"/>
                    <a:stretch>
                      <a:fillRect/>
                    </a:stretch>
                  </pic:blipFill>
                  <pic:spPr>
                    <a:xfrm>
                      <a:off x="0" y="0"/>
                      <a:ext cx="7533640" cy="10655935"/>
                    </a:xfrm>
                    <a:prstGeom prst="rect">
                      <a:avLst/>
                    </a:prstGeom>
                  </pic:spPr>
                </pic:pic>
              </a:graphicData>
            </a:graphic>
          </wp:anchor>
        </w:drawing>
      </w:r>
    </w:p>
    <w:p>
      <w:pPr>
        <w:rPr>
          <w:rFonts w:hint="eastAsia"/>
        </w:rPr>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eastAsia="宋体"/>
          <w:lang w:eastAsia="zh-CN"/>
        </w:rPr>
        <w:drawing>
          <wp:anchor distT="0" distB="0" distL="114300" distR="114300" simplePos="0" relativeHeight="299729920" behindDoc="0" locked="0" layoutInCell="1" allowOverlap="1">
            <wp:simplePos x="0" y="0"/>
            <wp:positionH relativeFrom="column">
              <wp:posOffset>304800</wp:posOffset>
            </wp:positionH>
            <wp:positionV relativeFrom="paragraph">
              <wp:posOffset>30480</wp:posOffset>
            </wp:positionV>
            <wp:extent cx="7533640" cy="10655935"/>
            <wp:effectExtent l="0" t="0" r="10160" b="12065"/>
            <wp:wrapSquare wrapText="bothSides"/>
            <wp:docPr id="46" name="图片 46" descr="C:/Users/ADMINI~1/AppData/Local/Temp/picturecompress_2020111315430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ADMINI~1/AppData/Local/Temp/picturecompress_20201113154306/output_1.jpgoutput_1"/>
                    <pic:cNvPicPr>
                      <a:picLocks noChangeAspect="1"/>
                    </pic:cNvPicPr>
                  </pic:nvPicPr>
                  <pic:blipFill>
                    <a:blip r:embed="rId8"/>
                    <a:stretch>
                      <a:fillRect/>
                    </a:stretch>
                  </pic:blipFill>
                  <pic:spPr>
                    <a:xfrm>
                      <a:off x="0" y="0"/>
                      <a:ext cx="7533640" cy="10655935"/>
                    </a:xfrm>
                    <a:prstGeom prst="rect">
                      <a:avLst/>
                    </a:prstGeom>
                  </pic:spPr>
                </pic:pic>
              </a:graphicData>
            </a:graphic>
          </wp:anchor>
        </w:drawing>
      </w:r>
    </w:p>
    <w:p>
      <w:pPr>
        <w:rPr>
          <w:rFonts w:hint="eastAsia"/>
        </w:rPr>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eastAsia="宋体"/>
          <w:lang w:eastAsia="zh-CN"/>
        </w:rPr>
        <w:drawing>
          <wp:anchor distT="0" distB="0" distL="114300" distR="114300" simplePos="0" relativeHeight="299740160" behindDoc="0" locked="0" layoutInCell="1" allowOverlap="1">
            <wp:simplePos x="0" y="0"/>
            <wp:positionH relativeFrom="column">
              <wp:posOffset>304800</wp:posOffset>
            </wp:positionH>
            <wp:positionV relativeFrom="paragraph">
              <wp:posOffset>30480</wp:posOffset>
            </wp:positionV>
            <wp:extent cx="7533640" cy="10655935"/>
            <wp:effectExtent l="0" t="0" r="10160" b="12065"/>
            <wp:wrapSquare wrapText="bothSides"/>
            <wp:docPr id="48" name="图片 48" descr="C:/Users/ADMINI~1/AppData/Local/Temp/picturecompress_2020111315432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Users/ADMINI~1/AppData/Local/Temp/picturecompress_20201113154325/output_1.jpgoutput_1"/>
                    <pic:cNvPicPr>
                      <a:picLocks noChangeAspect="1"/>
                    </pic:cNvPicPr>
                  </pic:nvPicPr>
                  <pic:blipFill>
                    <a:blip r:embed="rId9"/>
                    <a:stretch>
                      <a:fillRect/>
                    </a:stretch>
                  </pic:blipFill>
                  <pic:spPr>
                    <a:xfrm>
                      <a:off x="0" y="0"/>
                      <a:ext cx="7533640" cy="10655935"/>
                    </a:xfrm>
                    <a:prstGeom prst="rect">
                      <a:avLst/>
                    </a:prstGeom>
                  </pic:spPr>
                </pic:pic>
              </a:graphicData>
            </a:graphic>
          </wp:anchor>
        </w:drawing>
      </w:r>
    </w:p>
    <w:p>
      <w:pPr>
        <w:pStyle w:val="2"/>
        <w:rPr>
          <w:rFonts w:hint="eastAsia"/>
        </w:rPr>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eastAsia="宋体"/>
          <w:highlight w:val="none"/>
          <w:lang w:eastAsia="zh-CN"/>
        </w:rPr>
        <w:drawing>
          <wp:anchor distT="0" distB="0" distL="114300" distR="114300" simplePos="0" relativeHeight="299751424" behindDoc="0" locked="0" layoutInCell="1" allowOverlap="1">
            <wp:simplePos x="0" y="0"/>
            <wp:positionH relativeFrom="column">
              <wp:posOffset>0</wp:posOffset>
            </wp:positionH>
            <wp:positionV relativeFrom="paragraph">
              <wp:posOffset>30480</wp:posOffset>
            </wp:positionV>
            <wp:extent cx="7533640" cy="10655935"/>
            <wp:effectExtent l="0" t="0" r="10160" b="12065"/>
            <wp:wrapSquare wrapText="bothSides"/>
            <wp:docPr id="52" name="图片 52" descr="C:/Users/ADMINI~1/AppData/Local/Temp/picturecompress_2020111315435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C:/Users/ADMINI~1/AppData/Local/Temp/picturecompress_20201113154352/output_1.jpgoutput_1"/>
                    <pic:cNvPicPr>
                      <a:picLocks noChangeAspect="1"/>
                    </pic:cNvPicPr>
                  </pic:nvPicPr>
                  <pic:blipFill>
                    <a:blip r:embed="rId10"/>
                    <a:stretch>
                      <a:fillRect/>
                    </a:stretch>
                  </pic:blipFill>
                  <pic:spPr>
                    <a:xfrm>
                      <a:off x="0" y="0"/>
                      <a:ext cx="7533640" cy="10655935"/>
                    </a:xfrm>
                    <a:prstGeom prst="rect">
                      <a:avLst/>
                    </a:prstGeom>
                  </pic:spPr>
                </pic:pic>
              </a:graphicData>
            </a:graphic>
          </wp:anchor>
        </w:drawing>
      </w:r>
    </w:p>
    <w:p>
      <w:pPr>
        <w:pStyle w:val="2"/>
        <w:bidi w:val="0"/>
        <w:rPr>
          <w:rFonts w:hint="eastAsia"/>
          <w:highlight w:val="none"/>
        </w:rPr>
      </w:pPr>
      <w:r>
        <w:rPr>
          <w:rFonts w:hint="eastAsia"/>
          <w:highlight w:val="none"/>
        </w:rPr>
        <w:t>建设项目基本情况</w:t>
      </w:r>
    </w:p>
    <w:tbl>
      <w:tblPr>
        <w:tblStyle w:val="21"/>
        <w:tblW w:w="882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402"/>
        <w:gridCol w:w="1349"/>
        <w:gridCol w:w="764"/>
        <w:gridCol w:w="1132"/>
        <w:gridCol w:w="1285"/>
        <w:gridCol w:w="1458"/>
        <w:gridCol w:w="240"/>
        <w:gridCol w:w="119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3" w:hRule="atLeast"/>
          <w:jc w:val="center"/>
        </w:trPr>
        <w:tc>
          <w:tcPr>
            <w:tcW w:w="1402" w:type="dxa"/>
            <w:noWrap w:val="0"/>
            <w:vAlign w:val="center"/>
          </w:tcPr>
          <w:p>
            <w:pPr>
              <w:pStyle w:val="29"/>
              <w:bidi w:val="0"/>
              <w:rPr>
                <w:sz w:val="24"/>
                <w:szCs w:val="32"/>
                <w:highlight w:val="none"/>
              </w:rPr>
            </w:pPr>
            <w:r>
              <w:rPr>
                <w:sz w:val="24"/>
                <w:szCs w:val="32"/>
                <w:highlight w:val="none"/>
              </w:rPr>
              <w:t>项目名称</w:t>
            </w:r>
          </w:p>
        </w:tc>
        <w:tc>
          <w:tcPr>
            <w:tcW w:w="7425" w:type="dxa"/>
            <w:gridSpan w:val="7"/>
            <w:noWrap w:val="0"/>
            <w:vAlign w:val="center"/>
          </w:tcPr>
          <w:p>
            <w:pPr>
              <w:pStyle w:val="29"/>
              <w:bidi w:val="0"/>
              <w:rPr>
                <w:rFonts w:hint="default"/>
                <w:sz w:val="24"/>
                <w:szCs w:val="32"/>
                <w:highlight w:val="none"/>
                <w:lang w:val="en-US"/>
              </w:rPr>
            </w:pPr>
            <w:r>
              <w:rPr>
                <w:rFonts w:hint="default"/>
                <w:sz w:val="24"/>
                <w:szCs w:val="32"/>
                <w:highlight w:val="none"/>
              </w:rPr>
              <w:t>新乡市兴豫气体有限责任公司</w:t>
            </w:r>
            <w:r>
              <w:rPr>
                <w:rFonts w:hint="eastAsia"/>
                <w:sz w:val="24"/>
                <w:szCs w:val="32"/>
                <w:highlight w:val="none"/>
                <w:lang w:eastAsia="zh-CN"/>
              </w:rPr>
              <w:t>年分装</w:t>
            </w:r>
            <w:r>
              <w:rPr>
                <w:rFonts w:hint="eastAsia"/>
                <w:sz w:val="24"/>
                <w:szCs w:val="32"/>
                <w:highlight w:val="none"/>
                <w:lang w:val="en-US" w:eastAsia="zh-CN"/>
              </w:rPr>
              <w:t>7000吨工业气体项目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1" w:hRule="atLeast"/>
          <w:jc w:val="center"/>
        </w:trPr>
        <w:tc>
          <w:tcPr>
            <w:tcW w:w="1402" w:type="dxa"/>
            <w:noWrap w:val="0"/>
            <w:vAlign w:val="center"/>
          </w:tcPr>
          <w:p>
            <w:pPr>
              <w:pStyle w:val="29"/>
              <w:bidi w:val="0"/>
              <w:rPr>
                <w:sz w:val="24"/>
                <w:szCs w:val="32"/>
                <w:highlight w:val="none"/>
              </w:rPr>
            </w:pPr>
            <w:r>
              <w:rPr>
                <w:sz w:val="24"/>
                <w:szCs w:val="32"/>
                <w:highlight w:val="none"/>
              </w:rPr>
              <w:t>建设单位</w:t>
            </w:r>
          </w:p>
        </w:tc>
        <w:tc>
          <w:tcPr>
            <w:tcW w:w="7425" w:type="dxa"/>
            <w:gridSpan w:val="7"/>
            <w:noWrap w:val="0"/>
            <w:vAlign w:val="center"/>
          </w:tcPr>
          <w:p>
            <w:pPr>
              <w:pStyle w:val="29"/>
              <w:bidi w:val="0"/>
              <w:rPr>
                <w:rFonts w:hint="default"/>
                <w:sz w:val="24"/>
                <w:szCs w:val="32"/>
                <w:highlight w:val="none"/>
              </w:rPr>
            </w:pPr>
            <w:r>
              <w:rPr>
                <w:rFonts w:hint="default"/>
                <w:sz w:val="24"/>
                <w:szCs w:val="32"/>
                <w:highlight w:val="none"/>
              </w:rPr>
              <w:t>新乡市兴豫气体有限责任公司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2" w:hRule="atLeast"/>
          <w:jc w:val="center"/>
        </w:trPr>
        <w:tc>
          <w:tcPr>
            <w:tcW w:w="1402" w:type="dxa"/>
            <w:noWrap w:val="0"/>
            <w:vAlign w:val="center"/>
          </w:tcPr>
          <w:p>
            <w:pPr>
              <w:pStyle w:val="29"/>
              <w:bidi w:val="0"/>
              <w:rPr>
                <w:sz w:val="24"/>
                <w:szCs w:val="32"/>
                <w:highlight w:val="none"/>
              </w:rPr>
            </w:pPr>
            <w:r>
              <w:rPr>
                <w:sz w:val="24"/>
                <w:szCs w:val="32"/>
                <w:highlight w:val="none"/>
              </w:rPr>
              <w:t>法人代表</w:t>
            </w:r>
          </w:p>
        </w:tc>
        <w:tc>
          <w:tcPr>
            <w:tcW w:w="3245" w:type="dxa"/>
            <w:gridSpan w:val="3"/>
            <w:noWrap w:val="0"/>
            <w:vAlign w:val="center"/>
          </w:tcPr>
          <w:p>
            <w:pPr>
              <w:pStyle w:val="29"/>
              <w:bidi w:val="0"/>
              <w:rPr>
                <w:rFonts w:hint="default" w:eastAsia="宋体"/>
                <w:sz w:val="24"/>
                <w:szCs w:val="32"/>
                <w:highlight w:val="none"/>
                <w:lang w:val="en-US" w:eastAsia="zh-CN"/>
              </w:rPr>
            </w:pPr>
            <w:r>
              <w:rPr>
                <w:rFonts w:hint="default"/>
                <w:sz w:val="24"/>
                <w:szCs w:val="32"/>
                <w:highlight w:val="none"/>
                <w:lang w:val="en-US"/>
              </w:rPr>
              <w:t>杨泽兴410</w:t>
            </w:r>
            <w:r>
              <w:rPr>
                <w:rFonts w:hint="eastAsia"/>
                <w:sz w:val="24"/>
                <w:szCs w:val="32"/>
                <w:highlight w:val="none"/>
                <w:lang w:val="en-US" w:eastAsia="zh-CN"/>
              </w:rPr>
              <w:t>***********</w:t>
            </w:r>
            <w:bookmarkStart w:id="5" w:name="_GoBack"/>
            <w:bookmarkEnd w:id="5"/>
          </w:p>
        </w:tc>
        <w:tc>
          <w:tcPr>
            <w:tcW w:w="1285" w:type="dxa"/>
            <w:noWrap w:val="0"/>
            <w:vAlign w:val="center"/>
          </w:tcPr>
          <w:p>
            <w:pPr>
              <w:pStyle w:val="29"/>
              <w:bidi w:val="0"/>
              <w:rPr>
                <w:rFonts w:hint="default"/>
                <w:sz w:val="24"/>
                <w:szCs w:val="32"/>
                <w:highlight w:val="none"/>
              </w:rPr>
            </w:pPr>
            <w:r>
              <w:rPr>
                <w:rFonts w:hint="default"/>
                <w:sz w:val="24"/>
                <w:szCs w:val="32"/>
                <w:highlight w:val="none"/>
              </w:rPr>
              <w:t>联系人</w:t>
            </w:r>
          </w:p>
        </w:tc>
        <w:tc>
          <w:tcPr>
            <w:tcW w:w="2895" w:type="dxa"/>
            <w:gridSpan w:val="3"/>
            <w:noWrap w:val="0"/>
            <w:vAlign w:val="center"/>
          </w:tcPr>
          <w:p>
            <w:pPr>
              <w:pStyle w:val="29"/>
              <w:bidi w:val="0"/>
              <w:rPr>
                <w:rFonts w:hint="default"/>
                <w:sz w:val="24"/>
                <w:szCs w:val="32"/>
                <w:highlight w:val="none"/>
              </w:rPr>
            </w:pPr>
            <w:r>
              <w:rPr>
                <w:rFonts w:hint="default"/>
                <w:sz w:val="24"/>
                <w:szCs w:val="32"/>
                <w:highlight w:val="none"/>
              </w:rPr>
              <w:t>杨孟凯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1" w:hRule="atLeast"/>
          <w:jc w:val="center"/>
        </w:trPr>
        <w:tc>
          <w:tcPr>
            <w:tcW w:w="1402" w:type="dxa"/>
            <w:noWrap w:val="0"/>
            <w:vAlign w:val="center"/>
          </w:tcPr>
          <w:p>
            <w:pPr>
              <w:pStyle w:val="29"/>
              <w:bidi w:val="0"/>
              <w:rPr>
                <w:sz w:val="24"/>
                <w:szCs w:val="32"/>
                <w:highlight w:val="none"/>
              </w:rPr>
            </w:pPr>
            <w:r>
              <w:rPr>
                <w:sz w:val="24"/>
                <w:szCs w:val="32"/>
                <w:highlight w:val="none"/>
              </w:rPr>
              <w:t>通讯地址</w:t>
            </w:r>
          </w:p>
        </w:tc>
        <w:tc>
          <w:tcPr>
            <w:tcW w:w="7425" w:type="dxa"/>
            <w:gridSpan w:val="7"/>
            <w:noWrap w:val="0"/>
            <w:vAlign w:val="center"/>
          </w:tcPr>
          <w:p>
            <w:pPr>
              <w:pStyle w:val="29"/>
              <w:bidi w:val="0"/>
              <w:rPr>
                <w:rFonts w:hint="eastAsia" w:eastAsia="宋体"/>
                <w:sz w:val="24"/>
                <w:szCs w:val="24"/>
                <w:highlight w:val="none"/>
                <w:lang w:eastAsia="zh-CN"/>
              </w:rPr>
            </w:pPr>
            <w:r>
              <w:rPr>
                <w:rFonts w:hint="eastAsia"/>
                <w:color w:val="000000" w:themeColor="text1"/>
                <w:sz w:val="24"/>
                <w:szCs w:val="24"/>
                <w:highlight w:val="none"/>
                <w14:textFill>
                  <w14:solidFill>
                    <w14:schemeClr w14:val="tx1"/>
                  </w14:solidFill>
                </w14:textFill>
              </w:rPr>
              <w:t>新乡县大召营镇</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新焦公路八公里处</w:t>
            </w:r>
            <w:r>
              <w:rPr>
                <w:rFonts w:hint="eastAsia"/>
                <w:color w:val="000000" w:themeColor="text1"/>
                <w:sz w:val="24"/>
                <w:szCs w:val="24"/>
                <w:highlight w:val="none"/>
                <w:lang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8" w:hRule="atLeast"/>
          <w:jc w:val="center"/>
        </w:trPr>
        <w:tc>
          <w:tcPr>
            <w:tcW w:w="1402" w:type="dxa"/>
            <w:noWrap w:val="0"/>
            <w:vAlign w:val="center"/>
          </w:tcPr>
          <w:p>
            <w:pPr>
              <w:pStyle w:val="29"/>
              <w:bidi w:val="0"/>
              <w:rPr>
                <w:sz w:val="24"/>
                <w:szCs w:val="32"/>
                <w:highlight w:val="none"/>
              </w:rPr>
            </w:pPr>
            <w:r>
              <w:rPr>
                <w:sz w:val="24"/>
                <w:szCs w:val="32"/>
                <w:highlight w:val="none"/>
              </w:rPr>
              <w:t>联系电话</w:t>
            </w:r>
          </w:p>
        </w:tc>
        <w:tc>
          <w:tcPr>
            <w:tcW w:w="2113" w:type="dxa"/>
            <w:gridSpan w:val="2"/>
            <w:noWrap w:val="0"/>
            <w:vAlign w:val="center"/>
          </w:tcPr>
          <w:p>
            <w:pPr>
              <w:pStyle w:val="29"/>
              <w:bidi w:val="0"/>
              <w:rPr>
                <w:rFonts w:hint="default" w:eastAsia="宋体"/>
                <w:sz w:val="24"/>
                <w:szCs w:val="24"/>
                <w:highlight w:val="none"/>
                <w:lang w:val="en-US" w:eastAsia="zh-CN"/>
              </w:rPr>
            </w:pPr>
            <w:r>
              <w:rPr>
                <w:rFonts w:hint="eastAsia"/>
                <w:color w:val="000000" w:themeColor="text1"/>
                <w:sz w:val="24"/>
                <w:szCs w:val="24"/>
                <w:highlight w:val="none"/>
                <w14:textFill>
                  <w14:solidFill>
                    <w14:schemeClr w14:val="tx1"/>
                  </w14:solidFill>
                </w14:textFill>
              </w:rPr>
              <w:t>135</w:t>
            </w:r>
            <w:r>
              <w:rPr>
                <w:rFonts w:hint="eastAsia"/>
                <w:color w:val="000000" w:themeColor="text1"/>
                <w:sz w:val="24"/>
                <w:szCs w:val="24"/>
                <w:highlight w:val="none"/>
                <w:lang w:val="en-US" w:eastAsia="zh-CN"/>
                <w14:textFill>
                  <w14:solidFill>
                    <w14:schemeClr w14:val="tx1"/>
                  </w14:solidFill>
                </w14:textFill>
              </w:rPr>
              <w:t>******</w:t>
            </w:r>
          </w:p>
        </w:tc>
        <w:tc>
          <w:tcPr>
            <w:tcW w:w="1132" w:type="dxa"/>
            <w:noWrap w:val="0"/>
            <w:vAlign w:val="center"/>
          </w:tcPr>
          <w:p>
            <w:pPr>
              <w:pStyle w:val="29"/>
              <w:bidi w:val="0"/>
              <w:rPr>
                <w:rFonts w:hint="default"/>
                <w:sz w:val="24"/>
                <w:szCs w:val="24"/>
                <w:highlight w:val="none"/>
              </w:rPr>
            </w:pPr>
            <w:r>
              <w:rPr>
                <w:rFonts w:hint="default"/>
                <w:sz w:val="24"/>
                <w:szCs w:val="24"/>
                <w:highlight w:val="none"/>
              </w:rPr>
              <w:t>传真</w:t>
            </w:r>
          </w:p>
        </w:tc>
        <w:tc>
          <w:tcPr>
            <w:tcW w:w="1285" w:type="dxa"/>
            <w:noWrap w:val="0"/>
            <w:vAlign w:val="center"/>
          </w:tcPr>
          <w:p>
            <w:pPr>
              <w:pStyle w:val="29"/>
              <w:bidi w:val="0"/>
              <w:rPr>
                <w:rFonts w:hint="default"/>
                <w:sz w:val="24"/>
                <w:szCs w:val="24"/>
                <w:highlight w:val="none"/>
              </w:rPr>
            </w:pPr>
            <w:r>
              <w:rPr>
                <w:rFonts w:hint="default"/>
                <w:sz w:val="24"/>
                <w:szCs w:val="24"/>
                <w:highlight w:val="none"/>
              </w:rPr>
              <w:t>/</w:t>
            </w:r>
          </w:p>
        </w:tc>
        <w:tc>
          <w:tcPr>
            <w:tcW w:w="1458" w:type="dxa"/>
            <w:noWrap w:val="0"/>
            <w:vAlign w:val="center"/>
          </w:tcPr>
          <w:p>
            <w:pPr>
              <w:pStyle w:val="29"/>
              <w:bidi w:val="0"/>
              <w:rPr>
                <w:rFonts w:hint="default"/>
                <w:sz w:val="24"/>
                <w:szCs w:val="24"/>
                <w:highlight w:val="none"/>
              </w:rPr>
            </w:pPr>
            <w:r>
              <w:rPr>
                <w:rFonts w:hint="default"/>
                <w:sz w:val="24"/>
                <w:szCs w:val="24"/>
                <w:highlight w:val="none"/>
              </w:rPr>
              <w:t>邮政编码</w:t>
            </w:r>
          </w:p>
        </w:tc>
        <w:tc>
          <w:tcPr>
            <w:tcW w:w="1437" w:type="dxa"/>
            <w:gridSpan w:val="2"/>
            <w:noWrap w:val="0"/>
            <w:vAlign w:val="center"/>
          </w:tcPr>
          <w:p>
            <w:pPr>
              <w:pStyle w:val="29"/>
              <w:bidi w:val="0"/>
              <w:rPr>
                <w:rFonts w:hint="default"/>
                <w:sz w:val="24"/>
                <w:szCs w:val="24"/>
                <w:highlight w:val="none"/>
              </w:rPr>
            </w:pPr>
            <w:r>
              <w:rPr>
                <w:rFonts w:hint="default"/>
                <w:sz w:val="24"/>
                <w:szCs w:val="24"/>
                <w:highlight w:val="none"/>
                <w:lang w:val="en-US" w:eastAsia="zh-CN"/>
              </w:rPr>
              <w:t>453700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4" w:hRule="atLeast"/>
          <w:jc w:val="center"/>
        </w:trPr>
        <w:tc>
          <w:tcPr>
            <w:tcW w:w="1402" w:type="dxa"/>
            <w:noWrap w:val="0"/>
            <w:vAlign w:val="center"/>
          </w:tcPr>
          <w:p>
            <w:pPr>
              <w:pStyle w:val="29"/>
              <w:bidi w:val="0"/>
              <w:rPr>
                <w:sz w:val="24"/>
                <w:szCs w:val="32"/>
                <w:highlight w:val="none"/>
              </w:rPr>
            </w:pPr>
            <w:r>
              <w:rPr>
                <w:sz w:val="24"/>
                <w:szCs w:val="32"/>
                <w:highlight w:val="none"/>
              </w:rPr>
              <w:t>建设地点</w:t>
            </w:r>
          </w:p>
        </w:tc>
        <w:tc>
          <w:tcPr>
            <w:tcW w:w="7425" w:type="dxa"/>
            <w:gridSpan w:val="7"/>
            <w:noWrap w:val="0"/>
            <w:vAlign w:val="center"/>
          </w:tcPr>
          <w:p>
            <w:pPr>
              <w:pStyle w:val="29"/>
              <w:bidi w:val="0"/>
              <w:rPr>
                <w:rFonts w:hint="default"/>
                <w:sz w:val="24"/>
                <w:szCs w:val="24"/>
                <w:highlight w:val="none"/>
              </w:rPr>
            </w:pPr>
            <w:r>
              <w:rPr>
                <w:rFonts w:hint="eastAsia"/>
                <w:color w:val="000000" w:themeColor="text1"/>
                <w:sz w:val="24"/>
                <w:szCs w:val="24"/>
                <w:highlight w:val="none"/>
                <w14:textFill>
                  <w14:solidFill>
                    <w14:schemeClr w14:val="tx1"/>
                  </w14:solidFill>
                </w14:textFill>
              </w:rPr>
              <w:t>新乡县大召营镇</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新焦公路八公里处</w:t>
            </w:r>
            <w:r>
              <w:rPr>
                <w:rFonts w:hint="eastAsia"/>
                <w:color w:val="000000" w:themeColor="text1"/>
                <w:sz w:val="24"/>
                <w:szCs w:val="24"/>
                <w:highlight w:val="none"/>
                <w:lang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5" w:hRule="atLeast"/>
          <w:jc w:val="center"/>
        </w:trPr>
        <w:tc>
          <w:tcPr>
            <w:tcW w:w="1402" w:type="dxa"/>
            <w:noWrap w:val="0"/>
            <w:vAlign w:val="center"/>
          </w:tcPr>
          <w:p>
            <w:pPr>
              <w:pStyle w:val="29"/>
              <w:bidi w:val="0"/>
              <w:rPr>
                <w:sz w:val="24"/>
                <w:szCs w:val="32"/>
                <w:highlight w:val="none"/>
              </w:rPr>
            </w:pPr>
            <w:r>
              <w:rPr>
                <w:sz w:val="24"/>
                <w:szCs w:val="32"/>
                <w:highlight w:val="none"/>
              </w:rPr>
              <w:t>备案部门</w:t>
            </w:r>
          </w:p>
        </w:tc>
        <w:tc>
          <w:tcPr>
            <w:tcW w:w="3245" w:type="dxa"/>
            <w:gridSpan w:val="3"/>
            <w:noWrap w:val="0"/>
            <w:vAlign w:val="center"/>
          </w:tcPr>
          <w:p>
            <w:pPr>
              <w:pStyle w:val="29"/>
              <w:bidi w:val="0"/>
              <w:rPr>
                <w:rFonts w:hint="default"/>
                <w:sz w:val="24"/>
                <w:szCs w:val="32"/>
                <w:highlight w:val="none"/>
              </w:rPr>
            </w:pPr>
            <w:r>
              <w:rPr>
                <w:rFonts w:hint="eastAsia"/>
                <w:sz w:val="24"/>
                <w:szCs w:val="24"/>
                <w:highlight w:val="none"/>
              </w:rPr>
              <w:t>新乡县发展和改革委员会</w:t>
            </w:r>
          </w:p>
        </w:tc>
        <w:tc>
          <w:tcPr>
            <w:tcW w:w="1285" w:type="dxa"/>
            <w:noWrap w:val="0"/>
            <w:vAlign w:val="center"/>
          </w:tcPr>
          <w:p>
            <w:pPr>
              <w:pStyle w:val="29"/>
              <w:bidi w:val="0"/>
              <w:rPr>
                <w:rFonts w:hint="default"/>
                <w:sz w:val="24"/>
                <w:szCs w:val="32"/>
                <w:highlight w:val="none"/>
              </w:rPr>
            </w:pPr>
            <w:r>
              <w:rPr>
                <w:rFonts w:hint="default"/>
                <w:sz w:val="24"/>
                <w:szCs w:val="32"/>
                <w:highlight w:val="none"/>
                <w:lang w:eastAsia="zh-CN"/>
              </w:rPr>
              <w:t>项目代码</w:t>
            </w:r>
          </w:p>
        </w:tc>
        <w:tc>
          <w:tcPr>
            <w:tcW w:w="2895" w:type="dxa"/>
            <w:gridSpan w:val="3"/>
            <w:noWrap w:val="0"/>
            <w:vAlign w:val="center"/>
          </w:tcPr>
          <w:p>
            <w:pPr>
              <w:pStyle w:val="29"/>
              <w:bidi w:val="0"/>
              <w:rPr>
                <w:rFonts w:hint="default"/>
                <w:sz w:val="24"/>
                <w:szCs w:val="32"/>
                <w:highlight w:val="none"/>
                <w:lang w:val="en-US"/>
              </w:rPr>
            </w:pPr>
            <w:r>
              <w:rPr>
                <w:rFonts w:hint="eastAsia"/>
                <w:sz w:val="24"/>
                <w:szCs w:val="24"/>
                <w:highlight w:val="none"/>
              </w:rPr>
              <w:t>豫新新乡制造[2015]07033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402" w:type="dxa"/>
            <w:noWrap w:val="0"/>
            <w:vAlign w:val="center"/>
          </w:tcPr>
          <w:p>
            <w:pPr>
              <w:pStyle w:val="29"/>
              <w:bidi w:val="0"/>
              <w:rPr>
                <w:sz w:val="24"/>
                <w:szCs w:val="32"/>
                <w:highlight w:val="none"/>
              </w:rPr>
            </w:pPr>
            <w:r>
              <w:rPr>
                <w:sz w:val="24"/>
                <w:szCs w:val="32"/>
                <w:highlight w:val="none"/>
              </w:rPr>
              <w:t>建设性质</w:t>
            </w:r>
          </w:p>
        </w:tc>
        <w:tc>
          <w:tcPr>
            <w:tcW w:w="3245" w:type="dxa"/>
            <w:gridSpan w:val="3"/>
            <w:noWrap w:val="0"/>
            <w:vAlign w:val="center"/>
          </w:tcPr>
          <w:p>
            <w:pPr>
              <w:pStyle w:val="29"/>
              <w:bidi w:val="0"/>
              <w:rPr>
                <w:rFonts w:hint="default"/>
                <w:sz w:val="24"/>
                <w:szCs w:val="32"/>
                <w:highlight w:val="none"/>
              </w:rPr>
            </w:pPr>
            <w:r>
              <w:rPr>
                <w:rFonts w:hint="eastAsia"/>
                <w:sz w:val="24"/>
                <w:szCs w:val="32"/>
                <w:highlight w:val="none"/>
                <w:lang w:eastAsia="zh-CN"/>
              </w:rPr>
              <w:t>□</w:t>
            </w:r>
            <w:r>
              <w:rPr>
                <w:rFonts w:hint="default"/>
                <w:sz w:val="24"/>
                <w:szCs w:val="32"/>
                <w:highlight w:val="none"/>
              </w:rPr>
              <w:t>新建</w:t>
            </w:r>
            <w:r>
              <w:rPr>
                <w:rFonts w:hint="eastAsia"/>
                <w:sz w:val="24"/>
                <w:szCs w:val="32"/>
                <w:highlight w:val="none"/>
                <w:lang w:eastAsia="zh-CN"/>
              </w:rPr>
              <w:sym w:font="Wingdings 2" w:char="0052"/>
            </w:r>
            <w:r>
              <w:rPr>
                <w:rFonts w:hint="default"/>
                <w:sz w:val="24"/>
                <w:szCs w:val="32"/>
                <w:highlight w:val="none"/>
              </w:rPr>
              <w:t>改扩建</w:t>
            </w:r>
            <w:r>
              <w:rPr>
                <w:rFonts w:hint="eastAsia"/>
                <w:sz w:val="24"/>
                <w:szCs w:val="32"/>
                <w:highlight w:val="none"/>
                <w:lang w:eastAsia="zh-CN"/>
              </w:rPr>
              <w:t>□</w:t>
            </w:r>
            <w:r>
              <w:rPr>
                <w:rFonts w:hint="default"/>
                <w:sz w:val="24"/>
                <w:szCs w:val="32"/>
                <w:highlight w:val="none"/>
              </w:rPr>
              <w:t>技改</w:t>
            </w:r>
          </w:p>
        </w:tc>
        <w:tc>
          <w:tcPr>
            <w:tcW w:w="1285" w:type="dxa"/>
            <w:noWrap w:val="0"/>
            <w:vAlign w:val="center"/>
          </w:tcPr>
          <w:p>
            <w:pPr>
              <w:pStyle w:val="29"/>
              <w:bidi w:val="0"/>
              <w:rPr>
                <w:rFonts w:hint="default"/>
                <w:sz w:val="24"/>
                <w:szCs w:val="32"/>
                <w:highlight w:val="none"/>
              </w:rPr>
            </w:pPr>
            <w:r>
              <w:rPr>
                <w:rFonts w:hint="default"/>
                <w:sz w:val="24"/>
                <w:szCs w:val="32"/>
                <w:highlight w:val="none"/>
              </w:rPr>
              <w:t>行业类别</w:t>
            </w:r>
          </w:p>
          <w:p>
            <w:pPr>
              <w:pStyle w:val="29"/>
              <w:bidi w:val="0"/>
              <w:rPr>
                <w:rFonts w:hint="default"/>
                <w:sz w:val="24"/>
                <w:szCs w:val="32"/>
                <w:highlight w:val="none"/>
              </w:rPr>
            </w:pPr>
            <w:r>
              <w:rPr>
                <w:rFonts w:hint="default"/>
                <w:sz w:val="24"/>
                <w:szCs w:val="32"/>
                <w:highlight w:val="none"/>
              </w:rPr>
              <w:t>及代码</w:t>
            </w:r>
          </w:p>
        </w:tc>
        <w:tc>
          <w:tcPr>
            <w:tcW w:w="2895" w:type="dxa"/>
            <w:gridSpan w:val="3"/>
            <w:noWrap w:val="0"/>
            <w:vAlign w:val="center"/>
          </w:tcPr>
          <w:p>
            <w:pPr>
              <w:pStyle w:val="29"/>
              <w:bidi w:val="0"/>
              <w:rPr>
                <w:rFonts w:hint="default"/>
                <w:sz w:val="24"/>
                <w:szCs w:val="32"/>
                <w:highlight w:val="none"/>
              </w:rPr>
            </w:pPr>
            <w:r>
              <w:rPr>
                <w:rFonts w:hint="default"/>
                <w:sz w:val="24"/>
                <w:szCs w:val="32"/>
                <w:highlight w:val="none"/>
              </w:rPr>
              <w:t xml:space="preserve">C5942 </w:t>
            </w:r>
          </w:p>
          <w:p>
            <w:pPr>
              <w:pStyle w:val="29"/>
              <w:bidi w:val="0"/>
              <w:rPr>
                <w:rFonts w:hint="default"/>
                <w:sz w:val="24"/>
                <w:szCs w:val="32"/>
                <w:highlight w:val="none"/>
              </w:rPr>
            </w:pPr>
            <w:r>
              <w:rPr>
                <w:rFonts w:hint="default"/>
                <w:sz w:val="24"/>
                <w:szCs w:val="32"/>
                <w:highlight w:val="none"/>
              </w:rPr>
              <w:t>危险化学品仓储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44" w:hRule="atLeast"/>
          <w:jc w:val="center"/>
        </w:trPr>
        <w:tc>
          <w:tcPr>
            <w:tcW w:w="1402" w:type="dxa"/>
            <w:noWrap w:val="0"/>
            <w:vAlign w:val="center"/>
          </w:tcPr>
          <w:p>
            <w:pPr>
              <w:pStyle w:val="29"/>
              <w:bidi w:val="0"/>
              <w:rPr>
                <w:rFonts w:hint="eastAsia"/>
                <w:sz w:val="24"/>
                <w:szCs w:val="32"/>
                <w:highlight w:val="none"/>
              </w:rPr>
            </w:pPr>
            <w:r>
              <w:rPr>
                <w:rFonts w:hint="eastAsia"/>
                <w:sz w:val="24"/>
                <w:szCs w:val="32"/>
                <w:highlight w:val="none"/>
                <w:lang w:eastAsia="zh-CN"/>
              </w:rPr>
              <w:t>建筑</w:t>
            </w:r>
            <w:r>
              <w:rPr>
                <w:rFonts w:hint="eastAsia"/>
                <w:sz w:val="24"/>
                <w:szCs w:val="32"/>
                <w:highlight w:val="none"/>
              </w:rPr>
              <w:t>面积</w:t>
            </w:r>
          </w:p>
          <w:p>
            <w:pPr>
              <w:pStyle w:val="29"/>
              <w:bidi w:val="0"/>
              <w:rPr>
                <w:rFonts w:hint="eastAsia"/>
                <w:sz w:val="24"/>
                <w:szCs w:val="32"/>
                <w:highlight w:val="none"/>
              </w:rPr>
            </w:pPr>
            <w:r>
              <w:rPr>
                <w:rFonts w:hint="eastAsia"/>
                <w:sz w:val="24"/>
                <w:szCs w:val="32"/>
                <w:highlight w:val="none"/>
              </w:rPr>
              <w:t>(平方米)</w:t>
            </w:r>
          </w:p>
        </w:tc>
        <w:tc>
          <w:tcPr>
            <w:tcW w:w="3245" w:type="dxa"/>
            <w:gridSpan w:val="3"/>
            <w:noWrap w:val="0"/>
            <w:vAlign w:val="center"/>
          </w:tcPr>
          <w:p>
            <w:pPr>
              <w:pStyle w:val="29"/>
              <w:bidi w:val="0"/>
              <w:rPr>
                <w:rFonts w:hint="default"/>
                <w:sz w:val="24"/>
                <w:szCs w:val="32"/>
                <w:highlight w:val="none"/>
                <w:lang w:val="en-US" w:eastAsia="zh-CN"/>
              </w:rPr>
            </w:pPr>
            <w:r>
              <w:rPr>
                <w:rFonts w:hint="eastAsia"/>
                <w:sz w:val="24"/>
                <w:szCs w:val="32"/>
                <w:highlight w:val="none"/>
                <w:lang w:val="en-US" w:eastAsia="zh-CN"/>
              </w:rPr>
              <w:t>622.6</w:t>
            </w:r>
          </w:p>
        </w:tc>
        <w:tc>
          <w:tcPr>
            <w:tcW w:w="1285" w:type="dxa"/>
            <w:noWrap w:val="0"/>
            <w:vAlign w:val="center"/>
          </w:tcPr>
          <w:p>
            <w:pPr>
              <w:pStyle w:val="29"/>
              <w:bidi w:val="0"/>
              <w:rPr>
                <w:rFonts w:hint="default"/>
                <w:sz w:val="24"/>
                <w:szCs w:val="32"/>
                <w:highlight w:val="none"/>
              </w:rPr>
            </w:pPr>
            <w:r>
              <w:rPr>
                <w:rFonts w:hint="default"/>
                <w:sz w:val="24"/>
                <w:szCs w:val="32"/>
                <w:highlight w:val="none"/>
              </w:rPr>
              <w:t>绿化面积</w:t>
            </w:r>
          </w:p>
          <w:p>
            <w:pPr>
              <w:pStyle w:val="29"/>
              <w:bidi w:val="0"/>
              <w:rPr>
                <w:rFonts w:hint="default"/>
                <w:sz w:val="24"/>
                <w:szCs w:val="32"/>
                <w:highlight w:val="none"/>
              </w:rPr>
            </w:pPr>
            <w:r>
              <w:rPr>
                <w:rFonts w:hint="default"/>
                <w:sz w:val="24"/>
                <w:szCs w:val="32"/>
                <w:highlight w:val="none"/>
              </w:rPr>
              <w:t>(平方米)</w:t>
            </w:r>
          </w:p>
        </w:tc>
        <w:tc>
          <w:tcPr>
            <w:tcW w:w="2895" w:type="dxa"/>
            <w:gridSpan w:val="3"/>
            <w:noWrap w:val="0"/>
            <w:vAlign w:val="center"/>
          </w:tcPr>
          <w:p>
            <w:pPr>
              <w:pStyle w:val="29"/>
              <w:bidi w:val="0"/>
              <w:rPr>
                <w:rFonts w:hint="default"/>
                <w:sz w:val="24"/>
                <w:szCs w:val="32"/>
                <w:highlight w:val="none"/>
              </w:rPr>
            </w:pPr>
            <w:r>
              <w:rPr>
                <w:rFonts w:hint="default"/>
                <w:sz w:val="24"/>
                <w:szCs w:val="32"/>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4" w:hRule="atLeast"/>
          <w:jc w:val="center"/>
        </w:trPr>
        <w:tc>
          <w:tcPr>
            <w:tcW w:w="1402" w:type="dxa"/>
            <w:noWrap w:val="0"/>
            <w:vAlign w:val="center"/>
          </w:tcPr>
          <w:p>
            <w:pPr>
              <w:pStyle w:val="29"/>
              <w:bidi w:val="0"/>
              <w:rPr>
                <w:rFonts w:hint="eastAsia"/>
                <w:sz w:val="24"/>
                <w:szCs w:val="32"/>
                <w:highlight w:val="none"/>
              </w:rPr>
            </w:pPr>
            <w:r>
              <w:rPr>
                <w:rFonts w:hint="eastAsia"/>
                <w:sz w:val="24"/>
                <w:szCs w:val="32"/>
                <w:highlight w:val="none"/>
              </w:rPr>
              <w:t>总投资</w:t>
            </w:r>
          </w:p>
          <w:p>
            <w:pPr>
              <w:pStyle w:val="29"/>
              <w:bidi w:val="0"/>
              <w:rPr>
                <w:rFonts w:hint="eastAsia"/>
                <w:sz w:val="24"/>
                <w:szCs w:val="32"/>
                <w:highlight w:val="none"/>
              </w:rPr>
            </w:pPr>
            <w:r>
              <w:rPr>
                <w:rFonts w:hint="eastAsia"/>
                <w:sz w:val="24"/>
                <w:szCs w:val="32"/>
                <w:highlight w:val="none"/>
              </w:rPr>
              <w:t>(万元)</w:t>
            </w:r>
          </w:p>
        </w:tc>
        <w:tc>
          <w:tcPr>
            <w:tcW w:w="1349" w:type="dxa"/>
            <w:noWrap w:val="0"/>
            <w:vAlign w:val="center"/>
          </w:tcPr>
          <w:p>
            <w:pPr>
              <w:pStyle w:val="29"/>
              <w:bidi w:val="0"/>
              <w:rPr>
                <w:rFonts w:hint="default"/>
                <w:sz w:val="24"/>
                <w:szCs w:val="32"/>
                <w:highlight w:val="none"/>
                <w:lang w:val="en-US"/>
              </w:rPr>
            </w:pPr>
            <w:r>
              <w:rPr>
                <w:rFonts w:hint="eastAsia"/>
                <w:sz w:val="24"/>
                <w:szCs w:val="32"/>
                <w:highlight w:val="none"/>
                <w:lang w:val="en-US" w:eastAsia="zh-CN"/>
              </w:rPr>
              <w:t>2320</w:t>
            </w:r>
          </w:p>
        </w:tc>
        <w:tc>
          <w:tcPr>
            <w:tcW w:w="1896" w:type="dxa"/>
            <w:gridSpan w:val="2"/>
            <w:noWrap w:val="0"/>
            <w:vAlign w:val="center"/>
          </w:tcPr>
          <w:p>
            <w:pPr>
              <w:pStyle w:val="29"/>
              <w:bidi w:val="0"/>
              <w:rPr>
                <w:rFonts w:hint="default"/>
                <w:sz w:val="24"/>
                <w:szCs w:val="32"/>
                <w:highlight w:val="none"/>
              </w:rPr>
            </w:pPr>
            <w:r>
              <w:rPr>
                <w:rFonts w:hint="default"/>
                <w:sz w:val="24"/>
                <w:szCs w:val="32"/>
                <w:highlight w:val="none"/>
              </w:rPr>
              <w:t>其中：环保投资</w:t>
            </w:r>
          </w:p>
          <w:p>
            <w:pPr>
              <w:pStyle w:val="29"/>
              <w:bidi w:val="0"/>
              <w:rPr>
                <w:rFonts w:hint="default"/>
                <w:sz w:val="24"/>
                <w:szCs w:val="32"/>
                <w:highlight w:val="none"/>
              </w:rPr>
            </w:pPr>
            <w:r>
              <w:rPr>
                <w:rFonts w:hint="eastAsia"/>
                <w:sz w:val="24"/>
                <w:szCs w:val="32"/>
                <w:highlight w:val="none"/>
              </w:rPr>
              <w:t>(万元)</w:t>
            </w:r>
          </w:p>
        </w:tc>
        <w:tc>
          <w:tcPr>
            <w:tcW w:w="1285" w:type="dxa"/>
            <w:noWrap w:val="0"/>
            <w:vAlign w:val="center"/>
          </w:tcPr>
          <w:p>
            <w:pPr>
              <w:pStyle w:val="29"/>
              <w:bidi w:val="0"/>
              <w:rPr>
                <w:rFonts w:hint="default"/>
                <w:sz w:val="24"/>
                <w:szCs w:val="32"/>
                <w:highlight w:val="none"/>
                <w:lang w:val="en-US" w:eastAsia="zh-CN"/>
              </w:rPr>
            </w:pPr>
            <w:r>
              <w:rPr>
                <w:rFonts w:hint="eastAsia"/>
                <w:sz w:val="24"/>
                <w:szCs w:val="32"/>
                <w:highlight w:val="none"/>
                <w:lang w:val="en-US" w:eastAsia="zh-CN"/>
              </w:rPr>
              <w:t>30</w:t>
            </w:r>
          </w:p>
        </w:tc>
        <w:tc>
          <w:tcPr>
            <w:tcW w:w="1698" w:type="dxa"/>
            <w:gridSpan w:val="2"/>
            <w:noWrap w:val="0"/>
            <w:vAlign w:val="center"/>
          </w:tcPr>
          <w:p>
            <w:pPr>
              <w:pStyle w:val="29"/>
              <w:bidi w:val="0"/>
              <w:rPr>
                <w:rFonts w:hint="default"/>
                <w:sz w:val="24"/>
                <w:szCs w:val="32"/>
                <w:highlight w:val="none"/>
              </w:rPr>
            </w:pPr>
            <w:r>
              <w:rPr>
                <w:rFonts w:hint="default"/>
                <w:sz w:val="24"/>
                <w:szCs w:val="32"/>
                <w:highlight w:val="none"/>
              </w:rPr>
              <w:t>环保投资占总投资比例（%）</w:t>
            </w:r>
          </w:p>
        </w:tc>
        <w:tc>
          <w:tcPr>
            <w:tcW w:w="1197" w:type="dxa"/>
            <w:noWrap w:val="0"/>
            <w:vAlign w:val="center"/>
          </w:tcPr>
          <w:p>
            <w:pPr>
              <w:pStyle w:val="29"/>
              <w:bidi w:val="0"/>
              <w:rPr>
                <w:rFonts w:hint="default"/>
                <w:sz w:val="24"/>
                <w:szCs w:val="32"/>
                <w:highlight w:val="none"/>
                <w:lang w:val="en-US" w:eastAsia="zh-CN"/>
              </w:rPr>
            </w:pPr>
            <w:r>
              <w:rPr>
                <w:rFonts w:hint="eastAsia"/>
                <w:sz w:val="24"/>
                <w:szCs w:val="32"/>
                <w:highlight w:val="none"/>
                <w:lang w:val="en-US" w:eastAsia="zh-CN"/>
              </w:rPr>
              <w:t>1.29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1402" w:type="dxa"/>
            <w:noWrap w:val="0"/>
            <w:vAlign w:val="center"/>
          </w:tcPr>
          <w:p>
            <w:pPr>
              <w:pStyle w:val="29"/>
              <w:bidi w:val="0"/>
              <w:rPr>
                <w:rFonts w:hint="eastAsia"/>
                <w:sz w:val="24"/>
                <w:szCs w:val="32"/>
                <w:highlight w:val="none"/>
              </w:rPr>
            </w:pPr>
            <w:r>
              <w:rPr>
                <w:rFonts w:hint="eastAsia"/>
                <w:sz w:val="24"/>
                <w:szCs w:val="32"/>
                <w:highlight w:val="none"/>
              </w:rPr>
              <w:t>评价经费</w:t>
            </w:r>
          </w:p>
          <w:p>
            <w:pPr>
              <w:pStyle w:val="29"/>
              <w:bidi w:val="0"/>
              <w:rPr>
                <w:rFonts w:hint="eastAsia"/>
                <w:sz w:val="24"/>
                <w:szCs w:val="32"/>
                <w:highlight w:val="none"/>
              </w:rPr>
            </w:pPr>
            <w:r>
              <w:rPr>
                <w:rFonts w:hint="eastAsia"/>
                <w:sz w:val="24"/>
                <w:szCs w:val="32"/>
                <w:highlight w:val="none"/>
              </w:rPr>
              <w:t>(万元)</w:t>
            </w:r>
          </w:p>
        </w:tc>
        <w:tc>
          <w:tcPr>
            <w:tcW w:w="1349" w:type="dxa"/>
            <w:noWrap w:val="0"/>
            <w:vAlign w:val="center"/>
          </w:tcPr>
          <w:p>
            <w:pPr>
              <w:pStyle w:val="29"/>
              <w:bidi w:val="0"/>
              <w:rPr>
                <w:rFonts w:hint="default"/>
                <w:sz w:val="24"/>
                <w:szCs w:val="32"/>
                <w:highlight w:val="none"/>
                <w:lang w:val="en-US" w:eastAsia="zh-CN"/>
              </w:rPr>
            </w:pPr>
            <w:r>
              <w:rPr>
                <w:rFonts w:hint="default"/>
                <w:sz w:val="24"/>
                <w:szCs w:val="32"/>
                <w:highlight w:val="none"/>
                <w:lang w:val="en-US" w:eastAsia="zh-CN"/>
              </w:rPr>
              <w:t>/</w:t>
            </w:r>
          </w:p>
        </w:tc>
        <w:tc>
          <w:tcPr>
            <w:tcW w:w="1896" w:type="dxa"/>
            <w:gridSpan w:val="2"/>
            <w:noWrap w:val="0"/>
            <w:vAlign w:val="center"/>
          </w:tcPr>
          <w:p>
            <w:pPr>
              <w:pStyle w:val="29"/>
              <w:bidi w:val="0"/>
              <w:rPr>
                <w:rFonts w:hint="default"/>
                <w:sz w:val="24"/>
                <w:szCs w:val="32"/>
                <w:highlight w:val="none"/>
              </w:rPr>
            </w:pPr>
            <w:r>
              <w:rPr>
                <w:rFonts w:hint="default"/>
                <w:sz w:val="24"/>
                <w:szCs w:val="32"/>
                <w:highlight w:val="none"/>
              </w:rPr>
              <w:t>预期投产日期</w:t>
            </w:r>
          </w:p>
        </w:tc>
        <w:tc>
          <w:tcPr>
            <w:tcW w:w="4180" w:type="dxa"/>
            <w:gridSpan w:val="4"/>
            <w:noWrap w:val="0"/>
            <w:vAlign w:val="center"/>
          </w:tcPr>
          <w:p>
            <w:pPr>
              <w:pStyle w:val="29"/>
              <w:bidi w:val="0"/>
              <w:rPr>
                <w:rFonts w:hint="default"/>
                <w:sz w:val="24"/>
                <w:szCs w:val="32"/>
                <w:highlight w:val="none"/>
                <w:lang w:val="en-US" w:eastAsia="zh-CN"/>
              </w:rPr>
            </w:pPr>
            <w:r>
              <w:rPr>
                <w:rFonts w:hint="default"/>
                <w:sz w:val="24"/>
                <w:szCs w:val="32"/>
                <w:highlight w:val="none"/>
                <w:lang w:val="en-US" w:eastAsia="zh-CN"/>
              </w:rPr>
              <w:t>20</w:t>
            </w:r>
            <w:r>
              <w:rPr>
                <w:rFonts w:hint="eastAsia"/>
                <w:sz w:val="24"/>
                <w:szCs w:val="32"/>
                <w:highlight w:val="none"/>
                <w:lang w:val="en-US" w:eastAsia="zh-CN"/>
              </w:rPr>
              <w:t>21</w:t>
            </w:r>
            <w:r>
              <w:rPr>
                <w:rFonts w:hint="default"/>
                <w:sz w:val="24"/>
                <w:szCs w:val="32"/>
                <w:highlight w:val="none"/>
                <w:lang w:val="en-US" w:eastAsia="zh-CN"/>
              </w:rPr>
              <w:t>年</w:t>
            </w:r>
            <w:r>
              <w:rPr>
                <w:rFonts w:hint="eastAsia"/>
                <w:sz w:val="24"/>
                <w:szCs w:val="32"/>
                <w:highlight w:val="none"/>
                <w:lang w:val="en-US" w:eastAsia="zh-CN"/>
              </w:rPr>
              <w:t>1</w:t>
            </w:r>
            <w:r>
              <w:rPr>
                <w:rFonts w:hint="default"/>
                <w:sz w:val="24"/>
                <w:szCs w:val="32"/>
                <w:highlight w:val="none"/>
                <w:lang w:val="en-US" w:eastAsia="zh-CN"/>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827" w:type="dxa"/>
            <w:gridSpan w:val="8"/>
            <w:noWrap w:val="0"/>
            <w:vAlign w:val="center"/>
          </w:tcPr>
          <w:p>
            <w:pPr>
              <w:pStyle w:val="45"/>
              <w:bidi w:val="0"/>
              <w:jc w:val="both"/>
              <w:rPr>
                <w:rStyle w:val="52"/>
                <w:rFonts w:hint="eastAsia"/>
                <w:highlight w:val="none"/>
              </w:rPr>
            </w:pPr>
            <w:r>
              <w:rPr>
                <w:rStyle w:val="52"/>
                <w:rFonts w:hint="eastAsia"/>
                <w:highlight w:val="none"/>
              </w:rPr>
              <w:t>工程内容及规模</w:t>
            </w:r>
          </w:p>
          <w:p>
            <w:pPr>
              <w:pStyle w:val="4"/>
              <w:bidi w:val="0"/>
              <w:rPr>
                <w:rFonts w:hint="default"/>
                <w:highlight w:val="none"/>
              </w:rPr>
            </w:pPr>
            <w:r>
              <w:rPr>
                <w:rFonts w:hint="eastAsia"/>
                <w:highlight w:val="none"/>
                <w:lang w:val="en-US" w:eastAsia="zh-CN"/>
              </w:rPr>
              <w:t>1、</w:t>
            </w:r>
            <w:r>
              <w:rPr>
                <w:rFonts w:hint="eastAsia"/>
                <w:highlight w:val="none"/>
              </w:rPr>
              <w:t>项目由来</w:t>
            </w:r>
          </w:p>
          <w:p>
            <w:pPr>
              <w:bidi w:val="0"/>
              <w:rPr>
                <w:rFonts w:hint="default" w:eastAsia="宋体"/>
                <w:highlight w:val="none"/>
                <w:lang w:val="en-US" w:eastAsia="zh-CN"/>
              </w:rPr>
            </w:pPr>
            <w:r>
              <w:rPr>
                <w:rFonts w:hint="eastAsia"/>
                <w:highlight w:val="none"/>
                <w:lang w:val="en-US" w:eastAsia="zh-CN"/>
              </w:rPr>
              <w:t>新乡市兴豫气体有限责任公司</w:t>
            </w:r>
            <w:r>
              <w:rPr>
                <w:rFonts w:hint="default"/>
                <w:highlight w:val="none"/>
              </w:rPr>
              <w:t>位于新乡市新乡县</w:t>
            </w:r>
            <w:r>
              <w:rPr>
                <w:rFonts w:hint="eastAsia"/>
                <w:highlight w:val="none"/>
                <w:lang w:eastAsia="zh-CN"/>
              </w:rPr>
              <w:t>大召营镇（</w:t>
            </w:r>
            <w:r>
              <w:rPr>
                <w:rFonts w:hint="eastAsia"/>
                <w:highlight w:val="none"/>
              </w:rPr>
              <w:t>新焦公路八公里处</w:t>
            </w:r>
            <w:r>
              <w:rPr>
                <w:rFonts w:hint="eastAsia"/>
                <w:highlight w:val="none"/>
                <w:lang w:eastAsia="zh-CN"/>
              </w:rPr>
              <w:t>）</w:t>
            </w:r>
            <w:r>
              <w:rPr>
                <w:rFonts w:hint="default"/>
                <w:highlight w:val="none"/>
              </w:rPr>
              <w:t>，主要经营范围为</w:t>
            </w:r>
            <w:r>
              <w:rPr>
                <w:rFonts w:hint="eastAsia"/>
                <w:highlight w:val="none"/>
                <w:lang w:eastAsia="zh-CN"/>
              </w:rPr>
              <w:t>工业气体的分装以及销售</w:t>
            </w:r>
            <w:r>
              <w:rPr>
                <w:rFonts w:hint="default"/>
                <w:highlight w:val="none"/>
              </w:rPr>
              <w:t>。</w:t>
            </w:r>
            <w:bookmarkStart w:id="0" w:name="_Hlk496987392"/>
            <w:r>
              <w:rPr>
                <w:rFonts w:hint="eastAsia"/>
                <w:highlight w:val="none"/>
                <w:lang w:val="en-US" w:eastAsia="zh-CN"/>
              </w:rPr>
              <w:t>新乡市兴豫气体有限责任公司于</w:t>
            </w:r>
            <w:r>
              <w:rPr>
                <w:rFonts w:hint="default"/>
                <w:highlight w:val="none"/>
                <w:lang w:val="en-US" w:eastAsia="zh-CN"/>
              </w:rPr>
              <w:t>20</w:t>
            </w:r>
            <w:r>
              <w:rPr>
                <w:rFonts w:hint="eastAsia"/>
                <w:highlight w:val="none"/>
                <w:lang w:val="en-US" w:eastAsia="zh-CN"/>
              </w:rPr>
              <w:t>03</w:t>
            </w:r>
            <w:r>
              <w:rPr>
                <w:rFonts w:hint="default"/>
                <w:highlight w:val="none"/>
                <w:lang w:val="en-US" w:eastAsia="zh-CN"/>
              </w:rPr>
              <w:t>年</w:t>
            </w:r>
            <w:r>
              <w:rPr>
                <w:rFonts w:hint="eastAsia"/>
                <w:highlight w:val="none"/>
                <w:lang w:val="en-US" w:eastAsia="zh-CN"/>
              </w:rPr>
              <w:t>8月27日</w:t>
            </w:r>
            <w:r>
              <w:rPr>
                <w:rFonts w:hint="default"/>
                <w:highlight w:val="none"/>
                <w:lang w:val="en-US" w:eastAsia="zh-CN"/>
              </w:rPr>
              <w:t>委托</w:t>
            </w:r>
            <w:r>
              <w:rPr>
                <w:rFonts w:hint="eastAsia"/>
                <w:highlight w:val="none"/>
                <w:lang w:val="en-US" w:eastAsia="zh-CN"/>
              </w:rPr>
              <w:t>新乡市环境保护科学研究所编制</w:t>
            </w:r>
            <w:r>
              <w:rPr>
                <w:rFonts w:hint="default"/>
                <w:highlight w:val="none"/>
                <w:lang w:val="en-US" w:eastAsia="zh-CN"/>
              </w:rPr>
              <w:t>完成</w:t>
            </w:r>
            <w:r>
              <w:rPr>
                <w:rFonts w:hint="default"/>
                <w:highlight w:val="none"/>
              </w:rPr>
              <w:t>《</w:t>
            </w:r>
            <w:r>
              <w:rPr>
                <w:rFonts w:hint="eastAsia"/>
                <w:highlight w:val="none"/>
                <w:lang w:eastAsia="zh-CN"/>
              </w:rPr>
              <w:t>新乡市兴豫气体有限责任公司年产溶解乙炔气</w:t>
            </w:r>
            <w:r>
              <w:rPr>
                <w:rFonts w:hint="eastAsia"/>
                <w:highlight w:val="none"/>
                <w:lang w:val="en-US" w:eastAsia="zh-CN"/>
              </w:rPr>
              <w:t>80</w:t>
            </w:r>
            <w:r>
              <w:rPr>
                <w:rFonts w:hint="default"/>
                <w:highlight w:val="none"/>
              </w:rPr>
              <w:t>000</w:t>
            </w:r>
            <w:r>
              <w:rPr>
                <w:rFonts w:hint="eastAsia"/>
                <w:highlight w:val="none"/>
                <w:lang w:val="en-US" w:eastAsia="zh-CN"/>
              </w:rPr>
              <w:t>m</w:t>
            </w:r>
            <w:r>
              <w:rPr>
                <w:rFonts w:hint="eastAsia"/>
                <w:highlight w:val="none"/>
                <w:vertAlign w:val="superscript"/>
                <w:lang w:val="en-US" w:eastAsia="zh-CN"/>
              </w:rPr>
              <w:t>3</w:t>
            </w:r>
            <w:r>
              <w:rPr>
                <w:rFonts w:hint="eastAsia"/>
                <w:highlight w:val="none"/>
                <w:vertAlign w:val="baseline"/>
                <w:lang w:val="en-US" w:eastAsia="zh-CN"/>
              </w:rPr>
              <w:t>环境影响报告表</w:t>
            </w:r>
            <w:r>
              <w:rPr>
                <w:rFonts w:hint="default"/>
                <w:highlight w:val="none"/>
              </w:rPr>
              <w:t>》</w:t>
            </w:r>
            <w:r>
              <w:rPr>
                <w:rFonts w:hint="default"/>
                <w:highlight w:val="none"/>
                <w:lang w:val="en-US" w:eastAsia="zh-CN"/>
              </w:rPr>
              <w:t>，</w:t>
            </w:r>
            <w:r>
              <w:rPr>
                <w:rFonts w:hint="eastAsia"/>
                <w:highlight w:val="none"/>
                <w:lang w:val="en-US" w:eastAsia="zh-CN"/>
              </w:rPr>
              <w:t>项目于</w:t>
            </w:r>
            <w:r>
              <w:rPr>
                <w:rFonts w:hint="default"/>
                <w:highlight w:val="none"/>
                <w:lang w:val="en-US" w:eastAsia="zh-CN"/>
              </w:rPr>
              <w:t>20</w:t>
            </w:r>
            <w:r>
              <w:rPr>
                <w:rFonts w:hint="eastAsia"/>
                <w:highlight w:val="none"/>
                <w:lang w:val="en-US" w:eastAsia="zh-CN"/>
              </w:rPr>
              <w:t>03</w:t>
            </w:r>
            <w:r>
              <w:rPr>
                <w:rFonts w:hint="default"/>
                <w:highlight w:val="none"/>
                <w:lang w:val="en-US" w:eastAsia="zh-CN"/>
              </w:rPr>
              <w:t>年</w:t>
            </w:r>
            <w:r>
              <w:rPr>
                <w:rFonts w:hint="eastAsia"/>
                <w:highlight w:val="none"/>
                <w:lang w:val="en-US" w:eastAsia="zh-CN"/>
              </w:rPr>
              <w:t>9</w:t>
            </w:r>
            <w:r>
              <w:rPr>
                <w:rFonts w:hint="default"/>
                <w:highlight w:val="none"/>
                <w:lang w:val="en-US" w:eastAsia="zh-CN"/>
              </w:rPr>
              <w:t>月2</w:t>
            </w:r>
            <w:r>
              <w:rPr>
                <w:rFonts w:hint="eastAsia"/>
                <w:highlight w:val="none"/>
                <w:lang w:val="en-US" w:eastAsia="zh-CN"/>
              </w:rPr>
              <w:t>2</w:t>
            </w:r>
            <w:r>
              <w:rPr>
                <w:rFonts w:hint="default"/>
                <w:highlight w:val="none"/>
                <w:lang w:val="en-US" w:eastAsia="zh-CN"/>
              </w:rPr>
              <w:t>日</w:t>
            </w:r>
            <w:r>
              <w:rPr>
                <w:rFonts w:hint="eastAsia"/>
                <w:highlight w:val="none"/>
                <w:lang w:val="en-US" w:eastAsia="zh-CN"/>
              </w:rPr>
              <w:t>取得</w:t>
            </w:r>
            <w:r>
              <w:rPr>
                <w:rFonts w:hint="default"/>
                <w:highlight w:val="none"/>
                <w:lang w:val="en-US" w:eastAsia="zh-CN"/>
              </w:rPr>
              <w:t>新乡市环境保护局</w:t>
            </w:r>
            <w:r>
              <w:rPr>
                <w:rFonts w:hint="eastAsia"/>
                <w:highlight w:val="none"/>
                <w:lang w:val="en-US" w:eastAsia="zh-CN"/>
              </w:rPr>
              <w:t>批复，批复文号：新环监（2003）85号。2006年12月25日，新乡县环境保护局通过</w:t>
            </w:r>
            <w:r>
              <w:rPr>
                <w:rFonts w:hint="eastAsia"/>
                <w:highlight w:val="none"/>
                <w:lang w:eastAsia="zh-CN"/>
              </w:rPr>
              <w:t>新乡市兴豫气体有限责任公司年产溶解乙炔气</w:t>
            </w:r>
            <w:r>
              <w:rPr>
                <w:rFonts w:hint="eastAsia"/>
                <w:highlight w:val="none"/>
                <w:lang w:val="en-US" w:eastAsia="zh-CN"/>
              </w:rPr>
              <w:t>80</w:t>
            </w:r>
            <w:r>
              <w:rPr>
                <w:rFonts w:hint="default"/>
                <w:highlight w:val="none"/>
              </w:rPr>
              <w:t>000</w:t>
            </w:r>
            <w:r>
              <w:rPr>
                <w:rFonts w:hint="eastAsia"/>
                <w:highlight w:val="none"/>
                <w:lang w:val="en-US" w:eastAsia="zh-CN"/>
              </w:rPr>
              <w:t>m</w:t>
            </w:r>
            <w:r>
              <w:rPr>
                <w:rFonts w:hint="eastAsia"/>
                <w:highlight w:val="none"/>
                <w:vertAlign w:val="superscript"/>
                <w:lang w:val="en-US" w:eastAsia="zh-CN"/>
              </w:rPr>
              <w:t>3</w:t>
            </w:r>
            <w:r>
              <w:rPr>
                <w:rFonts w:hint="eastAsia"/>
                <w:highlight w:val="none"/>
                <w:vertAlign w:val="baseline"/>
                <w:lang w:val="en-US" w:eastAsia="zh-CN"/>
              </w:rPr>
              <w:t>项目环保行政验收（附件四）。</w:t>
            </w:r>
          </w:p>
          <w:p>
            <w:pPr>
              <w:bidi w:val="0"/>
              <w:rPr>
                <w:rFonts w:hint="eastAsia"/>
                <w:highlight w:val="none"/>
                <w:lang w:eastAsia="zh-CN"/>
              </w:rPr>
            </w:pPr>
            <w:r>
              <w:rPr>
                <w:rFonts w:hint="eastAsia"/>
                <w:highlight w:val="none"/>
                <w:lang w:val="en-US" w:eastAsia="zh-CN"/>
              </w:rPr>
              <w:t>为满足市场需求，调整产业结构，延伸产品产业链，新乡市兴豫气体有限责任公司拟投资2320万元在现有项目厂区建设</w:t>
            </w:r>
            <w:r>
              <w:rPr>
                <w:rFonts w:hint="default"/>
                <w:sz w:val="24"/>
                <w:szCs w:val="32"/>
                <w:highlight w:val="none"/>
              </w:rPr>
              <w:t>新乡市兴豫气体有限责任公司</w:t>
            </w:r>
            <w:r>
              <w:rPr>
                <w:rFonts w:hint="eastAsia"/>
                <w:sz w:val="24"/>
                <w:szCs w:val="32"/>
                <w:highlight w:val="none"/>
                <w:lang w:eastAsia="zh-CN"/>
              </w:rPr>
              <w:t>年分装</w:t>
            </w:r>
            <w:r>
              <w:rPr>
                <w:rFonts w:hint="eastAsia"/>
                <w:sz w:val="24"/>
                <w:szCs w:val="32"/>
                <w:highlight w:val="none"/>
                <w:lang w:val="en-US" w:eastAsia="zh-CN"/>
              </w:rPr>
              <w:t>7000吨工业气体项目。</w:t>
            </w:r>
            <w:bookmarkEnd w:id="0"/>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根据现场调查，</w:t>
            </w:r>
            <w:r>
              <w:rPr>
                <w:rFonts w:hint="eastAsia" w:cs="Times New Roman"/>
                <w:bCs/>
                <w:color w:val="000000" w:themeColor="text1"/>
                <w:kern w:val="2"/>
                <w:sz w:val="24"/>
                <w:szCs w:val="24"/>
                <w:highlight w:val="none"/>
                <w:lang w:val="en-US" w:eastAsia="zh-CN" w:bidi="ar-SA"/>
                <w14:textFill>
                  <w14:solidFill>
                    <w14:schemeClr w14:val="tx1"/>
                  </w14:solidFill>
                </w14:textFill>
              </w:rPr>
              <w:t>本</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项</w:t>
            </w:r>
            <w:r>
              <w:rPr>
                <w:rFonts w:hint="eastAsia" w:cs="Times New Roman"/>
                <w:bCs/>
                <w:color w:val="000000" w:themeColor="text1"/>
                <w:kern w:val="2"/>
                <w:sz w:val="24"/>
                <w:szCs w:val="24"/>
                <w:highlight w:val="none"/>
                <w:lang w:val="en-US" w:eastAsia="zh-CN" w:bidi="ar-SA"/>
                <w14:textFill>
                  <w14:solidFill>
                    <w14:schemeClr w14:val="tx1"/>
                  </w14:solidFill>
                </w14:textFill>
              </w:rPr>
              <w:t>目已建成投产，</w:t>
            </w:r>
            <w:r>
              <w:rPr>
                <w:rFonts w:hint="eastAsia" w:cs="Times New Roman"/>
                <w:b w:val="0"/>
                <w:bCs w:val="0"/>
                <w:color w:val="auto"/>
                <w:sz w:val="24"/>
                <w:highlight w:val="none"/>
                <w:u w:val="none"/>
                <w:vertAlign w:val="baseline"/>
                <w:lang w:val="en-US" w:eastAsia="zh-CN"/>
              </w:rPr>
              <w:t>该行为违反了《中华人民共和国环境保护法》第二十五条“建设项目的环境影响评价文件未依法经审批部门审查或审查后未予批准的，建设单位不得开工建设”的规定，故本项目</w:t>
            </w:r>
            <w:r>
              <w:rPr>
                <w:rFonts w:hint="default" w:ascii="Times New Roman" w:hAnsi="Times New Roman" w:cs="Times New Roman"/>
                <w:b w:val="0"/>
                <w:bCs w:val="0"/>
                <w:color w:val="auto"/>
                <w:sz w:val="24"/>
                <w:highlight w:val="none"/>
                <w:u w:val="none"/>
                <w:vertAlign w:val="baseline"/>
                <w:lang w:eastAsia="zh-CN"/>
              </w:rPr>
              <w:t>属未批先建项目。</w:t>
            </w:r>
            <w:r>
              <w:rPr>
                <w:rFonts w:hint="eastAsia"/>
                <w:b w:val="0"/>
                <w:bCs w:val="0"/>
                <w:color w:val="auto"/>
                <w:sz w:val="24"/>
                <w:highlight w:val="none"/>
                <w:u w:val="none"/>
                <w:lang w:eastAsia="zh-CN"/>
              </w:rPr>
              <w:t>按照《</w:t>
            </w:r>
            <w:r>
              <w:rPr>
                <w:rFonts w:hint="eastAsia"/>
                <w:b w:val="0"/>
                <w:bCs w:val="0"/>
                <w:color w:val="auto"/>
                <w:sz w:val="24"/>
                <w:highlight w:val="none"/>
                <w:u w:val="none"/>
              </w:rPr>
              <w:t>中华人民共和国环境影响评价法</w:t>
            </w:r>
            <w:r>
              <w:rPr>
                <w:rFonts w:hint="eastAsia"/>
                <w:b w:val="0"/>
                <w:bCs w:val="0"/>
                <w:color w:val="auto"/>
                <w:sz w:val="24"/>
                <w:highlight w:val="none"/>
                <w:u w:val="none"/>
                <w:lang w:eastAsia="zh-CN"/>
              </w:rPr>
              <w:t>》相关规定，</w:t>
            </w:r>
            <w:r>
              <w:rPr>
                <w:rFonts w:hint="eastAsia"/>
                <w:b w:val="0"/>
                <w:bCs w:val="0"/>
                <w:color w:val="auto"/>
                <w:sz w:val="24"/>
                <w:highlight w:val="none"/>
                <w:u w:val="none"/>
                <w:lang w:val="en-US" w:eastAsia="zh-CN"/>
              </w:rPr>
              <w:t>本项目</w:t>
            </w:r>
            <w:r>
              <w:rPr>
                <w:rFonts w:hint="eastAsia" w:cs="Times New Roman"/>
                <w:bCs/>
                <w:color w:val="000000" w:themeColor="text1"/>
                <w:kern w:val="2"/>
                <w:sz w:val="24"/>
                <w:szCs w:val="24"/>
                <w:highlight w:val="none"/>
                <w:lang w:val="en-US" w:eastAsia="zh-CN" w:bidi="ar-SA"/>
                <w14:textFill>
                  <w14:solidFill>
                    <w14:schemeClr w14:val="tx1"/>
                  </w14:solidFill>
                </w14:textFill>
              </w:rPr>
              <w:t>已缴纳罚款，罚款收据见附件九。</w:t>
            </w:r>
            <w:r>
              <w:rPr>
                <w:rFonts w:hint="eastAsia"/>
                <w:highlight w:val="none"/>
                <w:lang w:eastAsia="zh-CN"/>
              </w:rPr>
              <w:t>本项目已在新乡县发展和改革委员会备案（备案证明见附件二），项目备案编码为豫新新乡制造[2015]07033。</w:t>
            </w:r>
          </w:p>
          <w:p>
            <w:pPr>
              <w:bidi w:val="0"/>
              <w:rPr>
                <w:rFonts w:hint="default"/>
                <w:highlight w:val="none"/>
                <w:lang w:val="en-US" w:eastAsia="zh-CN"/>
              </w:rPr>
            </w:pPr>
            <w:r>
              <w:rPr>
                <w:rFonts w:hint="default"/>
                <w:highlight w:val="none"/>
              </w:rPr>
              <w:t>根据《中华人民共和国环境保护法》、《中华人民共和国环境影响评价法》、《</w:t>
            </w:r>
            <w:r>
              <w:rPr>
                <w:rFonts w:hint="eastAsia"/>
                <w:highlight w:val="none"/>
                <w:lang w:eastAsia="zh-CN"/>
              </w:rPr>
              <w:t>建设项目环境影响评价分类管理名录</w:t>
            </w:r>
            <w:r>
              <w:rPr>
                <w:rFonts w:hint="default"/>
                <w:highlight w:val="none"/>
              </w:rPr>
              <w:t>》</w:t>
            </w:r>
            <w:r>
              <w:rPr>
                <w:rFonts w:hint="eastAsia"/>
                <w:highlight w:val="none"/>
                <w:lang w:eastAsia="zh-CN"/>
              </w:rPr>
              <w:t>、</w:t>
            </w:r>
            <w:r>
              <w:rPr>
                <w:rFonts w:hint="default"/>
                <w:highlight w:val="none"/>
              </w:rPr>
              <w:t>中华人民共和国国务院令第682号《建设项目环境保护管理条例》中的有关规定，建设项目必须执行环境影响评价制度。根据《建设项目环境影响评价分类管理名录》（环境保护部令第44号）及《关于修改〈建设项目环境影响评价分类管理名录〉部分内容的决定》（生态环境部令第1号），本项目属于：</w:t>
            </w:r>
            <w:r>
              <w:rPr>
                <w:rFonts w:hint="eastAsia" w:ascii="Times New Roman" w:hAnsi="Times New Roman" w:cs="Times New Roman"/>
                <w:b w:val="0"/>
                <w:bCs w:val="0"/>
                <w:highlight w:val="none"/>
                <w:lang w:eastAsia="zh-CN"/>
              </w:rPr>
              <w:t>四十九、交通运输业、管道运输业和仓储业 180 仓储（不含油库、气库、煤炭储存） 有毒、有害及危险品的仓储、物流配送项目</w:t>
            </w:r>
            <w:r>
              <w:rPr>
                <w:rFonts w:hint="default"/>
                <w:highlight w:val="none"/>
              </w:rPr>
              <w:t>，</w:t>
            </w:r>
            <w:r>
              <w:rPr>
                <w:rFonts w:hint="eastAsia"/>
                <w:highlight w:val="none"/>
                <w:lang w:val="en-US" w:eastAsia="zh-CN"/>
              </w:rPr>
              <w:t>故本项目</w:t>
            </w:r>
            <w:r>
              <w:rPr>
                <w:rFonts w:hint="default"/>
                <w:highlight w:val="none"/>
              </w:rPr>
              <w:t>应编制环境影响评价报告表。</w:t>
            </w:r>
          </w:p>
          <w:p>
            <w:pPr>
              <w:bidi w:val="0"/>
              <w:rPr>
                <w:rFonts w:hint="default"/>
                <w:highlight w:val="none"/>
                <w:lang w:val="en-US" w:eastAsia="zh-CN"/>
              </w:rPr>
            </w:pPr>
            <w:r>
              <w:rPr>
                <w:rFonts w:hint="default"/>
                <w:highlight w:val="none"/>
                <w:lang w:val="en-US" w:eastAsia="zh-CN"/>
              </w:rPr>
              <w:t>受新乡市兴豫气体有限责任公司</w:t>
            </w:r>
            <w:r>
              <w:rPr>
                <w:rFonts w:hint="eastAsia"/>
                <w:highlight w:val="none"/>
                <w:lang w:val="en-US" w:eastAsia="zh-CN"/>
              </w:rPr>
              <w:t>委托</w:t>
            </w:r>
            <w:r>
              <w:rPr>
                <w:rFonts w:hint="default"/>
                <w:highlight w:val="none"/>
                <w:lang w:val="en-US" w:eastAsia="zh-CN"/>
              </w:rPr>
              <w:t>（见附件一），我公司承担了</w:t>
            </w:r>
            <w:r>
              <w:rPr>
                <w:rFonts w:hint="eastAsia"/>
                <w:highlight w:val="none"/>
                <w:lang w:val="en-US" w:eastAsia="zh-CN"/>
              </w:rPr>
              <w:t>“新乡市兴豫气体有限责任公司年分装7000吨工业气体项目”的</w:t>
            </w:r>
            <w:r>
              <w:rPr>
                <w:rFonts w:hint="default"/>
                <w:highlight w:val="none"/>
                <w:lang w:val="en-US" w:eastAsia="zh-CN"/>
              </w:rPr>
              <w:t>环境影响评价工作。接受委托后，我单位组织有关技术人员，在现场调查和收集有关资料的基础上，本着</w:t>
            </w:r>
            <w:r>
              <w:rPr>
                <w:rFonts w:hint="eastAsia"/>
                <w:highlight w:val="none"/>
                <w:lang w:val="en-US" w:eastAsia="zh-CN"/>
              </w:rPr>
              <w:t>“公开、公正、客观”</w:t>
            </w:r>
            <w:r>
              <w:rPr>
                <w:rFonts w:hint="default"/>
                <w:highlight w:val="none"/>
                <w:lang w:val="en-US" w:eastAsia="zh-CN"/>
              </w:rPr>
              <w:t>的态度，编制了本项目的环境影响报告表。</w:t>
            </w:r>
          </w:p>
          <w:p>
            <w:pPr>
              <w:pStyle w:val="4"/>
              <w:bidi w:val="0"/>
              <w:rPr>
                <w:highlight w:val="none"/>
                <w:lang w:val="en-US" w:eastAsia="zh-CN"/>
              </w:rPr>
            </w:pPr>
            <w:r>
              <w:rPr>
                <w:rFonts w:hint="default"/>
                <w:highlight w:val="none"/>
                <w:lang w:val="en-US" w:eastAsia="zh-CN"/>
              </w:rPr>
              <w:t>2、</w:t>
            </w:r>
            <w:r>
              <w:rPr>
                <w:highlight w:val="none"/>
                <w:lang w:val="en-US" w:eastAsia="zh-CN"/>
              </w:rPr>
              <w:t>项目地理位置及项目周围情况</w:t>
            </w:r>
          </w:p>
          <w:p>
            <w:pPr>
              <w:bidi w:val="0"/>
              <w:rPr>
                <w:rFonts w:hint="eastAsia"/>
                <w:highlight w:val="none"/>
                <w:lang w:eastAsia="zh-CN"/>
              </w:rPr>
            </w:pPr>
            <w:r>
              <w:rPr>
                <w:highlight w:val="none"/>
              </w:rPr>
              <w:t>本项目</w:t>
            </w:r>
            <w:r>
              <w:rPr>
                <w:rFonts w:hint="eastAsia"/>
                <w:highlight w:val="none"/>
                <w:lang w:eastAsia="zh-CN"/>
              </w:rPr>
              <w:t>选址</w:t>
            </w:r>
            <w:r>
              <w:rPr>
                <w:rFonts w:hint="default"/>
                <w:highlight w:val="none"/>
              </w:rPr>
              <w:t>位于</w:t>
            </w:r>
            <w:r>
              <w:rPr>
                <w:rFonts w:hint="default"/>
                <w:highlight w:val="none"/>
                <w:lang w:eastAsia="zh-CN"/>
              </w:rPr>
              <w:t>新乡县大召营镇</w:t>
            </w:r>
            <w:r>
              <w:rPr>
                <w:rFonts w:hint="eastAsia"/>
                <w:highlight w:val="none"/>
                <w:lang w:eastAsia="zh-CN"/>
              </w:rPr>
              <w:t>（新焦公路八公里处）</w:t>
            </w:r>
            <w:r>
              <w:rPr>
                <w:rFonts w:hint="default"/>
                <w:highlight w:val="none"/>
              </w:rPr>
              <w:t>，</w:t>
            </w:r>
            <w:r>
              <w:rPr>
                <w:rFonts w:hint="eastAsia"/>
                <w:highlight w:val="none"/>
                <w:lang w:eastAsia="zh-CN"/>
              </w:rPr>
              <w:t>位于新乡县大召营专业园区内，</w:t>
            </w:r>
            <w:r>
              <w:rPr>
                <w:rFonts w:hint="default"/>
                <w:highlight w:val="none"/>
              </w:rPr>
              <w:t>项目中心坐标：</w:t>
            </w:r>
            <w:r>
              <w:rPr>
                <w:rFonts w:hint="default"/>
                <w:highlight w:val="none"/>
                <w:lang w:eastAsia="zh-CN"/>
              </w:rPr>
              <w:t>东经</w:t>
            </w:r>
            <w:r>
              <w:rPr>
                <w:rFonts w:hint="default"/>
                <w:highlight w:val="none"/>
                <w:lang w:val="en-US" w:eastAsia="zh-CN"/>
              </w:rPr>
              <w:t>113.772671°</w:t>
            </w:r>
            <w:r>
              <w:rPr>
                <w:rFonts w:hint="default"/>
                <w:highlight w:val="none"/>
              </w:rPr>
              <w:t>，</w:t>
            </w:r>
            <w:r>
              <w:rPr>
                <w:rFonts w:hint="default"/>
                <w:highlight w:val="none"/>
                <w:lang w:eastAsia="zh-CN"/>
              </w:rPr>
              <w:t>北纬35.283414</w:t>
            </w:r>
            <w:r>
              <w:rPr>
                <w:rFonts w:hint="default"/>
                <w:highlight w:val="none"/>
                <w:lang w:val="en-US" w:eastAsia="zh-CN"/>
              </w:rPr>
              <w:t>°</w:t>
            </w:r>
            <w:r>
              <w:rPr>
                <w:rFonts w:hint="default"/>
                <w:highlight w:val="none"/>
              </w:rPr>
              <w:t>（项目地理位置示意图见附图一），</w:t>
            </w:r>
            <w:r>
              <w:rPr>
                <w:rFonts w:hint="eastAsia"/>
                <w:highlight w:val="none"/>
                <w:lang w:eastAsia="zh-CN"/>
              </w:rPr>
              <w:t>项目</w:t>
            </w:r>
            <w:r>
              <w:rPr>
                <w:rFonts w:hint="eastAsia"/>
                <w:highlight w:val="none"/>
              </w:rPr>
              <w:t>所在地四周环境为：</w:t>
            </w:r>
            <w:r>
              <w:rPr>
                <w:rFonts w:hint="eastAsia"/>
                <w:highlight w:val="none"/>
                <w:lang w:eastAsia="zh-CN"/>
              </w:rPr>
              <w:t>项目东侧为空地；项目西侧为厂房，</w:t>
            </w:r>
            <w:r>
              <w:rPr>
                <w:rFonts w:hint="eastAsia"/>
                <w:highlight w:val="none"/>
                <w:lang w:val="en-US" w:eastAsia="zh-CN"/>
              </w:rPr>
              <w:t>约487m处的代店村</w:t>
            </w:r>
            <w:r>
              <w:rPr>
                <w:rFonts w:hint="eastAsia"/>
                <w:highlight w:val="none"/>
                <w:lang w:eastAsia="zh-CN"/>
              </w:rPr>
              <w:t>；项目北侧为耕地，约</w:t>
            </w:r>
            <w:r>
              <w:rPr>
                <w:rFonts w:hint="eastAsia"/>
                <w:highlight w:val="none"/>
                <w:lang w:val="en-US" w:eastAsia="zh-CN"/>
              </w:rPr>
              <w:t>317m处的前高庄村</w:t>
            </w:r>
            <w:r>
              <w:rPr>
                <w:rFonts w:hint="eastAsia"/>
                <w:highlight w:val="none"/>
                <w:lang w:eastAsia="zh-CN"/>
              </w:rPr>
              <w:t>；项目南侧为厂区；</w:t>
            </w:r>
            <w:r>
              <w:rPr>
                <w:rFonts w:hint="eastAsia"/>
                <w:highlight w:val="none"/>
                <w:lang w:val="en-US" w:eastAsia="zh-CN"/>
              </w:rPr>
              <w:t>东北侧约643m处的后高庄村；西北侧约817m处的店后营村。</w:t>
            </w:r>
          </w:p>
          <w:p>
            <w:pPr>
              <w:bidi w:val="0"/>
              <w:rPr>
                <w:rFonts w:hint="default"/>
                <w:highlight w:val="none"/>
              </w:rPr>
            </w:pPr>
            <w:r>
              <w:rPr>
                <w:rFonts w:hint="eastAsia"/>
                <w:highlight w:val="none"/>
              </w:rPr>
              <w:t>项目周围主要环境敏感点为</w:t>
            </w:r>
            <w:r>
              <w:rPr>
                <w:rFonts w:hint="eastAsia"/>
                <w:highlight w:val="none"/>
                <w:lang w:eastAsia="zh-CN"/>
              </w:rPr>
              <w:t>北侧约</w:t>
            </w:r>
            <w:r>
              <w:rPr>
                <w:rFonts w:hint="eastAsia"/>
                <w:highlight w:val="none"/>
                <w:lang w:val="en-US" w:eastAsia="zh-CN"/>
              </w:rPr>
              <w:t>317m处的前高庄村，东北侧约643m处的后高庄村，西侧约487m处的代店村，西北侧约817m处的店后营村。距</w:t>
            </w:r>
            <w:r>
              <w:rPr>
                <w:rFonts w:hint="eastAsia"/>
                <w:highlight w:val="none"/>
                <w:lang w:eastAsia="zh-CN"/>
              </w:rPr>
              <w:t>离本项目最近的地表水体为</w:t>
            </w:r>
            <w:r>
              <w:rPr>
                <w:rFonts w:hint="eastAsia"/>
                <w:highlight w:val="none"/>
                <w:lang w:val="en-US" w:eastAsia="zh-CN"/>
              </w:rPr>
              <w:t>北</w:t>
            </w:r>
            <w:r>
              <w:rPr>
                <w:rFonts w:hint="eastAsia"/>
                <w:highlight w:val="none"/>
                <w:lang w:eastAsia="zh-CN"/>
              </w:rPr>
              <w:t>侧</w:t>
            </w:r>
            <w:r>
              <w:rPr>
                <w:rFonts w:hint="eastAsia"/>
                <w:highlight w:val="none"/>
                <w:lang w:val="en-US" w:eastAsia="zh-CN"/>
              </w:rPr>
              <w:t>5m处的西干五支排，最终汇入卫河。</w:t>
            </w:r>
            <w:r>
              <w:rPr>
                <w:rFonts w:hint="default"/>
                <w:highlight w:val="none"/>
              </w:rPr>
              <w:t>项目周围环境概况见图1。</w:t>
            </w:r>
          </w:p>
          <w:p>
            <w:pPr>
              <w:pStyle w:val="2"/>
              <w:rPr>
                <w:rFonts w:hint="default"/>
                <w:highlight w:val="none"/>
              </w:rPr>
            </w:pPr>
          </w:p>
          <w:p>
            <w:pPr>
              <w:rPr>
                <w:rFonts w:hint="default"/>
                <w:highlight w:val="none"/>
              </w:rPr>
            </w:pPr>
          </w:p>
          <w:p>
            <w:pPr>
              <w:pStyle w:val="2"/>
              <w:rPr>
                <w:rFonts w:hint="default"/>
                <w:highlight w:val="none"/>
              </w:rPr>
            </w:pPr>
          </w:p>
          <w:p>
            <w:pPr>
              <w:rPr>
                <w:rFonts w:hint="default"/>
                <w:highlight w:val="none"/>
              </w:rPr>
            </w:pPr>
          </w:p>
          <w:p>
            <w:pPr>
              <w:ind w:left="0" w:leftChars="0" w:firstLine="0" w:firstLineChars="0"/>
              <w:rPr>
                <w:rFonts w:hint="eastAsia"/>
                <w:highlight w:val="none"/>
                <w:lang w:val="en-US" w:eastAsia="zh-CN"/>
              </w:rPr>
            </w:pPr>
          </w:p>
          <w:p>
            <w:pPr>
              <w:ind w:left="0" w:leftChars="0" w:firstLine="0" w:firstLineChars="0"/>
              <w:rPr>
                <w:rFonts w:hint="eastAsia"/>
                <w:highlight w:val="none"/>
                <w:lang w:val="en-US" w:eastAsia="zh-CN"/>
              </w:rPr>
            </w:pPr>
          </w:p>
          <w:p>
            <w:pPr>
              <w:pStyle w:val="29"/>
              <w:bidi w:val="0"/>
              <w:rPr>
                <w:rFonts w:hint="eastAsia"/>
                <w:highlight w:val="none"/>
                <w:lang w:val="en-US" w:eastAsia="zh-CN"/>
              </w:rPr>
            </w:pPr>
            <w:r>
              <w:rPr>
                <w:rFonts w:hint="eastAsia"/>
                <w:highlight w:val="none"/>
                <w:lang w:val="en-US" w:eastAsia="zh-CN"/>
              </w:rPr>
              <w:drawing>
                <wp:inline distT="0" distB="0" distL="114300" distR="114300">
                  <wp:extent cx="5199380" cy="3425190"/>
                  <wp:effectExtent l="0" t="0" r="12700" b="3810"/>
                  <wp:docPr id="5" name="图片 5" descr="周边环境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周边环境示意图"/>
                          <pic:cNvPicPr>
                            <a:picLocks noChangeAspect="1"/>
                          </pic:cNvPicPr>
                        </pic:nvPicPr>
                        <pic:blipFill>
                          <a:blip r:embed="rId11"/>
                          <a:stretch>
                            <a:fillRect/>
                          </a:stretch>
                        </pic:blipFill>
                        <pic:spPr>
                          <a:xfrm>
                            <a:off x="0" y="0"/>
                            <a:ext cx="5199380" cy="3425190"/>
                          </a:xfrm>
                          <a:prstGeom prst="rect">
                            <a:avLst/>
                          </a:prstGeom>
                        </pic:spPr>
                      </pic:pic>
                    </a:graphicData>
                  </a:graphic>
                </wp:inline>
              </w:drawing>
            </w:r>
          </w:p>
          <w:p>
            <w:pPr>
              <w:pStyle w:val="45"/>
              <w:bidi w:val="0"/>
              <w:rPr>
                <w:rFonts w:hint="eastAsia"/>
                <w:highlight w:val="none"/>
              </w:rPr>
            </w:pPr>
            <w:r>
              <w:rPr>
                <w:rFonts w:hint="default"/>
                <w:highlight w:val="none"/>
              </w:rPr>
              <w:t xml:space="preserve">图1   </w:t>
            </w:r>
            <w:r>
              <w:rPr>
                <w:rFonts w:hint="eastAsia"/>
                <w:highlight w:val="none"/>
                <w:lang w:val="en-US" w:eastAsia="zh-CN"/>
              </w:rPr>
              <w:t xml:space="preserve"> </w:t>
            </w:r>
            <w:r>
              <w:rPr>
                <w:rFonts w:hint="default"/>
                <w:highlight w:val="none"/>
              </w:rPr>
              <w:t>项目周围环境</w:t>
            </w:r>
            <w:r>
              <w:rPr>
                <w:rFonts w:hint="eastAsia"/>
                <w:highlight w:val="none"/>
              </w:rPr>
              <w:t>图</w:t>
            </w:r>
          </w:p>
          <w:p>
            <w:pPr>
              <w:pStyle w:val="4"/>
              <w:bidi w:val="0"/>
              <w:rPr>
                <w:rFonts w:hint="default"/>
                <w:highlight w:val="none"/>
                <w:lang w:val="en-US" w:eastAsia="zh-CN"/>
              </w:rPr>
            </w:pPr>
            <w:r>
              <w:rPr>
                <w:rFonts w:hint="eastAsia"/>
                <w:highlight w:val="none"/>
                <w:lang w:val="en-US" w:eastAsia="zh-CN"/>
              </w:rPr>
              <w:t>3</w:t>
            </w:r>
            <w:r>
              <w:rPr>
                <w:rFonts w:hint="default"/>
                <w:highlight w:val="none"/>
                <w:lang w:val="en-US" w:eastAsia="zh-CN"/>
              </w:rPr>
              <w:t>、建设规模及内容</w:t>
            </w:r>
          </w:p>
          <w:p>
            <w:pPr>
              <w:bidi w:val="0"/>
              <w:rPr>
                <w:rFonts w:hint="default"/>
                <w:highlight w:val="none"/>
                <w:lang w:val="en-US" w:eastAsia="zh-CN"/>
              </w:rPr>
            </w:pPr>
            <w:r>
              <w:rPr>
                <w:rFonts w:hint="default"/>
                <w:highlight w:val="none"/>
                <w:lang w:val="en-US" w:eastAsia="zh-CN"/>
              </w:rPr>
              <w:t>本项目总投资</w:t>
            </w:r>
            <w:r>
              <w:rPr>
                <w:rFonts w:hint="eastAsia"/>
                <w:highlight w:val="none"/>
                <w:lang w:val="en-US" w:eastAsia="zh-CN"/>
              </w:rPr>
              <w:t>2320</w:t>
            </w:r>
            <w:r>
              <w:rPr>
                <w:rFonts w:hint="default"/>
                <w:highlight w:val="none"/>
                <w:lang w:val="en-US" w:eastAsia="zh-CN"/>
              </w:rPr>
              <w:t>万元，建筑面积</w:t>
            </w:r>
            <w:r>
              <w:rPr>
                <w:rFonts w:hint="eastAsia"/>
                <w:highlight w:val="none"/>
                <w:lang w:val="en-US" w:eastAsia="zh-CN"/>
              </w:rPr>
              <w:t>622.6</w:t>
            </w:r>
            <w:r>
              <w:rPr>
                <w:rFonts w:hint="default"/>
                <w:highlight w:val="none"/>
                <w:lang w:val="en-US" w:eastAsia="zh-CN"/>
              </w:rPr>
              <w:t>m</w:t>
            </w:r>
            <w:r>
              <w:rPr>
                <w:rFonts w:hint="default"/>
                <w:highlight w:val="none"/>
                <w:vertAlign w:val="superscript"/>
                <w:lang w:val="en-US" w:eastAsia="zh-CN"/>
              </w:rPr>
              <w:t>2</w:t>
            </w:r>
            <w:r>
              <w:rPr>
                <w:rFonts w:hint="default"/>
                <w:highlight w:val="none"/>
                <w:lang w:val="en-US" w:eastAsia="zh-CN"/>
              </w:rPr>
              <w:t>，</w:t>
            </w:r>
            <w:r>
              <w:rPr>
                <w:rFonts w:hint="default"/>
                <w:highlight w:val="none"/>
              </w:rPr>
              <w:t>厂房</w:t>
            </w:r>
            <w:r>
              <w:rPr>
                <w:rFonts w:hint="default"/>
                <w:highlight w:val="none"/>
                <w:lang w:eastAsia="zh-CN"/>
              </w:rPr>
              <w:t>依托</w:t>
            </w:r>
            <w:r>
              <w:rPr>
                <w:rFonts w:hint="eastAsia"/>
                <w:highlight w:val="none"/>
                <w:lang w:eastAsia="zh-CN"/>
              </w:rPr>
              <w:t>现有项目</w:t>
            </w:r>
            <w:r>
              <w:rPr>
                <w:rFonts w:hint="default"/>
                <w:highlight w:val="none"/>
                <w:lang w:eastAsia="zh-CN"/>
              </w:rPr>
              <w:t>的</w:t>
            </w:r>
            <w:r>
              <w:rPr>
                <w:rFonts w:hint="eastAsia"/>
                <w:highlight w:val="none"/>
                <w:lang w:val="en-US" w:eastAsia="zh-CN"/>
              </w:rPr>
              <w:t>闲置</w:t>
            </w:r>
            <w:r>
              <w:rPr>
                <w:rFonts w:hint="default"/>
                <w:highlight w:val="none"/>
                <w:lang w:eastAsia="zh-CN"/>
              </w:rPr>
              <w:t>厂房</w:t>
            </w:r>
            <w:r>
              <w:rPr>
                <w:rFonts w:hint="default"/>
                <w:highlight w:val="none"/>
              </w:rPr>
              <w:t>，主要包括</w:t>
            </w:r>
            <w:r>
              <w:rPr>
                <w:rFonts w:hint="eastAsia"/>
                <w:highlight w:val="none"/>
                <w:lang w:eastAsia="zh-CN"/>
              </w:rPr>
              <w:t>办公室</w:t>
            </w:r>
            <w:r>
              <w:rPr>
                <w:rFonts w:hint="eastAsia"/>
                <w:highlight w:val="none"/>
                <w:lang w:val="en-US" w:eastAsia="zh-CN"/>
              </w:rPr>
              <w:t>、</w:t>
            </w:r>
            <w:r>
              <w:rPr>
                <w:rFonts w:hint="default"/>
                <w:highlight w:val="none"/>
                <w:lang w:eastAsia="zh-CN"/>
              </w:rPr>
              <w:t>生产车间等</w:t>
            </w:r>
            <w:r>
              <w:rPr>
                <w:rFonts w:hint="default"/>
                <w:highlight w:val="none"/>
              </w:rPr>
              <w:t>。</w:t>
            </w:r>
            <w:r>
              <w:rPr>
                <w:rFonts w:hint="default"/>
                <w:highlight w:val="none"/>
                <w:lang w:val="en-US" w:eastAsia="zh-CN"/>
              </w:rPr>
              <w:t>建筑内容见</w:t>
            </w:r>
            <w:r>
              <w:rPr>
                <w:rFonts w:hint="eastAsia"/>
                <w:highlight w:val="none"/>
                <w:lang w:val="en-US" w:eastAsia="zh-CN"/>
              </w:rPr>
              <w:t>下表</w:t>
            </w:r>
            <w:r>
              <w:rPr>
                <w:rFonts w:hint="default"/>
                <w:highlight w:val="none"/>
                <w:lang w:val="en-US" w:eastAsia="zh-CN"/>
              </w:rPr>
              <w:t>。</w:t>
            </w:r>
          </w:p>
          <w:p>
            <w:pPr>
              <w:pStyle w:val="45"/>
              <w:bidi w:val="0"/>
              <w:rPr>
                <w:rFonts w:hint="default"/>
                <w:highlight w:val="none"/>
                <w:lang w:val="en-US" w:eastAsia="zh-CN"/>
              </w:rPr>
            </w:pPr>
            <w:r>
              <w:rPr>
                <w:rFonts w:hint="default"/>
                <w:highlight w:val="none"/>
                <w:lang w:val="en-US" w:eastAsia="zh-CN"/>
              </w:rPr>
              <w:t>表1        建筑内容一览表</w:t>
            </w:r>
          </w:p>
          <w:tbl>
            <w:tblPr>
              <w:tblStyle w:val="21"/>
              <w:tblW w:w="4998" w:type="pct"/>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108" w:type="dxa"/>
                <w:bottom w:w="0" w:type="dxa"/>
                <w:right w:w="108" w:type="dxa"/>
              </w:tblCellMar>
            </w:tblPr>
            <w:tblGrid>
              <w:gridCol w:w="1251"/>
              <w:gridCol w:w="1787"/>
              <w:gridCol w:w="2078"/>
              <w:gridCol w:w="3462"/>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64" w:hRule="atLeast"/>
                <w:jc w:val="center"/>
              </w:trPr>
              <w:tc>
                <w:tcPr>
                  <w:tcW w:w="729" w:type="pct"/>
                  <w:noWrap w:val="0"/>
                  <w:vAlign w:val="center"/>
                </w:tcPr>
                <w:p>
                  <w:pPr>
                    <w:pStyle w:val="29"/>
                    <w:bidi w:val="0"/>
                    <w:rPr>
                      <w:rFonts w:hint="default"/>
                      <w:highlight w:val="none"/>
                      <w:lang w:val="en-US" w:eastAsia="zh-CN"/>
                    </w:rPr>
                  </w:pPr>
                  <w:r>
                    <w:rPr>
                      <w:rFonts w:hint="default"/>
                      <w:highlight w:val="none"/>
                      <w:lang w:val="en-US" w:eastAsia="zh-CN"/>
                    </w:rPr>
                    <w:t>序号</w:t>
                  </w:r>
                </w:p>
              </w:tc>
              <w:tc>
                <w:tcPr>
                  <w:tcW w:w="1041" w:type="pct"/>
                  <w:noWrap w:val="0"/>
                  <w:vAlign w:val="center"/>
                </w:tcPr>
                <w:p>
                  <w:pPr>
                    <w:pStyle w:val="29"/>
                    <w:bidi w:val="0"/>
                    <w:rPr>
                      <w:rFonts w:hint="default"/>
                      <w:highlight w:val="none"/>
                      <w:lang w:val="en-US" w:eastAsia="zh-CN"/>
                    </w:rPr>
                  </w:pPr>
                  <w:r>
                    <w:rPr>
                      <w:rFonts w:hint="default"/>
                      <w:highlight w:val="none"/>
                      <w:lang w:val="en-US" w:eastAsia="zh-CN"/>
                    </w:rPr>
                    <w:t>建筑物名称</w:t>
                  </w:r>
                </w:p>
              </w:tc>
              <w:tc>
                <w:tcPr>
                  <w:tcW w:w="1211" w:type="pct"/>
                  <w:noWrap w:val="0"/>
                  <w:vAlign w:val="center"/>
                </w:tcPr>
                <w:p>
                  <w:pPr>
                    <w:pStyle w:val="29"/>
                    <w:bidi w:val="0"/>
                    <w:rPr>
                      <w:rFonts w:hint="default"/>
                      <w:highlight w:val="none"/>
                      <w:lang w:val="en-US" w:eastAsia="zh-CN"/>
                    </w:rPr>
                  </w:pPr>
                  <w:r>
                    <w:rPr>
                      <w:rFonts w:hint="default"/>
                      <w:highlight w:val="none"/>
                      <w:lang w:val="en-US" w:eastAsia="zh-CN"/>
                    </w:rPr>
                    <w:t>面积（m</w:t>
                  </w:r>
                  <w:r>
                    <w:rPr>
                      <w:rFonts w:hint="default"/>
                      <w:highlight w:val="none"/>
                      <w:vertAlign w:val="superscript"/>
                      <w:lang w:val="en-US" w:eastAsia="zh-CN"/>
                    </w:rPr>
                    <w:t>2</w:t>
                  </w:r>
                  <w:r>
                    <w:rPr>
                      <w:rFonts w:hint="default"/>
                      <w:highlight w:val="none"/>
                      <w:lang w:val="en-US" w:eastAsia="zh-CN"/>
                    </w:rPr>
                    <w:t>）</w:t>
                  </w:r>
                </w:p>
              </w:tc>
              <w:tc>
                <w:tcPr>
                  <w:tcW w:w="2017" w:type="pct"/>
                  <w:noWrap w:val="0"/>
                  <w:vAlign w:val="center"/>
                </w:tcPr>
                <w:p>
                  <w:pPr>
                    <w:pStyle w:val="29"/>
                    <w:bidi w:val="0"/>
                    <w:rPr>
                      <w:rFonts w:hint="default"/>
                      <w:highlight w:val="none"/>
                      <w:lang w:val="en-US" w:eastAsia="zh-CN"/>
                    </w:rPr>
                  </w:pPr>
                  <w:r>
                    <w:rPr>
                      <w:rFonts w:hint="default"/>
                      <w:highlight w:val="none"/>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34" w:hRule="atLeast"/>
                <w:jc w:val="center"/>
              </w:trPr>
              <w:tc>
                <w:tcPr>
                  <w:tcW w:w="729" w:type="pct"/>
                  <w:vMerge w:val="restart"/>
                  <w:noWrap w:val="0"/>
                  <w:vAlign w:val="center"/>
                </w:tcPr>
                <w:p>
                  <w:pPr>
                    <w:pStyle w:val="29"/>
                    <w:bidi w:val="0"/>
                    <w:rPr>
                      <w:rFonts w:hint="default"/>
                      <w:highlight w:val="none"/>
                      <w:lang w:val="en-US" w:eastAsia="zh-CN"/>
                    </w:rPr>
                  </w:pPr>
                  <w:r>
                    <w:rPr>
                      <w:rFonts w:hint="default"/>
                      <w:highlight w:val="none"/>
                      <w:lang w:val="en-US" w:eastAsia="zh-CN"/>
                    </w:rPr>
                    <w:t>主体工程</w:t>
                  </w:r>
                </w:p>
              </w:tc>
              <w:tc>
                <w:tcPr>
                  <w:tcW w:w="1041" w:type="pct"/>
                  <w:noWrap w:val="0"/>
                  <w:vAlign w:val="center"/>
                </w:tcPr>
                <w:p>
                  <w:pPr>
                    <w:pStyle w:val="29"/>
                    <w:bidi w:val="0"/>
                    <w:rPr>
                      <w:rFonts w:hint="default"/>
                      <w:highlight w:val="none"/>
                      <w:lang w:val="en-US" w:eastAsia="zh-CN"/>
                    </w:rPr>
                  </w:pPr>
                  <w:r>
                    <w:rPr>
                      <w:rFonts w:hint="eastAsia"/>
                      <w:highlight w:val="none"/>
                      <w:lang w:val="en-US" w:eastAsia="zh-CN"/>
                    </w:rPr>
                    <w:t>压缩机间</w:t>
                  </w:r>
                </w:p>
              </w:tc>
              <w:tc>
                <w:tcPr>
                  <w:tcW w:w="1211" w:type="pct"/>
                  <w:noWrap w:val="0"/>
                  <w:vAlign w:val="center"/>
                </w:tcPr>
                <w:p>
                  <w:pPr>
                    <w:pStyle w:val="29"/>
                    <w:bidi w:val="0"/>
                    <w:rPr>
                      <w:rFonts w:hint="default"/>
                      <w:highlight w:val="none"/>
                      <w:lang w:val="en-US" w:eastAsia="zh-CN"/>
                    </w:rPr>
                  </w:pPr>
                  <w:r>
                    <w:rPr>
                      <w:rFonts w:hint="eastAsia"/>
                      <w:highlight w:val="none"/>
                      <w:lang w:val="en-US" w:eastAsia="zh-CN"/>
                    </w:rPr>
                    <w:t>31.2</w:t>
                  </w:r>
                </w:p>
              </w:tc>
              <w:tc>
                <w:tcPr>
                  <w:tcW w:w="2017" w:type="pct"/>
                  <w:noWrap w:val="0"/>
                  <w:vAlign w:val="center"/>
                </w:tcPr>
                <w:p>
                  <w:pPr>
                    <w:pStyle w:val="29"/>
                    <w:bidi w:val="0"/>
                    <w:rPr>
                      <w:rFonts w:hint="default"/>
                      <w:highlight w:val="none"/>
                      <w:lang w:val="en-US" w:eastAsia="zh-CN"/>
                    </w:rPr>
                  </w:pPr>
                  <w:r>
                    <w:rPr>
                      <w:rFonts w:hint="eastAsia"/>
                      <w:highlight w:val="none"/>
                      <w:lang w:val="en-US" w:eastAsia="zh-CN"/>
                    </w:rPr>
                    <w:t>存放压缩机组</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34" w:hRule="atLeast"/>
                <w:jc w:val="center"/>
              </w:trPr>
              <w:tc>
                <w:tcPr>
                  <w:tcW w:w="729" w:type="pct"/>
                  <w:vMerge w:val="continue"/>
                  <w:noWrap w:val="0"/>
                  <w:vAlign w:val="center"/>
                </w:tcPr>
                <w:p>
                  <w:pPr>
                    <w:pStyle w:val="29"/>
                    <w:bidi w:val="0"/>
                    <w:rPr>
                      <w:rFonts w:hint="default"/>
                      <w:highlight w:val="none"/>
                      <w:lang w:val="en-US" w:eastAsia="zh-CN"/>
                    </w:rPr>
                  </w:pPr>
                </w:p>
              </w:tc>
              <w:tc>
                <w:tcPr>
                  <w:tcW w:w="1041" w:type="pct"/>
                  <w:noWrap w:val="0"/>
                  <w:vAlign w:val="center"/>
                </w:tcPr>
                <w:p>
                  <w:pPr>
                    <w:pStyle w:val="29"/>
                    <w:bidi w:val="0"/>
                    <w:rPr>
                      <w:rFonts w:hint="default"/>
                      <w:highlight w:val="none"/>
                      <w:lang w:val="en-US" w:eastAsia="zh-CN"/>
                    </w:rPr>
                  </w:pPr>
                  <w:r>
                    <w:rPr>
                      <w:rFonts w:hint="eastAsia"/>
                      <w:highlight w:val="none"/>
                      <w:lang w:val="en-US" w:eastAsia="zh-CN"/>
                    </w:rPr>
                    <w:t>丙烷灌瓶间</w:t>
                  </w:r>
                </w:p>
              </w:tc>
              <w:tc>
                <w:tcPr>
                  <w:tcW w:w="1211" w:type="pct"/>
                  <w:noWrap w:val="0"/>
                  <w:vAlign w:val="center"/>
                </w:tcPr>
                <w:p>
                  <w:pPr>
                    <w:pStyle w:val="29"/>
                    <w:bidi w:val="0"/>
                    <w:rPr>
                      <w:rFonts w:hint="default"/>
                      <w:highlight w:val="none"/>
                      <w:lang w:val="en-US" w:eastAsia="zh-CN"/>
                    </w:rPr>
                  </w:pPr>
                  <w:r>
                    <w:rPr>
                      <w:rFonts w:hint="eastAsia"/>
                      <w:highlight w:val="none"/>
                      <w:lang w:val="en-US" w:eastAsia="zh-CN"/>
                    </w:rPr>
                    <w:t>62.4</w:t>
                  </w:r>
                </w:p>
              </w:tc>
              <w:tc>
                <w:tcPr>
                  <w:tcW w:w="2017" w:type="pct"/>
                  <w:noWrap w:val="0"/>
                  <w:vAlign w:val="center"/>
                </w:tcPr>
                <w:p>
                  <w:pPr>
                    <w:pStyle w:val="29"/>
                    <w:bidi w:val="0"/>
                    <w:rPr>
                      <w:rFonts w:hint="default"/>
                      <w:highlight w:val="none"/>
                      <w:lang w:val="en-US" w:eastAsia="zh-CN"/>
                    </w:rPr>
                  </w:pPr>
                  <w:r>
                    <w:rPr>
                      <w:rFonts w:hint="eastAsia"/>
                      <w:highlight w:val="none"/>
                      <w:lang w:val="en-US" w:eastAsia="zh-CN"/>
                    </w:rPr>
                    <w:t>灌装</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34" w:hRule="atLeast"/>
                <w:jc w:val="center"/>
              </w:trPr>
              <w:tc>
                <w:tcPr>
                  <w:tcW w:w="729" w:type="pct"/>
                  <w:vMerge w:val="continue"/>
                  <w:noWrap w:val="0"/>
                  <w:vAlign w:val="center"/>
                </w:tcPr>
                <w:p>
                  <w:pPr>
                    <w:pStyle w:val="29"/>
                    <w:bidi w:val="0"/>
                    <w:rPr>
                      <w:rFonts w:hint="default"/>
                      <w:highlight w:val="none"/>
                      <w:lang w:val="en-US" w:eastAsia="zh-CN"/>
                    </w:rPr>
                  </w:pPr>
                </w:p>
              </w:tc>
              <w:tc>
                <w:tcPr>
                  <w:tcW w:w="1041" w:type="pct"/>
                  <w:noWrap w:val="0"/>
                  <w:vAlign w:val="center"/>
                </w:tcPr>
                <w:p>
                  <w:pPr>
                    <w:pStyle w:val="29"/>
                    <w:bidi w:val="0"/>
                    <w:rPr>
                      <w:rFonts w:hint="default"/>
                      <w:highlight w:val="none"/>
                      <w:lang w:val="en-US" w:eastAsia="zh-CN"/>
                    </w:rPr>
                  </w:pPr>
                  <w:r>
                    <w:rPr>
                      <w:rFonts w:hint="eastAsia"/>
                      <w:highlight w:val="none"/>
                      <w:lang w:val="en-US" w:eastAsia="zh-CN"/>
                    </w:rPr>
                    <w:t>灌瓶间</w:t>
                  </w:r>
                </w:p>
              </w:tc>
              <w:tc>
                <w:tcPr>
                  <w:tcW w:w="1211" w:type="pct"/>
                  <w:noWrap w:val="0"/>
                  <w:vAlign w:val="center"/>
                </w:tcPr>
                <w:p>
                  <w:pPr>
                    <w:pStyle w:val="29"/>
                    <w:bidi w:val="0"/>
                    <w:rPr>
                      <w:rFonts w:hint="default"/>
                      <w:highlight w:val="none"/>
                      <w:lang w:val="en-US" w:eastAsia="zh-CN"/>
                    </w:rPr>
                  </w:pPr>
                  <w:r>
                    <w:rPr>
                      <w:rFonts w:hint="eastAsia"/>
                      <w:highlight w:val="none"/>
                      <w:lang w:val="en-US" w:eastAsia="zh-CN"/>
                    </w:rPr>
                    <w:t>120</w:t>
                  </w:r>
                </w:p>
              </w:tc>
              <w:tc>
                <w:tcPr>
                  <w:tcW w:w="2017" w:type="pct"/>
                  <w:noWrap w:val="0"/>
                  <w:vAlign w:val="center"/>
                </w:tcPr>
                <w:p>
                  <w:pPr>
                    <w:pStyle w:val="29"/>
                    <w:bidi w:val="0"/>
                    <w:rPr>
                      <w:rFonts w:hint="eastAsia"/>
                      <w:highlight w:val="none"/>
                      <w:lang w:val="en-US" w:eastAsia="zh-CN"/>
                    </w:rPr>
                  </w:pPr>
                  <w:r>
                    <w:rPr>
                      <w:rFonts w:hint="eastAsia"/>
                      <w:highlight w:val="none"/>
                      <w:lang w:val="en-US" w:eastAsia="zh-CN"/>
                    </w:rPr>
                    <w:t>灌装</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34" w:hRule="atLeast"/>
                <w:jc w:val="center"/>
              </w:trPr>
              <w:tc>
                <w:tcPr>
                  <w:tcW w:w="729" w:type="pct"/>
                  <w:vMerge w:val="continue"/>
                  <w:noWrap w:val="0"/>
                  <w:vAlign w:val="center"/>
                </w:tcPr>
                <w:p>
                  <w:pPr>
                    <w:pStyle w:val="29"/>
                    <w:bidi w:val="0"/>
                    <w:rPr>
                      <w:rFonts w:hint="default"/>
                      <w:highlight w:val="none"/>
                      <w:lang w:val="en-US" w:eastAsia="zh-CN"/>
                    </w:rPr>
                  </w:pPr>
                </w:p>
              </w:tc>
              <w:tc>
                <w:tcPr>
                  <w:tcW w:w="1041" w:type="pct"/>
                  <w:noWrap w:val="0"/>
                  <w:vAlign w:val="center"/>
                </w:tcPr>
                <w:p>
                  <w:pPr>
                    <w:pStyle w:val="29"/>
                    <w:bidi w:val="0"/>
                    <w:rPr>
                      <w:rFonts w:hint="default"/>
                      <w:highlight w:val="none"/>
                      <w:lang w:val="en-US" w:eastAsia="zh-CN"/>
                    </w:rPr>
                  </w:pPr>
                  <w:r>
                    <w:rPr>
                      <w:rFonts w:hint="eastAsia"/>
                      <w:highlight w:val="none"/>
                      <w:lang w:val="en-US" w:eastAsia="zh-CN"/>
                    </w:rPr>
                    <w:t>丙烷储罐区</w:t>
                  </w:r>
                </w:p>
              </w:tc>
              <w:tc>
                <w:tcPr>
                  <w:tcW w:w="1211" w:type="pct"/>
                  <w:noWrap w:val="0"/>
                  <w:vAlign w:val="center"/>
                </w:tcPr>
                <w:p>
                  <w:pPr>
                    <w:pStyle w:val="29"/>
                    <w:bidi w:val="0"/>
                    <w:rPr>
                      <w:rFonts w:hint="default"/>
                      <w:highlight w:val="none"/>
                      <w:lang w:val="en-US" w:eastAsia="zh-CN"/>
                    </w:rPr>
                  </w:pPr>
                  <w:r>
                    <w:rPr>
                      <w:rFonts w:hint="eastAsia"/>
                      <w:highlight w:val="none"/>
                      <w:lang w:val="en-US" w:eastAsia="zh-CN"/>
                    </w:rPr>
                    <w:t>288</w:t>
                  </w:r>
                </w:p>
              </w:tc>
              <w:tc>
                <w:tcPr>
                  <w:tcW w:w="2017" w:type="pct"/>
                  <w:noWrap w:val="0"/>
                  <w:vAlign w:val="center"/>
                </w:tcPr>
                <w:p>
                  <w:pPr>
                    <w:pStyle w:val="29"/>
                    <w:bidi w:val="0"/>
                    <w:rPr>
                      <w:rFonts w:hint="default"/>
                      <w:highlight w:val="none"/>
                      <w:lang w:val="en-US" w:eastAsia="zh-CN"/>
                    </w:rPr>
                  </w:pPr>
                  <w:r>
                    <w:rPr>
                      <w:rFonts w:hint="eastAsia"/>
                      <w:highlight w:val="none"/>
                      <w:lang w:val="en-US" w:eastAsia="zh-CN"/>
                    </w:rPr>
                    <w:t>丙烷储存</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34" w:hRule="atLeast"/>
                <w:jc w:val="center"/>
              </w:trPr>
              <w:tc>
                <w:tcPr>
                  <w:tcW w:w="729" w:type="pct"/>
                  <w:vMerge w:val="continue"/>
                  <w:noWrap w:val="0"/>
                  <w:vAlign w:val="center"/>
                </w:tcPr>
                <w:p>
                  <w:pPr>
                    <w:pStyle w:val="29"/>
                    <w:bidi w:val="0"/>
                    <w:rPr>
                      <w:rFonts w:hint="default"/>
                      <w:highlight w:val="none"/>
                      <w:lang w:val="en-US" w:eastAsia="zh-CN"/>
                    </w:rPr>
                  </w:pPr>
                </w:p>
              </w:tc>
              <w:tc>
                <w:tcPr>
                  <w:tcW w:w="1041" w:type="pct"/>
                  <w:noWrap w:val="0"/>
                  <w:vAlign w:val="center"/>
                </w:tcPr>
                <w:p>
                  <w:pPr>
                    <w:pStyle w:val="29"/>
                    <w:bidi w:val="0"/>
                    <w:rPr>
                      <w:rFonts w:hint="default"/>
                      <w:highlight w:val="none"/>
                      <w:lang w:val="en-US" w:eastAsia="zh-CN"/>
                    </w:rPr>
                  </w:pPr>
                  <w:r>
                    <w:rPr>
                      <w:rFonts w:hint="eastAsia"/>
                      <w:highlight w:val="none"/>
                      <w:lang w:val="en-US" w:eastAsia="zh-CN"/>
                    </w:rPr>
                    <w:t>其他其他储罐区</w:t>
                  </w:r>
                </w:p>
              </w:tc>
              <w:tc>
                <w:tcPr>
                  <w:tcW w:w="1211" w:type="pct"/>
                  <w:noWrap w:val="0"/>
                  <w:vAlign w:val="center"/>
                </w:tcPr>
                <w:p>
                  <w:pPr>
                    <w:pStyle w:val="29"/>
                    <w:bidi w:val="0"/>
                    <w:rPr>
                      <w:rFonts w:hint="default"/>
                      <w:highlight w:val="none"/>
                      <w:lang w:val="en-US" w:eastAsia="zh-CN"/>
                    </w:rPr>
                  </w:pPr>
                  <w:r>
                    <w:rPr>
                      <w:rFonts w:hint="eastAsia"/>
                      <w:highlight w:val="none"/>
                      <w:lang w:val="en-US" w:eastAsia="zh-CN"/>
                    </w:rPr>
                    <w:t>121</w:t>
                  </w:r>
                </w:p>
              </w:tc>
              <w:tc>
                <w:tcPr>
                  <w:tcW w:w="2017" w:type="pct"/>
                  <w:noWrap w:val="0"/>
                  <w:vAlign w:val="center"/>
                </w:tcPr>
                <w:p>
                  <w:pPr>
                    <w:pStyle w:val="29"/>
                    <w:bidi w:val="0"/>
                    <w:rPr>
                      <w:rFonts w:hint="default"/>
                      <w:highlight w:val="none"/>
                      <w:lang w:val="en-US" w:eastAsia="zh-CN"/>
                    </w:rPr>
                  </w:pPr>
                  <w:r>
                    <w:rPr>
                      <w:rFonts w:hint="eastAsia"/>
                      <w:highlight w:val="none"/>
                      <w:lang w:val="en-US" w:eastAsia="zh-CN"/>
                    </w:rPr>
                    <w:t>其他气体储存</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94" w:hRule="atLeast"/>
                <w:jc w:val="center"/>
              </w:trPr>
              <w:tc>
                <w:tcPr>
                  <w:tcW w:w="729" w:type="pct"/>
                  <w:vMerge w:val="restart"/>
                  <w:noWrap w:val="0"/>
                  <w:vAlign w:val="center"/>
                </w:tcPr>
                <w:p>
                  <w:pPr>
                    <w:pStyle w:val="29"/>
                    <w:bidi w:val="0"/>
                    <w:rPr>
                      <w:rFonts w:hint="default"/>
                      <w:highlight w:val="none"/>
                      <w:lang w:val="en-US" w:eastAsia="zh-CN"/>
                    </w:rPr>
                  </w:pPr>
                  <w:r>
                    <w:rPr>
                      <w:rFonts w:hint="eastAsia"/>
                      <w:highlight w:val="none"/>
                      <w:lang w:val="en-US" w:eastAsia="zh-CN"/>
                    </w:rPr>
                    <w:t>储运</w:t>
                  </w:r>
                  <w:r>
                    <w:rPr>
                      <w:rFonts w:hint="default"/>
                      <w:highlight w:val="none"/>
                      <w:lang w:val="en-US" w:eastAsia="zh-CN"/>
                    </w:rPr>
                    <w:t>工程</w:t>
                  </w:r>
                </w:p>
              </w:tc>
              <w:tc>
                <w:tcPr>
                  <w:tcW w:w="1041" w:type="pct"/>
                  <w:noWrap w:val="0"/>
                  <w:vAlign w:val="center"/>
                </w:tcPr>
                <w:p>
                  <w:pPr>
                    <w:pStyle w:val="29"/>
                    <w:bidi w:val="0"/>
                    <w:rPr>
                      <w:rFonts w:hint="default"/>
                      <w:highlight w:val="none"/>
                      <w:lang w:val="en-US" w:eastAsia="zh-CN"/>
                    </w:rPr>
                  </w:pPr>
                  <w:r>
                    <w:rPr>
                      <w:rFonts w:hint="eastAsia"/>
                      <w:highlight w:val="none"/>
                      <w:lang w:val="en-US" w:eastAsia="zh-CN"/>
                    </w:rPr>
                    <w:t>丙烷储罐</w:t>
                  </w:r>
                </w:p>
              </w:tc>
              <w:tc>
                <w:tcPr>
                  <w:tcW w:w="1211" w:type="pct"/>
                  <w:noWrap w:val="0"/>
                  <w:vAlign w:val="center"/>
                </w:tcPr>
                <w:p>
                  <w:pPr>
                    <w:pStyle w:val="29"/>
                    <w:bidi w:val="0"/>
                    <w:rPr>
                      <w:rFonts w:hint="default"/>
                      <w:highlight w:val="none"/>
                      <w:lang w:val="en-US" w:eastAsia="zh-CN"/>
                    </w:rPr>
                  </w:pPr>
                  <w:r>
                    <w:rPr>
                      <w:rFonts w:hint="eastAsia"/>
                      <w:highlight w:val="none"/>
                      <w:lang w:val="en-US" w:eastAsia="zh-CN"/>
                    </w:rPr>
                    <w:t>4个，每个50m</w:t>
                  </w:r>
                  <w:r>
                    <w:rPr>
                      <w:rFonts w:hint="eastAsia"/>
                      <w:highlight w:val="none"/>
                      <w:vertAlign w:val="superscript"/>
                      <w:lang w:val="en-US" w:eastAsia="zh-CN"/>
                    </w:rPr>
                    <w:t>3</w:t>
                  </w:r>
                </w:p>
              </w:tc>
              <w:tc>
                <w:tcPr>
                  <w:tcW w:w="2017" w:type="pct"/>
                  <w:noWrap w:val="0"/>
                  <w:vAlign w:val="center"/>
                </w:tcPr>
                <w:p>
                  <w:pPr>
                    <w:pStyle w:val="29"/>
                    <w:bidi w:val="0"/>
                    <w:rPr>
                      <w:rFonts w:hint="default"/>
                      <w:highlight w:val="none"/>
                      <w:lang w:val="en-US" w:eastAsia="zh-CN"/>
                    </w:rPr>
                  </w:pPr>
                  <w:r>
                    <w:rPr>
                      <w:rFonts w:hint="eastAsia"/>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94" w:hRule="atLeast"/>
                <w:jc w:val="center"/>
              </w:trPr>
              <w:tc>
                <w:tcPr>
                  <w:tcW w:w="729" w:type="pct"/>
                  <w:vMerge w:val="continue"/>
                  <w:noWrap w:val="0"/>
                  <w:vAlign w:val="center"/>
                </w:tcPr>
                <w:p>
                  <w:pPr>
                    <w:pStyle w:val="29"/>
                    <w:bidi w:val="0"/>
                    <w:rPr>
                      <w:rFonts w:hint="eastAsia"/>
                      <w:highlight w:val="none"/>
                      <w:lang w:val="en-US" w:eastAsia="zh-CN"/>
                    </w:rPr>
                  </w:pPr>
                </w:p>
              </w:tc>
              <w:tc>
                <w:tcPr>
                  <w:tcW w:w="1041" w:type="pct"/>
                  <w:noWrap w:val="0"/>
                  <w:vAlign w:val="center"/>
                </w:tcPr>
                <w:p>
                  <w:pPr>
                    <w:pStyle w:val="29"/>
                    <w:bidi w:val="0"/>
                    <w:ind w:firstLine="0" w:firstLineChars="0"/>
                    <w:rPr>
                      <w:rFonts w:hint="eastAsia"/>
                      <w:highlight w:val="none"/>
                      <w:lang w:val="en-US" w:eastAsia="zh-CN"/>
                    </w:rPr>
                  </w:pPr>
                  <w:r>
                    <w:rPr>
                      <w:rFonts w:hint="eastAsia"/>
                      <w:highlight w:val="none"/>
                    </w:rPr>
                    <w:t>氩气</w:t>
                  </w:r>
                </w:p>
              </w:tc>
              <w:tc>
                <w:tcPr>
                  <w:tcW w:w="1211" w:type="pct"/>
                  <w:noWrap w:val="0"/>
                  <w:vAlign w:val="center"/>
                </w:tcPr>
                <w:p>
                  <w:pPr>
                    <w:pStyle w:val="29"/>
                    <w:bidi w:val="0"/>
                    <w:rPr>
                      <w:rFonts w:hint="default"/>
                      <w:highlight w:val="none"/>
                      <w:lang w:val="en-US" w:eastAsia="zh-CN"/>
                    </w:rPr>
                  </w:pPr>
                  <w:r>
                    <w:rPr>
                      <w:rFonts w:hint="eastAsia"/>
                      <w:highlight w:val="none"/>
                      <w:lang w:val="en-US" w:eastAsia="zh-CN"/>
                    </w:rPr>
                    <w:t>1个，20m</w:t>
                  </w:r>
                  <w:r>
                    <w:rPr>
                      <w:rFonts w:hint="eastAsia"/>
                      <w:highlight w:val="none"/>
                      <w:vertAlign w:val="superscript"/>
                      <w:lang w:val="en-US" w:eastAsia="zh-CN"/>
                    </w:rPr>
                    <w:t>3</w:t>
                  </w:r>
                </w:p>
              </w:tc>
              <w:tc>
                <w:tcPr>
                  <w:tcW w:w="2017" w:type="pct"/>
                  <w:noWrap w:val="0"/>
                  <w:vAlign w:val="center"/>
                </w:tcPr>
                <w:p>
                  <w:pPr>
                    <w:pStyle w:val="29"/>
                    <w:bidi w:val="0"/>
                    <w:rPr>
                      <w:rFonts w:hint="default"/>
                      <w:highlight w:val="none"/>
                      <w:lang w:val="en-US" w:eastAsia="zh-CN"/>
                    </w:rPr>
                  </w:pPr>
                  <w:r>
                    <w:rPr>
                      <w:rFonts w:hint="eastAsia"/>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94" w:hRule="atLeast"/>
                <w:jc w:val="center"/>
              </w:trPr>
              <w:tc>
                <w:tcPr>
                  <w:tcW w:w="729" w:type="pct"/>
                  <w:vMerge w:val="continue"/>
                  <w:noWrap w:val="0"/>
                  <w:vAlign w:val="center"/>
                </w:tcPr>
                <w:p>
                  <w:pPr>
                    <w:pStyle w:val="29"/>
                    <w:bidi w:val="0"/>
                    <w:rPr>
                      <w:rFonts w:hint="eastAsia"/>
                      <w:highlight w:val="none"/>
                      <w:lang w:val="en-US" w:eastAsia="zh-CN"/>
                    </w:rPr>
                  </w:pPr>
                </w:p>
              </w:tc>
              <w:tc>
                <w:tcPr>
                  <w:tcW w:w="1041" w:type="pct"/>
                  <w:noWrap w:val="0"/>
                  <w:vAlign w:val="center"/>
                </w:tcPr>
                <w:p>
                  <w:pPr>
                    <w:pStyle w:val="29"/>
                    <w:bidi w:val="0"/>
                    <w:ind w:firstLine="0" w:firstLineChars="0"/>
                    <w:rPr>
                      <w:rFonts w:hint="eastAsia"/>
                      <w:highlight w:val="none"/>
                      <w:lang w:val="en-US" w:eastAsia="zh-CN"/>
                    </w:rPr>
                  </w:pPr>
                  <w:r>
                    <w:rPr>
                      <w:rFonts w:hint="eastAsia"/>
                      <w:highlight w:val="none"/>
                    </w:rPr>
                    <w:t>氧气</w:t>
                  </w:r>
                </w:p>
              </w:tc>
              <w:tc>
                <w:tcPr>
                  <w:tcW w:w="1211" w:type="pct"/>
                  <w:noWrap w:val="0"/>
                  <w:vAlign w:val="center"/>
                </w:tcPr>
                <w:p>
                  <w:pPr>
                    <w:pStyle w:val="29"/>
                    <w:bidi w:val="0"/>
                    <w:rPr>
                      <w:rFonts w:hint="eastAsia"/>
                      <w:highlight w:val="none"/>
                      <w:lang w:val="en-US" w:eastAsia="zh-CN"/>
                    </w:rPr>
                  </w:pPr>
                  <w:r>
                    <w:rPr>
                      <w:rFonts w:hint="eastAsia"/>
                      <w:highlight w:val="none"/>
                      <w:lang w:val="en-US" w:eastAsia="zh-CN"/>
                    </w:rPr>
                    <w:t>1个，20m</w:t>
                  </w:r>
                  <w:r>
                    <w:rPr>
                      <w:rFonts w:hint="eastAsia"/>
                      <w:highlight w:val="none"/>
                      <w:vertAlign w:val="superscript"/>
                      <w:lang w:val="en-US" w:eastAsia="zh-CN"/>
                    </w:rPr>
                    <w:t>3</w:t>
                  </w:r>
                </w:p>
              </w:tc>
              <w:tc>
                <w:tcPr>
                  <w:tcW w:w="2017" w:type="pct"/>
                  <w:noWrap w:val="0"/>
                  <w:vAlign w:val="center"/>
                </w:tcPr>
                <w:p>
                  <w:pPr>
                    <w:pStyle w:val="29"/>
                    <w:bidi w:val="0"/>
                    <w:rPr>
                      <w:rFonts w:hint="default"/>
                      <w:highlight w:val="none"/>
                      <w:lang w:val="en-US" w:eastAsia="zh-CN"/>
                    </w:rPr>
                  </w:pPr>
                  <w:r>
                    <w:rPr>
                      <w:rFonts w:hint="eastAsia"/>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94" w:hRule="atLeast"/>
                <w:jc w:val="center"/>
              </w:trPr>
              <w:tc>
                <w:tcPr>
                  <w:tcW w:w="729" w:type="pct"/>
                  <w:vMerge w:val="continue"/>
                  <w:noWrap w:val="0"/>
                  <w:vAlign w:val="center"/>
                </w:tcPr>
                <w:p>
                  <w:pPr>
                    <w:pStyle w:val="29"/>
                    <w:bidi w:val="0"/>
                    <w:rPr>
                      <w:rFonts w:hint="eastAsia"/>
                      <w:highlight w:val="none"/>
                      <w:lang w:val="en-US" w:eastAsia="zh-CN"/>
                    </w:rPr>
                  </w:pPr>
                </w:p>
              </w:tc>
              <w:tc>
                <w:tcPr>
                  <w:tcW w:w="1041" w:type="pct"/>
                  <w:noWrap w:val="0"/>
                  <w:vAlign w:val="center"/>
                </w:tcPr>
                <w:p>
                  <w:pPr>
                    <w:pStyle w:val="29"/>
                    <w:bidi w:val="0"/>
                    <w:ind w:firstLine="0" w:firstLineChars="0"/>
                    <w:rPr>
                      <w:rFonts w:hint="eastAsia"/>
                      <w:highlight w:val="none"/>
                      <w:lang w:val="en-US" w:eastAsia="zh-CN"/>
                    </w:rPr>
                  </w:pPr>
                  <w:r>
                    <w:rPr>
                      <w:rFonts w:hint="eastAsia"/>
                      <w:highlight w:val="none"/>
                    </w:rPr>
                    <w:t>氮气</w:t>
                  </w:r>
                </w:p>
              </w:tc>
              <w:tc>
                <w:tcPr>
                  <w:tcW w:w="1211" w:type="pct"/>
                  <w:noWrap w:val="0"/>
                  <w:vAlign w:val="center"/>
                </w:tcPr>
                <w:p>
                  <w:pPr>
                    <w:pStyle w:val="29"/>
                    <w:bidi w:val="0"/>
                    <w:rPr>
                      <w:rFonts w:hint="eastAsia"/>
                      <w:highlight w:val="none"/>
                      <w:lang w:val="en-US" w:eastAsia="zh-CN"/>
                    </w:rPr>
                  </w:pPr>
                  <w:r>
                    <w:rPr>
                      <w:rFonts w:hint="eastAsia"/>
                      <w:highlight w:val="none"/>
                      <w:lang w:val="en-US" w:eastAsia="zh-CN"/>
                    </w:rPr>
                    <w:t>1个，20m</w:t>
                  </w:r>
                  <w:r>
                    <w:rPr>
                      <w:rFonts w:hint="eastAsia"/>
                      <w:highlight w:val="none"/>
                      <w:vertAlign w:val="superscript"/>
                      <w:lang w:val="en-US" w:eastAsia="zh-CN"/>
                    </w:rPr>
                    <w:t>3</w:t>
                  </w:r>
                </w:p>
              </w:tc>
              <w:tc>
                <w:tcPr>
                  <w:tcW w:w="2017" w:type="pct"/>
                  <w:noWrap w:val="0"/>
                  <w:vAlign w:val="center"/>
                </w:tcPr>
                <w:p>
                  <w:pPr>
                    <w:pStyle w:val="29"/>
                    <w:bidi w:val="0"/>
                    <w:rPr>
                      <w:rFonts w:hint="default"/>
                      <w:highlight w:val="none"/>
                      <w:lang w:val="en-US" w:eastAsia="zh-CN"/>
                    </w:rPr>
                  </w:pPr>
                  <w:r>
                    <w:rPr>
                      <w:rFonts w:hint="eastAsia"/>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94" w:hRule="atLeast"/>
                <w:jc w:val="center"/>
              </w:trPr>
              <w:tc>
                <w:tcPr>
                  <w:tcW w:w="729" w:type="pct"/>
                  <w:vMerge w:val="continue"/>
                  <w:noWrap w:val="0"/>
                  <w:vAlign w:val="center"/>
                </w:tcPr>
                <w:p>
                  <w:pPr>
                    <w:pStyle w:val="29"/>
                    <w:bidi w:val="0"/>
                    <w:rPr>
                      <w:rFonts w:hint="eastAsia"/>
                      <w:highlight w:val="none"/>
                      <w:lang w:val="en-US" w:eastAsia="zh-CN"/>
                    </w:rPr>
                  </w:pPr>
                </w:p>
              </w:tc>
              <w:tc>
                <w:tcPr>
                  <w:tcW w:w="1041" w:type="pct"/>
                  <w:noWrap w:val="0"/>
                  <w:vAlign w:val="center"/>
                </w:tcPr>
                <w:p>
                  <w:pPr>
                    <w:pStyle w:val="29"/>
                    <w:bidi w:val="0"/>
                    <w:rPr>
                      <w:rFonts w:hint="eastAsia"/>
                      <w:highlight w:val="none"/>
                      <w:lang w:val="en-US" w:eastAsia="zh-CN"/>
                    </w:rPr>
                  </w:pPr>
                  <w:r>
                    <w:rPr>
                      <w:rFonts w:hint="eastAsia"/>
                      <w:highlight w:val="none"/>
                    </w:rPr>
                    <w:t>二氧化碳</w:t>
                  </w:r>
                </w:p>
              </w:tc>
              <w:tc>
                <w:tcPr>
                  <w:tcW w:w="1211" w:type="pct"/>
                  <w:noWrap w:val="0"/>
                  <w:vAlign w:val="center"/>
                </w:tcPr>
                <w:p>
                  <w:pPr>
                    <w:pStyle w:val="29"/>
                    <w:bidi w:val="0"/>
                    <w:rPr>
                      <w:rFonts w:hint="eastAsia"/>
                      <w:highlight w:val="none"/>
                      <w:lang w:val="en-US" w:eastAsia="zh-CN"/>
                    </w:rPr>
                  </w:pPr>
                  <w:r>
                    <w:rPr>
                      <w:rFonts w:hint="eastAsia"/>
                      <w:highlight w:val="none"/>
                      <w:lang w:val="en-US" w:eastAsia="zh-CN"/>
                    </w:rPr>
                    <w:t>1个，20m</w:t>
                  </w:r>
                  <w:r>
                    <w:rPr>
                      <w:rFonts w:hint="eastAsia"/>
                      <w:highlight w:val="none"/>
                      <w:vertAlign w:val="superscript"/>
                      <w:lang w:val="en-US" w:eastAsia="zh-CN"/>
                    </w:rPr>
                    <w:t>3</w:t>
                  </w:r>
                </w:p>
              </w:tc>
              <w:tc>
                <w:tcPr>
                  <w:tcW w:w="2017" w:type="pct"/>
                  <w:noWrap w:val="0"/>
                  <w:vAlign w:val="center"/>
                </w:tcPr>
                <w:p>
                  <w:pPr>
                    <w:pStyle w:val="29"/>
                    <w:bidi w:val="0"/>
                    <w:rPr>
                      <w:rFonts w:hint="default"/>
                      <w:highlight w:val="none"/>
                      <w:lang w:val="en-US" w:eastAsia="zh-CN"/>
                    </w:rPr>
                  </w:pPr>
                  <w:r>
                    <w:rPr>
                      <w:rFonts w:hint="eastAsia"/>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79" w:hRule="atLeast"/>
                <w:jc w:val="center"/>
              </w:trPr>
              <w:tc>
                <w:tcPr>
                  <w:tcW w:w="729" w:type="pct"/>
                  <w:vMerge w:val="restart"/>
                  <w:noWrap w:val="0"/>
                  <w:vAlign w:val="center"/>
                </w:tcPr>
                <w:p>
                  <w:pPr>
                    <w:pStyle w:val="29"/>
                    <w:bidi w:val="0"/>
                    <w:rPr>
                      <w:rFonts w:hint="default"/>
                      <w:highlight w:val="none"/>
                      <w:lang w:val="en-US" w:eastAsia="zh-CN"/>
                    </w:rPr>
                  </w:pPr>
                  <w:r>
                    <w:rPr>
                      <w:rFonts w:hint="default"/>
                      <w:highlight w:val="none"/>
                      <w:lang w:val="en-US" w:eastAsia="zh-CN"/>
                    </w:rPr>
                    <w:t>公用工程</w:t>
                  </w:r>
                </w:p>
              </w:tc>
              <w:tc>
                <w:tcPr>
                  <w:tcW w:w="1041" w:type="pct"/>
                  <w:noWrap w:val="0"/>
                  <w:vAlign w:val="center"/>
                </w:tcPr>
                <w:p>
                  <w:pPr>
                    <w:pStyle w:val="29"/>
                    <w:bidi w:val="0"/>
                    <w:rPr>
                      <w:rFonts w:hint="default"/>
                      <w:highlight w:val="none"/>
                      <w:lang w:val="en-US" w:eastAsia="zh-CN"/>
                    </w:rPr>
                  </w:pPr>
                  <w:r>
                    <w:rPr>
                      <w:rFonts w:hint="default"/>
                      <w:highlight w:val="none"/>
                      <w:lang w:val="en-US" w:eastAsia="zh-CN"/>
                    </w:rPr>
                    <w:t>供水</w:t>
                  </w:r>
                </w:p>
              </w:tc>
              <w:tc>
                <w:tcPr>
                  <w:tcW w:w="3228" w:type="pct"/>
                  <w:gridSpan w:val="2"/>
                  <w:noWrap w:val="0"/>
                  <w:vAlign w:val="center"/>
                </w:tcPr>
                <w:p>
                  <w:pPr>
                    <w:pStyle w:val="29"/>
                    <w:bidi w:val="0"/>
                    <w:rPr>
                      <w:rFonts w:hint="default"/>
                      <w:highlight w:val="none"/>
                      <w:lang w:val="en-US" w:eastAsia="zh-CN"/>
                    </w:rPr>
                  </w:pPr>
                  <w:r>
                    <w:rPr>
                      <w:rFonts w:hint="default"/>
                      <w:highlight w:val="none"/>
                      <w:lang w:val="en-US" w:eastAsia="zh-CN"/>
                    </w:rPr>
                    <w:t>厂</w:t>
                  </w:r>
                  <w:r>
                    <w:rPr>
                      <w:rFonts w:hint="eastAsia"/>
                      <w:highlight w:val="none"/>
                      <w:lang w:val="en-US" w:eastAsia="zh-CN"/>
                    </w:rPr>
                    <w:t>区</w:t>
                  </w:r>
                  <w:r>
                    <w:rPr>
                      <w:rFonts w:hint="default"/>
                      <w:highlight w:val="none"/>
                      <w:lang w:val="en-US" w:eastAsia="zh-CN"/>
                    </w:rPr>
                    <w:t>自备井提供</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79" w:hRule="atLeast"/>
                <w:jc w:val="center"/>
              </w:trPr>
              <w:tc>
                <w:tcPr>
                  <w:tcW w:w="729" w:type="pct"/>
                  <w:vMerge w:val="continue"/>
                  <w:noWrap w:val="0"/>
                  <w:vAlign w:val="center"/>
                </w:tcPr>
                <w:p>
                  <w:pPr>
                    <w:pStyle w:val="29"/>
                    <w:bidi w:val="0"/>
                    <w:rPr>
                      <w:rFonts w:hint="default"/>
                      <w:highlight w:val="none"/>
                      <w:lang w:val="en-US" w:eastAsia="zh-CN"/>
                    </w:rPr>
                  </w:pPr>
                </w:p>
              </w:tc>
              <w:tc>
                <w:tcPr>
                  <w:tcW w:w="1041" w:type="pct"/>
                  <w:noWrap w:val="0"/>
                  <w:vAlign w:val="center"/>
                </w:tcPr>
                <w:p>
                  <w:pPr>
                    <w:pStyle w:val="29"/>
                    <w:bidi w:val="0"/>
                    <w:rPr>
                      <w:rFonts w:hint="default"/>
                      <w:highlight w:val="none"/>
                      <w:lang w:val="en-US" w:eastAsia="zh-CN"/>
                    </w:rPr>
                  </w:pPr>
                  <w:r>
                    <w:rPr>
                      <w:rFonts w:hint="default"/>
                      <w:highlight w:val="none"/>
                      <w:lang w:val="en-US" w:eastAsia="zh-CN"/>
                    </w:rPr>
                    <w:t>供电</w:t>
                  </w:r>
                </w:p>
              </w:tc>
              <w:tc>
                <w:tcPr>
                  <w:tcW w:w="3228" w:type="pct"/>
                  <w:gridSpan w:val="2"/>
                  <w:noWrap w:val="0"/>
                  <w:vAlign w:val="center"/>
                </w:tcPr>
                <w:p>
                  <w:pPr>
                    <w:pStyle w:val="29"/>
                    <w:bidi w:val="0"/>
                    <w:rPr>
                      <w:rFonts w:hint="default"/>
                      <w:highlight w:val="none"/>
                      <w:lang w:val="en-US" w:eastAsia="zh-CN"/>
                    </w:rPr>
                  </w:pPr>
                  <w:r>
                    <w:rPr>
                      <w:rFonts w:hint="eastAsia"/>
                      <w:highlight w:val="none"/>
                      <w:lang w:val="en-US" w:eastAsia="zh-CN"/>
                    </w:rPr>
                    <w:t>大召营镇</w:t>
                  </w:r>
                  <w:r>
                    <w:rPr>
                      <w:rFonts w:hint="default"/>
                      <w:highlight w:val="none"/>
                      <w:lang w:val="en-US" w:eastAsia="zh-CN"/>
                    </w:rPr>
                    <w:t>供电所供电</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729" w:type="pct"/>
                  <w:vMerge w:val="continue"/>
                  <w:noWrap w:val="0"/>
                  <w:vAlign w:val="center"/>
                </w:tcPr>
                <w:p>
                  <w:pPr>
                    <w:pStyle w:val="29"/>
                    <w:bidi w:val="0"/>
                    <w:rPr>
                      <w:rFonts w:hint="default"/>
                      <w:highlight w:val="none"/>
                      <w:lang w:val="en-US" w:eastAsia="zh-CN"/>
                    </w:rPr>
                  </w:pPr>
                </w:p>
              </w:tc>
              <w:tc>
                <w:tcPr>
                  <w:tcW w:w="1041" w:type="pct"/>
                  <w:noWrap w:val="0"/>
                  <w:vAlign w:val="center"/>
                </w:tcPr>
                <w:p>
                  <w:pPr>
                    <w:pStyle w:val="29"/>
                    <w:bidi w:val="0"/>
                    <w:rPr>
                      <w:rFonts w:hint="default"/>
                      <w:highlight w:val="none"/>
                      <w:lang w:val="en-US" w:eastAsia="zh-CN"/>
                    </w:rPr>
                  </w:pPr>
                  <w:r>
                    <w:rPr>
                      <w:rFonts w:hint="default"/>
                      <w:highlight w:val="none"/>
                      <w:lang w:val="en-US" w:eastAsia="zh-CN"/>
                    </w:rPr>
                    <w:t>排水</w:t>
                  </w:r>
                </w:p>
              </w:tc>
              <w:tc>
                <w:tcPr>
                  <w:tcW w:w="3228" w:type="pct"/>
                  <w:gridSpan w:val="2"/>
                  <w:noWrap w:val="0"/>
                  <w:vAlign w:val="center"/>
                </w:tcPr>
                <w:p>
                  <w:pPr>
                    <w:pStyle w:val="29"/>
                    <w:bidi w:val="0"/>
                    <w:rPr>
                      <w:rFonts w:hint="default"/>
                      <w:highlight w:val="none"/>
                      <w:lang w:val="en-US" w:eastAsia="zh-CN"/>
                    </w:rPr>
                  </w:pPr>
                  <w:r>
                    <w:rPr>
                      <w:rFonts w:hint="eastAsia"/>
                      <w:highlight w:val="none"/>
                      <w:lang w:val="en-US" w:eastAsia="zh-CN"/>
                    </w:rPr>
                    <w:t>雨污分流，</w:t>
                  </w:r>
                  <w:r>
                    <w:rPr>
                      <w:rFonts w:hint="default" w:ascii="Times New Roman" w:hAnsi="Times New Roman" w:eastAsia="宋体" w:cs="Times New Roman"/>
                      <w:b w:val="0"/>
                      <w:bCs/>
                      <w:color w:val="000000"/>
                      <w:sz w:val="21"/>
                      <w:szCs w:val="21"/>
                      <w:highlight w:val="none"/>
                      <w:u w:val="none"/>
                    </w:rPr>
                    <w:t>本项目</w:t>
                  </w:r>
                  <w:r>
                    <w:rPr>
                      <w:rFonts w:hint="eastAsia" w:cs="Times New Roman"/>
                      <w:b w:val="0"/>
                      <w:bCs/>
                      <w:color w:val="000000"/>
                      <w:sz w:val="21"/>
                      <w:szCs w:val="21"/>
                      <w:highlight w:val="none"/>
                      <w:u w:val="none"/>
                      <w:lang w:val="en-US" w:eastAsia="zh-CN"/>
                    </w:rPr>
                    <w:t>无生产废水产生，项目依托现有员工，不新增劳动定员，无新增生活污水，现有项目生活污水由定期清运改为进入大召营镇污水处理厂处理。生活污水经化粪池处理后，满足大召营镇污水处理厂收水水质要求。</w:t>
                  </w:r>
                </w:p>
              </w:tc>
            </w:tr>
          </w:tbl>
          <w:p>
            <w:pPr>
              <w:pStyle w:val="4"/>
              <w:keepNext/>
              <w:keepLines/>
              <w:pageBreakBefore w:val="0"/>
              <w:widowControl w:val="0"/>
              <w:numPr>
                <w:ilvl w:val="0"/>
                <w:numId w:val="0"/>
              </w:numPr>
              <w:kinsoku/>
              <w:wordWrap/>
              <w:overflowPunct/>
              <w:topLinePunct w:val="0"/>
              <w:autoSpaceDE/>
              <w:autoSpaceDN/>
              <w:bidi w:val="0"/>
              <w:adjustRightInd/>
              <w:snapToGrid/>
              <w:ind w:firstLine="482" w:firstLineChars="200"/>
              <w:textAlignment w:val="auto"/>
              <w:rPr>
                <w:rFonts w:hint="default"/>
                <w:highlight w:val="none"/>
                <w:lang w:val="en-US" w:eastAsia="zh-CN"/>
              </w:rPr>
            </w:pPr>
            <w:r>
              <w:rPr>
                <w:rFonts w:hint="eastAsia"/>
                <w:highlight w:val="none"/>
                <w:lang w:val="en-US" w:eastAsia="zh-CN"/>
              </w:rPr>
              <w:t>4、</w:t>
            </w:r>
            <w:r>
              <w:rPr>
                <w:rFonts w:hint="default"/>
                <w:highlight w:val="none"/>
                <w:lang w:val="en-US" w:eastAsia="zh-CN"/>
              </w:rPr>
              <w:t>产品种类及用途</w:t>
            </w:r>
          </w:p>
          <w:p>
            <w:pPr>
              <w:bidi w:val="0"/>
              <w:rPr>
                <w:rFonts w:hint="eastAsia"/>
                <w:highlight w:val="none"/>
                <w:lang w:val="en-US" w:eastAsia="zh-CN"/>
              </w:rPr>
            </w:pPr>
            <w:r>
              <w:rPr>
                <w:rFonts w:hint="default"/>
                <w:highlight w:val="none"/>
                <w:lang w:val="en-US" w:eastAsia="zh-CN"/>
              </w:rPr>
              <w:t>本项目主要对</w:t>
            </w:r>
            <w:r>
              <w:rPr>
                <w:rFonts w:hint="eastAsia"/>
                <w:highlight w:val="none"/>
                <w:lang w:val="en-US" w:eastAsia="zh-CN"/>
              </w:rPr>
              <w:t>工业气体</w:t>
            </w:r>
            <w:r>
              <w:rPr>
                <w:rFonts w:hint="default"/>
                <w:highlight w:val="none"/>
                <w:lang w:val="en-US" w:eastAsia="zh-CN"/>
              </w:rPr>
              <w:t>进行</w:t>
            </w:r>
            <w:r>
              <w:rPr>
                <w:rFonts w:hint="eastAsia"/>
                <w:highlight w:val="none"/>
                <w:lang w:val="en-US" w:eastAsia="zh-CN"/>
              </w:rPr>
              <w:t>分装</w:t>
            </w:r>
            <w:r>
              <w:rPr>
                <w:rFonts w:hint="default"/>
                <w:highlight w:val="none"/>
                <w:lang w:val="en-US" w:eastAsia="zh-CN"/>
              </w:rPr>
              <w:t>，产品方案见</w:t>
            </w:r>
            <w:r>
              <w:rPr>
                <w:rFonts w:hint="eastAsia"/>
                <w:highlight w:val="none"/>
                <w:lang w:val="en-US" w:eastAsia="zh-CN"/>
              </w:rPr>
              <w:t>下表</w:t>
            </w:r>
            <w:r>
              <w:rPr>
                <w:rFonts w:hint="default"/>
                <w:highlight w:val="none"/>
              </w:rPr>
              <w:t>。</w:t>
            </w:r>
          </w:p>
          <w:p>
            <w:pPr>
              <w:pStyle w:val="45"/>
              <w:bidi w:val="0"/>
              <w:rPr>
                <w:rFonts w:hint="default"/>
                <w:highlight w:val="none"/>
              </w:rPr>
            </w:pPr>
            <w:r>
              <w:rPr>
                <w:rFonts w:hint="default"/>
                <w:highlight w:val="none"/>
              </w:rPr>
              <w:t>表</w:t>
            </w:r>
            <w:r>
              <w:rPr>
                <w:rFonts w:hint="default"/>
                <w:highlight w:val="none"/>
                <w:lang w:val="en-US" w:eastAsia="zh-CN"/>
              </w:rPr>
              <w:t>2</w:t>
            </w:r>
            <w:r>
              <w:rPr>
                <w:rFonts w:hint="default"/>
                <w:highlight w:val="none"/>
              </w:rPr>
              <w:t xml:space="preserve">           </w:t>
            </w:r>
            <w:r>
              <w:rPr>
                <w:rFonts w:hint="default"/>
                <w:highlight w:val="none"/>
                <w:lang w:val="en-US" w:eastAsia="zh-CN"/>
              </w:rPr>
              <w:t xml:space="preserve"> </w:t>
            </w:r>
            <w:r>
              <w:rPr>
                <w:rFonts w:hint="default"/>
                <w:highlight w:val="none"/>
              </w:rPr>
              <w:t xml:space="preserve"> </w:t>
            </w:r>
            <w:r>
              <w:rPr>
                <w:rFonts w:hint="default"/>
                <w:highlight w:val="none"/>
                <w:lang w:eastAsia="zh-CN"/>
              </w:rPr>
              <w:t>产品方案</w:t>
            </w:r>
          </w:p>
          <w:tbl>
            <w:tblPr>
              <w:tblStyle w:val="21"/>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28"/>
              <w:gridCol w:w="2410"/>
              <w:gridCol w:w="2410"/>
              <w:gridCol w:w="22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891" w:type="pct"/>
                  <w:noWrap w:val="0"/>
                  <w:vAlign w:val="center"/>
                </w:tcPr>
                <w:p>
                  <w:pPr>
                    <w:pStyle w:val="29"/>
                    <w:bidi w:val="0"/>
                    <w:rPr>
                      <w:rFonts w:hint="default"/>
                      <w:highlight w:val="none"/>
                    </w:rPr>
                  </w:pPr>
                  <w:r>
                    <w:rPr>
                      <w:rFonts w:hint="default"/>
                      <w:highlight w:val="none"/>
                    </w:rPr>
                    <w:t>序号</w:t>
                  </w:r>
                </w:p>
              </w:tc>
              <w:tc>
                <w:tcPr>
                  <w:tcW w:w="1404" w:type="pct"/>
                  <w:noWrap w:val="0"/>
                  <w:vAlign w:val="center"/>
                </w:tcPr>
                <w:p>
                  <w:pPr>
                    <w:pStyle w:val="29"/>
                    <w:bidi w:val="0"/>
                    <w:rPr>
                      <w:rFonts w:hint="default"/>
                      <w:highlight w:val="none"/>
                    </w:rPr>
                  </w:pPr>
                  <w:r>
                    <w:rPr>
                      <w:rFonts w:hint="default"/>
                      <w:highlight w:val="none"/>
                    </w:rPr>
                    <w:t>产品名称</w:t>
                  </w:r>
                </w:p>
              </w:tc>
              <w:tc>
                <w:tcPr>
                  <w:tcW w:w="1404" w:type="pct"/>
                  <w:noWrap w:val="0"/>
                  <w:vAlign w:val="center"/>
                </w:tcPr>
                <w:p>
                  <w:pPr>
                    <w:pStyle w:val="29"/>
                    <w:bidi w:val="0"/>
                    <w:rPr>
                      <w:rFonts w:hint="default"/>
                      <w:highlight w:val="none"/>
                    </w:rPr>
                  </w:pPr>
                  <w:r>
                    <w:rPr>
                      <w:rFonts w:hint="eastAsia"/>
                      <w:highlight w:val="none"/>
                    </w:rPr>
                    <w:t>数量</w:t>
                  </w:r>
                </w:p>
              </w:tc>
              <w:tc>
                <w:tcPr>
                  <w:tcW w:w="1300" w:type="pct"/>
                  <w:noWrap w:val="0"/>
                  <w:vAlign w:val="center"/>
                </w:tcPr>
                <w:p>
                  <w:pPr>
                    <w:pStyle w:val="29"/>
                    <w:bidi w:val="0"/>
                    <w:rPr>
                      <w:rFonts w:hint="default"/>
                      <w:highlight w:val="none"/>
                    </w:rPr>
                  </w:pPr>
                  <w:r>
                    <w:rPr>
                      <w:rFonts w:hint="default"/>
                      <w:highlight w:val="none"/>
                    </w:rPr>
                    <w:t>年产量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891" w:type="pct"/>
                  <w:noWrap w:val="0"/>
                  <w:vAlign w:val="center"/>
                </w:tcPr>
                <w:p>
                  <w:pPr>
                    <w:pStyle w:val="29"/>
                    <w:bidi w:val="0"/>
                    <w:rPr>
                      <w:rFonts w:hint="default"/>
                      <w:highlight w:val="none"/>
                    </w:rPr>
                  </w:pPr>
                  <w:r>
                    <w:rPr>
                      <w:rFonts w:hint="default"/>
                      <w:highlight w:val="none"/>
                    </w:rPr>
                    <w:t>1</w:t>
                  </w:r>
                </w:p>
              </w:tc>
              <w:tc>
                <w:tcPr>
                  <w:tcW w:w="1404" w:type="pct"/>
                  <w:noWrap w:val="0"/>
                  <w:vAlign w:val="center"/>
                </w:tcPr>
                <w:p>
                  <w:pPr>
                    <w:pStyle w:val="29"/>
                    <w:bidi w:val="0"/>
                    <w:rPr>
                      <w:rFonts w:hint="default"/>
                      <w:highlight w:val="none"/>
                      <w:lang w:val="en-US" w:eastAsia="zh-CN"/>
                    </w:rPr>
                  </w:pPr>
                  <w:r>
                    <w:rPr>
                      <w:rFonts w:hint="eastAsia"/>
                      <w:highlight w:val="none"/>
                    </w:rPr>
                    <w:t>氩气</w:t>
                  </w:r>
                </w:p>
              </w:tc>
              <w:tc>
                <w:tcPr>
                  <w:tcW w:w="1404" w:type="pct"/>
                  <w:noWrap w:val="0"/>
                  <w:vAlign w:val="center"/>
                </w:tcPr>
                <w:p>
                  <w:pPr>
                    <w:pStyle w:val="29"/>
                    <w:bidi w:val="0"/>
                    <w:rPr>
                      <w:rFonts w:hint="default"/>
                      <w:highlight w:val="none"/>
                      <w:lang w:eastAsia="zh-CN"/>
                    </w:rPr>
                  </w:pPr>
                  <w:r>
                    <w:rPr>
                      <w:rFonts w:hint="eastAsia"/>
                      <w:highlight w:val="none"/>
                    </w:rPr>
                    <w:t>10万瓶</w:t>
                  </w:r>
                </w:p>
              </w:tc>
              <w:tc>
                <w:tcPr>
                  <w:tcW w:w="1300" w:type="pct"/>
                  <w:noWrap w:val="0"/>
                  <w:vAlign w:val="center"/>
                </w:tcPr>
                <w:p>
                  <w:pPr>
                    <w:pStyle w:val="29"/>
                    <w:bidi w:val="0"/>
                    <w:rPr>
                      <w:rFonts w:hint="default"/>
                      <w:highlight w:val="none"/>
                      <w:lang w:val="en-US" w:eastAsia="zh-CN"/>
                    </w:rPr>
                  </w:pPr>
                  <w:r>
                    <w:rPr>
                      <w:rFonts w:hint="eastAsia"/>
                      <w:highlight w:val="none"/>
                    </w:rPr>
                    <w:t>1000t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891" w:type="pct"/>
                  <w:noWrap w:val="0"/>
                  <w:vAlign w:val="center"/>
                </w:tcPr>
                <w:p>
                  <w:pPr>
                    <w:pStyle w:val="29"/>
                    <w:bidi w:val="0"/>
                    <w:rPr>
                      <w:rFonts w:hint="eastAsia"/>
                      <w:highlight w:val="none"/>
                      <w:lang w:val="en-US" w:eastAsia="zh-CN"/>
                    </w:rPr>
                  </w:pPr>
                  <w:r>
                    <w:rPr>
                      <w:rFonts w:hint="eastAsia"/>
                      <w:highlight w:val="none"/>
                      <w:lang w:val="en-US" w:eastAsia="zh-CN"/>
                    </w:rPr>
                    <w:t>2</w:t>
                  </w:r>
                </w:p>
              </w:tc>
              <w:tc>
                <w:tcPr>
                  <w:tcW w:w="1404" w:type="pct"/>
                  <w:noWrap w:val="0"/>
                  <w:vAlign w:val="center"/>
                </w:tcPr>
                <w:p>
                  <w:pPr>
                    <w:pStyle w:val="29"/>
                    <w:bidi w:val="0"/>
                    <w:rPr>
                      <w:rFonts w:hint="eastAsia"/>
                      <w:highlight w:val="none"/>
                      <w:lang w:val="en-US" w:eastAsia="zh-CN"/>
                    </w:rPr>
                  </w:pPr>
                  <w:r>
                    <w:rPr>
                      <w:rFonts w:hint="eastAsia"/>
                      <w:highlight w:val="none"/>
                    </w:rPr>
                    <w:t>氧气</w:t>
                  </w:r>
                </w:p>
              </w:tc>
              <w:tc>
                <w:tcPr>
                  <w:tcW w:w="1404" w:type="pct"/>
                  <w:noWrap w:val="0"/>
                  <w:vAlign w:val="center"/>
                </w:tcPr>
                <w:p>
                  <w:pPr>
                    <w:pStyle w:val="29"/>
                    <w:bidi w:val="0"/>
                    <w:rPr>
                      <w:rFonts w:hint="default"/>
                      <w:highlight w:val="none"/>
                      <w:lang w:eastAsia="zh-CN"/>
                    </w:rPr>
                  </w:pPr>
                  <w:r>
                    <w:rPr>
                      <w:rFonts w:hint="eastAsia"/>
                      <w:highlight w:val="none"/>
                    </w:rPr>
                    <w:t>10万瓶</w:t>
                  </w:r>
                </w:p>
              </w:tc>
              <w:tc>
                <w:tcPr>
                  <w:tcW w:w="1300" w:type="pct"/>
                  <w:noWrap w:val="0"/>
                  <w:vAlign w:val="center"/>
                </w:tcPr>
                <w:p>
                  <w:pPr>
                    <w:pStyle w:val="29"/>
                    <w:bidi w:val="0"/>
                    <w:rPr>
                      <w:rFonts w:hint="eastAsia"/>
                      <w:highlight w:val="none"/>
                      <w:lang w:val="en-US" w:eastAsia="zh-CN"/>
                    </w:rPr>
                  </w:pPr>
                  <w:r>
                    <w:rPr>
                      <w:rFonts w:hint="eastAsia"/>
                      <w:highlight w:val="none"/>
                    </w:rPr>
                    <w:t>1000t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891" w:type="pct"/>
                  <w:noWrap w:val="0"/>
                  <w:vAlign w:val="center"/>
                </w:tcPr>
                <w:p>
                  <w:pPr>
                    <w:pStyle w:val="29"/>
                    <w:bidi w:val="0"/>
                    <w:rPr>
                      <w:rFonts w:hint="eastAsia"/>
                      <w:highlight w:val="none"/>
                      <w:lang w:val="en-US" w:eastAsia="zh-CN"/>
                    </w:rPr>
                  </w:pPr>
                  <w:r>
                    <w:rPr>
                      <w:rFonts w:hint="eastAsia"/>
                      <w:highlight w:val="none"/>
                      <w:lang w:val="en-US" w:eastAsia="zh-CN"/>
                    </w:rPr>
                    <w:t>3</w:t>
                  </w:r>
                </w:p>
              </w:tc>
              <w:tc>
                <w:tcPr>
                  <w:tcW w:w="1404" w:type="pct"/>
                  <w:noWrap w:val="0"/>
                  <w:vAlign w:val="center"/>
                </w:tcPr>
                <w:p>
                  <w:pPr>
                    <w:pStyle w:val="29"/>
                    <w:bidi w:val="0"/>
                    <w:rPr>
                      <w:rFonts w:hint="eastAsia"/>
                      <w:highlight w:val="none"/>
                      <w:lang w:val="en-US" w:eastAsia="zh-CN"/>
                    </w:rPr>
                  </w:pPr>
                  <w:r>
                    <w:rPr>
                      <w:rFonts w:hint="eastAsia"/>
                      <w:highlight w:val="none"/>
                    </w:rPr>
                    <w:t>氮气</w:t>
                  </w:r>
                </w:p>
              </w:tc>
              <w:tc>
                <w:tcPr>
                  <w:tcW w:w="1404" w:type="pct"/>
                  <w:noWrap w:val="0"/>
                  <w:vAlign w:val="center"/>
                </w:tcPr>
                <w:p>
                  <w:pPr>
                    <w:pStyle w:val="29"/>
                    <w:bidi w:val="0"/>
                    <w:rPr>
                      <w:rFonts w:hint="default"/>
                      <w:highlight w:val="none"/>
                      <w:lang w:eastAsia="zh-CN"/>
                    </w:rPr>
                  </w:pPr>
                  <w:r>
                    <w:rPr>
                      <w:rFonts w:hint="eastAsia"/>
                      <w:highlight w:val="none"/>
                    </w:rPr>
                    <w:t>10万瓶</w:t>
                  </w:r>
                </w:p>
              </w:tc>
              <w:tc>
                <w:tcPr>
                  <w:tcW w:w="1300" w:type="pct"/>
                  <w:noWrap w:val="0"/>
                  <w:vAlign w:val="center"/>
                </w:tcPr>
                <w:p>
                  <w:pPr>
                    <w:pStyle w:val="29"/>
                    <w:bidi w:val="0"/>
                    <w:rPr>
                      <w:rFonts w:hint="eastAsia"/>
                      <w:highlight w:val="none"/>
                      <w:lang w:val="en-US" w:eastAsia="zh-CN"/>
                    </w:rPr>
                  </w:pPr>
                  <w:r>
                    <w:rPr>
                      <w:rFonts w:hint="eastAsia"/>
                      <w:highlight w:val="none"/>
                    </w:rPr>
                    <w:t>1000t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891" w:type="pct"/>
                  <w:noWrap w:val="0"/>
                  <w:vAlign w:val="center"/>
                </w:tcPr>
                <w:p>
                  <w:pPr>
                    <w:pStyle w:val="29"/>
                    <w:bidi w:val="0"/>
                    <w:rPr>
                      <w:rFonts w:hint="eastAsia"/>
                      <w:highlight w:val="none"/>
                      <w:lang w:val="en-US" w:eastAsia="zh-CN"/>
                    </w:rPr>
                  </w:pPr>
                  <w:r>
                    <w:rPr>
                      <w:rFonts w:hint="eastAsia"/>
                      <w:highlight w:val="none"/>
                      <w:lang w:val="en-US" w:eastAsia="zh-CN"/>
                    </w:rPr>
                    <w:t>4</w:t>
                  </w:r>
                </w:p>
              </w:tc>
              <w:tc>
                <w:tcPr>
                  <w:tcW w:w="1404" w:type="pct"/>
                  <w:noWrap w:val="0"/>
                  <w:vAlign w:val="center"/>
                </w:tcPr>
                <w:p>
                  <w:pPr>
                    <w:pStyle w:val="29"/>
                    <w:bidi w:val="0"/>
                    <w:rPr>
                      <w:rFonts w:hint="eastAsia"/>
                      <w:highlight w:val="none"/>
                      <w:lang w:val="en-US" w:eastAsia="zh-CN"/>
                    </w:rPr>
                  </w:pPr>
                  <w:r>
                    <w:rPr>
                      <w:rFonts w:hint="eastAsia"/>
                      <w:highlight w:val="none"/>
                    </w:rPr>
                    <w:t>丙烷</w:t>
                  </w:r>
                </w:p>
              </w:tc>
              <w:tc>
                <w:tcPr>
                  <w:tcW w:w="1404" w:type="pct"/>
                  <w:noWrap w:val="0"/>
                  <w:vAlign w:val="center"/>
                </w:tcPr>
                <w:p>
                  <w:pPr>
                    <w:pStyle w:val="29"/>
                    <w:bidi w:val="0"/>
                    <w:rPr>
                      <w:rFonts w:hint="default"/>
                      <w:highlight w:val="none"/>
                      <w:lang w:eastAsia="zh-CN"/>
                    </w:rPr>
                  </w:pPr>
                  <w:r>
                    <w:rPr>
                      <w:rFonts w:hint="eastAsia"/>
                      <w:highlight w:val="none"/>
                    </w:rPr>
                    <w:t>3</w:t>
                  </w:r>
                  <w:r>
                    <w:rPr>
                      <w:rFonts w:hint="eastAsia"/>
                      <w:highlight w:val="none"/>
                      <w:lang w:val="en-US" w:eastAsia="zh-CN"/>
                    </w:rPr>
                    <w:t>0</w:t>
                  </w:r>
                  <w:r>
                    <w:rPr>
                      <w:rFonts w:hint="eastAsia"/>
                      <w:highlight w:val="none"/>
                    </w:rPr>
                    <w:t>万瓶</w:t>
                  </w:r>
                </w:p>
              </w:tc>
              <w:tc>
                <w:tcPr>
                  <w:tcW w:w="1300" w:type="pct"/>
                  <w:noWrap w:val="0"/>
                  <w:vAlign w:val="center"/>
                </w:tcPr>
                <w:p>
                  <w:pPr>
                    <w:pStyle w:val="29"/>
                    <w:bidi w:val="0"/>
                    <w:rPr>
                      <w:rFonts w:hint="eastAsia"/>
                      <w:highlight w:val="none"/>
                      <w:lang w:val="en-US" w:eastAsia="zh-CN"/>
                    </w:rPr>
                  </w:pPr>
                  <w:r>
                    <w:rPr>
                      <w:rFonts w:hint="eastAsia"/>
                      <w:highlight w:val="none"/>
                    </w:rPr>
                    <w:t>2000t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891" w:type="pct"/>
                  <w:noWrap w:val="0"/>
                  <w:vAlign w:val="center"/>
                </w:tcPr>
                <w:p>
                  <w:pPr>
                    <w:pStyle w:val="29"/>
                    <w:bidi w:val="0"/>
                    <w:rPr>
                      <w:rFonts w:hint="default"/>
                      <w:highlight w:val="none"/>
                      <w:lang w:val="en-US" w:eastAsia="zh-CN"/>
                    </w:rPr>
                  </w:pPr>
                  <w:r>
                    <w:rPr>
                      <w:rFonts w:hint="eastAsia"/>
                      <w:highlight w:val="none"/>
                      <w:lang w:val="en-US" w:eastAsia="zh-CN"/>
                    </w:rPr>
                    <w:t>5</w:t>
                  </w:r>
                </w:p>
              </w:tc>
              <w:tc>
                <w:tcPr>
                  <w:tcW w:w="1404" w:type="pct"/>
                  <w:noWrap w:val="0"/>
                  <w:vAlign w:val="center"/>
                </w:tcPr>
                <w:p>
                  <w:pPr>
                    <w:pStyle w:val="29"/>
                    <w:bidi w:val="0"/>
                    <w:rPr>
                      <w:rFonts w:hint="eastAsia"/>
                      <w:highlight w:val="none"/>
                      <w:lang w:val="en-US" w:eastAsia="zh-CN"/>
                    </w:rPr>
                  </w:pPr>
                  <w:r>
                    <w:rPr>
                      <w:rFonts w:hint="eastAsia"/>
                      <w:highlight w:val="none"/>
                    </w:rPr>
                    <w:t>二氧化碳</w:t>
                  </w:r>
                </w:p>
              </w:tc>
              <w:tc>
                <w:tcPr>
                  <w:tcW w:w="1404" w:type="pct"/>
                  <w:noWrap w:val="0"/>
                  <w:vAlign w:val="center"/>
                </w:tcPr>
                <w:p>
                  <w:pPr>
                    <w:pStyle w:val="29"/>
                    <w:bidi w:val="0"/>
                    <w:rPr>
                      <w:rFonts w:hint="default"/>
                      <w:highlight w:val="none"/>
                      <w:lang w:eastAsia="zh-CN"/>
                    </w:rPr>
                  </w:pPr>
                  <w:r>
                    <w:rPr>
                      <w:rFonts w:hint="eastAsia"/>
                      <w:highlight w:val="none"/>
                    </w:rPr>
                    <w:t>20万瓶</w:t>
                  </w:r>
                </w:p>
              </w:tc>
              <w:tc>
                <w:tcPr>
                  <w:tcW w:w="1300" w:type="pct"/>
                  <w:noWrap w:val="0"/>
                  <w:vAlign w:val="center"/>
                </w:tcPr>
                <w:p>
                  <w:pPr>
                    <w:pStyle w:val="29"/>
                    <w:bidi w:val="0"/>
                    <w:rPr>
                      <w:rFonts w:hint="eastAsia"/>
                      <w:highlight w:val="none"/>
                      <w:lang w:val="en-US" w:eastAsia="zh-CN"/>
                    </w:rPr>
                  </w:pPr>
                  <w:r>
                    <w:rPr>
                      <w:rFonts w:hint="eastAsia"/>
                      <w:highlight w:val="none"/>
                    </w:rPr>
                    <w:t>2000t</w:t>
                  </w:r>
                </w:p>
              </w:tc>
            </w:tr>
          </w:tbl>
          <w:p>
            <w:pPr>
              <w:pStyle w:val="4"/>
              <w:bidi w:val="0"/>
              <w:rPr>
                <w:rFonts w:hint="default"/>
                <w:highlight w:val="none"/>
                <w:lang w:val="en-US" w:eastAsia="zh-CN"/>
              </w:rPr>
            </w:pPr>
            <w:r>
              <w:rPr>
                <w:rFonts w:hint="eastAsia"/>
                <w:highlight w:val="none"/>
                <w:lang w:val="en-US" w:eastAsia="zh-CN"/>
              </w:rPr>
              <w:t>5</w:t>
            </w:r>
            <w:r>
              <w:rPr>
                <w:rFonts w:hint="default"/>
                <w:highlight w:val="none"/>
                <w:lang w:val="en-US" w:eastAsia="zh-CN"/>
              </w:rPr>
              <w:t>、原材料用量和能耗量</w:t>
            </w:r>
          </w:p>
          <w:p>
            <w:pPr>
              <w:bidi w:val="0"/>
              <w:rPr>
                <w:rFonts w:hint="default"/>
                <w:highlight w:val="none"/>
              </w:rPr>
            </w:pPr>
            <w:r>
              <w:rPr>
                <w:rFonts w:hint="default"/>
                <w:highlight w:val="none"/>
                <w:lang w:eastAsia="zh-CN"/>
              </w:rPr>
              <w:t>本项目</w:t>
            </w:r>
            <w:r>
              <w:rPr>
                <w:rFonts w:hint="default"/>
                <w:highlight w:val="none"/>
              </w:rPr>
              <w:t>主要原</w:t>
            </w:r>
            <w:r>
              <w:rPr>
                <w:rFonts w:hint="default"/>
                <w:highlight w:val="none"/>
                <w:lang w:eastAsia="zh-CN"/>
              </w:rPr>
              <w:t>辅</w:t>
            </w:r>
            <w:r>
              <w:rPr>
                <w:rFonts w:hint="default"/>
                <w:highlight w:val="none"/>
              </w:rPr>
              <w:t>料</w:t>
            </w:r>
            <w:r>
              <w:rPr>
                <w:rFonts w:hint="default"/>
                <w:highlight w:val="none"/>
                <w:lang w:eastAsia="zh-CN"/>
              </w:rPr>
              <w:t>与能耗</w:t>
            </w:r>
            <w:r>
              <w:rPr>
                <w:rFonts w:hint="default"/>
                <w:highlight w:val="none"/>
              </w:rPr>
              <w:t>及用量见</w:t>
            </w:r>
            <w:r>
              <w:rPr>
                <w:rFonts w:hint="eastAsia"/>
                <w:highlight w:val="none"/>
                <w:lang w:eastAsia="zh-CN"/>
              </w:rPr>
              <w:t>下表</w:t>
            </w:r>
            <w:r>
              <w:rPr>
                <w:rFonts w:hint="default"/>
                <w:highlight w:val="none"/>
              </w:rPr>
              <w:t>。</w:t>
            </w:r>
          </w:p>
          <w:p>
            <w:pPr>
              <w:pStyle w:val="45"/>
              <w:bidi w:val="0"/>
              <w:rPr>
                <w:rFonts w:hint="default"/>
                <w:highlight w:val="none"/>
              </w:rPr>
            </w:pPr>
            <w:r>
              <w:rPr>
                <w:rFonts w:hint="default"/>
                <w:highlight w:val="none"/>
              </w:rPr>
              <w:t>表</w:t>
            </w:r>
            <w:r>
              <w:rPr>
                <w:rFonts w:hint="default"/>
                <w:highlight w:val="none"/>
                <w:lang w:val="en-US" w:eastAsia="zh-CN"/>
              </w:rPr>
              <w:t>3</w:t>
            </w:r>
            <w:r>
              <w:rPr>
                <w:rFonts w:hint="default"/>
                <w:highlight w:val="none"/>
              </w:rPr>
              <w:t xml:space="preserve">    原材料用量和能耗量一览表</w:t>
            </w:r>
          </w:p>
          <w:tbl>
            <w:tblPr>
              <w:tblStyle w:val="21"/>
              <w:tblW w:w="4997" w:type="pct"/>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108" w:type="dxa"/>
                <w:bottom w:w="0" w:type="dxa"/>
                <w:right w:w="108" w:type="dxa"/>
              </w:tblCellMar>
            </w:tblPr>
            <w:tblGrid>
              <w:gridCol w:w="906"/>
              <w:gridCol w:w="750"/>
              <w:gridCol w:w="1424"/>
              <w:gridCol w:w="1372"/>
              <w:gridCol w:w="925"/>
              <w:gridCol w:w="928"/>
              <w:gridCol w:w="2271"/>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965" w:type="pct"/>
                  <w:gridSpan w:val="2"/>
                  <w:vAlign w:val="center"/>
                </w:tcPr>
                <w:p>
                  <w:pPr>
                    <w:pStyle w:val="29"/>
                    <w:bidi w:val="0"/>
                    <w:rPr>
                      <w:highlight w:val="none"/>
                    </w:rPr>
                  </w:pPr>
                  <w:r>
                    <w:rPr>
                      <w:rFonts w:hint="eastAsia"/>
                      <w:highlight w:val="none"/>
                    </w:rPr>
                    <w:t>序号</w:t>
                  </w:r>
                </w:p>
              </w:tc>
              <w:tc>
                <w:tcPr>
                  <w:tcW w:w="830" w:type="pct"/>
                  <w:vAlign w:val="center"/>
                </w:tcPr>
                <w:p>
                  <w:pPr>
                    <w:pStyle w:val="29"/>
                    <w:bidi w:val="0"/>
                    <w:rPr>
                      <w:highlight w:val="none"/>
                    </w:rPr>
                  </w:pPr>
                  <w:r>
                    <w:rPr>
                      <w:rFonts w:hint="eastAsia"/>
                      <w:highlight w:val="none"/>
                    </w:rPr>
                    <w:t>名称</w:t>
                  </w:r>
                </w:p>
              </w:tc>
              <w:tc>
                <w:tcPr>
                  <w:tcW w:w="800" w:type="pct"/>
                  <w:vAlign w:val="center"/>
                </w:tcPr>
                <w:p>
                  <w:pPr>
                    <w:pStyle w:val="29"/>
                    <w:bidi w:val="0"/>
                    <w:rPr>
                      <w:highlight w:val="none"/>
                    </w:rPr>
                  </w:pPr>
                  <w:r>
                    <w:rPr>
                      <w:rFonts w:hint="eastAsia"/>
                      <w:highlight w:val="none"/>
                    </w:rPr>
                    <w:t>物料状态</w:t>
                  </w:r>
                </w:p>
              </w:tc>
              <w:tc>
                <w:tcPr>
                  <w:tcW w:w="539" w:type="pct"/>
                  <w:vAlign w:val="center"/>
                </w:tcPr>
                <w:p>
                  <w:pPr>
                    <w:pStyle w:val="29"/>
                    <w:bidi w:val="0"/>
                    <w:rPr>
                      <w:highlight w:val="none"/>
                    </w:rPr>
                  </w:pPr>
                  <w:r>
                    <w:rPr>
                      <w:rFonts w:hint="eastAsia"/>
                      <w:highlight w:val="none"/>
                    </w:rPr>
                    <w:t>最大储存量/t</w:t>
                  </w:r>
                </w:p>
              </w:tc>
              <w:tc>
                <w:tcPr>
                  <w:tcW w:w="540" w:type="pct"/>
                  <w:vAlign w:val="center"/>
                </w:tcPr>
                <w:p>
                  <w:pPr>
                    <w:pStyle w:val="29"/>
                    <w:bidi w:val="0"/>
                    <w:rPr>
                      <w:highlight w:val="none"/>
                    </w:rPr>
                  </w:pPr>
                  <w:r>
                    <w:rPr>
                      <w:rFonts w:hint="eastAsia"/>
                      <w:highlight w:val="none"/>
                    </w:rPr>
                    <w:t>年用量/t</w:t>
                  </w:r>
                </w:p>
              </w:tc>
              <w:tc>
                <w:tcPr>
                  <w:tcW w:w="1324" w:type="pct"/>
                  <w:vAlign w:val="center"/>
                </w:tcPr>
                <w:p>
                  <w:pPr>
                    <w:pStyle w:val="29"/>
                    <w:bidi w:val="0"/>
                    <w:rPr>
                      <w:highlight w:val="none"/>
                    </w:rPr>
                  </w:pPr>
                  <w:r>
                    <w:rPr>
                      <w:rFonts w:hint="eastAsia"/>
                      <w:highlight w:val="none"/>
                    </w:rPr>
                    <w:t>备注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528" w:type="pct"/>
                  <w:vMerge w:val="restart"/>
                  <w:vAlign w:val="center"/>
                </w:tcPr>
                <w:p>
                  <w:pPr>
                    <w:pStyle w:val="29"/>
                    <w:bidi w:val="0"/>
                    <w:rPr>
                      <w:highlight w:val="none"/>
                    </w:rPr>
                  </w:pPr>
                  <w:r>
                    <w:rPr>
                      <w:rFonts w:hint="eastAsia"/>
                      <w:highlight w:val="none"/>
                    </w:rPr>
                    <w:t>原辅料</w:t>
                  </w:r>
                </w:p>
              </w:tc>
              <w:tc>
                <w:tcPr>
                  <w:tcW w:w="437" w:type="pct"/>
                  <w:vAlign w:val="center"/>
                </w:tcPr>
                <w:p>
                  <w:pPr>
                    <w:pStyle w:val="29"/>
                    <w:bidi w:val="0"/>
                    <w:rPr>
                      <w:highlight w:val="none"/>
                    </w:rPr>
                  </w:pPr>
                  <w:r>
                    <w:rPr>
                      <w:rFonts w:hint="eastAsia"/>
                      <w:highlight w:val="none"/>
                    </w:rPr>
                    <w:t>1</w:t>
                  </w:r>
                </w:p>
              </w:tc>
              <w:tc>
                <w:tcPr>
                  <w:tcW w:w="830" w:type="pct"/>
                  <w:vAlign w:val="center"/>
                </w:tcPr>
                <w:p>
                  <w:pPr>
                    <w:pStyle w:val="29"/>
                    <w:bidi w:val="0"/>
                    <w:rPr>
                      <w:highlight w:val="none"/>
                    </w:rPr>
                  </w:pPr>
                  <w:r>
                    <w:rPr>
                      <w:rFonts w:hint="eastAsia"/>
                      <w:highlight w:val="none"/>
                    </w:rPr>
                    <w:t>氩气</w:t>
                  </w:r>
                </w:p>
              </w:tc>
              <w:tc>
                <w:tcPr>
                  <w:tcW w:w="800" w:type="pct"/>
                  <w:vAlign w:val="center"/>
                </w:tcPr>
                <w:p>
                  <w:pPr>
                    <w:pStyle w:val="29"/>
                    <w:bidi w:val="0"/>
                    <w:rPr>
                      <w:highlight w:val="none"/>
                    </w:rPr>
                  </w:pPr>
                  <w:r>
                    <w:rPr>
                      <w:rFonts w:hint="eastAsia"/>
                      <w:highlight w:val="none"/>
                    </w:rPr>
                    <w:t>液态</w:t>
                  </w:r>
                </w:p>
              </w:tc>
              <w:tc>
                <w:tcPr>
                  <w:tcW w:w="539" w:type="pct"/>
                  <w:vAlign w:val="center"/>
                </w:tcPr>
                <w:p>
                  <w:pPr>
                    <w:pStyle w:val="29"/>
                    <w:bidi w:val="0"/>
                    <w:rPr>
                      <w:highlight w:val="none"/>
                    </w:rPr>
                  </w:pPr>
                  <w:r>
                    <w:rPr>
                      <w:rFonts w:hint="eastAsia"/>
                      <w:highlight w:val="none"/>
                    </w:rPr>
                    <w:t>26.8</w:t>
                  </w:r>
                </w:p>
              </w:tc>
              <w:tc>
                <w:tcPr>
                  <w:tcW w:w="540" w:type="pct"/>
                  <w:vAlign w:val="center"/>
                </w:tcPr>
                <w:p>
                  <w:pPr>
                    <w:pStyle w:val="29"/>
                    <w:bidi w:val="0"/>
                    <w:ind w:firstLine="0" w:firstLineChars="0"/>
                    <w:rPr>
                      <w:highlight w:val="none"/>
                    </w:rPr>
                  </w:pPr>
                  <w:r>
                    <w:rPr>
                      <w:rFonts w:hint="eastAsia"/>
                      <w:highlight w:val="none"/>
                    </w:rPr>
                    <w:t>1000t</w:t>
                  </w:r>
                </w:p>
              </w:tc>
              <w:tc>
                <w:tcPr>
                  <w:tcW w:w="1324" w:type="pct"/>
                  <w:vAlign w:val="center"/>
                </w:tcPr>
                <w:p>
                  <w:pPr>
                    <w:pStyle w:val="29"/>
                    <w:bidi w:val="0"/>
                    <w:rPr>
                      <w:rFonts w:hint="eastAsia"/>
                      <w:highlight w:val="none"/>
                      <w:lang w:val="en-US" w:eastAsia="zh-CN"/>
                    </w:rPr>
                  </w:pPr>
                  <w:r>
                    <w:rPr>
                      <w:rFonts w:hint="eastAsia"/>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528" w:type="pct"/>
                  <w:vMerge w:val="continue"/>
                  <w:vAlign w:val="center"/>
                </w:tcPr>
                <w:p>
                  <w:pPr>
                    <w:pStyle w:val="29"/>
                    <w:bidi w:val="0"/>
                    <w:rPr>
                      <w:highlight w:val="none"/>
                    </w:rPr>
                  </w:pPr>
                </w:p>
              </w:tc>
              <w:tc>
                <w:tcPr>
                  <w:tcW w:w="437" w:type="pct"/>
                  <w:vAlign w:val="center"/>
                </w:tcPr>
                <w:p>
                  <w:pPr>
                    <w:pStyle w:val="29"/>
                    <w:bidi w:val="0"/>
                    <w:rPr>
                      <w:highlight w:val="none"/>
                    </w:rPr>
                  </w:pPr>
                  <w:r>
                    <w:rPr>
                      <w:rFonts w:hint="eastAsia"/>
                      <w:highlight w:val="none"/>
                    </w:rPr>
                    <w:t>2</w:t>
                  </w:r>
                </w:p>
              </w:tc>
              <w:tc>
                <w:tcPr>
                  <w:tcW w:w="830" w:type="pct"/>
                  <w:vAlign w:val="center"/>
                </w:tcPr>
                <w:p>
                  <w:pPr>
                    <w:pStyle w:val="29"/>
                    <w:bidi w:val="0"/>
                    <w:rPr>
                      <w:highlight w:val="none"/>
                    </w:rPr>
                  </w:pPr>
                  <w:r>
                    <w:rPr>
                      <w:rFonts w:hint="eastAsia"/>
                      <w:highlight w:val="none"/>
                    </w:rPr>
                    <w:t>氧气</w:t>
                  </w:r>
                </w:p>
              </w:tc>
              <w:tc>
                <w:tcPr>
                  <w:tcW w:w="800" w:type="pct"/>
                  <w:vAlign w:val="center"/>
                </w:tcPr>
                <w:p>
                  <w:pPr>
                    <w:pStyle w:val="29"/>
                    <w:bidi w:val="0"/>
                    <w:rPr>
                      <w:highlight w:val="none"/>
                    </w:rPr>
                  </w:pPr>
                  <w:r>
                    <w:rPr>
                      <w:rFonts w:hint="eastAsia"/>
                      <w:highlight w:val="none"/>
                    </w:rPr>
                    <w:t>液态</w:t>
                  </w:r>
                </w:p>
              </w:tc>
              <w:tc>
                <w:tcPr>
                  <w:tcW w:w="539" w:type="pct"/>
                  <w:vAlign w:val="center"/>
                </w:tcPr>
                <w:p>
                  <w:pPr>
                    <w:pStyle w:val="29"/>
                    <w:bidi w:val="0"/>
                    <w:rPr>
                      <w:highlight w:val="none"/>
                    </w:rPr>
                  </w:pPr>
                  <w:r>
                    <w:rPr>
                      <w:rFonts w:hint="eastAsia"/>
                      <w:highlight w:val="none"/>
                    </w:rPr>
                    <w:t>22.8</w:t>
                  </w:r>
                </w:p>
              </w:tc>
              <w:tc>
                <w:tcPr>
                  <w:tcW w:w="540" w:type="pct"/>
                  <w:vAlign w:val="center"/>
                </w:tcPr>
                <w:p>
                  <w:pPr>
                    <w:pStyle w:val="29"/>
                    <w:bidi w:val="0"/>
                    <w:ind w:firstLine="0" w:firstLineChars="0"/>
                    <w:rPr>
                      <w:highlight w:val="none"/>
                    </w:rPr>
                  </w:pPr>
                  <w:r>
                    <w:rPr>
                      <w:rFonts w:hint="eastAsia"/>
                      <w:highlight w:val="none"/>
                    </w:rPr>
                    <w:t>1000t</w:t>
                  </w:r>
                </w:p>
              </w:tc>
              <w:tc>
                <w:tcPr>
                  <w:tcW w:w="1324" w:type="pct"/>
                  <w:vAlign w:val="center"/>
                </w:tcPr>
                <w:p>
                  <w:pPr>
                    <w:pStyle w:val="29"/>
                    <w:bidi w:val="0"/>
                    <w:rPr>
                      <w:rFonts w:hint="eastAsia"/>
                      <w:highlight w:val="none"/>
                      <w:lang w:val="en-US" w:eastAsia="zh-CN"/>
                    </w:rPr>
                  </w:pPr>
                  <w:r>
                    <w:rPr>
                      <w:rFonts w:hint="eastAsia"/>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528" w:type="pct"/>
                  <w:vMerge w:val="continue"/>
                  <w:vAlign w:val="center"/>
                </w:tcPr>
                <w:p>
                  <w:pPr>
                    <w:pStyle w:val="29"/>
                    <w:bidi w:val="0"/>
                    <w:rPr>
                      <w:highlight w:val="none"/>
                    </w:rPr>
                  </w:pPr>
                </w:p>
              </w:tc>
              <w:tc>
                <w:tcPr>
                  <w:tcW w:w="437" w:type="pct"/>
                  <w:vAlign w:val="center"/>
                </w:tcPr>
                <w:p>
                  <w:pPr>
                    <w:pStyle w:val="29"/>
                    <w:bidi w:val="0"/>
                    <w:rPr>
                      <w:highlight w:val="none"/>
                    </w:rPr>
                  </w:pPr>
                  <w:r>
                    <w:rPr>
                      <w:rFonts w:hint="eastAsia"/>
                      <w:highlight w:val="none"/>
                    </w:rPr>
                    <w:t>3</w:t>
                  </w:r>
                </w:p>
              </w:tc>
              <w:tc>
                <w:tcPr>
                  <w:tcW w:w="830" w:type="pct"/>
                  <w:vAlign w:val="center"/>
                </w:tcPr>
                <w:p>
                  <w:pPr>
                    <w:pStyle w:val="29"/>
                    <w:bidi w:val="0"/>
                    <w:rPr>
                      <w:highlight w:val="none"/>
                    </w:rPr>
                  </w:pPr>
                  <w:r>
                    <w:rPr>
                      <w:rFonts w:hint="eastAsia"/>
                      <w:highlight w:val="none"/>
                    </w:rPr>
                    <w:t>氮气</w:t>
                  </w:r>
                </w:p>
              </w:tc>
              <w:tc>
                <w:tcPr>
                  <w:tcW w:w="800" w:type="pct"/>
                  <w:vAlign w:val="center"/>
                </w:tcPr>
                <w:p>
                  <w:pPr>
                    <w:pStyle w:val="29"/>
                    <w:bidi w:val="0"/>
                    <w:ind w:firstLine="0" w:firstLineChars="0"/>
                    <w:rPr>
                      <w:highlight w:val="none"/>
                    </w:rPr>
                  </w:pPr>
                  <w:r>
                    <w:rPr>
                      <w:rFonts w:hint="eastAsia"/>
                      <w:highlight w:val="none"/>
                    </w:rPr>
                    <w:t>液态</w:t>
                  </w:r>
                </w:p>
              </w:tc>
              <w:tc>
                <w:tcPr>
                  <w:tcW w:w="539" w:type="pct"/>
                  <w:vAlign w:val="center"/>
                </w:tcPr>
                <w:p>
                  <w:pPr>
                    <w:pStyle w:val="29"/>
                    <w:bidi w:val="0"/>
                    <w:rPr>
                      <w:highlight w:val="none"/>
                    </w:rPr>
                  </w:pPr>
                  <w:r>
                    <w:rPr>
                      <w:rFonts w:hint="eastAsia"/>
                      <w:highlight w:val="none"/>
                    </w:rPr>
                    <w:t>15.39</w:t>
                  </w:r>
                </w:p>
              </w:tc>
              <w:tc>
                <w:tcPr>
                  <w:tcW w:w="540" w:type="pct"/>
                  <w:vAlign w:val="center"/>
                </w:tcPr>
                <w:p>
                  <w:pPr>
                    <w:pStyle w:val="29"/>
                    <w:bidi w:val="0"/>
                    <w:ind w:firstLine="0" w:firstLineChars="0"/>
                    <w:rPr>
                      <w:highlight w:val="none"/>
                    </w:rPr>
                  </w:pPr>
                  <w:r>
                    <w:rPr>
                      <w:rFonts w:hint="eastAsia"/>
                      <w:highlight w:val="none"/>
                    </w:rPr>
                    <w:t>1000t</w:t>
                  </w:r>
                </w:p>
              </w:tc>
              <w:tc>
                <w:tcPr>
                  <w:tcW w:w="1324" w:type="pct"/>
                  <w:vAlign w:val="center"/>
                </w:tcPr>
                <w:p>
                  <w:pPr>
                    <w:pStyle w:val="29"/>
                    <w:bidi w:val="0"/>
                    <w:rPr>
                      <w:rFonts w:hint="eastAsia"/>
                      <w:highlight w:val="none"/>
                      <w:lang w:val="en-US" w:eastAsia="zh-CN"/>
                    </w:rPr>
                  </w:pPr>
                  <w:r>
                    <w:rPr>
                      <w:rFonts w:hint="eastAsia"/>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528" w:type="pct"/>
                  <w:vMerge w:val="continue"/>
                  <w:vAlign w:val="center"/>
                </w:tcPr>
                <w:p>
                  <w:pPr>
                    <w:pStyle w:val="29"/>
                    <w:bidi w:val="0"/>
                    <w:rPr>
                      <w:highlight w:val="none"/>
                    </w:rPr>
                  </w:pPr>
                </w:p>
              </w:tc>
              <w:tc>
                <w:tcPr>
                  <w:tcW w:w="437" w:type="pct"/>
                  <w:vAlign w:val="center"/>
                </w:tcPr>
                <w:p>
                  <w:pPr>
                    <w:pStyle w:val="29"/>
                    <w:bidi w:val="0"/>
                    <w:rPr>
                      <w:highlight w:val="none"/>
                    </w:rPr>
                  </w:pPr>
                  <w:r>
                    <w:rPr>
                      <w:rFonts w:hint="eastAsia"/>
                      <w:highlight w:val="none"/>
                    </w:rPr>
                    <w:t>4</w:t>
                  </w:r>
                </w:p>
              </w:tc>
              <w:tc>
                <w:tcPr>
                  <w:tcW w:w="830" w:type="pct"/>
                  <w:vAlign w:val="center"/>
                </w:tcPr>
                <w:p>
                  <w:pPr>
                    <w:pStyle w:val="29"/>
                    <w:bidi w:val="0"/>
                    <w:rPr>
                      <w:highlight w:val="none"/>
                    </w:rPr>
                  </w:pPr>
                  <w:r>
                    <w:rPr>
                      <w:rFonts w:hint="eastAsia"/>
                      <w:highlight w:val="none"/>
                    </w:rPr>
                    <w:t>丙烷</w:t>
                  </w:r>
                </w:p>
              </w:tc>
              <w:tc>
                <w:tcPr>
                  <w:tcW w:w="800" w:type="pct"/>
                  <w:vAlign w:val="center"/>
                </w:tcPr>
                <w:p>
                  <w:pPr>
                    <w:pStyle w:val="29"/>
                    <w:bidi w:val="0"/>
                    <w:ind w:firstLine="0" w:firstLineChars="0"/>
                    <w:rPr>
                      <w:highlight w:val="none"/>
                    </w:rPr>
                  </w:pPr>
                  <w:r>
                    <w:rPr>
                      <w:rFonts w:hint="eastAsia"/>
                      <w:highlight w:val="none"/>
                    </w:rPr>
                    <w:t>液态</w:t>
                  </w:r>
                </w:p>
              </w:tc>
              <w:tc>
                <w:tcPr>
                  <w:tcW w:w="539" w:type="pct"/>
                  <w:vAlign w:val="center"/>
                </w:tcPr>
                <w:p>
                  <w:pPr>
                    <w:pStyle w:val="29"/>
                    <w:bidi w:val="0"/>
                    <w:rPr>
                      <w:highlight w:val="none"/>
                    </w:rPr>
                  </w:pPr>
                  <w:r>
                    <w:rPr>
                      <w:rFonts w:hint="eastAsia"/>
                      <w:highlight w:val="none"/>
                    </w:rPr>
                    <w:t>116</w:t>
                  </w:r>
                </w:p>
              </w:tc>
              <w:tc>
                <w:tcPr>
                  <w:tcW w:w="540" w:type="pct"/>
                  <w:vAlign w:val="center"/>
                </w:tcPr>
                <w:p>
                  <w:pPr>
                    <w:pStyle w:val="29"/>
                    <w:bidi w:val="0"/>
                    <w:ind w:firstLine="0" w:firstLineChars="0"/>
                    <w:rPr>
                      <w:highlight w:val="none"/>
                    </w:rPr>
                  </w:pPr>
                  <w:r>
                    <w:rPr>
                      <w:rFonts w:hint="eastAsia"/>
                      <w:highlight w:val="none"/>
                    </w:rPr>
                    <w:t>2000t</w:t>
                  </w:r>
                </w:p>
              </w:tc>
              <w:tc>
                <w:tcPr>
                  <w:tcW w:w="1324" w:type="pct"/>
                  <w:vAlign w:val="center"/>
                </w:tcPr>
                <w:p>
                  <w:pPr>
                    <w:pStyle w:val="29"/>
                    <w:bidi w:val="0"/>
                    <w:rPr>
                      <w:rFonts w:hint="eastAsia"/>
                      <w:highlight w:val="none"/>
                      <w:lang w:val="en-US" w:eastAsia="zh-CN"/>
                    </w:rPr>
                  </w:pPr>
                  <w:r>
                    <w:rPr>
                      <w:rFonts w:hint="eastAsia"/>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528" w:type="pct"/>
                  <w:vMerge w:val="continue"/>
                  <w:vAlign w:val="center"/>
                </w:tcPr>
                <w:p>
                  <w:pPr>
                    <w:pStyle w:val="29"/>
                    <w:bidi w:val="0"/>
                    <w:rPr>
                      <w:highlight w:val="none"/>
                    </w:rPr>
                  </w:pPr>
                </w:p>
              </w:tc>
              <w:tc>
                <w:tcPr>
                  <w:tcW w:w="437" w:type="pct"/>
                  <w:vAlign w:val="center"/>
                </w:tcPr>
                <w:p>
                  <w:pPr>
                    <w:pStyle w:val="29"/>
                    <w:bidi w:val="0"/>
                    <w:rPr>
                      <w:highlight w:val="none"/>
                    </w:rPr>
                  </w:pPr>
                  <w:r>
                    <w:rPr>
                      <w:rFonts w:hint="eastAsia"/>
                      <w:highlight w:val="none"/>
                    </w:rPr>
                    <w:t>5</w:t>
                  </w:r>
                </w:p>
              </w:tc>
              <w:tc>
                <w:tcPr>
                  <w:tcW w:w="830" w:type="pct"/>
                  <w:vAlign w:val="center"/>
                </w:tcPr>
                <w:p>
                  <w:pPr>
                    <w:pStyle w:val="29"/>
                    <w:bidi w:val="0"/>
                    <w:rPr>
                      <w:highlight w:val="none"/>
                    </w:rPr>
                  </w:pPr>
                  <w:r>
                    <w:rPr>
                      <w:rFonts w:hint="eastAsia"/>
                      <w:highlight w:val="none"/>
                    </w:rPr>
                    <w:t>二氧化碳</w:t>
                  </w:r>
                </w:p>
              </w:tc>
              <w:tc>
                <w:tcPr>
                  <w:tcW w:w="800" w:type="pct"/>
                  <w:vAlign w:val="center"/>
                </w:tcPr>
                <w:p>
                  <w:pPr>
                    <w:pStyle w:val="29"/>
                    <w:bidi w:val="0"/>
                    <w:ind w:firstLine="0" w:firstLineChars="0"/>
                    <w:rPr>
                      <w:highlight w:val="none"/>
                    </w:rPr>
                  </w:pPr>
                  <w:r>
                    <w:rPr>
                      <w:rFonts w:hint="eastAsia"/>
                      <w:highlight w:val="none"/>
                    </w:rPr>
                    <w:t>液态</w:t>
                  </w:r>
                </w:p>
              </w:tc>
              <w:tc>
                <w:tcPr>
                  <w:tcW w:w="539" w:type="pct"/>
                  <w:vAlign w:val="center"/>
                </w:tcPr>
                <w:p>
                  <w:pPr>
                    <w:pStyle w:val="29"/>
                    <w:bidi w:val="0"/>
                    <w:rPr>
                      <w:rFonts w:hint="default" w:eastAsia="宋体"/>
                      <w:highlight w:val="none"/>
                      <w:lang w:val="en-US" w:eastAsia="zh-CN"/>
                    </w:rPr>
                  </w:pPr>
                  <w:r>
                    <w:rPr>
                      <w:rFonts w:hint="eastAsia"/>
                      <w:highlight w:val="none"/>
                      <w:lang w:val="en-US" w:eastAsia="zh-CN"/>
                    </w:rPr>
                    <w:t>42</w:t>
                  </w:r>
                </w:p>
              </w:tc>
              <w:tc>
                <w:tcPr>
                  <w:tcW w:w="540" w:type="pct"/>
                  <w:vAlign w:val="center"/>
                </w:tcPr>
                <w:p>
                  <w:pPr>
                    <w:pStyle w:val="29"/>
                    <w:bidi w:val="0"/>
                    <w:ind w:firstLine="0" w:firstLineChars="0"/>
                    <w:rPr>
                      <w:highlight w:val="none"/>
                    </w:rPr>
                  </w:pPr>
                  <w:r>
                    <w:rPr>
                      <w:rFonts w:hint="eastAsia"/>
                      <w:highlight w:val="none"/>
                    </w:rPr>
                    <w:t>2000t</w:t>
                  </w:r>
                </w:p>
              </w:tc>
              <w:tc>
                <w:tcPr>
                  <w:tcW w:w="1324" w:type="pct"/>
                  <w:vAlign w:val="center"/>
                </w:tcPr>
                <w:p>
                  <w:pPr>
                    <w:pStyle w:val="29"/>
                    <w:bidi w:val="0"/>
                    <w:rPr>
                      <w:rFonts w:hint="eastAsia"/>
                      <w:highlight w:val="none"/>
                      <w:lang w:val="en-US" w:eastAsia="zh-CN"/>
                    </w:rPr>
                  </w:pPr>
                  <w:r>
                    <w:rPr>
                      <w:rFonts w:hint="eastAsia"/>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528" w:type="pct"/>
                  <w:vAlign w:val="center"/>
                </w:tcPr>
                <w:p>
                  <w:pPr>
                    <w:pStyle w:val="29"/>
                    <w:bidi w:val="0"/>
                    <w:rPr>
                      <w:highlight w:val="none"/>
                    </w:rPr>
                  </w:pPr>
                  <w:r>
                    <w:rPr>
                      <w:rFonts w:hint="eastAsia"/>
                      <w:highlight w:val="none"/>
                    </w:rPr>
                    <w:t>能耗</w:t>
                  </w:r>
                </w:p>
              </w:tc>
              <w:tc>
                <w:tcPr>
                  <w:tcW w:w="437" w:type="pct"/>
                  <w:vAlign w:val="center"/>
                </w:tcPr>
                <w:p>
                  <w:pPr>
                    <w:pStyle w:val="29"/>
                    <w:bidi w:val="0"/>
                    <w:rPr>
                      <w:rFonts w:hint="eastAsia"/>
                      <w:highlight w:val="none"/>
                      <w:lang w:eastAsia="zh-CN"/>
                    </w:rPr>
                  </w:pPr>
                  <w:r>
                    <w:rPr>
                      <w:rFonts w:hint="eastAsia"/>
                      <w:highlight w:val="none"/>
                      <w:lang w:val="en-US" w:eastAsia="zh-CN"/>
                    </w:rPr>
                    <w:t>6</w:t>
                  </w:r>
                </w:p>
              </w:tc>
              <w:tc>
                <w:tcPr>
                  <w:tcW w:w="830" w:type="pct"/>
                  <w:vAlign w:val="center"/>
                </w:tcPr>
                <w:p>
                  <w:pPr>
                    <w:pStyle w:val="29"/>
                    <w:bidi w:val="0"/>
                    <w:ind w:firstLine="0" w:firstLineChars="0"/>
                    <w:rPr>
                      <w:highlight w:val="none"/>
                    </w:rPr>
                  </w:pPr>
                  <w:r>
                    <w:rPr>
                      <w:rFonts w:hint="eastAsia"/>
                      <w:highlight w:val="none"/>
                    </w:rPr>
                    <w:t>电</w:t>
                  </w:r>
                </w:p>
              </w:tc>
              <w:tc>
                <w:tcPr>
                  <w:tcW w:w="1880" w:type="pct"/>
                  <w:gridSpan w:val="3"/>
                  <w:vAlign w:val="center"/>
                </w:tcPr>
                <w:p>
                  <w:pPr>
                    <w:pStyle w:val="29"/>
                    <w:bidi w:val="0"/>
                    <w:ind w:firstLine="0" w:firstLineChars="0"/>
                    <w:rPr>
                      <w:rFonts w:hint="default" w:eastAsia="宋体"/>
                      <w:highlight w:val="none"/>
                      <w:lang w:val="en-US" w:eastAsia="zh-CN"/>
                    </w:rPr>
                  </w:pPr>
                  <w:r>
                    <w:rPr>
                      <w:rFonts w:hint="eastAsia"/>
                      <w:highlight w:val="none"/>
                    </w:rPr>
                    <w:t>10</w:t>
                  </w:r>
                  <w:r>
                    <w:rPr>
                      <w:rFonts w:hint="eastAsia"/>
                      <w:highlight w:val="none"/>
                      <w:lang w:eastAsia="zh-CN"/>
                    </w:rPr>
                    <w:t>万</w:t>
                  </w:r>
                  <w:r>
                    <w:rPr>
                      <w:rFonts w:hint="eastAsia"/>
                      <w:highlight w:val="none"/>
                      <w:lang w:val="en-US" w:eastAsia="zh-CN"/>
                    </w:rPr>
                    <w:t>kw·h</w:t>
                  </w:r>
                </w:p>
              </w:tc>
              <w:tc>
                <w:tcPr>
                  <w:tcW w:w="1324" w:type="pct"/>
                  <w:vAlign w:val="center"/>
                </w:tcPr>
                <w:p>
                  <w:pPr>
                    <w:pStyle w:val="29"/>
                    <w:bidi w:val="0"/>
                    <w:ind w:firstLine="0" w:firstLineChars="0"/>
                    <w:rPr>
                      <w:highlight w:val="none"/>
                    </w:rPr>
                  </w:pPr>
                  <w:r>
                    <w:rPr>
                      <w:rFonts w:hint="eastAsia"/>
                      <w:highlight w:val="none"/>
                      <w:lang w:val="en-US" w:eastAsia="zh-CN"/>
                    </w:rPr>
                    <w:t>大召营镇</w:t>
                  </w:r>
                  <w:r>
                    <w:rPr>
                      <w:rFonts w:hint="default"/>
                      <w:highlight w:val="none"/>
                      <w:lang w:val="en-US" w:eastAsia="zh-CN"/>
                    </w:rPr>
                    <w:t>供电所供电</w:t>
                  </w:r>
                </w:p>
              </w:tc>
            </w:tr>
          </w:tbl>
          <w:p>
            <w:pPr>
              <w:pStyle w:val="4"/>
              <w:bidi w:val="0"/>
              <w:ind w:left="0" w:leftChars="0" w:firstLine="482" w:firstLineChars="200"/>
              <w:rPr>
                <w:rFonts w:hint="eastAsia"/>
                <w:highlight w:val="none"/>
                <w:lang w:val="en-US" w:eastAsia="zh-CN"/>
              </w:rPr>
            </w:pPr>
            <w:r>
              <w:rPr>
                <w:rFonts w:hint="eastAsia"/>
                <w:highlight w:val="none"/>
                <w:lang w:val="en-US" w:eastAsia="zh-CN"/>
              </w:rPr>
              <w:t>主要原辅材料的理化性质：</w:t>
            </w:r>
          </w:p>
          <w:p>
            <w:pPr>
              <w:bidi w:val="0"/>
              <w:rPr>
                <w:rFonts w:hint="default"/>
                <w:highlight w:val="none"/>
                <w:lang w:val="en-US" w:eastAsia="zh-CN"/>
              </w:rPr>
            </w:pPr>
            <w:r>
              <w:rPr>
                <w:rFonts w:hint="default"/>
                <w:highlight w:val="none"/>
                <w:lang w:val="en-US" w:eastAsia="zh-CN"/>
              </w:rPr>
              <w:t>①液态氧</w:t>
            </w:r>
          </w:p>
          <w:p>
            <w:pPr>
              <w:bidi w:val="0"/>
              <w:rPr>
                <w:rFonts w:hint="default"/>
                <w:highlight w:val="none"/>
                <w:lang w:val="en-US" w:eastAsia="zh-CN"/>
              </w:rPr>
            </w:pPr>
            <w:r>
              <w:rPr>
                <w:rFonts w:hint="default"/>
                <w:highlight w:val="none"/>
                <w:lang w:val="en-US" w:eastAsia="zh-CN"/>
              </w:rPr>
              <w:t>氧是无色无味的气体，熔点-218.8℃，沸点-183.1℃，相对水密度为1.14（183.1℃），相对蒸汽密度为1.43，临界温度-118.95℃，临界压力5.08MPa。氧能溶解于水和乙醇，用于切割、焊接金属，制造农药、染料、炸药等。氧是一种化学性质比较活泼的气体，它可以与金属、非金属、化合物等多种物质发生氧化反应，反应剧烈程度因条件不同而异，可表现为缓慢氧化、燃烧、爆炸等，反应中放出大量的热。</w:t>
            </w:r>
          </w:p>
          <w:p>
            <w:pPr>
              <w:bidi w:val="0"/>
              <w:rPr>
                <w:rFonts w:hint="default"/>
                <w:highlight w:val="none"/>
                <w:lang w:val="en-US" w:eastAsia="zh-CN"/>
              </w:rPr>
            </w:pPr>
            <w:r>
              <w:rPr>
                <w:rFonts w:hint="default"/>
                <w:highlight w:val="none"/>
                <w:lang w:val="en-US" w:eastAsia="zh-CN"/>
              </w:rPr>
              <w:t>氧是通过吸入对人体健康造成危害。氧压的高低不同对机体各生理功能的影响也不同。肺型：见于在氧分压100~200kPa条件下，时间超过6~12h。开始时出现胸骨后不适感，轻咳，进而胸闷，胸骨后烧灼感和呼吸困难，咳嗽加剧；严重时可发生肺水肿，甚至出现呼吸窘迫综合征。脑型：见于氧分压超过300kPa连续2-3h时，先出现面部肌肉抽动、面色苍白、眩晕、心动过速、虚脱、继而全面强制性抽搐，昏迷，呼吸衰竭而死。眼型：长期处于氧分压为60~100KPa的条件下可发生眼损害，严重者可失明。皮肤接触液态氧可引起冻伤。</w:t>
            </w:r>
          </w:p>
          <w:p>
            <w:pPr>
              <w:bidi w:val="0"/>
              <w:rPr>
                <w:rFonts w:hint="default"/>
                <w:highlight w:val="none"/>
                <w:lang w:val="en-US" w:eastAsia="zh-CN"/>
              </w:rPr>
            </w:pPr>
            <w:r>
              <w:rPr>
                <w:rFonts w:hint="default"/>
                <w:highlight w:val="none"/>
                <w:lang w:val="en-US" w:eastAsia="zh-CN"/>
              </w:rPr>
              <w:t>②液氮</w:t>
            </w:r>
          </w:p>
          <w:p>
            <w:pPr>
              <w:bidi w:val="0"/>
              <w:rPr>
                <w:rFonts w:hint="default"/>
                <w:highlight w:val="none"/>
                <w:lang w:val="en-US" w:eastAsia="zh-CN"/>
              </w:rPr>
            </w:pPr>
            <w:r>
              <w:rPr>
                <w:rFonts w:hint="default"/>
                <w:highlight w:val="none"/>
                <w:lang w:val="en-US" w:eastAsia="zh-CN"/>
              </w:rPr>
              <w:t>氮是无色无味的气体，熔点-209.9℃，沸点-195.6℃，相对水密度为0.81（-196℃），相对蒸汽密度为0.97，临界温度-147.1℃，临界压力3.40MPa。氮微溶于水、乙醇，溶于液氨。用于合成氨，制硝酸，用作保护剂、冷冻机等。氮气化学性质不活泼。</w:t>
            </w:r>
          </w:p>
          <w:p>
            <w:pPr>
              <w:bidi w:val="0"/>
              <w:rPr>
                <w:rFonts w:hint="default"/>
                <w:highlight w:val="none"/>
                <w:lang w:val="en-US" w:eastAsia="zh-CN"/>
              </w:rPr>
            </w:pPr>
            <w:r>
              <w:rPr>
                <w:rFonts w:hint="default"/>
                <w:highlight w:val="none"/>
                <w:lang w:val="en-US" w:eastAsia="zh-CN"/>
              </w:rPr>
              <w:t>氮是通过吸入对人体健康造成危害。常压下氮气无毒。当作业环境中氮气浓度增高，氧气相对减少时，引起单纯性室息作用。当氮浓度大于84%时，可出现头晕、头痛、眼花、恶心、呼吸加快、血压升高、胸部压迫感，甚至失去知觉，出现阵发性痉挛、瞳孔缩小等缺氧症状，如不及时脱离环境，可致死亡。液态氮具有低温作用，皮肤接触时可引起严重冻伤。</w:t>
            </w:r>
          </w:p>
          <w:p>
            <w:pPr>
              <w:bidi w:val="0"/>
              <w:rPr>
                <w:rFonts w:hint="default"/>
                <w:highlight w:val="none"/>
                <w:lang w:val="en-US" w:eastAsia="zh-CN"/>
              </w:rPr>
            </w:pPr>
            <w:r>
              <w:rPr>
                <w:rFonts w:hint="default"/>
                <w:highlight w:val="none"/>
                <w:lang w:val="en-US" w:eastAsia="zh-CN"/>
              </w:rPr>
              <w:t>③液氩</w:t>
            </w:r>
          </w:p>
          <w:p>
            <w:pPr>
              <w:bidi w:val="0"/>
              <w:rPr>
                <w:rFonts w:hint="default"/>
                <w:highlight w:val="none"/>
                <w:lang w:val="en-US" w:eastAsia="zh-CN"/>
              </w:rPr>
            </w:pPr>
            <w:r>
              <w:rPr>
                <w:rFonts w:hint="default"/>
                <w:highlight w:val="none"/>
                <w:lang w:val="en-US" w:eastAsia="zh-CN"/>
              </w:rPr>
              <w:t>氩是无色无味的惰性气体，熔点-189.2℃，沸点-185.7℃，相对水密度为1.40（-186℃），相对蒸汽密度为1.66，临界温度-123.3℃，临界压力4.86MPa。氩微溶于水。用于灯泡充气和对不锈钢、镁、铝等的电弧焊接，即“氩弧焊”。氩属惰性气体，化学性质不活泼。</w:t>
            </w:r>
          </w:p>
          <w:p>
            <w:pPr>
              <w:bidi w:val="0"/>
              <w:rPr>
                <w:rFonts w:hint="default"/>
                <w:highlight w:val="none"/>
                <w:lang w:val="en-US" w:eastAsia="zh-CN"/>
              </w:rPr>
            </w:pPr>
            <w:r>
              <w:rPr>
                <w:rFonts w:hint="default"/>
                <w:highlight w:val="none"/>
                <w:lang w:val="en-US" w:eastAsia="zh-CN"/>
              </w:rPr>
              <w:t>氩是通过吸入对人体健康造成危害。常压下氩气无毒。当作业环境中氩气浓度增高，氧气相对减少时，引起单纯性室息作用。氩气浓度达50%以上，引起严重症状，75%以上时，可在数分钟内死亡。当空气中氩气浓度增高时，先出现呼吸加速、注意力不集中，共济失调；然后疲倦乏力、烦躁不安、恶心、呕吐、昏迷、抽搐，甚至死亡。液态氩可致皮肤冻伤，眼部接触可引起炎症。</w:t>
            </w:r>
          </w:p>
          <w:p>
            <w:pPr>
              <w:bidi w:val="0"/>
              <w:rPr>
                <w:rFonts w:hint="default"/>
                <w:highlight w:val="none"/>
                <w:lang w:val="en-US" w:eastAsia="zh-CN"/>
              </w:rPr>
            </w:pPr>
            <w:r>
              <w:rPr>
                <w:rFonts w:hint="default"/>
                <w:highlight w:val="none"/>
                <w:lang w:val="en-US" w:eastAsia="zh-CN"/>
              </w:rPr>
              <w:t>④液态二氧化碳</w:t>
            </w:r>
          </w:p>
          <w:p>
            <w:pPr>
              <w:bidi w:val="0"/>
              <w:rPr>
                <w:rFonts w:hint="default"/>
                <w:highlight w:val="none"/>
                <w:lang w:val="en-US" w:eastAsia="zh-CN"/>
              </w:rPr>
            </w:pPr>
            <w:r>
              <w:rPr>
                <w:rFonts w:hint="default"/>
                <w:highlight w:val="none"/>
                <w:lang w:val="en-US" w:eastAsia="zh-CN"/>
              </w:rPr>
              <w:t>二氧化碳是无色无味的气体，熔点-56.6℃，沸点-78.5℃，相对水密度为1.56（-79℃），相对蒸汽密度为1.53，临界温度31.0℃，临界压力7.39MPa。二氧化碳溶于水、烃类等多数有机溶剂。用于制糖工业、制碱工业等，也用于冷饮、灭火及有机合成。二氧化碳化学性质不活泼。在低浓度时，对呼吸中枢呈兴奋作用。高浓度时则产生抑制甚至麻痹作用。中毒机制中还兼有缺氧的因素。</w:t>
            </w:r>
          </w:p>
          <w:p>
            <w:pPr>
              <w:bidi w:val="0"/>
              <w:rPr>
                <w:rFonts w:hint="default"/>
                <w:highlight w:val="none"/>
                <w:lang w:val="en-US" w:eastAsia="zh-CN"/>
              </w:rPr>
            </w:pPr>
            <w:r>
              <w:rPr>
                <w:rFonts w:hint="default"/>
                <w:highlight w:val="none"/>
                <w:lang w:val="en-US" w:eastAsia="zh-CN"/>
              </w:rPr>
              <w:t>急性中毒:轻度中毒出现头晕、头痛、疲乏、恶心等，脱离接触后较快恢复。人进入高浓度二氧化碳环境，在几秒钟内迅速错迷倒下，反射消失，瞳孔扩大或缩小、大小便失禁、呕吐等，更严重者出现呼吸、心跳停止及休克，甚至死亡。</w:t>
            </w:r>
          </w:p>
          <w:p>
            <w:pPr>
              <w:bidi w:val="0"/>
              <w:rPr>
                <w:rFonts w:hint="default"/>
                <w:highlight w:val="none"/>
                <w:lang w:val="en-US" w:eastAsia="zh-CN"/>
              </w:rPr>
            </w:pPr>
            <w:r>
              <w:rPr>
                <w:rFonts w:hint="default"/>
                <w:highlight w:val="none"/>
                <w:lang w:val="en-US" w:eastAsia="zh-CN"/>
              </w:rPr>
              <w:t>慢性影响:经常接触高浓度的二氧化碳者，可有头晕、头痛、失眠、易兴奋、无力等神经功能紊乱等。但在生产中是否存在慢性中毒国内均未见病例报道。</w:t>
            </w:r>
          </w:p>
          <w:p>
            <w:pPr>
              <w:bidi w:val="0"/>
              <w:rPr>
                <w:rFonts w:hint="eastAsia"/>
                <w:highlight w:val="none"/>
                <w:lang w:val="en-US" w:eastAsia="zh-CN"/>
              </w:rPr>
            </w:pPr>
            <w:r>
              <w:rPr>
                <w:rFonts w:hint="default"/>
                <w:highlight w:val="none"/>
                <w:lang w:val="en-US" w:eastAsia="zh-CN"/>
              </w:rPr>
              <w:t>⑤</w:t>
            </w:r>
            <w:r>
              <w:rPr>
                <w:rFonts w:hint="eastAsia"/>
                <w:highlight w:val="none"/>
                <w:lang w:val="en-US" w:eastAsia="zh-CN"/>
              </w:rPr>
              <w:t>液态丙烷</w:t>
            </w:r>
          </w:p>
          <w:p>
            <w:pPr>
              <w:bidi w:val="0"/>
              <w:rPr>
                <w:rFonts w:hint="eastAsia"/>
                <w:highlight w:val="none"/>
                <w:lang w:eastAsia="zh-CN"/>
              </w:rPr>
            </w:pPr>
            <w:r>
              <w:rPr>
                <w:rFonts w:hint="eastAsia"/>
                <w:highlight w:val="none"/>
                <w:lang w:val="en-US" w:eastAsia="zh-CN"/>
              </w:rPr>
              <w:t>丙烷是</w:t>
            </w:r>
            <w:r>
              <w:rPr>
                <w:highlight w:val="none"/>
              </w:rPr>
              <w:t>无色气体</w:t>
            </w:r>
            <w:r>
              <w:rPr>
                <w:rFonts w:hint="eastAsia"/>
                <w:highlight w:val="none"/>
                <w:lang w:eastAsia="zh-CN"/>
              </w:rPr>
              <w:t>，纯品无臭</w:t>
            </w:r>
            <w:r>
              <w:rPr>
                <w:rFonts w:hint="default"/>
                <w:highlight w:val="none"/>
                <w:lang w:val="en-US" w:eastAsia="zh-CN"/>
              </w:rPr>
              <w:t>；熔点：-187.6℃；沸点：-42.09℃；</w:t>
            </w:r>
            <w:r>
              <w:rPr>
                <w:rFonts w:hint="eastAsia"/>
                <w:highlight w:val="none"/>
                <w:lang w:val="en-US" w:eastAsia="zh-CN"/>
              </w:rPr>
              <w:t>相对水密度为0.58</w:t>
            </w:r>
            <w:r>
              <w:rPr>
                <w:highlight w:val="none"/>
              </w:rPr>
              <w:t>（-</w:t>
            </w:r>
            <w:r>
              <w:rPr>
                <w:rFonts w:hint="eastAsia"/>
                <w:highlight w:val="none"/>
                <w:lang w:val="en-US" w:eastAsia="zh-CN"/>
              </w:rPr>
              <w:t>44.5</w:t>
            </w:r>
            <w:r>
              <w:rPr>
                <w:highlight w:val="none"/>
              </w:rPr>
              <w:t>℃）</w:t>
            </w:r>
            <w:r>
              <w:rPr>
                <w:rFonts w:hint="eastAsia"/>
                <w:highlight w:val="none"/>
                <w:lang w:eastAsia="zh-CN"/>
              </w:rPr>
              <w:t>，相对蒸汽密度为</w:t>
            </w:r>
            <w:r>
              <w:rPr>
                <w:rFonts w:hint="eastAsia"/>
                <w:highlight w:val="none"/>
                <w:lang w:val="en-US" w:eastAsia="zh-CN"/>
              </w:rPr>
              <w:t>1.56，临界温度95.7</w:t>
            </w:r>
            <w:r>
              <w:rPr>
                <w:rFonts w:hint="default"/>
                <w:highlight w:val="none"/>
                <w:lang w:val="en-US" w:eastAsia="zh-CN"/>
              </w:rPr>
              <w:t>℃</w:t>
            </w:r>
            <w:r>
              <w:rPr>
                <w:rFonts w:hint="eastAsia"/>
                <w:highlight w:val="none"/>
                <w:lang w:val="en-US" w:eastAsia="zh-CN"/>
              </w:rPr>
              <w:t>，临界压力为4.3975</w:t>
            </w:r>
            <w:r>
              <w:rPr>
                <w:rFonts w:hint="default"/>
                <w:highlight w:val="none"/>
                <w:lang w:val="en-US" w:eastAsia="zh-CN"/>
              </w:rPr>
              <w:t>MPa</w:t>
            </w:r>
            <w:r>
              <w:rPr>
                <w:rFonts w:hint="eastAsia"/>
                <w:highlight w:val="none"/>
                <w:lang w:val="en-US" w:eastAsia="zh-CN"/>
              </w:rPr>
              <w:t>。丙烷不溶于水。丙烷</w:t>
            </w:r>
            <w:r>
              <w:rPr>
                <w:highlight w:val="none"/>
              </w:rPr>
              <w:t>与空气混合能形成爆炸性混合物；遇明火、高热会引起燃烧爆炸。</w:t>
            </w:r>
            <w:r>
              <w:rPr>
                <w:rFonts w:hint="eastAsia"/>
                <w:highlight w:val="none"/>
                <w:lang w:eastAsia="zh-CN"/>
              </w:rPr>
              <w:t>与氧化剂接触猛烈反应。气体比空气重，能在较低处扩散到相当远的地方，遇火源会着火回燃。</w:t>
            </w:r>
          </w:p>
          <w:p>
            <w:pPr>
              <w:bidi w:val="0"/>
              <w:rPr>
                <w:rFonts w:hint="default" w:ascii="Times New Roman" w:hAnsi="Times New Roman" w:cs="Times New Roman" w:eastAsiaTheme="minorEastAsia"/>
                <w:highlight w:val="none"/>
                <w:lang w:eastAsia="zh-CN"/>
              </w:rPr>
            </w:pPr>
            <w:r>
              <w:rPr>
                <w:rFonts w:hint="default" w:ascii="Times New Roman" w:hAnsi="Times New Roman" w:cs="Times New Roman" w:eastAsiaTheme="minorEastAsia"/>
                <w:highlight w:val="none"/>
                <w:lang w:eastAsia="zh-CN"/>
              </w:rPr>
              <w:t>丙烷</w:t>
            </w:r>
            <w:r>
              <w:rPr>
                <w:rFonts w:hint="default" w:ascii="Times New Roman" w:hAnsi="Times New Roman" w:cs="Times New Roman" w:eastAsiaTheme="minorEastAsia"/>
                <w:highlight w:val="none"/>
              </w:rPr>
              <w:t>有单纯性窒息及麻醉作用。人短暂接触1%丙烷,不引起症状</w:t>
            </w:r>
            <w:r>
              <w:rPr>
                <w:rFonts w:hint="eastAsia" w:ascii="Times New Roman" w:hAnsi="Times New Roman" w:cs="Times New Roman" w:eastAsiaTheme="minorEastAsia"/>
                <w:highlight w:val="none"/>
                <w:lang w:eastAsia="zh-CN"/>
              </w:rPr>
              <w:t>；</w:t>
            </w:r>
            <w:r>
              <w:rPr>
                <w:rFonts w:hint="default" w:ascii="Times New Roman" w:hAnsi="Times New Roman" w:cs="Times New Roman" w:eastAsiaTheme="minorEastAsia"/>
                <w:highlight w:val="none"/>
              </w:rPr>
              <w:t>10%以下的浓度</w:t>
            </w:r>
            <w:r>
              <w:rPr>
                <w:rFonts w:hint="eastAsia" w:ascii="Times New Roman" w:hAnsi="Times New Roman" w:cs="Times New Roman" w:eastAsiaTheme="minorEastAsia"/>
                <w:highlight w:val="none"/>
                <w:lang w:eastAsia="zh-CN"/>
              </w:rPr>
              <w:t>，</w:t>
            </w:r>
            <w:r>
              <w:rPr>
                <w:rFonts w:hint="default" w:ascii="Times New Roman" w:hAnsi="Times New Roman" w:cs="Times New Roman" w:eastAsiaTheme="minorEastAsia"/>
                <w:highlight w:val="none"/>
              </w:rPr>
              <w:t>只引起轻度头晕</w:t>
            </w:r>
            <w:r>
              <w:rPr>
                <w:rFonts w:hint="eastAsia" w:ascii="Times New Roman" w:hAnsi="Times New Roman" w:cs="Times New Roman" w:eastAsiaTheme="minorEastAsia"/>
                <w:highlight w:val="none"/>
                <w:lang w:eastAsia="zh-CN"/>
              </w:rPr>
              <w:t>；</w:t>
            </w:r>
            <w:r>
              <w:rPr>
                <w:rFonts w:hint="default" w:ascii="Times New Roman" w:hAnsi="Times New Roman" w:cs="Times New Roman" w:eastAsiaTheme="minorEastAsia"/>
                <w:highlight w:val="none"/>
              </w:rPr>
              <w:t>接触高浓度时可出现麻醉状态意识丧失</w:t>
            </w:r>
            <w:r>
              <w:rPr>
                <w:rFonts w:hint="eastAsia" w:ascii="Times New Roman" w:hAnsi="Times New Roman" w:cs="Times New Roman" w:eastAsiaTheme="minorEastAsia"/>
                <w:highlight w:val="none"/>
                <w:lang w:eastAsia="zh-CN"/>
              </w:rPr>
              <w:t>；</w:t>
            </w:r>
            <w:r>
              <w:rPr>
                <w:rFonts w:hint="default" w:ascii="Times New Roman" w:hAnsi="Times New Roman" w:cs="Times New Roman" w:eastAsiaTheme="minorEastAsia"/>
                <w:highlight w:val="none"/>
              </w:rPr>
              <w:t>极高浓度时可致窒息</w:t>
            </w:r>
            <w:r>
              <w:rPr>
                <w:rFonts w:hint="default" w:ascii="Times New Roman" w:hAnsi="Times New Roman" w:cs="Times New Roman" w:eastAsiaTheme="minorEastAsia"/>
                <w:highlight w:val="none"/>
                <w:lang w:eastAsia="zh-CN"/>
              </w:rPr>
              <w:t>。</w:t>
            </w:r>
          </w:p>
          <w:p>
            <w:pPr>
              <w:pStyle w:val="4"/>
              <w:bidi w:val="0"/>
              <w:rPr>
                <w:rFonts w:hint="default"/>
                <w:highlight w:val="none"/>
                <w:lang w:val="en-US" w:eastAsia="zh-CN"/>
              </w:rPr>
            </w:pPr>
            <w:r>
              <w:rPr>
                <w:rFonts w:hint="eastAsia"/>
                <w:highlight w:val="none"/>
                <w:lang w:val="en-US" w:eastAsia="zh-CN"/>
              </w:rPr>
              <w:t>6</w:t>
            </w:r>
            <w:r>
              <w:rPr>
                <w:rFonts w:hint="default"/>
                <w:highlight w:val="none"/>
                <w:lang w:val="en-US" w:eastAsia="zh-CN"/>
              </w:rPr>
              <w:t>、主要生产设备设施</w:t>
            </w:r>
          </w:p>
          <w:p>
            <w:pPr>
              <w:bidi w:val="0"/>
              <w:rPr>
                <w:rFonts w:hint="default"/>
                <w:highlight w:val="none"/>
                <w:lang w:val="en-US" w:eastAsia="zh-CN"/>
              </w:rPr>
            </w:pPr>
            <w:r>
              <w:rPr>
                <w:rFonts w:hint="default"/>
                <w:highlight w:val="none"/>
                <w:lang w:val="en-US" w:eastAsia="zh-CN"/>
              </w:rPr>
              <w:t>主要生产设备见</w:t>
            </w:r>
            <w:r>
              <w:rPr>
                <w:rFonts w:hint="eastAsia"/>
                <w:highlight w:val="none"/>
                <w:lang w:val="en-US" w:eastAsia="zh-CN"/>
              </w:rPr>
              <w:t>下表</w:t>
            </w:r>
            <w:r>
              <w:rPr>
                <w:rFonts w:hint="default"/>
                <w:highlight w:val="none"/>
                <w:lang w:val="en-US" w:eastAsia="zh-CN"/>
              </w:rPr>
              <w:t>。</w:t>
            </w:r>
          </w:p>
          <w:p>
            <w:pPr>
              <w:bidi w:val="0"/>
              <w:jc w:val="center"/>
              <w:rPr>
                <w:rFonts w:hint="default"/>
                <w:highlight w:val="none"/>
              </w:rPr>
            </w:pPr>
            <w:r>
              <w:rPr>
                <w:rFonts w:hint="default"/>
                <w:highlight w:val="none"/>
              </w:rPr>
              <w:t>表</w:t>
            </w:r>
            <w:r>
              <w:rPr>
                <w:rFonts w:hint="default"/>
                <w:highlight w:val="none"/>
                <w:lang w:val="en-US" w:eastAsia="zh-CN"/>
              </w:rPr>
              <w:t>4</w:t>
            </w:r>
            <w:r>
              <w:rPr>
                <w:rFonts w:hint="default"/>
                <w:highlight w:val="none"/>
              </w:rPr>
              <w:t xml:space="preserve">   </w:t>
            </w:r>
            <w:r>
              <w:rPr>
                <w:highlight w:val="none"/>
              </w:rPr>
              <w:t xml:space="preserve">   主要生产设备一览表</w:t>
            </w:r>
          </w:p>
          <w:tbl>
            <w:tblPr>
              <w:tblStyle w:val="22"/>
              <w:tblW w:w="4998"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689"/>
              <w:gridCol w:w="2389"/>
              <w:gridCol w:w="1485"/>
              <w:gridCol w:w="838"/>
              <w:gridCol w:w="1287"/>
              <w:gridCol w:w="944"/>
              <w:gridCol w:w="946"/>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402"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rFonts w:hint="eastAsia"/>
                      <w:sz w:val="21"/>
                      <w:szCs w:val="21"/>
                      <w:highlight w:val="none"/>
                    </w:rPr>
                    <w:t>序号</w:t>
                  </w:r>
                </w:p>
              </w:tc>
              <w:tc>
                <w:tcPr>
                  <w:tcW w:w="1392"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rFonts w:hint="eastAsia"/>
                      <w:sz w:val="21"/>
                      <w:szCs w:val="21"/>
                      <w:highlight w:val="none"/>
                    </w:rPr>
                    <w:t>设备名称</w:t>
                  </w:r>
                </w:p>
              </w:tc>
              <w:tc>
                <w:tcPr>
                  <w:tcW w:w="865"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rFonts w:hint="eastAsia"/>
                      <w:sz w:val="21"/>
                      <w:szCs w:val="21"/>
                      <w:highlight w:val="none"/>
                    </w:rPr>
                    <w:t>型号规格</w:t>
                  </w:r>
                </w:p>
              </w:tc>
              <w:tc>
                <w:tcPr>
                  <w:tcW w:w="488"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rFonts w:hint="eastAsia"/>
                      <w:sz w:val="21"/>
                      <w:szCs w:val="21"/>
                      <w:highlight w:val="none"/>
                    </w:rPr>
                    <w:t>台数</w:t>
                  </w:r>
                </w:p>
              </w:tc>
              <w:tc>
                <w:tcPr>
                  <w:tcW w:w="1851" w:type="pct"/>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highlight w:val="none"/>
                    </w:rPr>
                  </w:pPr>
                  <w:r>
                    <w:rPr>
                      <w:rFonts w:hint="eastAsia"/>
                      <w:sz w:val="21"/>
                      <w:szCs w:val="21"/>
                      <w:highlight w:val="none"/>
                    </w:rPr>
                    <w:t>操作条件</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40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highlight w:val="none"/>
                    </w:rPr>
                  </w:pPr>
                </w:p>
              </w:tc>
              <w:tc>
                <w:tcPr>
                  <w:tcW w:w="139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highlight w:val="none"/>
                    </w:rPr>
                  </w:pPr>
                </w:p>
              </w:tc>
              <w:tc>
                <w:tcPr>
                  <w:tcW w:w="86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highlight w:val="none"/>
                    </w:rPr>
                  </w:pPr>
                </w:p>
              </w:tc>
              <w:tc>
                <w:tcPr>
                  <w:tcW w:w="48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highlight w:val="none"/>
                    </w:rPr>
                  </w:pPr>
                </w:p>
              </w:tc>
              <w:tc>
                <w:tcPr>
                  <w:tcW w:w="7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rFonts w:hint="eastAsia"/>
                      <w:sz w:val="21"/>
                      <w:szCs w:val="21"/>
                      <w:highlight w:val="none"/>
                    </w:rPr>
                    <w:t>介质</w:t>
                  </w:r>
                </w:p>
              </w:tc>
              <w:tc>
                <w:tcPr>
                  <w:tcW w:w="5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rFonts w:hint="eastAsia"/>
                      <w:sz w:val="21"/>
                      <w:szCs w:val="21"/>
                      <w:highlight w:val="none"/>
                    </w:rPr>
                    <w:t>温度</w:t>
                  </w:r>
                </w:p>
              </w:tc>
              <w:tc>
                <w:tcPr>
                  <w:tcW w:w="5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rFonts w:hint="eastAsia"/>
                      <w:sz w:val="21"/>
                      <w:szCs w:val="21"/>
                      <w:highlight w:val="none"/>
                    </w:rPr>
                    <w:t>压力</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4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w:t>
                  </w:r>
                </w:p>
              </w:tc>
              <w:tc>
                <w:tcPr>
                  <w:tcW w:w="1392" w:type="pct"/>
                  <w:tcBorders>
                    <w:tl2br w:val="nil"/>
                    <w:tr2bl w:val="nil"/>
                  </w:tcBorders>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Cs/>
                      <w:sz w:val="21"/>
                      <w:szCs w:val="21"/>
                      <w:highlight w:val="none"/>
                    </w:rPr>
                  </w:pPr>
                  <w:r>
                    <w:rPr>
                      <w:rFonts w:hint="default" w:ascii="Times New Roman" w:hAnsi="Times New Roman" w:cs="Times New Roman"/>
                      <w:bCs/>
                      <w:sz w:val="21"/>
                      <w:szCs w:val="21"/>
                      <w:highlight w:val="none"/>
                    </w:rPr>
                    <w:t>丙烷储罐</w:t>
                  </w:r>
                </w:p>
              </w:tc>
              <w:tc>
                <w:tcPr>
                  <w:tcW w:w="865" w:type="pct"/>
                  <w:tcBorders>
                    <w:tl2br w:val="nil"/>
                    <w:tr2bl w:val="nil"/>
                  </w:tcBorders>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Cs/>
                      <w:sz w:val="21"/>
                      <w:szCs w:val="21"/>
                      <w:highlight w:val="none"/>
                    </w:rPr>
                  </w:pPr>
                  <w:r>
                    <w:rPr>
                      <w:rFonts w:hint="default" w:ascii="Times New Roman" w:hAnsi="Times New Roman" w:cs="Times New Roman"/>
                      <w:kern w:val="0"/>
                      <w:sz w:val="21"/>
                      <w:szCs w:val="21"/>
                      <w:highlight w:val="none"/>
                    </w:rPr>
                    <w:t>Ⅲ-50</w:t>
                  </w:r>
                </w:p>
              </w:tc>
              <w:tc>
                <w:tcPr>
                  <w:tcW w:w="48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4</w:t>
                  </w:r>
                </w:p>
              </w:tc>
              <w:tc>
                <w:tcPr>
                  <w:tcW w:w="7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丙烷</w:t>
                  </w:r>
                </w:p>
              </w:tc>
              <w:tc>
                <w:tcPr>
                  <w:tcW w:w="5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-42</w:t>
                  </w:r>
                </w:p>
              </w:tc>
              <w:tc>
                <w:tcPr>
                  <w:tcW w:w="5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4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w:t>
                  </w:r>
                </w:p>
              </w:tc>
              <w:tc>
                <w:tcPr>
                  <w:tcW w:w="1392" w:type="pct"/>
                  <w:tcBorders>
                    <w:tl2br w:val="nil"/>
                    <w:tr2bl w:val="nil"/>
                  </w:tcBorders>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Cs/>
                      <w:sz w:val="21"/>
                      <w:szCs w:val="21"/>
                      <w:highlight w:val="none"/>
                    </w:rPr>
                  </w:pPr>
                  <w:r>
                    <w:rPr>
                      <w:rFonts w:hint="default" w:ascii="Times New Roman" w:hAnsi="Times New Roman" w:cs="Times New Roman"/>
                      <w:bCs/>
                      <w:sz w:val="21"/>
                      <w:szCs w:val="21"/>
                      <w:highlight w:val="none"/>
                    </w:rPr>
                    <w:t>石油丙烷气循环压缩机</w:t>
                  </w:r>
                </w:p>
              </w:tc>
              <w:tc>
                <w:tcPr>
                  <w:tcW w:w="865" w:type="pct"/>
                  <w:tcBorders>
                    <w:tl2br w:val="nil"/>
                    <w:tr2bl w:val="nil"/>
                  </w:tcBorders>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Cs/>
                      <w:sz w:val="21"/>
                      <w:szCs w:val="21"/>
                      <w:highlight w:val="none"/>
                    </w:rPr>
                  </w:pPr>
                  <w:r>
                    <w:rPr>
                      <w:rFonts w:hint="default" w:ascii="Times New Roman" w:hAnsi="Times New Roman" w:cs="Times New Roman"/>
                      <w:kern w:val="0"/>
                      <w:sz w:val="21"/>
                      <w:szCs w:val="21"/>
                      <w:highlight w:val="none"/>
                    </w:rPr>
                    <w:t>ZW-1.62</w:t>
                  </w:r>
                </w:p>
              </w:tc>
              <w:tc>
                <w:tcPr>
                  <w:tcW w:w="48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w:t>
                  </w:r>
                </w:p>
              </w:tc>
              <w:tc>
                <w:tcPr>
                  <w:tcW w:w="7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丙烷</w:t>
                  </w:r>
                </w:p>
              </w:tc>
              <w:tc>
                <w:tcPr>
                  <w:tcW w:w="5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-42</w:t>
                  </w:r>
                </w:p>
              </w:tc>
              <w:tc>
                <w:tcPr>
                  <w:tcW w:w="5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4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w:t>
                  </w:r>
                </w:p>
              </w:tc>
              <w:tc>
                <w:tcPr>
                  <w:tcW w:w="1392" w:type="pct"/>
                  <w:tcBorders>
                    <w:tl2br w:val="nil"/>
                    <w:tr2bl w:val="nil"/>
                  </w:tcBorders>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Cs/>
                      <w:sz w:val="21"/>
                      <w:szCs w:val="21"/>
                      <w:highlight w:val="none"/>
                    </w:rPr>
                  </w:pPr>
                  <w:r>
                    <w:rPr>
                      <w:rFonts w:hint="default" w:ascii="Times New Roman" w:hAnsi="Times New Roman" w:cs="Times New Roman"/>
                      <w:bCs/>
                      <w:sz w:val="21"/>
                      <w:szCs w:val="21"/>
                      <w:highlight w:val="none"/>
                    </w:rPr>
                    <w:t>烃泵</w:t>
                  </w:r>
                </w:p>
              </w:tc>
              <w:tc>
                <w:tcPr>
                  <w:tcW w:w="865" w:type="pct"/>
                  <w:tcBorders>
                    <w:tl2br w:val="nil"/>
                    <w:tr2bl w:val="nil"/>
                  </w:tcBorders>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Cs/>
                      <w:sz w:val="21"/>
                      <w:szCs w:val="21"/>
                      <w:highlight w:val="none"/>
                    </w:rPr>
                  </w:pPr>
                  <w:r>
                    <w:rPr>
                      <w:rFonts w:hint="default" w:ascii="Times New Roman" w:hAnsi="Times New Roman" w:cs="Times New Roman"/>
                      <w:kern w:val="0"/>
                      <w:sz w:val="21"/>
                      <w:szCs w:val="21"/>
                      <w:highlight w:val="none"/>
                    </w:rPr>
                    <w:t>YRJM15-5</w:t>
                  </w:r>
                </w:p>
              </w:tc>
              <w:tc>
                <w:tcPr>
                  <w:tcW w:w="48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w:t>
                  </w:r>
                </w:p>
              </w:tc>
              <w:tc>
                <w:tcPr>
                  <w:tcW w:w="7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丙烷</w:t>
                  </w:r>
                </w:p>
              </w:tc>
              <w:tc>
                <w:tcPr>
                  <w:tcW w:w="5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-42</w:t>
                  </w:r>
                </w:p>
              </w:tc>
              <w:tc>
                <w:tcPr>
                  <w:tcW w:w="5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4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4</w:t>
                  </w:r>
                </w:p>
              </w:tc>
              <w:tc>
                <w:tcPr>
                  <w:tcW w:w="139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二氧化碳储槽</w:t>
                  </w:r>
                </w:p>
              </w:tc>
              <w:tc>
                <w:tcPr>
                  <w:tcW w:w="8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kern w:val="0"/>
                      <w:sz w:val="21"/>
                      <w:szCs w:val="21"/>
                      <w:highlight w:val="none"/>
                    </w:rPr>
                    <w:t>CFL-20/2.16</w:t>
                  </w:r>
                </w:p>
              </w:tc>
              <w:tc>
                <w:tcPr>
                  <w:tcW w:w="48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w:t>
                  </w:r>
                </w:p>
              </w:tc>
              <w:tc>
                <w:tcPr>
                  <w:tcW w:w="7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二氧化碳</w:t>
                  </w:r>
                </w:p>
              </w:tc>
              <w:tc>
                <w:tcPr>
                  <w:tcW w:w="5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-78.5</w:t>
                  </w:r>
                </w:p>
              </w:tc>
              <w:tc>
                <w:tcPr>
                  <w:tcW w:w="5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7" w:hRule="atLeast"/>
                <w:jc w:val="center"/>
              </w:trPr>
              <w:tc>
                <w:tcPr>
                  <w:tcW w:w="402" w:type="pct"/>
                  <w:tcBorders>
                    <w:top w:val="single" w:color="auto" w:sz="4" w:space="0"/>
                    <w:bottom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5</w:t>
                  </w:r>
                </w:p>
              </w:tc>
              <w:tc>
                <w:tcPr>
                  <w:tcW w:w="1392" w:type="pct"/>
                  <w:tcBorders>
                    <w:top w:val="single" w:color="auto" w:sz="4" w:space="0"/>
                    <w:bottom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低温储槽</w:t>
                  </w:r>
                </w:p>
              </w:tc>
              <w:tc>
                <w:tcPr>
                  <w:tcW w:w="865" w:type="pct"/>
                  <w:tcBorders>
                    <w:top w:val="single" w:color="auto" w:sz="4" w:space="0"/>
                    <w:bottom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CFL-20/0.8</w:t>
                  </w:r>
                </w:p>
              </w:tc>
              <w:tc>
                <w:tcPr>
                  <w:tcW w:w="488" w:type="pct"/>
                  <w:tcBorders>
                    <w:top w:val="single" w:color="auto" w:sz="4" w:space="0"/>
                    <w:bottom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w:t>
                  </w:r>
                </w:p>
              </w:tc>
              <w:tc>
                <w:tcPr>
                  <w:tcW w:w="750" w:type="pct"/>
                  <w:tcBorders>
                    <w:top w:val="single" w:color="auto" w:sz="4" w:space="0"/>
                    <w:bottom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液氮</w:t>
                  </w:r>
                </w:p>
              </w:tc>
              <w:tc>
                <w:tcPr>
                  <w:tcW w:w="550" w:type="pct"/>
                  <w:tcBorders>
                    <w:top w:val="single" w:color="auto" w:sz="4" w:space="0"/>
                    <w:bottom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-196</w:t>
                  </w:r>
                </w:p>
              </w:tc>
              <w:tc>
                <w:tcPr>
                  <w:tcW w:w="551" w:type="pct"/>
                  <w:tcBorders>
                    <w:top w:val="single" w:color="auto" w:sz="4" w:space="0"/>
                    <w:bottom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≤0.85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18" w:hRule="atLeast"/>
                <w:jc w:val="center"/>
              </w:trPr>
              <w:tc>
                <w:tcPr>
                  <w:tcW w:w="402" w:type="pct"/>
                  <w:tcBorders>
                    <w:top w:val="single" w:color="auto" w:sz="4" w:space="0"/>
                    <w:bottom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6</w:t>
                  </w:r>
                </w:p>
              </w:tc>
              <w:tc>
                <w:tcPr>
                  <w:tcW w:w="1392" w:type="pct"/>
                  <w:tcBorders>
                    <w:top w:val="single" w:color="auto" w:sz="4" w:space="0"/>
                    <w:bottom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低温储槽</w:t>
                  </w:r>
                </w:p>
              </w:tc>
              <w:tc>
                <w:tcPr>
                  <w:tcW w:w="865" w:type="pct"/>
                  <w:tcBorders>
                    <w:top w:val="single" w:color="auto" w:sz="4" w:space="0"/>
                    <w:bottom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CFL-20/0.8</w:t>
                  </w:r>
                </w:p>
              </w:tc>
              <w:tc>
                <w:tcPr>
                  <w:tcW w:w="488" w:type="pct"/>
                  <w:tcBorders>
                    <w:top w:val="single" w:color="auto" w:sz="4" w:space="0"/>
                    <w:bottom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w:t>
                  </w:r>
                </w:p>
              </w:tc>
              <w:tc>
                <w:tcPr>
                  <w:tcW w:w="750" w:type="pct"/>
                  <w:tcBorders>
                    <w:top w:val="single" w:color="auto" w:sz="4" w:space="0"/>
                    <w:bottom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液氩</w:t>
                  </w:r>
                </w:p>
              </w:tc>
              <w:tc>
                <w:tcPr>
                  <w:tcW w:w="550" w:type="pct"/>
                  <w:tcBorders>
                    <w:top w:val="single" w:color="auto" w:sz="4" w:space="0"/>
                    <w:bottom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-186</w:t>
                  </w:r>
                </w:p>
              </w:tc>
              <w:tc>
                <w:tcPr>
                  <w:tcW w:w="551" w:type="pct"/>
                  <w:tcBorders>
                    <w:top w:val="single" w:color="auto" w:sz="4" w:space="0"/>
                    <w:bottom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≤0.85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01" w:hRule="atLeast"/>
                <w:jc w:val="center"/>
              </w:trPr>
              <w:tc>
                <w:tcPr>
                  <w:tcW w:w="402" w:type="pct"/>
                  <w:tcBorders>
                    <w:top w:val="single" w:color="auto" w:sz="4" w:space="0"/>
                    <w:bottom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7</w:t>
                  </w:r>
                </w:p>
              </w:tc>
              <w:tc>
                <w:tcPr>
                  <w:tcW w:w="1392" w:type="pct"/>
                  <w:tcBorders>
                    <w:top w:val="single" w:color="auto" w:sz="4" w:space="0"/>
                    <w:bottom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sz w:val="21"/>
                      <w:szCs w:val="21"/>
                      <w:highlight w:val="none"/>
                    </w:rPr>
                    <w:t>低温液体泵</w:t>
                  </w:r>
                </w:p>
              </w:tc>
              <w:tc>
                <w:tcPr>
                  <w:tcW w:w="865" w:type="pct"/>
                  <w:tcBorders>
                    <w:top w:val="single" w:color="auto" w:sz="4" w:space="0"/>
                    <w:bottom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BPO600/165</w:t>
                  </w:r>
                </w:p>
              </w:tc>
              <w:tc>
                <w:tcPr>
                  <w:tcW w:w="488" w:type="pct"/>
                  <w:tcBorders>
                    <w:top w:val="single" w:color="auto" w:sz="4" w:space="0"/>
                    <w:bottom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w:t>
                  </w:r>
                </w:p>
              </w:tc>
              <w:tc>
                <w:tcPr>
                  <w:tcW w:w="750" w:type="pct"/>
                  <w:tcBorders>
                    <w:top w:val="single" w:color="auto" w:sz="4" w:space="0"/>
                    <w:bottom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液氧</w:t>
                  </w:r>
                </w:p>
              </w:tc>
              <w:tc>
                <w:tcPr>
                  <w:tcW w:w="550" w:type="pct"/>
                  <w:tcBorders>
                    <w:top w:val="single" w:color="auto" w:sz="4" w:space="0"/>
                    <w:bottom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-183</w:t>
                  </w:r>
                </w:p>
              </w:tc>
              <w:tc>
                <w:tcPr>
                  <w:tcW w:w="551" w:type="pct"/>
                  <w:tcBorders>
                    <w:top w:val="single" w:color="auto" w:sz="4" w:space="0"/>
                    <w:bottom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≤16.5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4" w:hRule="atLeast"/>
                <w:jc w:val="center"/>
              </w:trPr>
              <w:tc>
                <w:tcPr>
                  <w:tcW w:w="402" w:type="pct"/>
                  <w:tcBorders>
                    <w:top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8</w:t>
                  </w:r>
                </w:p>
              </w:tc>
              <w:tc>
                <w:tcPr>
                  <w:tcW w:w="1392" w:type="pct"/>
                  <w:tcBorders>
                    <w:top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sz w:val="21"/>
                      <w:szCs w:val="21"/>
                      <w:highlight w:val="none"/>
                    </w:rPr>
                    <w:t>低温液体泵</w:t>
                  </w:r>
                </w:p>
              </w:tc>
              <w:tc>
                <w:tcPr>
                  <w:tcW w:w="865" w:type="pct"/>
                  <w:tcBorders>
                    <w:top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BPO600/165</w:t>
                  </w:r>
                </w:p>
              </w:tc>
              <w:tc>
                <w:tcPr>
                  <w:tcW w:w="488" w:type="pct"/>
                  <w:tcBorders>
                    <w:top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w:t>
                  </w:r>
                </w:p>
              </w:tc>
              <w:tc>
                <w:tcPr>
                  <w:tcW w:w="750" w:type="pct"/>
                  <w:tcBorders>
                    <w:top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液氮</w:t>
                  </w:r>
                </w:p>
              </w:tc>
              <w:tc>
                <w:tcPr>
                  <w:tcW w:w="550" w:type="pct"/>
                  <w:tcBorders>
                    <w:top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-196</w:t>
                  </w:r>
                </w:p>
              </w:tc>
              <w:tc>
                <w:tcPr>
                  <w:tcW w:w="551" w:type="pct"/>
                  <w:tcBorders>
                    <w:top w:val="single" w:color="auto" w:sz="4" w:space="0"/>
                    <w:tl2br w:val="nil"/>
                    <w:tr2bl w:val="nil"/>
                  </w:tcBorders>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≤16.5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4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sz w:val="21"/>
                      <w:szCs w:val="21"/>
                      <w:highlight w:val="none"/>
                      <w:lang w:eastAsia="zh-CN"/>
                    </w:rPr>
                  </w:pPr>
                  <w:r>
                    <w:rPr>
                      <w:rFonts w:hint="eastAsia" w:ascii="Times New Roman" w:hAnsi="Times New Roman" w:cs="Times New Roman"/>
                      <w:sz w:val="21"/>
                      <w:szCs w:val="21"/>
                      <w:highlight w:val="none"/>
                      <w:lang w:val="en-US" w:eastAsia="zh-CN"/>
                    </w:rPr>
                    <w:t>9</w:t>
                  </w:r>
                </w:p>
              </w:tc>
              <w:tc>
                <w:tcPr>
                  <w:tcW w:w="139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低温液体泵</w:t>
                  </w:r>
                </w:p>
              </w:tc>
              <w:tc>
                <w:tcPr>
                  <w:tcW w:w="865" w:type="pct"/>
                  <w:tcBorders>
                    <w:tl2br w:val="nil"/>
                    <w:tr2bl w:val="nil"/>
                  </w:tcBorders>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kern w:val="0"/>
                      <w:sz w:val="21"/>
                      <w:szCs w:val="21"/>
                      <w:highlight w:val="none"/>
                    </w:rPr>
                    <w:t>BPO600/165</w:t>
                  </w:r>
                </w:p>
              </w:tc>
              <w:tc>
                <w:tcPr>
                  <w:tcW w:w="48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w:t>
                  </w:r>
                </w:p>
              </w:tc>
              <w:tc>
                <w:tcPr>
                  <w:tcW w:w="7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液氩</w:t>
                  </w:r>
                </w:p>
              </w:tc>
              <w:tc>
                <w:tcPr>
                  <w:tcW w:w="5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-186</w:t>
                  </w:r>
                </w:p>
              </w:tc>
              <w:tc>
                <w:tcPr>
                  <w:tcW w:w="551" w:type="pct"/>
                  <w:tcBorders>
                    <w:tl2br w:val="nil"/>
                    <w:tr2bl w:val="nil"/>
                  </w:tcBorders>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≤16.5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4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10</w:t>
                  </w:r>
                </w:p>
              </w:tc>
              <w:tc>
                <w:tcPr>
                  <w:tcW w:w="139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空温式高压气化器</w:t>
                  </w:r>
                </w:p>
              </w:tc>
              <w:tc>
                <w:tcPr>
                  <w:tcW w:w="865" w:type="pct"/>
                  <w:tcBorders>
                    <w:tl2br w:val="nil"/>
                    <w:tr2bl w:val="nil"/>
                  </w:tcBorders>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Cs/>
                      <w:sz w:val="21"/>
                      <w:szCs w:val="21"/>
                      <w:highlight w:val="none"/>
                    </w:rPr>
                  </w:pPr>
                  <w:r>
                    <w:rPr>
                      <w:rFonts w:hint="default" w:ascii="Times New Roman" w:hAnsi="Times New Roman" w:cs="Times New Roman"/>
                      <w:bCs/>
                      <w:sz w:val="21"/>
                      <w:szCs w:val="21"/>
                      <w:highlight w:val="none"/>
                    </w:rPr>
                    <w:t>GY-300</w:t>
                  </w:r>
                </w:p>
              </w:tc>
              <w:tc>
                <w:tcPr>
                  <w:tcW w:w="48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w:t>
                  </w:r>
                </w:p>
              </w:tc>
              <w:tc>
                <w:tcPr>
                  <w:tcW w:w="7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eastAsia" w:ascii="Calibri" w:hAnsi="Calibri"/>
                      <w:bCs/>
                      <w:sz w:val="21"/>
                      <w:szCs w:val="21"/>
                      <w:highlight w:val="none"/>
                    </w:rPr>
                    <w:t>-</w:t>
                  </w:r>
                </w:p>
              </w:tc>
              <w:tc>
                <w:tcPr>
                  <w:tcW w:w="5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常温</w:t>
                  </w:r>
                </w:p>
              </w:tc>
              <w:tc>
                <w:tcPr>
                  <w:tcW w:w="5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≤16.5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18" w:hRule="atLeast"/>
                <w:jc w:val="center"/>
              </w:trPr>
              <w:tc>
                <w:tcPr>
                  <w:tcW w:w="4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11</w:t>
                  </w:r>
                </w:p>
              </w:tc>
              <w:tc>
                <w:tcPr>
                  <w:tcW w:w="139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ascii="宋体" w:hAnsi="宋体" w:cs="宋体"/>
                      <w:sz w:val="21"/>
                      <w:szCs w:val="21"/>
                      <w:highlight w:val="none"/>
                    </w:rPr>
                  </w:pPr>
                  <w:r>
                    <w:rPr>
                      <w:rFonts w:hint="eastAsia" w:ascii="宋体" w:hAnsi="宋体" w:cs="宋体"/>
                      <w:sz w:val="21"/>
                      <w:szCs w:val="21"/>
                      <w:highlight w:val="none"/>
                    </w:rPr>
                    <w:t>充灌排</w:t>
                  </w:r>
                </w:p>
              </w:tc>
              <w:tc>
                <w:tcPr>
                  <w:tcW w:w="865" w:type="pct"/>
                  <w:tcBorders>
                    <w:tl2br w:val="nil"/>
                    <w:tr2bl w:val="nil"/>
                  </w:tcBorders>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ascii="Calibri" w:hAnsi="Calibri"/>
                      <w:bCs/>
                      <w:sz w:val="21"/>
                      <w:szCs w:val="21"/>
                      <w:highlight w:val="none"/>
                    </w:rPr>
                  </w:pPr>
                  <w:r>
                    <w:rPr>
                      <w:rFonts w:hint="eastAsia" w:ascii="Calibri" w:hAnsi="Calibri"/>
                      <w:bCs/>
                      <w:sz w:val="21"/>
                      <w:szCs w:val="21"/>
                      <w:highlight w:val="none"/>
                    </w:rPr>
                    <w:t>-</w:t>
                  </w:r>
                </w:p>
              </w:tc>
              <w:tc>
                <w:tcPr>
                  <w:tcW w:w="48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rFonts w:hint="eastAsia"/>
                      <w:sz w:val="21"/>
                      <w:szCs w:val="21"/>
                      <w:highlight w:val="none"/>
                    </w:rPr>
                    <w:t>4套</w:t>
                  </w:r>
                </w:p>
              </w:tc>
              <w:tc>
                <w:tcPr>
                  <w:tcW w:w="7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rFonts w:hint="eastAsia" w:ascii="Calibri" w:hAnsi="Calibri"/>
                      <w:bCs/>
                      <w:sz w:val="21"/>
                      <w:szCs w:val="21"/>
                      <w:highlight w:val="none"/>
                    </w:rPr>
                    <w:t>-</w:t>
                  </w:r>
                </w:p>
              </w:tc>
              <w:tc>
                <w:tcPr>
                  <w:tcW w:w="5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sz w:val="21"/>
                      <w:szCs w:val="21"/>
                      <w:highlight w:val="none"/>
                    </w:rPr>
                    <w:t>常温</w:t>
                  </w:r>
                </w:p>
              </w:tc>
              <w:tc>
                <w:tcPr>
                  <w:tcW w:w="5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sz w:val="21"/>
                      <w:szCs w:val="21"/>
                      <w:highlight w:val="none"/>
                    </w:rPr>
                    <w:t>≤</w:t>
                  </w:r>
                  <w:r>
                    <w:rPr>
                      <w:rFonts w:hint="eastAsia"/>
                      <w:sz w:val="21"/>
                      <w:szCs w:val="21"/>
                      <w:highlight w:val="none"/>
                    </w:rPr>
                    <w:t>16.5</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outlineLvl w:val="9"/>
              <w:rPr>
                <w:rFonts w:hint="default" w:ascii="Times New Roman" w:hAnsi="Times New Roman" w:eastAsia="宋体" w:cs="Times New Roman"/>
                <w:b/>
                <w:color w:val="000000"/>
                <w:sz w:val="24"/>
                <w:highlight w:val="none"/>
              </w:rPr>
            </w:pPr>
            <w:r>
              <w:rPr>
                <w:rFonts w:hint="default" w:ascii="Times New Roman" w:hAnsi="Times New Roman" w:eastAsia="宋体" w:cs="Times New Roman"/>
                <w:b w:val="0"/>
                <w:bCs w:val="0"/>
                <w:color w:val="auto"/>
                <w:kern w:val="2"/>
                <w:sz w:val="24"/>
                <w:szCs w:val="24"/>
                <w:highlight w:val="none"/>
                <w:u w:val="none"/>
                <w:lang w:val="en-US" w:eastAsia="zh-CN" w:bidi="ar-SA"/>
              </w:rPr>
              <w:t>根据</w:t>
            </w:r>
            <w:r>
              <w:rPr>
                <w:rFonts w:hint="default" w:ascii="Times New Roman" w:hAnsi="Times New Roman" w:cs="Times New Roman"/>
                <w:b w:val="0"/>
                <w:bCs w:val="0"/>
                <w:color w:val="auto"/>
                <w:sz w:val="24"/>
                <w:highlight w:val="none"/>
                <w:u w:val="none"/>
              </w:rPr>
              <w:t>《产业结构调整指导目录（20</w:t>
            </w:r>
            <w:r>
              <w:rPr>
                <w:rFonts w:hint="eastAsia" w:ascii="Times New Roman" w:hAnsi="Times New Roman" w:cs="Times New Roman"/>
                <w:b w:val="0"/>
                <w:bCs w:val="0"/>
                <w:color w:val="auto"/>
                <w:sz w:val="24"/>
                <w:highlight w:val="none"/>
                <w:u w:val="none"/>
                <w:lang w:val="en-US" w:eastAsia="zh-CN"/>
              </w:rPr>
              <w:t>19</w:t>
            </w:r>
            <w:r>
              <w:rPr>
                <w:rFonts w:hint="default" w:ascii="Times New Roman" w:hAnsi="Times New Roman" w:cs="Times New Roman"/>
                <w:b w:val="0"/>
                <w:bCs w:val="0"/>
                <w:color w:val="auto"/>
                <w:sz w:val="24"/>
                <w:highlight w:val="none"/>
                <w:u w:val="none"/>
              </w:rPr>
              <w:t>年本）》</w:t>
            </w:r>
            <w:r>
              <w:rPr>
                <w:rFonts w:hint="default" w:ascii="Times New Roman" w:hAnsi="Times New Roman" w:eastAsia="宋体" w:cs="Times New Roman"/>
                <w:color w:val="auto"/>
                <w:kern w:val="2"/>
                <w:sz w:val="24"/>
                <w:szCs w:val="24"/>
                <w:highlight w:val="none"/>
                <w:u w:val="none"/>
                <w:lang w:val="en-US" w:eastAsia="zh-CN" w:bidi="ar-SA"/>
              </w:rPr>
              <w:t>以及</w:t>
            </w:r>
            <w:r>
              <w:rPr>
                <w:rFonts w:hint="default" w:ascii="Times New Roman" w:hAnsi="Times New Roman" w:cs="Times New Roman"/>
                <w:color w:val="auto"/>
                <w:sz w:val="24"/>
                <w:szCs w:val="24"/>
                <w:highlight w:val="none"/>
                <w:u w:val="none"/>
              </w:rPr>
              <w:t>《高耗能机电设备淘汰目录（全四批）》，本项目</w:t>
            </w:r>
            <w:r>
              <w:rPr>
                <w:rFonts w:hint="default" w:ascii="Times New Roman" w:hAnsi="Times New Roman" w:cs="Times New Roman"/>
                <w:color w:val="auto"/>
                <w:sz w:val="24"/>
                <w:szCs w:val="24"/>
                <w:highlight w:val="none"/>
                <w:u w:val="none"/>
                <w:lang w:eastAsia="zh-CN"/>
              </w:rPr>
              <w:t>所选用的</w:t>
            </w:r>
            <w:r>
              <w:rPr>
                <w:rFonts w:hint="default" w:ascii="Times New Roman" w:hAnsi="Times New Roman" w:cs="Times New Roman"/>
                <w:color w:val="auto"/>
                <w:sz w:val="24"/>
                <w:szCs w:val="24"/>
                <w:highlight w:val="none"/>
                <w:u w:val="none"/>
              </w:rPr>
              <w:t>设备</w:t>
            </w:r>
            <w:r>
              <w:rPr>
                <w:rFonts w:hint="default" w:ascii="Times New Roman" w:hAnsi="Times New Roman" w:cs="Times New Roman"/>
                <w:color w:val="auto"/>
                <w:sz w:val="24"/>
                <w:szCs w:val="24"/>
                <w:highlight w:val="none"/>
                <w:u w:val="none"/>
                <w:lang w:eastAsia="zh-CN"/>
              </w:rPr>
              <w:t>均</w:t>
            </w:r>
            <w:r>
              <w:rPr>
                <w:rFonts w:hint="default" w:ascii="Times New Roman" w:hAnsi="Times New Roman" w:cs="Times New Roman"/>
                <w:color w:val="auto"/>
                <w:sz w:val="24"/>
                <w:szCs w:val="24"/>
                <w:highlight w:val="none"/>
                <w:u w:val="none"/>
              </w:rPr>
              <w:t>不</w:t>
            </w:r>
            <w:r>
              <w:rPr>
                <w:rFonts w:hint="default" w:ascii="Times New Roman" w:hAnsi="Times New Roman" w:cs="Times New Roman"/>
                <w:color w:val="auto"/>
                <w:sz w:val="24"/>
                <w:szCs w:val="24"/>
                <w:highlight w:val="none"/>
                <w:u w:val="none"/>
                <w:lang w:eastAsia="zh-CN"/>
              </w:rPr>
              <w:t>在淘汰落后设备之列</w:t>
            </w:r>
            <w:r>
              <w:rPr>
                <w:rFonts w:hint="default" w:ascii="Times New Roman" w:hAnsi="Times New Roman" w:cs="Times New Roman"/>
                <w:color w:val="auto"/>
                <w:sz w:val="24"/>
                <w:szCs w:val="24"/>
                <w:highlight w:val="none"/>
                <w:u w:val="none"/>
              </w:rPr>
              <w:t>。</w:t>
            </w:r>
          </w:p>
          <w:p>
            <w:pPr>
              <w:bidi w:val="0"/>
              <w:rPr>
                <w:b/>
                <w:bCs/>
                <w:highlight w:val="none"/>
              </w:rPr>
            </w:pPr>
            <w:r>
              <w:rPr>
                <w:rFonts w:hint="eastAsia"/>
                <w:b/>
                <w:bCs/>
                <w:highlight w:val="none"/>
                <w:lang w:val="en-US" w:eastAsia="zh-CN"/>
              </w:rPr>
              <w:t>7</w:t>
            </w:r>
            <w:r>
              <w:rPr>
                <w:rFonts w:hint="default"/>
                <w:b/>
                <w:bCs/>
                <w:highlight w:val="none"/>
              </w:rPr>
              <w:t>、</w:t>
            </w:r>
            <w:r>
              <w:rPr>
                <w:rFonts w:hint="eastAsia"/>
                <w:b/>
                <w:bCs/>
                <w:highlight w:val="none"/>
              </w:rPr>
              <w:t>项目</w:t>
            </w:r>
            <w:r>
              <w:rPr>
                <w:b/>
                <w:bCs/>
                <w:highlight w:val="none"/>
              </w:rPr>
              <w:t>选址合理性分析</w:t>
            </w:r>
          </w:p>
          <w:p>
            <w:pPr>
              <w:bidi w:val="0"/>
              <w:rPr>
                <w:rFonts w:hint="default"/>
                <w:b/>
                <w:bCs/>
                <w:highlight w:val="none"/>
                <w:lang w:val="en-US" w:eastAsia="zh-CN"/>
              </w:rPr>
            </w:pPr>
            <w:r>
              <w:rPr>
                <w:rFonts w:hint="default"/>
                <w:b/>
                <w:bCs/>
                <w:highlight w:val="none"/>
                <w:lang w:val="en-US" w:eastAsia="zh-CN"/>
              </w:rPr>
              <w:t>（一）产业政策、规划相符性</w:t>
            </w:r>
          </w:p>
          <w:p>
            <w:pPr>
              <w:bidi w:val="0"/>
              <w:rPr>
                <w:rFonts w:hint="default"/>
                <w:highlight w:val="none"/>
                <w:lang w:val="en-US" w:eastAsia="zh-CN"/>
              </w:rPr>
            </w:pPr>
            <w:r>
              <w:rPr>
                <w:rFonts w:hint="default"/>
                <w:highlight w:val="none"/>
                <w:lang w:val="en-US" w:eastAsia="zh-CN"/>
              </w:rPr>
              <w:t>经查阅国民经济行业分类（GB/T4754-2017），本项目为危险化学品仓储（行业代码：C5942），根据《产业结构调整指导目录（2019年本）》，</w:t>
            </w:r>
            <w:r>
              <w:rPr>
                <w:rFonts w:hint="eastAsia"/>
                <w:highlight w:val="none"/>
                <w:lang w:val="en-US" w:eastAsia="zh-CN"/>
              </w:rPr>
              <w:t>本</w:t>
            </w:r>
            <w:r>
              <w:rPr>
                <w:rFonts w:hint="default"/>
                <w:highlight w:val="none"/>
                <w:lang w:val="en-US" w:eastAsia="zh-CN"/>
              </w:rPr>
              <w:t>项目</w:t>
            </w:r>
            <w:r>
              <w:rPr>
                <w:rFonts w:hint="eastAsia"/>
                <w:highlight w:val="none"/>
                <w:lang w:val="en-US" w:eastAsia="zh-CN"/>
              </w:rPr>
              <w:t>不</w:t>
            </w:r>
            <w:r>
              <w:rPr>
                <w:rFonts w:hint="default"/>
                <w:highlight w:val="none"/>
                <w:lang w:val="en-US" w:eastAsia="zh-CN"/>
              </w:rPr>
              <w:t>属于</w:t>
            </w:r>
            <w:r>
              <w:rPr>
                <w:rFonts w:hint="eastAsia"/>
                <w:highlight w:val="none"/>
                <w:lang w:val="en-US" w:eastAsia="zh-CN"/>
              </w:rPr>
              <w:t>鼓励类、限制类和淘汰类，为</w:t>
            </w:r>
            <w:r>
              <w:rPr>
                <w:rFonts w:hint="eastAsia"/>
                <w:highlight w:val="none"/>
                <w:lang w:eastAsia="zh-CN"/>
              </w:rPr>
              <w:t>允许</w:t>
            </w:r>
            <w:r>
              <w:rPr>
                <w:rFonts w:hint="default"/>
                <w:highlight w:val="none"/>
              </w:rPr>
              <w:t>类</w:t>
            </w:r>
            <w:r>
              <w:rPr>
                <w:rFonts w:hint="eastAsia"/>
                <w:highlight w:val="none"/>
                <w:lang w:eastAsia="zh-CN"/>
              </w:rPr>
              <w:t>，</w:t>
            </w:r>
            <w:r>
              <w:rPr>
                <w:rFonts w:hint="default"/>
                <w:highlight w:val="none"/>
                <w:lang w:val="en-US" w:eastAsia="zh-CN"/>
              </w:rPr>
              <w:t>符合国家产业政策。</w:t>
            </w:r>
            <w:r>
              <w:rPr>
                <w:rFonts w:hint="eastAsia"/>
                <w:highlight w:val="none"/>
                <w:lang w:val="en-US" w:eastAsia="zh-CN"/>
              </w:rPr>
              <w:t>本项目已在新乡县发展和改革委员会备案，备案文件见附件二，项目代码为豫新新乡制造[2015]07033。本项目备案内容与建设内容相符性分析见下表。</w:t>
            </w:r>
          </w:p>
          <w:p>
            <w:pPr>
              <w:pStyle w:val="45"/>
              <w:bidi w:val="0"/>
              <w:rPr>
                <w:highlight w:val="none"/>
              </w:rPr>
            </w:pPr>
            <w:r>
              <w:rPr>
                <w:rFonts w:hint="default"/>
                <w:highlight w:val="none"/>
              </w:rPr>
              <w:t>表</w:t>
            </w:r>
            <w:r>
              <w:rPr>
                <w:rFonts w:hint="default"/>
                <w:highlight w:val="none"/>
                <w:lang w:val="en-US" w:eastAsia="zh-CN"/>
              </w:rPr>
              <w:t>5</w:t>
            </w:r>
            <w:r>
              <w:rPr>
                <w:rFonts w:hint="default"/>
                <w:highlight w:val="none"/>
              </w:rPr>
              <w:t xml:space="preserve">          项</w:t>
            </w:r>
            <w:r>
              <w:rPr>
                <w:highlight w:val="none"/>
              </w:rPr>
              <w:t>目备案内容与建设内容相符性</w:t>
            </w:r>
          </w:p>
          <w:tbl>
            <w:tblPr>
              <w:tblStyle w:val="21"/>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27"/>
              <w:gridCol w:w="755"/>
              <w:gridCol w:w="3088"/>
              <w:gridCol w:w="3034"/>
              <w:gridCol w:w="97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noWrap w:val="0"/>
                  <w:vAlign w:val="center"/>
                </w:tcPr>
                <w:p>
                  <w:pPr>
                    <w:pStyle w:val="29"/>
                    <w:bidi w:val="0"/>
                    <w:rPr>
                      <w:rFonts w:hint="default"/>
                      <w:highlight w:val="none"/>
                    </w:rPr>
                  </w:pPr>
                  <w:r>
                    <w:rPr>
                      <w:rFonts w:hint="default"/>
                      <w:highlight w:val="none"/>
                    </w:rPr>
                    <w:t>序号</w:t>
                  </w:r>
                </w:p>
              </w:tc>
              <w:tc>
                <w:tcPr>
                  <w:tcW w:w="440" w:type="pct"/>
                  <w:noWrap w:val="0"/>
                  <w:vAlign w:val="center"/>
                </w:tcPr>
                <w:p>
                  <w:pPr>
                    <w:pStyle w:val="29"/>
                    <w:bidi w:val="0"/>
                    <w:rPr>
                      <w:rFonts w:hint="default"/>
                      <w:highlight w:val="none"/>
                    </w:rPr>
                  </w:pPr>
                  <w:r>
                    <w:rPr>
                      <w:rFonts w:hint="default"/>
                      <w:highlight w:val="none"/>
                    </w:rPr>
                    <w:t>项目</w:t>
                  </w:r>
                </w:p>
              </w:tc>
              <w:tc>
                <w:tcPr>
                  <w:tcW w:w="1800" w:type="pct"/>
                  <w:noWrap w:val="0"/>
                  <w:vAlign w:val="center"/>
                </w:tcPr>
                <w:p>
                  <w:pPr>
                    <w:pStyle w:val="29"/>
                    <w:bidi w:val="0"/>
                    <w:rPr>
                      <w:rFonts w:hint="default"/>
                      <w:highlight w:val="none"/>
                    </w:rPr>
                  </w:pPr>
                  <w:r>
                    <w:rPr>
                      <w:rFonts w:hint="default"/>
                      <w:highlight w:val="none"/>
                    </w:rPr>
                    <w:t>备案内容</w:t>
                  </w:r>
                </w:p>
              </w:tc>
              <w:tc>
                <w:tcPr>
                  <w:tcW w:w="1768" w:type="pct"/>
                  <w:noWrap w:val="0"/>
                  <w:vAlign w:val="center"/>
                </w:tcPr>
                <w:p>
                  <w:pPr>
                    <w:pStyle w:val="29"/>
                    <w:bidi w:val="0"/>
                    <w:rPr>
                      <w:rFonts w:hint="default"/>
                      <w:highlight w:val="none"/>
                    </w:rPr>
                  </w:pPr>
                  <w:r>
                    <w:rPr>
                      <w:rFonts w:hint="default"/>
                      <w:highlight w:val="none"/>
                    </w:rPr>
                    <w:t>建设内容</w:t>
                  </w:r>
                </w:p>
              </w:tc>
              <w:tc>
                <w:tcPr>
                  <w:tcW w:w="566" w:type="pct"/>
                  <w:noWrap w:val="0"/>
                  <w:vAlign w:val="center"/>
                </w:tcPr>
                <w:p>
                  <w:pPr>
                    <w:pStyle w:val="29"/>
                    <w:bidi w:val="0"/>
                    <w:rPr>
                      <w:rFonts w:hint="default"/>
                      <w:highlight w:val="none"/>
                    </w:rPr>
                  </w:pPr>
                  <w:r>
                    <w:rPr>
                      <w:rFonts w:hint="default"/>
                      <w:highlight w:val="none"/>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noWrap w:val="0"/>
                  <w:vAlign w:val="center"/>
                </w:tcPr>
                <w:p>
                  <w:pPr>
                    <w:pStyle w:val="29"/>
                    <w:bidi w:val="0"/>
                    <w:rPr>
                      <w:rFonts w:hint="default"/>
                      <w:highlight w:val="none"/>
                    </w:rPr>
                  </w:pPr>
                  <w:r>
                    <w:rPr>
                      <w:rFonts w:hint="default"/>
                      <w:highlight w:val="none"/>
                    </w:rPr>
                    <w:t>1</w:t>
                  </w:r>
                </w:p>
              </w:tc>
              <w:tc>
                <w:tcPr>
                  <w:tcW w:w="440" w:type="pct"/>
                  <w:noWrap w:val="0"/>
                  <w:vAlign w:val="center"/>
                </w:tcPr>
                <w:p>
                  <w:pPr>
                    <w:pStyle w:val="29"/>
                    <w:bidi w:val="0"/>
                    <w:rPr>
                      <w:rFonts w:hint="default"/>
                      <w:highlight w:val="none"/>
                    </w:rPr>
                  </w:pPr>
                  <w:r>
                    <w:rPr>
                      <w:rFonts w:hint="default"/>
                      <w:highlight w:val="none"/>
                    </w:rPr>
                    <w:t>投资</w:t>
                  </w:r>
                </w:p>
              </w:tc>
              <w:tc>
                <w:tcPr>
                  <w:tcW w:w="1800" w:type="pct"/>
                  <w:noWrap w:val="0"/>
                  <w:vAlign w:val="center"/>
                </w:tcPr>
                <w:p>
                  <w:pPr>
                    <w:pStyle w:val="29"/>
                    <w:bidi w:val="0"/>
                    <w:rPr>
                      <w:rFonts w:hint="default"/>
                      <w:highlight w:val="none"/>
                    </w:rPr>
                  </w:pPr>
                  <w:r>
                    <w:rPr>
                      <w:rFonts w:hint="default"/>
                      <w:highlight w:val="none"/>
                    </w:rPr>
                    <w:t>投资</w:t>
                  </w:r>
                  <w:r>
                    <w:rPr>
                      <w:rFonts w:hint="eastAsia"/>
                      <w:highlight w:val="none"/>
                      <w:lang w:val="en-US" w:eastAsia="zh-CN"/>
                    </w:rPr>
                    <w:t>2320</w:t>
                  </w:r>
                  <w:r>
                    <w:rPr>
                      <w:rFonts w:hint="default"/>
                      <w:highlight w:val="none"/>
                    </w:rPr>
                    <w:t>万</w:t>
                  </w:r>
                  <w:r>
                    <w:rPr>
                      <w:rFonts w:hint="default"/>
                      <w:highlight w:val="none"/>
                      <w:lang w:eastAsia="zh-CN"/>
                    </w:rPr>
                    <w:t>元</w:t>
                  </w:r>
                </w:p>
              </w:tc>
              <w:tc>
                <w:tcPr>
                  <w:tcW w:w="1768" w:type="pct"/>
                  <w:noWrap w:val="0"/>
                  <w:vAlign w:val="center"/>
                </w:tcPr>
                <w:p>
                  <w:pPr>
                    <w:pStyle w:val="29"/>
                    <w:bidi w:val="0"/>
                    <w:rPr>
                      <w:rFonts w:hint="default"/>
                      <w:highlight w:val="none"/>
                    </w:rPr>
                  </w:pPr>
                  <w:r>
                    <w:rPr>
                      <w:rFonts w:hint="default"/>
                      <w:highlight w:val="none"/>
                    </w:rPr>
                    <w:t>投资</w:t>
                  </w:r>
                  <w:r>
                    <w:rPr>
                      <w:rFonts w:hint="eastAsia"/>
                      <w:highlight w:val="none"/>
                      <w:lang w:val="en-US" w:eastAsia="zh-CN"/>
                    </w:rPr>
                    <w:t>2320</w:t>
                  </w:r>
                  <w:r>
                    <w:rPr>
                      <w:rFonts w:hint="default"/>
                      <w:highlight w:val="none"/>
                    </w:rPr>
                    <w:t>万</w:t>
                  </w:r>
                  <w:r>
                    <w:rPr>
                      <w:rFonts w:hint="default"/>
                      <w:highlight w:val="none"/>
                      <w:lang w:eastAsia="zh-CN"/>
                    </w:rPr>
                    <w:t>元</w:t>
                  </w:r>
                </w:p>
              </w:tc>
              <w:tc>
                <w:tcPr>
                  <w:tcW w:w="566" w:type="pct"/>
                  <w:noWrap w:val="0"/>
                  <w:vAlign w:val="center"/>
                </w:tcPr>
                <w:p>
                  <w:pPr>
                    <w:pStyle w:val="29"/>
                    <w:bidi w:val="0"/>
                    <w:rPr>
                      <w:rFonts w:hint="default"/>
                      <w:highlight w:val="none"/>
                    </w:rPr>
                  </w:pPr>
                  <w:r>
                    <w:rPr>
                      <w:rFonts w:hint="default"/>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noWrap w:val="0"/>
                  <w:vAlign w:val="center"/>
                </w:tcPr>
                <w:p>
                  <w:pPr>
                    <w:pStyle w:val="29"/>
                    <w:bidi w:val="0"/>
                    <w:rPr>
                      <w:rFonts w:hint="default"/>
                      <w:highlight w:val="none"/>
                      <w:lang w:val="en-US" w:eastAsia="zh-CN"/>
                    </w:rPr>
                  </w:pPr>
                  <w:r>
                    <w:rPr>
                      <w:rFonts w:hint="default"/>
                      <w:highlight w:val="none"/>
                      <w:lang w:val="en-US" w:eastAsia="zh-CN"/>
                    </w:rPr>
                    <w:t>2</w:t>
                  </w:r>
                </w:p>
              </w:tc>
              <w:tc>
                <w:tcPr>
                  <w:tcW w:w="440" w:type="pct"/>
                  <w:noWrap w:val="0"/>
                  <w:vAlign w:val="center"/>
                </w:tcPr>
                <w:p>
                  <w:pPr>
                    <w:pStyle w:val="29"/>
                    <w:bidi w:val="0"/>
                    <w:rPr>
                      <w:rFonts w:hint="default"/>
                      <w:highlight w:val="none"/>
                    </w:rPr>
                  </w:pPr>
                  <w:r>
                    <w:rPr>
                      <w:rFonts w:hint="default"/>
                      <w:highlight w:val="none"/>
                    </w:rPr>
                    <w:t>建设规模</w:t>
                  </w:r>
                </w:p>
              </w:tc>
              <w:tc>
                <w:tcPr>
                  <w:tcW w:w="1800" w:type="pct"/>
                  <w:noWrap w:val="0"/>
                  <w:vAlign w:val="center"/>
                </w:tcPr>
                <w:p>
                  <w:pPr>
                    <w:pStyle w:val="29"/>
                    <w:bidi w:val="0"/>
                    <w:rPr>
                      <w:rFonts w:hint="default"/>
                      <w:highlight w:val="none"/>
                      <w:lang w:val="en-US" w:eastAsia="zh-CN"/>
                    </w:rPr>
                  </w:pPr>
                  <w:r>
                    <w:rPr>
                      <w:rFonts w:hint="eastAsia"/>
                      <w:highlight w:val="none"/>
                      <w:lang w:eastAsia="zh-CN"/>
                    </w:rPr>
                    <w:t>年分装</w:t>
                  </w:r>
                  <w:r>
                    <w:rPr>
                      <w:rFonts w:hint="eastAsia"/>
                      <w:highlight w:val="none"/>
                      <w:lang w:val="en-US" w:eastAsia="zh-CN"/>
                    </w:rPr>
                    <w:t>7000吨工业气体项目</w:t>
                  </w:r>
                </w:p>
              </w:tc>
              <w:tc>
                <w:tcPr>
                  <w:tcW w:w="1768" w:type="pct"/>
                  <w:noWrap w:val="0"/>
                  <w:vAlign w:val="center"/>
                </w:tcPr>
                <w:p>
                  <w:pPr>
                    <w:pStyle w:val="29"/>
                    <w:bidi w:val="0"/>
                    <w:rPr>
                      <w:rFonts w:hint="default"/>
                      <w:highlight w:val="none"/>
                    </w:rPr>
                  </w:pPr>
                  <w:r>
                    <w:rPr>
                      <w:rFonts w:hint="eastAsia"/>
                      <w:highlight w:val="none"/>
                      <w:lang w:eastAsia="zh-CN"/>
                    </w:rPr>
                    <w:t>年分装</w:t>
                  </w:r>
                  <w:r>
                    <w:rPr>
                      <w:rFonts w:hint="eastAsia"/>
                      <w:highlight w:val="none"/>
                      <w:lang w:val="en-US" w:eastAsia="zh-CN"/>
                    </w:rPr>
                    <w:t>7000吨工业气体项目</w:t>
                  </w:r>
                </w:p>
              </w:tc>
              <w:tc>
                <w:tcPr>
                  <w:tcW w:w="566" w:type="pct"/>
                  <w:noWrap w:val="0"/>
                  <w:vAlign w:val="center"/>
                </w:tcPr>
                <w:p>
                  <w:pPr>
                    <w:pStyle w:val="29"/>
                    <w:bidi w:val="0"/>
                    <w:rPr>
                      <w:rFonts w:hint="default"/>
                      <w:highlight w:val="none"/>
                    </w:rPr>
                  </w:pPr>
                  <w:r>
                    <w:rPr>
                      <w:rFonts w:hint="default"/>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noWrap w:val="0"/>
                  <w:vAlign w:val="center"/>
                </w:tcPr>
                <w:p>
                  <w:pPr>
                    <w:pStyle w:val="29"/>
                    <w:bidi w:val="0"/>
                    <w:rPr>
                      <w:rFonts w:hint="default"/>
                      <w:highlight w:val="none"/>
                      <w:lang w:eastAsia="zh-CN"/>
                    </w:rPr>
                  </w:pPr>
                  <w:r>
                    <w:rPr>
                      <w:rFonts w:hint="default"/>
                      <w:highlight w:val="none"/>
                      <w:lang w:val="en-US" w:eastAsia="zh-CN"/>
                    </w:rPr>
                    <w:t>3</w:t>
                  </w:r>
                </w:p>
              </w:tc>
              <w:tc>
                <w:tcPr>
                  <w:tcW w:w="440" w:type="pct"/>
                  <w:noWrap w:val="0"/>
                  <w:vAlign w:val="center"/>
                </w:tcPr>
                <w:p>
                  <w:pPr>
                    <w:pStyle w:val="29"/>
                    <w:bidi w:val="0"/>
                    <w:rPr>
                      <w:rFonts w:hint="default"/>
                      <w:highlight w:val="none"/>
                    </w:rPr>
                  </w:pPr>
                  <w:r>
                    <w:rPr>
                      <w:rFonts w:hint="default"/>
                      <w:highlight w:val="none"/>
                    </w:rPr>
                    <w:t>建设地点</w:t>
                  </w:r>
                </w:p>
              </w:tc>
              <w:tc>
                <w:tcPr>
                  <w:tcW w:w="1800" w:type="pct"/>
                  <w:noWrap w:val="0"/>
                  <w:vAlign w:val="center"/>
                </w:tcPr>
                <w:p>
                  <w:pPr>
                    <w:pStyle w:val="29"/>
                    <w:bidi w:val="0"/>
                    <w:rPr>
                      <w:rFonts w:hint="default"/>
                      <w:highlight w:val="none"/>
                      <w:lang w:eastAsia="zh-CN"/>
                    </w:rPr>
                  </w:pPr>
                  <w:r>
                    <w:rPr>
                      <w:rFonts w:hint="eastAsia"/>
                      <w:highlight w:val="none"/>
                      <w:lang w:eastAsia="zh-CN"/>
                    </w:rPr>
                    <w:t>新乡市新乡县大召营产业集聚区</w:t>
                  </w:r>
                </w:p>
              </w:tc>
              <w:tc>
                <w:tcPr>
                  <w:tcW w:w="1768" w:type="pct"/>
                  <w:noWrap w:val="0"/>
                  <w:vAlign w:val="center"/>
                </w:tcPr>
                <w:p>
                  <w:pPr>
                    <w:pStyle w:val="29"/>
                    <w:bidi w:val="0"/>
                    <w:rPr>
                      <w:rFonts w:hint="default"/>
                      <w:highlight w:val="none"/>
                    </w:rPr>
                  </w:pPr>
                  <w:r>
                    <w:rPr>
                      <w:rFonts w:hint="eastAsia"/>
                      <w:highlight w:val="none"/>
                      <w:lang w:eastAsia="zh-CN"/>
                    </w:rPr>
                    <w:t>新乡市新乡县大召营产业集聚区</w:t>
                  </w:r>
                </w:p>
              </w:tc>
              <w:tc>
                <w:tcPr>
                  <w:tcW w:w="566" w:type="pct"/>
                  <w:noWrap w:val="0"/>
                  <w:vAlign w:val="center"/>
                </w:tcPr>
                <w:p>
                  <w:pPr>
                    <w:pStyle w:val="29"/>
                    <w:bidi w:val="0"/>
                    <w:rPr>
                      <w:rFonts w:hint="default"/>
                      <w:highlight w:val="none"/>
                    </w:rPr>
                  </w:pPr>
                  <w:r>
                    <w:rPr>
                      <w:rFonts w:hint="default"/>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424" w:type="pct"/>
                  <w:noWrap w:val="0"/>
                  <w:vAlign w:val="center"/>
                </w:tcPr>
                <w:p>
                  <w:pPr>
                    <w:pStyle w:val="29"/>
                    <w:bidi w:val="0"/>
                    <w:rPr>
                      <w:rFonts w:hint="default"/>
                      <w:highlight w:val="none"/>
                      <w:lang w:eastAsia="zh-CN"/>
                    </w:rPr>
                  </w:pPr>
                  <w:r>
                    <w:rPr>
                      <w:rFonts w:hint="default"/>
                      <w:highlight w:val="none"/>
                      <w:lang w:val="en-US" w:eastAsia="zh-CN"/>
                    </w:rPr>
                    <w:t>4</w:t>
                  </w:r>
                </w:p>
              </w:tc>
              <w:tc>
                <w:tcPr>
                  <w:tcW w:w="440" w:type="pct"/>
                  <w:noWrap w:val="0"/>
                  <w:vAlign w:val="center"/>
                </w:tcPr>
                <w:p>
                  <w:pPr>
                    <w:pStyle w:val="29"/>
                    <w:bidi w:val="0"/>
                    <w:rPr>
                      <w:rFonts w:hint="default"/>
                      <w:highlight w:val="none"/>
                    </w:rPr>
                  </w:pPr>
                  <w:r>
                    <w:rPr>
                      <w:rFonts w:hint="default"/>
                      <w:highlight w:val="none"/>
                    </w:rPr>
                    <w:t>建设内容</w:t>
                  </w:r>
                </w:p>
              </w:tc>
              <w:tc>
                <w:tcPr>
                  <w:tcW w:w="1800" w:type="pct"/>
                  <w:noWrap w:val="0"/>
                  <w:vAlign w:val="center"/>
                </w:tcPr>
                <w:p>
                  <w:pPr>
                    <w:pStyle w:val="29"/>
                    <w:bidi w:val="0"/>
                    <w:rPr>
                      <w:rFonts w:hint="default"/>
                      <w:highlight w:val="none"/>
                      <w:lang w:eastAsia="zh-CN"/>
                    </w:rPr>
                  </w:pPr>
                  <w:r>
                    <w:rPr>
                      <w:rFonts w:hint="eastAsia"/>
                      <w:highlight w:val="none"/>
                      <w:lang w:eastAsia="zh-CN"/>
                    </w:rPr>
                    <w:t>在现有项目院内进行建设不新增土地</w:t>
                  </w:r>
                </w:p>
              </w:tc>
              <w:tc>
                <w:tcPr>
                  <w:tcW w:w="1768" w:type="pct"/>
                  <w:noWrap w:val="0"/>
                  <w:vAlign w:val="center"/>
                </w:tcPr>
                <w:p>
                  <w:pPr>
                    <w:pStyle w:val="29"/>
                    <w:bidi w:val="0"/>
                    <w:rPr>
                      <w:rFonts w:hint="default"/>
                      <w:highlight w:val="none"/>
                      <w:lang w:eastAsia="zh-CN"/>
                    </w:rPr>
                  </w:pPr>
                  <w:r>
                    <w:rPr>
                      <w:rFonts w:hint="eastAsia"/>
                      <w:highlight w:val="none"/>
                      <w:lang w:eastAsia="zh-CN"/>
                    </w:rPr>
                    <w:t>在现有项目院内进行建设不新增土地</w:t>
                  </w:r>
                </w:p>
              </w:tc>
              <w:tc>
                <w:tcPr>
                  <w:tcW w:w="566" w:type="pct"/>
                  <w:noWrap w:val="0"/>
                  <w:vAlign w:val="center"/>
                </w:tcPr>
                <w:p>
                  <w:pPr>
                    <w:pStyle w:val="29"/>
                    <w:bidi w:val="0"/>
                    <w:rPr>
                      <w:rFonts w:hint="default"/>
                      <w:highlight w:val="none"/>
                    </w:rPr>
                  </w:pPr>
                  <w:r>
                    <w:rPr>
                      <w:rFonts w:hint="default"/>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noWrap w:val="0"/>
                  <w:vAlign w:val="center"/>
                </w:tcPr>
                <w:p>
                  <w:pPr>
                    <w:pStyle w:val="29"/>
                    <w:bidi w:val="0"/>
                    <w:rPr>
                      <w:rFonts w:hint="default"/>
                      <w:highlight w:val="none"/>
                      <w:lang w:eastAsia="zh-CN"/>
                    </w:rPr>
                  </w:pPr>
                  <w:r>
                    <w:rPr>
                      <w:rFonts w:hint="default"/>
                      <w:highlight w:val="none"/>
                      <w:lang w:val="en-US" w:eastAsia="zh-CN"/>
                    </w:rPr>
                    <w:t>5</w:t>
                  </w:r>
                </w:p>
              </w:tc>
              <w:tc>
                <w:tcPr>
                  <w:tcW w:w="440" w:type="pct"/>
                  <w:noWrap w:val="0"/>
                  <w:vAlign w:val="center"/>
                </w:tcPr>
                <w:p>
                  <w:pPr>
                    <w:pStyle w:val="29"/>
                    <w:bidi w:val="0"/>
                    <w:rPr>
                      <w:rFonts w:hint="default"/>
                      <w:highlight w:val="none"/>
                    </w:rPr>
                  </w:pPr>
                  <w:r>
                    <w:rPr>
                      <w:rFonts w:hint="default"/>
                      <w:highlight w:val="none"/>
                    </w:rPr>
                    <w:t>主要生产设备</w:t>
                  </w:r>
                </w:p>
              </w:tc>
              <w:tc>
                <w:tcPr>
                  <w:tcW w:w="1800" w:type="pct"/>
                  <w:noWrap w:val="0"/>
                  <w:vAlign w:val="center"/>
                </w:tcPr>
                <w:p>
                  <w:pPr>
                    <w:pStyle w:val="29"/>
                    <w:bidi w:val="0"/>
                    <w:rPr>
                      <w:rFonts w:hint="default"/>
                      <w:highlight w:val="none"/>
                      <w:lang w:val="en-US" w:eastAsia="zh-CN"/>
                    </w:rPr>
                  </w:pPr>
                  <w:r>
                    <w:rPr>
                      <w:rFonts w:hint="eastAsia"/>
                      <w:highlight w:val="none"/>
                      <w:lang w:val="en-US" w:eastAsia="zh-CN"/>
                    </w:rPr>
                    <w:t>丙烷储罐、石油丙烷气循环压缩机、液化石油气泵、工业气体低温储槽、空温式高压汽化器、低温液体泵</w:t>
                  </w:r>
                </w:p>
              </w:tc>
              <w:tc>
                <w:tcPr>
                  <w:tcW w:w="1768" w:type="pct"/>
                  <w:noWrap w:val="0"/>
                  <w:vAlign w:val="center"/>
                </w:tcPr>
                <w:p>
                  <w:pPr>
                    <w:pStyle w:val="29"/>
                    <w:bidi w:val="0"/>
                    <w:rPr>
                      <w:rFonts w:hint="eastAsia"/>
                      <w:highlight w:val="none"/>
                      <w:lang w:val="en-US" w:eastAsia="zh-CN"/>
                    </w:rPr>
                  </w:pPr>
                  <w:r>
                    <w:rPr>
                      <w:rFonts w:hint="eastAsia"/>
                      <w:highlight w:val="none"/>
                      <w:lang w:val="en-US" w:eastAsia="zh-CN"/>
                    </w:rPr>
                    <w:t>丙烷储罐、石油丙烷气循环压缩机、烃泵、二氧化碳储槽</w:t>
                  </w:r>
                </w:p>
                <w:p>
                  <w:pPr>
                    <w:pStyle w:val="29"/>
                    <w:bidi w:val="0"/>
                    <w:rPr>
                      <w:rFonts w:hint="default"/>
                      <w:highlight w:val="none"/>
                      <w:lang w:val="en-US"/>
                    </w:rPr>
                  </w:pPr>
                  <w:r>
                    <w:rPr>
                      <w:rFonts w:hint="eastAsia"/>
                      <w:highlight w:val="none"/>
                      <w:lang w:val="en-US" w:eastAsia="zh-CN"/>
                    </w:rPr>
                    <w:t>低温储槽、低温液体泵、空温式高压气化器、充灌排</w:t>
                  </w:r>
                </w:p>
              </w:tc>
              <w:tc>
                <w:tcPr>
                  <w:tcW w:w="566" w:type="pct"/>
                  <w:noWrap w:val="0"/>
                  <w:vAlign w:val="center"/>
                </w:tcPr>
                <w:p>
                  <w:pPr>
                    <w:pStyle w:val="29"/>
                    <w:bidi w:val="0"/>
                    <w:rPr>
                      <w:rFonts w:hint="default"/>
                      <w:highlight w:val="none"/>
                      <w:lang w:eastAsia="zh-CN"/>
                    </w:rPr>
                  </w:pPr>
                  <w:r>
                    <w:rPr>
                      <w:rFonts w:hint="eastAsia"/>
                      <w:highlight w:val="none"/>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noWrap w:val="0"/>
                  <w:vAlign w:val="center"/>
                </w:tcPr>
                <w:p>
                  <w:pPr>
                    <w:pStyle w:val="29"/>
                    <w:bidi w:val="0"/>
                    <w:rPr>
                      <w:rFonts w:hint="default"/>
                      <w:highlight w:val="none"/>
                      <w:lang w:val="en-US" w:eastAsia="zh-CN"/>
                    </w:rPr>
                  </w:pPr>
                  <w:r>
                    <w:rPr>
                      <w:rFonts w:hint="default"/>
                      <w:highlight w:val="none"/>
                      <w:lang w:val="en-US" w:eastAsia="zh-CN"/>
                    </w:rPr>
                    <w:t>6</w:t>
                  </w:r>
                </w:p>
              </w:tc>
              <w:tc>
                <w:tcPr>
                  <w:tcW w:w="440" w:type="pct"/>
                  <w:noWrap w:val="0"/>
                  <w:vAlign w:val="center"/>
                </w:tcPr>
                <w:p>
                  <w:pPr>
                    <w:pStyle w:val="29"/>
                    <w:bidi w:val="0"/>
                    <w:rPr>
                      <w:rFonts w:hint="default"/>
                      <w:highlight w:val="none"/>
                      <w:lang w:eastAsia="zh-CN"/>
                    </w:rPr>
                  </w:pPr>
                  <w:r>
                    <w:rPr>
                      <w:rFonts w:hint="default"/>
                      <w:highlight w:val="none"/>
                      <w:lang w:eastAsia="zh-CN"/>
                    </w:rPr>
                    <w:t>工艺流程</w:t>
                  </w:r>
                </w:p>
              </w:tc>
              <w:tc>
                <w:tcPr>
                  <w:tcW w:w="1800" w:type="pct"/>
                  <w:noWrap w:val="0"/>
                  <w:vAlign w:val="center"/>
                </w:tcPr>
                <w:p>
                  <w:pPr>
                    <w:pStyle w:val="29"/>
                    <w:bidi w:val="0"/>
                    <w:rPr>
                      <w:rFonts w:hint="default"/>
                      <w:highlight w:val="none"/>
                      <w:lang w:val="en-US" w:eastAsia="zh-CN"/>
                    </w:rPr>
                  </w:pPr>
                  <w:r>
                    <w:rPr>
                      <w:rFonts w:hint="eastAsia"/>
                      <w:highlight w:val="none"/>
                      <w:lang w:val="en-US" w:eastAsia="zh-CN"/>
                    </w:rPr>
                    <w:t>钢瓶充装前检查-空瓶称重后上卡具-加压-下卡具称重-钢瓶充装后检查-质量检验-成品入库；钢瓶充装前检查-上卡具-压缩-气化-下卡具-钢瓶充装后检查-质量检验-成品入库</w:t>
                  </w:r>
                </w:p>
              </w:tc>
              <w:tc>
                <w:tcPr>
                  <w:tcW w:w="1768" w:type="pct"/>
                  <w:noWrap w:val="0"/>
                  <w:vAlign w:val="center"/>
                </w:tcPr>
                <w:p>
                  <w:pPr>
                    <w:pStyle w:val="29"/>
                    <w:bidi w:val="0"/>
                    <w:rPr>
                      <w:rFonts w:hint="default"/>
                      <w:highlight w:val="none"/>
                      <w:lang w:val="en-US" w:eastAsia="zh-CN"/>
                    </w:rPr>
                  </w:pPr>
                  <w:r>
                    <w:rPr>
                      <w:rFonts w:hint="eastAsia"/>
                      <w:highlight w:val="none"/>
                      <w:lang w:val="en-US" w:eastAsia="zh-CN"/>
                    </w:rPr>
                    <w:t>钢瓶充装前检查-空瓶称重后上卡具-加压-下卡具称重-钢瓶充装后检查-质量检验-成品入库；钢瓶充装前检查-上卡具-压缩-气化-下卡具-钢瓶充装后检查-质量检验-成品入库</w:t>
                  </w:r>
                </w:p>
              </w:tc>
              <w:tc>
                <w:tcPr>
                  <w:tcW w:w="566" w:type="pct"/>
                  <w:noWrap w:val="0"/>
                  <w:vAlign w:val="center"/>
                </w:tcPr>
                <w:p>
                  <w:pPr>
                    <w:pStyle w:val="29"/>
                    <w:bidi w:val="0"/>
                    <w:rPr>
                      <w:rFonts w:hint="default"/>
                      <w:highlight w:val="none"/>
                      <w:lang w:eastAsia="zh-CN"/>
                    </w:rPr>
                  </w:pPr>
                  <w:r>
                    <w:rPr>
                      <w:rFonts w:hint="eastAsia"/>
                      <w:highlight w:val="none"/>
                      <w:lang w:eastAsia="zh-CN"/>
                    </w:rPr>
                    <w:t>符合</w:t>
                  </w:r>
                </w:p>
              </w:tc>
            </w:tr>
          </w:tbl>
          <w:p>
            <w:pPr>
              <w:bidi w:val="0"/>
              <w:rPr>
                <w:rFonts w:hint="eastAsia"/>
                <w:highlight w:val="none"/>
                <w:lang w:val="en-US" w:eastAsia="zh-CN"/>
              </w:rPr>
            </w:pPr>
            <w:r>
              <w:rPr>
                <w:rFonts w:hint="eastAsia"/>
                <w:highlight w:val="none"/>
                <w:lang w:val="en-US" w:eastAsia="zh-CN"/>
              </w:rPr>
              <w:t>相符性分析：从项目建设投资、规模、内容、设备、工艺流程等几个方面对比分析，项目建设内容与备案内容相符。</w:t>
            </w:r>
          </w:p>
          <w:p>
            <w:pPr>
              <w:pStyle w:val="4"/>
              <w:bidi w:val="0"/>
              <w:rPr>
                <w:rFonts w:hint="default"/>
                <w:highlight w:val="none"/>
                <w:lang w:val="en-US" w:eastAsia="zh-CN"/>
              </w:rPr>
            </w:pPr>
            <w:r>
              <w:rPr>
                <w:rFonts w:hint="eastAsia"/>
                <w:highlight w:val="none"/>
                <w:lang w:val="en-US" w:eastAsia="zh-CN"/>
              </w:rPr>
              <w:t>（二）与新环</w:t>
            </w:r>
            <w:r>
              <w:rPr>
                <w:rFonts w:hint="default"/>
                <w:highlight w:val="none"/>
                <w:lang w:val="en-US" w:eastAsia="zh-CN"/>
              </w:rPr>
              <w:t>[2015]342号文的对照分析</w:t>
            </w:r>
          </w:p>
          <w:p>
            <w:pPr>
              <w:bidi w:val="0"/>
              <w:rPr>
                <w:rFonts w:hint="default"/>
                <w:highlight w:val="none"/>
                <w:lang w:val="en-US" w:eastAsia="zh-CN"/>
              </w:rPr>
            </w:pPr>
            <w:r>
              <w:rPr>
                <w:rFonts w:hint="default"/>
                <w:highlight w:val="none"/>
                <w:lang w:val="en-US" w:eastAsia="zh-CN"/>
              </w:rPr>
              <w:t>与《新乡市环境保护局关于印发深化建设项目环境影响评价审批制度改革实施细则的通知》新环[2015]342号（以下简称《通知》）对照分析见下表。</w:t>
            </w:r>
          </w:p>
          <w:p>
            <w:pPr>
              <w:pStyle w:val="45"/>
              <w:bidi w:val="0"/>
              <w:rPr>
                <w:rFonts w:hint="eastAsia"/>
                <w:highlight w:val="none"/>
                <w:lang w:val="en-US" w:eastAsia="zh-CN"/>
              </w:rPr>
            </w:pPr>
            <w:r>
              <w:rPr>
                <w:rFonts w:hint="default"/>
                <w:highlight w:val="none"/>
                <w:lang w:val="en-US" w:eastAsia="zh-CN"/>
              </w:rPr>
              <w:t xml:space="preserve">表6   </w:t>
            </w:r>
            <w:r>
              <w:rPr>
                <w:rFonts w:hint="eastAsia"/>
                <w:highlight w:val="none"/>
                <w:lang w:val="en-US" w:eastAsia="zh-CN"/>
              </w:rPr>
              <w:t xml:space="preserve">  与《通知》对比分析一览表</w:t>
            </w:r>
          </w:p>
          <w:tbl>
            <w:tblPr>
              <w:tblStyle w:val="21"/>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75"/>
              <w:gridCol w:w="1350"/>
              <w:gridCol w:w="3231"/>
              <w:gridCol w:w="1927"/>
              <w:gridCol w:w="89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85" w:type="pct"/>
                  <w:noWrap w:val="0"/>
                  <w:vAlign w:val="center"/>
                </w:tcPr>
                <w:p>
                  <w:pPr>
                    <w:pStyle w:val="29"/>
                    <w:bidi w:val="0"/>
                    <w:jc w:val="center"/>
                    <w:rPr>
                      <w:rFonts w:hint="default"/>
                      <w:b/>
                      <w:bCs/>
                      <w:highlight w:val="none"/>
                      <w:lang w:val="en-US" w:eastAsia="zh-CN"/>
                    </w:rPr>
                  </w:pPr>
                  <w:r>
                    <w:rPr>
                      <w:rFonts w:hint="default"/>
                      <w:b/>
                      <w:bCs/>
                      <w:highlight w:val="none"/>
                      <w:lang w:val="en-US" w:eastAsia="zh-CN"/>
                    </w:rPr>
                    <w:t>项目</w:t>
                  </w:r>
                </w:p>
              </w:tc>
              <w:tc>
                <w:tcPr>
                  <w:tcW w:w="2670" w:type="pct"/>
                  <w:gridSpan w:val="2"/>
                  <w:noWrap w:val="0"/>
                  <w:vAlign w:val="center"/>
                </w:tcPr>
                <w:p>
                  <w:pPr>
                    <w:pStyle w:val="29"/>
                    <w:bidi w:val="0"/>
                    <w:jc w:val="center"/>
                    <w:rPr>
                      <w:rFonts w:hint="default"/>
                      <w:b/>
                      <w:bCs/>
                      <w:highlight w:val="none"/>
                      <w:lang w:val="en-US" w:eastAsia="zh-CN"/>
                    </w:rPr>
                  </w:pPr>
                  <w:r>
                    <w:rPr>
                      <w:rFonts w:hint="default"/>
                      <w:b/>
                      <w:bCs/>
                      <w:highlight w:val="none"/>
                      <w:lang w:val="en-US" w:eastAsia="zh-CN"/>
                    </w:rPr>
                    <w:t>与本项目相关条文</w:t>
                  </w:r>
                </w:p>
              </w:tc>
              <w:tc>
                <w:tcPr>
                  <w:tcW w:w="1123" w:type="pct"/>
                  <w:noWrap w:val="0"/>
                  <w:vAlign w:val="center"/>
                </w:tcPr>
                <w:p>
                  <w:pPr>
                    <w:pStyle w:val="29"/>
                    <w:bidi w:val="0"/>
                    <w:jc w:val="center"/>
                    <w:rPr>
                      <w:rFonts w:hint="default"/>
                      <w:b/>
                      <w:bCs/>
                      <w:highlight w:val="none"/>
                      <w:lang w:val="en-US" w:eastAsia="zh-CN"/>
                    </w:rPr>
                  </w:pPr>
                  <w:r>
                    <w:rPr>
                      <w:rFonts w:hint="default"/>
                      <w:b/>
                      <w:bCs/>
                      <w:highlight w:val="none"/>
                      <w:lang w:val="en-US" w:eastAsia="zh-CN"/>
                    </w:rPr>
                    <w:t>本项目情况</w:t>
                  </w:r>
                </w:p>
              </w:tc>
              <w:tc>
                <w:tcPr>
                  <w:tcW w:w="521" w:type="pct"/>
                  <w:noWrap w:val="0"/>
                  <w:vAlign w:val="center"/>
                </w:tcPr>
                <w:p>
                  <w:pPr>
                    <w:pStyle w:val="29"/>
                    <w:bidi w:val="0"/>
                    <w:jc w:val="center"/>
                    <w:rPr>
                      <w:rFonts w:hint="default"/>
                      <w:b/>
                      <w:bCs/>
                      <w:highlight w:val="none"/>
                      <w:lang w:val="en-US" w:eastAsia="zh-CN"/>
                    </w:rPr>
                  </w:pPr>
                  <w:r>
                    <w:rPr>
                      <w:rFonts w:hint="default"/>
                      <w:b/>
                      <w:bCs/>
                      <w:highlight w:val="none"/>
                      <w:lang w:val="en-US" w:eastAsia="zh-CN"/>
                    </w:rPr>
                    <w:t>对比结果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85" w:type="pct"/>
                  <w:vMerge w:val="restart"/>
                  <w:noWrap w:val="0"/>
                  <w:vAlign w:val="center"/>
                </w:tcPr>
                <w:p>
                  <w:pPr>
                    <w:pStyle w:val="29"/>
                    <w:bidi w:val="0"/>
                    <w:jc w:val="center"/>
                    <w:rPr>
                      <w:rFonts w:hint="default"/>
                      <w:highlight w:val="none"/>
                      <w:lang w:val="en-US" w:eastAsia="zh-CN"/>
                    </w:rPr>
                  </w:pPr>
                  <w:r>
                    <w:rPr>
                      <w:rFonts w:hint="default"/>
                      <w:highlight w:val="none"/>
                      <w:lang w:val="en-US" w:eastAsia="zh-CN"/>
                    </w:rPr>
                    <w:t>新乡市主体功能区</w:t>
                  </w:r>
                </w:p>
              </w:tc>
              <w:tc>
                <w:tcPr>
                  <w:tcW w:w="2670" w:type="pct"/>
                  <w:gridSpan w:val="2"/>
                  <w:noWrap w:val="0"/>
                  <w:vAlign w:val="center"/>
                </w:tcPr>
                <w:p>
                  <w:pPr>
                    <w:pStyle w:val="29"/>
                    <w:bidi w:val="0"/>
                    <w:jc w:val="center"/>
                    <w:rPr>
                      <w:rFonts w:hint="default"/>
                      <w:highlight w:val="none"/>
                      <w:lang w:val="en-US" w:eastAsia="zh-CN"/>
                    </w:rPr>
                  </w:pPr>
                  <w:r>
                    <w:rPr>
                      <w:rFonts w:hint="default"/>
                      <w:highlight w:val="none"/>
                      <w:lang w:val="en-US" w:eastAsia="zh-CN"/>
                    </w:rPr>
                    <w:t>重点开发区域：1、新乡市市区（含平原城乡一体示范区）、新乡县、卫辉市；2、农产品主产区的县城关镇、少数建制镇以及产业集聚区。</w:t>
                  </w:r>
                </w:p>
              </w:tc>
              <w:tc>
                <w:tcPr>
                  <w:tcW w:w="1123" w:type="pct"/>
                  <w:vMerge w:val="restart"/>
                  <w:noWrap w:val="0"/>
                  <w:vAlign w:val="center"/>
                </w:tcPr>
                <w:p>
                  <w:pPr>
                    <w:pStyle w:val="29"/>
                    <w:bidi w:val="0"/>
                    <w:jc w:val="center"/>
                    <w:rPr>
                      <w:rFonts w:hint="default"/>
                      <w:highlight w:val="none"/>
                      <w:lang w:val="en-US" w:eastAsia="zh-CN"/>
                    </w:rPr>
                  </w:pPr>
                  <w:r>
                    <w:rPr>
                      <w:rFonts w:hint="default"/>
                      <w:highlight w:val="none"/>
                      <w:lang w:val="en-US" w:eastAsia="zh-CN"/>
                    </w:rPr>
                    <w:t>本项目位于新乡县</w:t>
                  </w:r>
                  <w:r>
                    <w:rPr>
                      <w:rFonts w:hint="eastAsia"/>
                      <w:highlight w:val="none"/>
                      <w:lang w:val="en-US" w:eastAsia="zh-CN"/>
                    </w:rPr>
                    <w:t>大召营镇店（新焦公路八公里处）</w:t>
                  </w:r>
                </w:p>
              </w:tc>
              <w:tc>
                <w:tcPr>
                  <w:tcW w:w="521" w:type="pct"/>
                  <w:tcBorders>
                    <w:bottom w:val="single" w:color="auto" w:sz="4" w:space="0"/>
                  </w:tcBorders>
                  <w:noWrap w:val="0"/>
                  <w:vAlign w:val="center"/>
                </w:tcPr>
                <w:p>
                  <w:pPr>
                    <w:pStyle w:val="29"/>
                    <w:bidi w:val="0"/>
                    <w:jc w:val="center"/>
                    <w:rPr>
                      <w:rFonts w:hint="default"/>
                      <w:highlight w:val="none"/>
                      <w:lang w:val="en-US" w:eastAsia="zh-CN"/>
                    </w:rPr>
                  </w:pPr>
                  <w:r>
                    <w:rPr>
                      <w:rFonts w:hint="eastAsia"/>
                      <w:highlight w:val="none"/>
                      <w:lang w:val="en-US" w:eastAsia="zh-CN"/>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85" w:type="pct"/>
                  <w:vMerge w:val="continue"/>
                  <w:noWrap w:val="0"/>
                  <w:vAlign w:val="center"/>
                </w:tcPr>
                <w:p>
                  <w:pPr>
                    <w:pStyle w:val="29"/>
                    <w:bidi w:val="0"/>
                    <w:jc w:val="center"/>
                    <w:rPr>
                      <w:rFonts w:hint="default"/>
                      <w:highlight w:val="none"/>
                      <w:lang w:val="en-US" w:eastAsia="zh-CN"/>
                    </w:rPr>
                  </w:pPr>
                </w:p>
              </w:tc>
              <w:tc>
                <w:tcPr>
                  <w:tcW w:w="2670" w:type="pct"/>
                  <w:gridSpan w:val="2"/>
                  <w:noWrap w:val="0"/>
                  <w:vAlign w:val="center"/>
                </w:tcPr>
                <w:p>
                  <w:pPr>
                    <w:pStyle w:val="29"/>
                    <w:bidi w:val="0"/>
                    <w:jc w:val="center"/>
                    <w:rPr>
                      <w:rFonts w:hint="default"/>
                      <w:highlight w:val="none"/>
                      <w:lang w:val="en-US" w:eastAsia="zh-CN"/>
                    </w:rPr>
                  </w:pPr>
                  <w:r>
                    <w:rPr>
                      <w:rFonts w:hint="default"/>
                      <w:highlight w:val="none"/>
                      <w:lang w:val="en-US" w:eastAsia="zh-CN"/>
                    </w:rPr>
                    <w:t>限制开发区、农产品主产区：辉县市、获嘉县、原阳县、延津县、封丘县。（不含产业集聚区、专业园区和县城建成区以及规划区中以居住、商贸、文教科研为主的区域）</w:t>
                  </w:r>
                </w:p>
              </w:tc>
              <w:tc>
                <w:tcPr>
                  <w:tcW w:w="1123" w:type="pct"/>
                  <w:vMerge w:val="continue"/>
                  <w:noWrap w:val="0"/>
                  <w:vAlign w:val="center"/>
                </w:tcPr>
                <w:p>
                  <w:pPr>
                    <w:pStyle w:val="29"/>
                    <w:bidi w:val="0"/>
                    <w:jc w:val="center"/>
                    <w:rPr>
                      <w:rFonts w:hint="default"/>
                      <w:highlight w:val="none"/>
                      <w:lang w:val="en-US" w:eastAsia="zh-CN"/>
                    </w:rPr>
                  </w:pPr>
                </w:p>
              </w:tc>
              <w:tc>
                <w:tcPr>
                  <w:tcW w:w="521" w:type="pct"/>
                  <w:tcBorders>
                    <w:top w:val="single" w:color="auto" w:sz="4" w:space="0"/>
                    <w:bottom w:val="single" w:color="auto" w:sz="4" w:space="0"/>
                  </w:tcBorders>
                  <w:noWrap w:val="0"/>
                  <w:vAlign w:val="center"/>
                </w:tcPr>
                <w:p>
                  <w:pPr>
                    <w:pStyle w:val="29"/>
                    <w:bidi w:val="0"/>
                    <w:jc w:val="center"/>
                    <w:rPr>
                      <w:rFonts w:hint="default"/>
                      <w:highlight w:val="none"/>
                      <w:lang w:val="en-US" w:eastAsia="zh-CN"/>
                    </w:rPr>
                  </w:pPr>
                  <w:r>
                    <w:rPr>
                      <w:rFonts w:hint="eastAsia"/>
                      <w:highlight w:val="none"/>
                      <w:lang w:val="en-US" w:eastAsia="zh-CN"/>
                    </w:rPr>
                    <w:t>不属于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3" w:hRule="atLeast"/>
                <w:jc w:val="center"/>
              </w:trPr>
              <w:tc>
                <w:tcPr>
                  <w:tcW w:w="685" w:type="pct"/>
                  <w:vMerge w:val="continue"/>
                  <w:noWrap w:val="0"/>
                  <w:vAlign w:val="center"/>
                </w:tcPr>
                <w:p>
                  <w:pPr>
                    <w:pStyle w:val="29"/>
                    <w:bidi w:val="0"/>
                    <w:jc w:val="center"/>
                    <w:rPr>
                      <w:rFonts w:hint="default"/>
                      <w:highlight w:val="none"/>
                      <w:lang w:val="en-US" w:eastAsia="zh-CN"/>
                    </w:rPr>
                  </w:pPr>
                </w:p>
              </w:tc>
              <w:tc>
                <w:tcPr>
                  <w:tcW w:w="2670" w:type="pct"/>
                  <w:gridSpan w:val="2"/>
                  <w:noWrap w:val="0"/>
                  <w:vAlign w:val="center"/>
                </w:tcPr>
                <w:p>
                  <w:pPr>
                    <w:pStyle w:val="29"/>
                    <w:bidi w:val="0"/>
                    <w:jc w:val="center"/>
                    <w:rPr>
                      <w:rFonts w:hint="default"/>
                      <w:highlight w:val="none"/>
                      <w:lang w:val="en-US" w:eastAsia="zh-CN"/>
                    </w:rPr>
                  </w:pPr>
                  <w:r>
                    <w:rPr>
                      <w:rFonts w:hint="default"/>
                      <w:highlight w:val="none"/>
                      <w:lang w:val="en-US" w:eastAsia="zh-CN"/>
                    </w:rPr>
                    <w:t>禁止开发区：河南新乡黄河湿地鸟类国家级自然保护区、太行山猕猴自然保护区、河南省新乡凤凰山省级森林公园</w:t>
                  </w:r>
                </w:p>
              </w:tc>
              <w:tc>
                <w:tcPr>
                  <w:tcW w:w="1123" w:type="pct"/>
                  <w:vMerge w:val="continue"/>
                  <w:noWrap w:val="0"/>
                  <w:vAlign w:val="center"/>
                </w:tcPr>
                <w:p>
                  <w:pPr>
                    <w:pStyle w:val="29"/>
                    <w:bidi w:val="0"/>
                    <w:jc w:val="center"/>
                    <w:rPr>
                      <w:rFonts w:hint="default"/>
                      <w:highlight w:val="none"/>
                      <w:lang w:val="en-US" w:eastAsia="zh-CN"/>
                    </w:rPr>
                  </w:pPr>
                </w:p>
              </w:tc>
              <w:tc>
                <w:tcPr>
                  <w:tcW w:w="521" w:type="pct"/>
                  <w:tcBorders>
                    <w:top w:val="single" w:color="auto" w:sz="4" w:space="0"/>
                    <w:bottom w:val="single" w:color="auto" w:sz="4" w:space="0"/>
                  </w:tcBorders>
                  <w:noWrap w:val="0"/>
                  <w:vAlign w:val="center"/>
                </w:tcPr>
                <w:p>
                  <w:pPr>
                    <w:pStyle w:val="29"/>
                    <w:bidi w:val="0"/>
                    <w:jc w:val="center"/>
                    <w:rPr>
                      <w:rFonts w:hint="default"/>
                      <w:highlight w:val="none"/>
                      <w:lang w:val="en-US" w:eastAsia="zh-CN"/>
                    </w:rPr>
                  </w:pPr>
                  <w:r>
                    <w:rPr>
                      <w:rFonts w:hint="eastAsia"/>
                      <w:highlight w:val="none"/>
                      <w:lang w:val="en-US" w:eastAsia="zh-CN"/>
                    </w:rPr>
                    <w:t>不属于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3" w:hRule="atLeast"/>
                <w:jc w:val="center"/>
              </w:trPr>
              <w:tc>
                <w:tcPr>
                  <w:tcW w:w="685" w:type="pct"/>
                  <w:noWrap w:val="0"/>
                  <w:vAlign w:val="center"/>
                </w:tcPr>
                <w:p>
                  <w:pPr>
                    <w:pStyle w:val="29"/>
                    <w:bidi w:val="0"/>
                    <w:jc w:val="center"/>
                    <w:rPr>
                      <w:rFonts w:hint="default"/>
                      <w:highlight w:val="none"/>
                      <w:lang w:val="en-US" w:eastAsia="zh-CN"/>
                    </w:rPr>
                  </w:pPr>
                  <w:r>
                    <w:rPr>
                      <w:rFonts w:hint="default"/>
                      <w:highlight w:val="none"/>
                      <w:lang w:val="en-US" w:eastAsia="zh-CN"/>
                    </w:rPr>
                    <w:t>新乡市集中水源地保护区</w:t>
                  </w:r>
                </w:p>
              </w:tc>
              <w:tc>
                <w:tcPr>
                  <w:tcW w:w="2670" w:type="pct"/>
                  <w:gridSpan w:val="2"/>
                  <w:noWrap w:val="0"/>
                  <w:vAlign w:val="center"/>
                </w:tcPr>
                <w:p>
                  <w:pPr>
                    <w:pStyle w:val="29"/>
                    <w:bidi w:val="0"/>
                    <w:jc w:val="center"/>
                    <w:rPr>
                      <w:rFonts w:hint="default"/>
                      <w:highlight w:val="none"/>
                      <w:lang w:val="en-US" w:eastAsia="zh-CN"/>
                    </w:rPr>
                  </w:pPr>
                  <w:r>
                    <w:rPr>
                      <w:rFonts w:hint="default"/>
                      <w:highlight w:val="none"/>
                      <w:lang w:val="en-US" w:eastAsia="zh-CN"/>
                    </w:rPr>
                    <w:t>四水厂地下水饮用水源保护区(共21眼井)</w:t>
                  </w:r>
                </w:p>
              </w:tc>
              <w:tc>
                <w:tcPr>
                  <w:tcW w:w="1123" w:type="pct"/>
                  <w:noWrap w:val="0"/>
                  <w:vAlign w:val="center"/>
                </w:tcPr>
                <w:p>
                  <w:pPr>
                    <w:pStyle w:val="29"/>
                    <w:bidi w:val="0"/>
                    <w:jc w:val="center"/>
                    <w:rPr>
                      <w:rFonts w:hint="default"/>
                      <w:highlight w:val="none"/>
                    </w:rPr>
                  </w:pPr>
                  <w:r>
                    <w:rPr>
                      <w:rFonts w:hint="default"/>
                      <w:highlight w:val="none"/>
                      <w:lang w:val="en-US" w:eastAsia="zh-CN"/>
                    </w:rPr>
                    <w:t>本项目位于新乡县大召营镇</w:t>
                  </w:r>
                  <w:r>
                    <w:rPr>
                      <w:rFonts w:hint="eastAsia"/>
                      <w:highlight w:val="none"/>
                      <w:lang w:val="en-US" w:eastAsia="zh-CN"/>
                    </w:rPr>
                    <w:t>（新焦公路八公里处）</w:t>
                  </w:r>
                </w:p>
              </w:tc>
              <w:tc>
                <w:tcPr>
                  <w:tcW w:w="521" w:type="pct"/>
                  <w:tcBorders>
                    <w:top w:val="single" w:color="auto" w:sz="4" w:space="0"/>
                  </w:tcBorders>
                  <w:noWrap w:val="0"/>
                  <w:vAlign w:val="center"/>
                </w:tcPr>
                <w:p>
                  <w:pPr>
                    <w:pStyle w:val="29"/>
                    <w:bidi w:val="0"/>
                    <w:jc w:val="center"/>
                    <w:rPr>
                      <w:rFonts w:hint="default"/>
                      <w:highlight w:val="none"/>
                    </w:rPr>
                  </w:pPr>
                  <w:r>
                    <w:rPr>
                      <w:rFonts w:hint="default"/>
                      <w:highlight w:val="none"/>
                    </w:rPr>
                    <w:t>不在</w:t>
                  </w:r>
                  <w:r>
                    <w:rPr>
                      <w:rFonts w:hint="default"/>
                      <w:highlight w:val="none"/>
                      <w:lang w:eastAsia="zh-CN"/>
                    </w:rPr>
                    <w:t>水源地</w:t>
                  </w:r>
                  <w:r>
                    <w:rPr>
                      <w:rFonts w:hint="default"/>
                      <w:highlight w:val="none"/>
                    </w:rPr>
                    <w:t>保护区范围内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85" w:type="pct"/>
                  <w:noWrap w:val="0"/>
                  <w:vAlign w:val="center"/>
                </w:tcPr>
                <w:p>
                  <w:pPr>
                    <w:pStyle w:val="29"/>
                    <w:bidi w:val="0"/>
                    <w:jc w:val="center"/>
                    <w:rPr>
                      <w:rFonts w:hint="default"/>
                      <w:highlight w:val="none"/>
                      <w:lang w:val="en-US" w:eastAsia="zh-CN"/>
                    </w:rPr>
                  </w:pPr>
                  <w:r>
                    <w:rPr>
                      <w:rFonts w:hint="default"/>
                      <w:highlight w:val="none"/>
                      <w:lang w:val="en-US" w:eastAsia="zh-CN"/>
                    </w:rPr>
                    <w:t>建设项目环境影响评价豁免管理名录</w:t>
                  </w:r>
                </w:p>
              </w:tc>
              <w:tc>
                <w:tcPr>
                  <w:tcW w:w="2670" w:type="pct"/>
                  <w:gridSpan w:val="2"/>
                  <w:noWrap w:val="0"/>
                  <w:vAlign w:val="center"/>
                </w:tcPr>
                <w:p>
                  <w:pPr>
                    <w:pStyle w:val="29"/>
                    <w:bidi w:val="0"/>
                    <w:jc w:val="center"/>
                    <w:rPr>
                      <w:rFonts w:hint="default"/>
                      <w:highlight w:val="none"/>
                      <w:lang w:val="en-US" w:eastAsia="zh-CN"/>
                    </w:rPr>
                  </w:pPr>
                  <w:r>
                    <w:rPr>
                      <w:rFonts w:hint="default"/>
                      <w:highlight w:val="none"/>
                      <w:lang w:val="en-US" w:eastAsia="zh-CN"/>
                    </w:rPr>
                    <w:t>查无相关条目</w:t>
                  </w:r>
                </w:p>
              </w:tc>
              <w:tc>
                <w:tcPr>
                  <w:tcW w:w="1123" w:type="pct"/>
                  <w:noWrap w:val="0"/>
                  <w:vAlign w:val="center"/>
                </w:tcPr>
                <w:p>
                  <w:pPr>
                    <w:pStyle w:val="29"/>
                    <w:bidi w:val="0"/>
                    <w:jc w:val="center"/>
                    <w:rPr>
                      <w:rFonts w:hint="default"/>
                      <w:highlight w:val="none"/>
                      <w:lang w:val="en-US" w:eastAsia="zh-CN"/>
                    </w:rPr>
                  </w:pPr>
                  <w:r>
                    <w:rPr>
                      <w:rFonts w:hint="default"/>
                      <w:highlight w:val="none"/>
                      <w:lang w:val="en-US" w:eastAsia="zh-CN"/>
                    </w:rPr>
                    <w:t>本项目为</w:t>
                  </w:r>
                  <w:r>
                    <w:rPr>
                      <w:rFonts w:hint="eastAsia"/>
                      <w:highlight w:val="none"/>
                      <w:lang w:eastAsia="zh-CN"/>
                    </w:rPr>
                    <w:t>工业气体分装项目</w:t>
                  </w:r>
                </w:p>
              </w:tc>
              <w:tc>
                <w:tcPr>
                  <w:tcW w:w="521" w:type="pct"/>
                  <w:noWrap w:val="0"/>
                  <w:vAlign w:val="center"/>
                </w:tcPr>
                <w:p>
                  <w:pPr>
                    <w:pStyle w:val="29"/>
                    <w:bidi w:val="0"/>
                    <w:jc w:val="center"/>
                    <w:rPr>
                      <w:rFonts w:hint="default"/>
                      <w:highlight w:val="none"/>
                      <w:lang w:val="en-US" w:eastAsia="zh-CN"/>
                    </w:rPr>
                  </w:pPr>
                  <w:r>
                    <w:rPr>
                      <w:rFonts w:hint="default"/>
                      <w:highlight w:val="none"/>
                      <w:lang w:val="en-US" w:eastAsia="zh-CN"/>
                    </w:rPr>
                    <w:t>本项目产品不在豁免名录内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85" w:type="pct"/>
                  <w:vMerge w:val="restart"/>
                  <w:noWrap w:val="0"/>
                  <w:vAlign w:val="center"/>
                </w:tcPr>
                <w:p>
                  <w:pPr>
                    <w:pStyle w:val="29"/>
                    <w:bidi w:val="0"/>
                    <w:rPr>
                      <w:rFonts w:hint="default"/>
                      <w:highlight w:val="none"/>
                      <w:lang w:val="en-US" w:eastAsia="zh-CN"/>
                    </w:rPr>
                  </w:pPr>
                  <w:r>
                    <w:rPr>
                      <w:rFonts w:hint="default"/>
                      <w:highlight w:val="none"/>
                      <w:lang w:val="en-US" w:eastAsia="zh-CN"/>
                    </w:rPr>
                    <w:t>污染防治（控）重点单元</w:t>
                  </w:r>
                </w:p>
              </w:tc>
              <w:tc>
                <w:tcPr>
                  <w:tcW w:w="787" w:type="pct"/>
                  <w:noWrap w:val="0"/>
                  <w:vAlign w:val="center"/>
                </w:tcPr>
                <w:p>
                  <w:pPr>
                    <w:pStyle w:val="29"/>
                    <w:bidi w:val="0"/>
                    <w:rPr>
                      <w:rFonts w:hint="default"/>
                      <w:highlight w:val="none"/>
                      <w:lang w:val="en-US" w:eastAsia="zh-CN"/>
                    </w:rPr>
                  </w:pPr>
                  <w:r>
                    <w:rPr>
                      <w:rFonts w:hint="default"/>
                      <w:highlight w:val="none"/>
                      <w:lang w:val="en-US" w:eastAsia="zh-CN"/>
                    </w:rPr>
                    <w:t>水污染</w:t>
                  </w:r>
                </w:p>
              </w:tc>
              <w:tc>
                <w:tcPr>
                  <w:tcW w:w="1883" w:type="pct"/>
                  <w:noWrap w:val="0"/>
                  <w:vAlign w:val="center"/>
                </w:tcPr>
                <w:p>
                  <w:pPr>
                    <w:pStyle w:val="29"/>
                    <w:bidi w:val="0"/>
                    <w:rPr>
                      <w:rFonts w:hint="default"/>
                      <w:highlight w:val="none"/>
                      <w:lang w:val="en-US" w:eastAsia="zh-CN"/>
                    </w:rPr>
                  </w:pPr>
                  <w:r>
                    <w:rPr>
                      <w:rFonts w:hint="default"/>
                      <w:highlight w:val="none"/>
                      <w:lang w:val="en-US" w:eastAsia="zh-CN"/>
                    </w:rPr>
                    <w:t>卫河流域：新乡市区、新乡县、卫辉市、辉县市、获嘉县</w:t>
                  </w:r>
                </w:p>
              </w:tc>
              <w:tc>
                <w:tcPr>
                  <w:tcW w:w="1123" w:type="pct"/>
                  <w:vMerge w:val="restart"/>
                  <w:noWrap w:val="0"/>
                  <w:vAlign w:val="center"/>
                </w:tcPr>
                <w:p>
                  <w:pPr>
                    <w:pStyle w:val="29"/>
                    <w:bidi w:val="0"/>
                    <w:rPr>
                      <w:rFonts w:hint="default"/>
                      <w:highlight w:val="none"/>
                      <w:lang w:val="en-US" w:eastAsia="zh-CN"/>
                    </w:rPr>
                  </w:pPr>
                  <w:r>
                    <w:rPr>
                      <w:rFonts w:hint="default"/>
                      <w:highlight w:val="none"/>
                      <w:lang w:val="en-US" w:eastAsia="zh-CN"/>
                    </w:rPr>
                    <w:t>本项目位于新乡县</w:t>
                  </w:r>
                </w:p>
              </w:tc>
              <w:tc>
                <w:tcPr>
                  <w:tcW w:w="521" w:type="pct"/>
                  <w:noWrap w:val="0"/>
                  <w:vAlign w:val="center"/>
                </w:tcPr>
                <w:p>
                  <w:pPr>
                    <w:pStyle w:val="29"/>
                    <w:bidi w:val="0"/>
                    <w:rPr>
                      <w:rFonts w:hint="default"/>
                      <w:highlight w:val="none"/>
                      <w:lang w:val="en-US" w:eastAsia="zh-CN"/>
                    </w:rPr>
                  </w:pPr>
                  <w:r>
                    <w:rPr>
                      <w:rFonts w:hint="default"/>
                      <w:highlight w:val="none"/>
                      <w:lang w:val="en-US" w:eastAsia="zh-CN"/>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85" w:type="pct"/>
                  <w:vMerge w:val="continue"/>
                  <w:noWrap w:val="0"/>
                  <w:vAlign w:val="center"/>
                </w:tcPr>
                <w:p>
                  <w:pPr>
                    <w:pStyle w:val="29"/>
                    <w:bidi w:val="0"/>
                    <w:rPr>
                      <w:rFonts w:hint="default"/>
                      <w:highlight w:val="none"/>
                      <w:lang w:val="en-US" w:eastAsia="zh-CN"/>
                    </w:rPr>
                  </w:pPr>
                </w:p>
              </w:tc>
              <w:tc>
                <w:tcPr>
                  <w:tcW w:w="787" w:type="pct"/>
                  <w:noWrap w:val="0"/>
                  <w:vAlign w:val="center"/>
                </w:tcPr>
                <w:p>
                  <w:pPr>
                    <w:pStyle w:val="29"/>
                    <w:bidi w:val="0"/>
                    <w:rPr>
                      <w:rFonts w:hint="default"/>
                      <w:highlight w:val="none"/>
                      <w:lang w:val="en-US" w:eastAsia="zh-CN"/>
                    </w:rPr>
                  </w:pPr>
                  <w:r>
                    <w:rPr>
                      <w:rFonts w:hint="default"/>
                      <w:highlight w:val="none"/>
                      <w:lang w:val="en-US" w:eastAsia="zh-CN"/>
                    </w:rPr>
                    <w:t>大气污染</w:t>
                  </w:r>
                </w:p>
              </w:tc>
              <w:tc>
                <w:tcPr>
                  <w:tcW w:w="1883" w:type="pct"/>
                  <w:noWrap w:val="0"/>
                  <w:vAlign w:val="center"/>
                </w:tcPr>
                <w:p>
                  <w:pPr>
                    <w:pStyle w:val="29"/>
                    <w:bidi w:val="0"/>
                    <w:rPr>
                      <w:rFonts w:hint="default"/>
                      <w:highlight w:val="none"/>
                      <w:lang w:val="en-US" w:eastAsia="zh-CN"/>
                    </w:rPr>
                  </w:pPr>
                  <w:r>
                    <w:rPr>
                      <w:rFonts w:hint="default"/>
                      <w:highlight w:val="none"/>
                      <w:lang w:val="en-US" w:eastAsia="zh-CN"/>
                    </w:rPr>
                    <w:t>新乡市域全部</w:t>
                  </w:r>
                </w:p>
              </w:tc>
              <w:tc>
                <w:tcPr>
                  <w:tcW w:w="1123" w:type="pct"/>
                  <w:vMerge w:val="continue"/>
                  <w:noWrap w:val="0"/>
                  <w:vAlign w:val="center"/>
                </w:tcPr>
                <w:p>
                  <w:pPr>
                    <w:pStyle w:val="29"/>
                    <w:bidi w:val="0"/>
                    <w:rPr>
                      <w:rFonts w:hint="default"/>
                      <w:highlight w:val="none"/>
                      <w:lang w:val="en-US" w:eastAsia="zh-CN"/>
                    </w:rPr>
                  </w:pPr>
                </w:p>
              </w:tc>
              <w:tc>
                <w:tcPr>
                  <w:tcW w:w="521" w:type="pct"/>
                  <w:noWrap w:val="0"/>
                  <w:vAlign w:val="center"/>
                </w:tcPr>
                <w:p>
                  <w:pPr>
                    <w:pStyle w:val="29"/>
                    <w:bidi w:val="0"/>
                    <w:rPr>
                      <w:rFonts w:hint="default"/>
                      <w:highlight w:val="none"/>
                      <w:lang w:val="en-US" w:eastAsia="zh-CN"/>
                    </w:rPr>
                  </w:pPr>
                  <w:r>
                    <w:rPr>
                      <w:rFonts w:hint="default"/>
                      <w:highlight w:val="none"/>
                      <w:lang w:val="en-US" w:eastAsia="zh-CN"/>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85" w:type="pct"/>
                  <w:vMerge w:val="continue"/>
                  <w:noWrap w:val="0"/>
                  <w:vAlign w:val="center"/>
                </w:tcPr>
                <w:p>
                  <w:pPr>
                    <w:pStyle w:val="29"/>
                    <w:bidi w:val="0"/>
                    <w:rPr>
                      <w:rFonts w:hint="default"/>
                      <w:highlight w:val="none"/>
                      <w:lang w:val="en-US" w:eastAsia="zh-CN"/>
                    </w:rPr>
                  </w:pPr>
                </w:p>
              </w:tc>
              <w:tc>
                <w:tcPr>
                  <w:tcW w:w="787" w:type="pct"/>
                  <w:noWrap w:val="0"/>
                  <w:vAlign w:val="center"/>
                </w:tcPr>
                <w:p>
                  <w:pPr>
                    <w:pStyle w:val="29"/>
                    <w:bidi w:val="0"/>
                    <w:rPr>
                      <w:rFonts w:hint="default"/>
                      <w:highlight w:val="none"/>
                      <w:lang w:val="en-US" w:eastAsia="zh-CN"/>
                    </w:rPr>
                  </w:pPr>
                  <w:r>
                    <w:rPr>
                      <w:rFonts w:hint="default"/>
                      <w:highlight w:val="none"/>
                      <w:lang w:val="en-US" w:eastAsia="zh-CN"/>
                    </w:rPr>
                    <w:t>重金属污染</w:t>
                  </w:r>
                </w:p>
              </w:tc>
              <w:tc>
                <w:tcPr>
                  <w:tcW w:w="1883" w:type="pct"/>
                  <w:noWrap w:val="0"/>
                  <w:vAlign w:val="center"/>
                </w:tcPr>
                <w:p>
                  <w:pPr>
                    <w:pStyle w:val="29"/>
                    <w:bidi w:val="0"/>
                    <w:rPr>
                      <w:rFonts w:hint="default"/>
                      <w:highlight w:val="none"/>
                      <w:lang w:val="en-US" w:eastAsia="zh-CN"/>
                    </w:rPr>
                  </w:pPr>
                  <w:r>
                    <w:rPr>
                      <w:rFonts w:hint="default"/>
                      <w:highlight w:val="none"/>
                      <w:lang w:val="en-US" w:eastAsia="zh-CN"/>
                    </w:rPr>
                    <w:t>新乡县、凤泉区（铅镉污染防控区）</w:t>
                  </w:r>
                </w:p>
              </w:tc>
              <w:tc>
                <w:tcPr>
                  <w:tcW w:w="1123" w:type="pct"/>
                  <w:vMerge w:val="continue"/>
                  <w:noWrap w:val="0"/>
                  <w:vAlign w:val="center"/>
                </w:tcPr>
                <w:p>
                  <w:pPr>
                    <w:pStyle w:val="29"/>
                    <w:bidi w:val="0"/>
                    <w:rPr>
                      <w:rFonts w:hint="default"/>
                      <w:highlight w:val="none"/>
                      <w:lang w:val="en-US" w:eastAsia="zh-CN"/>
                    </w:rPr>
                  </w:pPr>
                </w:p>
              </w:tc>
              <w:tc>
                <w:tcPr>
                  <w:tcW w:w="521" w:type="pct"/>
                  <w:noWrap w:val="0"/>
                  <w:vAlign w:val="center"/>
                </w:tcPr>
                <w:p>
                  <w:pPr>
                    <w:pStyle w:val="29"/>
                    <w:bidi w:val="0"/>
                    <w:rPr>
                      <w:rFonts w:hint="default"/>
                      <w:highlight w:val="none"/>
                      <w:lang w:val="en-US" w:eastAsia="zh-CN"/>
                    </w:rPr>
                  </w:pPr>
                  <w:r>
                    <w:rPr>
                      <w:rFonts w:hint="default"/>
                      <w:highlight w:val="none"/>
                      <w:lang w:val="en-US" w:eastAsia="zh-CN"/>
                    </w:rPr>
                    <w:t>属于</w:t>
                  </w:r>
                </w:p>
              </w:tc>
            </w:tr>
          </w:tbl>
          <w:p>
            <w:pPr>
              <w:bidi w:val="0"/>
              <w:rPr>
                <w:rFonts w:hint="default"/>
                <w:highlight w:val="none"/>
                <w:lang w:val="en-US" w:eastAsia="zh-CN"/>
              </w:rPr>
            </w:pPr>
            <w:r>
              <w:rPr>
                <w:rFonts w:hint="default"/>
                <w:highlight w:val="none"/>
                <w:lang w:val="en-US" w:eastAsia="zh-CN"/>
              </w:rPr>
              <w:t>由上表可知，本项目厂址位于</w:t>
            </w:r>
            <w:r>
              <w:rPr>
                <w:rFonts w:hint="eastAsia"/>
                <w:highlight w:val="none"/>
                <w:lang w:val="en-US" w:eastAsia="zh-CN"/>
              </w:rPr>
              <w:t>新乡县大召营镇（新焦公路八公里处）</w:t>
            </w:r>
            <w:r>
              <w:rPr>
                <w:rFonts w:hint="default"/>
                <w:highlight w:val="none"/>
                <w:lang w:val="en-US" w:eastAsia="zh-CN"/>
              </w:rPr>
              <w:t>，</w:t>
            </w:r>
            <w:r>
              <w:rPr>
                <w:rFonts w:hint="eastAsia"/>
                <w:highlight w:val="none"/>
                <w:lang w:val="en-US" w:eastAsia="zh-CN"/>
              </w:rPr>
              <w:t>位于新乡县大召营专业园区内，</w:t>
            </w:r>
            <w:r>
              <w:rPr>
                <w:rFonts w:hint="default"/>
                <w:highlight w:val="none"/>
              </w:rPr>
              <w:t>属于新乡市主体功能区的重点开发区域</w:t>
            </w:r>
            <w:r>
              <w:rPr>
                <w:rFonts w:hint="default"/>
                <w:highlight w:val="none"/>
                <w:lang w:eastAsia="zh-CN"/>
              </w:rPr>
              <w:t>，</w:t>
            </w:r>
            <w:r>
              <w:rPr>
                <w:rFonts w:hint="default"/>
                <w:highlight w:val="none"/>
              </w:rPr>
              <w:t>属于分类准入政策中的工业准入优先区</w:t>
            </w:r>
            <w:r>
              <w:rPr>
                <w:rFonts w:hint="eastAsia"/>
                <w:highlight w:val="none"/>
                <w:lang w:eastAsia="zh-CN"/>
              </w:rPr>
              <w:t>。</w:t>
            </w:r>
            <w:r>
              <w:rPr>
                <w:rFonts w:hint="eastAsia"/>
                <w:highlight w:val="none"/>
                <w:lang w:val="en-US" w:eastAsia="zh-CN"/>
              </w:rPr>
              <w:t>本项目</w:t>
            </w:r>
            <w:r>
              <w:rPr>
                <w:rFonts w:hint="default"/>
                <w:highlight w:val="none"/>
                <w:lang w:val="en-US" w:eastAsia="zh-CN"/>
              </w:rPr>
              <w:t>主要是</w:t>
            </w:r>
            <w:r>
              <w:rPr>
                <w:rFonts w:hint="eastAsia"/>
                <w:highlight w:val="none"/>
                <w:lang w:val="en-US" w:eastAsia="zh-CN"/>
              </w:rPr>
              <w:t>分装气体，</w:t>
            </w:r>
            <w:r>
              <w:rPr>
                <w:rFonts w:hint="default"/>
                <w:highlight w:val="none"/>
                <w:lang w:val="en-US" w:eastAsia="zh-CN"/>
              </w:rPr>
              <w:t>不在四水厂地下水饮用水源保护区</w:t>
            </w:r>
            <w:r>
              <w:rPr>
                <w:rFonts w:hint="eastAsia"/>
                <w:highlight w:val="none"/>
                <w:lang w:val="en-US" w:eastAsia="zh-CN"/>
              </w:rPr>
              <w:t>范围</w:t>
            </w:r>
            <w:r>
              <w:rPr>
                <w:rFonts w:hint="default"/>
                <w:highlight w:val="none"/>
                <w:lang w:val="en-US" w:eastAsia="zh-CN"/>
              </w:rPr>
              <w:t>内</w:t>
            </w:r>
            <w:r>
              <w:rPr>
                <w:rFonts w:hint="default"/>
                <w:highlight w:val="none"/>
              </w:rPr>
              <w:t>。本项目与工业准入优先区的环境准入政策要求相符性分析见</w:t>
            </w:r>
            <w:r>
              <w:rPr>
                <w:rFonts w:hint="eastAsia"/>
                <w:highlight w:val="none"/>
                <w:lang w:eastAsia="zh-CN"/>
              </w:rPr>
              <w:t>下表</w:t>
            </w:r>
            <w:r>
              <w:rPr>
                <w:rFonts w:hint="default"/>
                <w:highlight w:val="none"/>
                <w:lang w:val="en-US" w:eastAsia="zh-CN"/>
              </w:rPr>
              <w:t>。</w:t>
            </w:r>
          </w:p>
          <w:p>
            <w:pPr>
              <w:pStyle w:val="45"/>
              <w:bidi w:val="0"/>
              <w:rPr>
                <w:rFonts w:hint="default"/>
                <w:highlight w:val="none"/>
                <w:lang w:val="en-US" w:eastAsia="zh-CN"/>
              </w:rPr>
            </w:pPr>
            <w:r>
              <w:rPr>
                <w:rFonts w:hint="default"/>
                <w:highlight w:val="none"/>
                <w:lang w:val="en-US" w:eastAsia="zh-CN"/>
              </w:rPr>
              <w:t>表</w:t>
            </w:r>
            <w:r>
              <w:rPr>
                <w:rFonts w:hint="eastAsia"/>
                <w:highlight w:val="none"/>
                <w:lang w:val="en-US" w:eastAsia="zh-CN"/>
              </w:rPr>
              <w:t>7</w:t>
            </w:r>
            <w:r>
              <w:rPr>
                <w:rFonts w:hint="default"/>
                <w:highlight w:val="none"/>
                <w:lang w:val="en-US" w:eastAsia="zh-CN"/>
              </w:rPr>
              <w:t xml:space="preserve">      项目与</w:t>
            </w:r>
            <w:r>
              <w:rPr>
                <w:rFonts w:hint="default"/>
                <w:highlight w:val="none"/>
              </w:rPr>
              <w:t>工业准入优先区</w:t>
            </w:r>
            <w:r>
              <w:rPr>
                <w:rFonts w:hint="eastAsia"/>
                <w:highlight w:val="none"/>
                <w:lang w:val="en-US" w:eastAsia="zh-CN"/>
              </w:rPr>
              <w:t>环境</w:t>
            </w:r>
            <w:r>
              <w:rPr>
                <w:rFonts w:hint="default"/>
                <w:highlight w:val="none"/>
                <w:lang w:val="en-US" w:eastAsia="zh-CN"/>
              </w:rPr>
              <w:t>准入政策要求相符性分析</w:t>
            </w:r>
          </w:p>
          <w:tbl>
            <w:tblPr>
              <w:tblStyle w:val="2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21"/>
              <w:gridCol w:w="3497"/>
              <w:gridCol w:w="1984"/>
              <w:gridCol w:w="217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7" w:type="pct"/>
                  <w:noWrap w:val="0"/>
                  <w:vAlign w:val="center"/>
                </w:tcPr>
                <w:p>
                  <w:pPr>
                    <w:pStyle w:val="29"/>
                    <w:bidi w:val="0"/>
                    <w:rPr>
                      <w:highlight w:val="none"/>
                    </w:rPr>
                  </w:pPr>
                  <w:r>
                    <w:rPr>
                      <w:highlight w:val="none"/>
                    </w:rPr>
                    <w:t>类别</w:t>
                  </w:r>
                </w:p>
              </w:tc>
              <w:tc>
                <w:tcPr>
                  <w:tcW w:w="2038" w:type="pct"/>
                  <w:noWrap w:val="0"/>
                  <w:vAlign w:val="center"/>
                </w:tcPr>
                <w:p>
                  <w:pPr>
                    <w:pStyle w:val="29"/>
                    <w:bidi w:val="0"/>
                    <w:rPr>
                      <w:highlight w:val="none"/>
                    </w:rPr>
                  </w:pPr>
                  <w:r>
                    <w:rPr>
                      <w:highlight w:val="none"/>
                    </w:rPr>
                    <w:t>内容</w:t>
                  </w:r>
                </w:p>
              </w:tc>
              <w:tc>
                <w:tcPr>
                  <w:tcW w:w="1156" w:type="pct"/>
                  <w:noWrap w:val="0"/>
                  <w:vAlign w:val="center"/>
                </w:tcPr>
                <w:p>
                  <w:pPr>
                    <w:pStyle w:val="29"/>
                    <w:bidi w:val="0"/>
                    <w:rPr>
                      <w:highlight w:val="none"/>
                    </w:rPr>
                  </w:pPr>
                  <w:r>
                    <w:rPr>
                      <w:highlight w:val="none"/>
                    </w:rPr>
                    <w:t>本项目情况</w:t>
                  </w:r>
                </w:p>
              </w:tc>
              <w:tc>
                <w:tcPr>
                  <w:tcW w:w="1268" w:type="pct"/>
                  <w:noWrap w:val="0"/>
                  <w:vAlign w:val="center"/>
                </w:tcPr>
                <w:p>
                  <w:pPr>
                    <w:pStyle w:val="29"/>
                    <w:bidi w:val="0"/>
                    <w:rPr>
                      <w:highlight w:val="none"/>
                    </w:rPr>
                  </w:pPr>
                  <w:r>
                    <w:rPr>
                      <w:highlight w:val="none"/>
                    </w:rPr>
                    <w:t>对比结果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7" w:type="pct"/>
                  <w:noWrap w:val="0"/>
                  <w:vAlign w:val="center"/>
                </w:tcPr>
                <w:p>
                  <w:pPr>
                    <w:pStyle w:val="29"/>
                    <w:bidi w:val="0"/>
                    <w:rPr>
                      <w:highlight w:val="none"/>
                    </w:rPr>
                  </w:pPr>
                  <w:r>
                    <w:rPr>
                      <w:highlight w:val="none"/>
                    </w:rPr>
                    <w:t>功能区范围</w:t>
                  </w:r>
                </w:p>
              </w:tc>
              <w:tc>
                <w:tcPr>
                  <w:tcW w:w="2038" w:type="pct"/>
                  <w:noWrap w:val="0"/>
                  <w:vAlign w:val="center"/>
                </w:tcPr>
                <w:p>
                  <w:pPr>
                    <w:pStyle w:val="29"/>
                    <w:bidi w:val="0"/>
                    <w:rPr>
                      <w:highlight w:val="none"/>
                    </w:rPr>
                  </w:pPr>
                  <w:r>
                    <w:rPr>
                      <w:highlight w:val="none"/>
                    </w:rPr>
                    <w:t>我市范围内的省级产业集聚区、市级人民政府规范设立的专业园区</w:t>
                  </w:r>
                </w:p>
              </w:tc>
              <w:tc>
                <w:tcPr>
                  <w:tcW w:w="1156" w:type="pct"/>
                  <w:noWrap w:val="0"/>
                  <w:vAlign w:val="center"/>
                </w:tcPr>
                <w:p>
                  <w:pPr>
                    <w:pStyle w:val="29"/>
                    <w:bidi w:val="0"/>
                    <w:rPr>
                      <w:rFonts w:hint="eastAsia"/>
                      <w:highlight w:val="none"/>
                      <w:lang w:eastAsia="zh-CN"/>
                    </w:rPr>
                  </w:pPr>
                  <w:r>
                    <w:rPr>
                      <w:rFonts w:hint="default"/>
                      <w:highlight w:val="none"/>
                    </w:rPr>
                    <w:t>本项目位于</w:t>
                  </w:r>
                  <w:r>
                    <w:rPr>
                      <w:rFonts w:hint="eastAsia"/>
                      <w:highlight w:val="none"/>
                      <w:lang w:eastAsia="zh-CN"/>
                    </w:rPr>
                    <w:t>新乡县大召营专业园区</w:t>
                  </w:r>
                </w:p>
              </w:tc>
              <w:tc>
                <w:tcPr>
                  <w:tcW w:w="1268" w:type="pct"/>
                  <w:noWrap w:val="0"/>
                  <w:vAlign w:val="center"/>
                </w:tcPr>
                <w:p>
                  <w:pPr>
                    <w:pStyle w:val="29"/>
                    <w:bidi w:val="0"/>
                    <w:rPr>
                      <w:highlight w:val="none"/>
                    </w:rPr>
                  </w:pPr>
                  <w:r>
                    <w:rPr>
                      <w:rFonts w:hint="default"/>
                      <w:highlight w:val="none"/>
                    </w:rPr>
                    <w:t>本项目在功能区范围内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7" w:type="pct"/>
                  <w:vMerge w:val="restart"/>
                  <w:noWrap w:val="0"/>
                  <w:vAlign w:val="center"/>
                </w:tcPr>
                <w:p>
                  <w:pPr>
                    <w:pStyle w:val="29"/>
                    <w:bidi w:val="0"/>
                    <w:rPr>
                      <w:rFonts w:hint="eastAsia"/>
                      <w:highlight w:val="none"/>
                      <w:lang w:eastAsia="zh-CN"/>
                    </w:rPr>
                  </w:pPr>
                  <w:r>
                    <w:rPr>
                      <w:rFonts w:hint="eastAsia"/>
                      <w:highlight w:val="none"/>
                      <w:lang w:eastAsia="zh-CN"/>
                    </w:rPr>
                    <w:t>环</w:t>
                  </w:r>
                </w:p>
                <w:p>
                  <w:pPr>
                    <w:pStyle w:val="29"/>
                    <w:bidi w:val="0"/>
                    <w:rPr>
                      <w:rFonts w:hint="eastAsia"/>
                      <w:highlight w:val="none"/>
                      <w:lang w:eastAsia="zh-CN"/>
                    </w:rPr>
                  </w:pPr>
                  <w:r>
                    <w:rPr>
                      <w:rFonts w:hint="eastAsia"/>
                      <w:highlight w:val="none"/>
                      <w:lang w:eastAsia="zh-CN"/>
                    </w:rPr>
                    <w:t>境</w:t>
                  </w:r>
                </w:p>
                <w:p>
                  <w:pPr>
                    <w:pStyle w:val="29"/>
                    <w:bidi w:val="0"/>
                    <w:rPr>
                      <w:rFonts w:hint="eastAsia"/>
                      <w:highlight w:val="none"/>
                      <w:lang w:eastAsia="zh-CN"/>
                    </w:rPr>
                  </w:pPr>
                  <w:r>
                    <w:rPr>
                      <w:rFonts w:hint="eastAsia"/>
                      <w:highlight w:val="none"/>
                      <w:lang w:eastAsia="zh-CN"/>
                    </w:rPr>
                    <w:t>准</w:t>
                  </w:r>
                </w:p>
                <w:p>
                  <w:pPr>
                    <w:pStyle w:val="29"/>
                    <w:bidi w:val="0"/>
                    <w:rPr>
                      <w:rFonts w:hint="eastAsia"/>
                      <w:highlight w:val="none"/>
                      <w:lang w:eastAsia="zh-CN"/>
                    </w:rPr>
                  </w:pPr>
                  <w:r>
                    <w:rPr>
                      <w:rFonts w:hint="eastAsia"/>
                      <w:highlight w:val="none"/>
                      <w:lang w:eastAsia="zh-CN"/>
                    </w:rPr>
                    <w:t>入</w:t>
                  </w:r>
                </w:p>
                <w:p>
                  <w:pPr>
                    <w:pStyle w:val="29"/>
                    <w:bidi w:val="0"/>
                    <w:rPr>
                      <w:rFonts w:hint="eastAsia"/>
                      <w:highlight w:val="none"/>
                      <w:lang w:eastAsia="zh-CN"/>
                    </w:rPr>
                  </w:pPr>
                  <w:r>
                    <w:rPr>
                      <w:rFonts w:hint="eastAsia"/>
                      <w:highlight w:val="none"/>
                      <w:lang w:eastAsia="zh-CN"/>
                    </w:rPr>
                    <w:t>政</w:t>
                  </w:r>
                </w:p>
                <w:p>
                  <w:pPr>
                    <w:pStyle w:val="29"/>
                    <w:bidi w:val="0"/>
                    <w:rPr>
                      <w:rFonts w:hint="eastAsia"/>
                      <w:highlight w:val="none"/>
                      <w:lang w:eastAsia="zh-CN"/>
                    </w:rPr>
                  </w:pPr>
                  <w:r>
                    <w:rPr>
                      <w:rFonts w:hint="eastAsia"/>
                      <w:highlight w:val="none"/>
                      <w:lang w:eastAsia="zh-CN"/>
                    </w:rPr>
                    <w:t>策</w:t>
                  </w:r>
                </w:p>
              </w:tc>
              <w:tc>
                <w:tcPr>
                  <w:tcW w:w="2038" w:type="pct"/>
                  <w:noWrap w:val="0"/>
                  <w:vAlign w:val="center"/>
                </w:tcPr>
                <w:p>
                  <w:pPr>
                    <w:pStyle w:val="29"/>
                    <w:bidi w:val="0"/>
                    <w:rPr>
                      <w:highlight w:val="none"/>
                    </w:rPr>
                  </w:pPr>
                  <w:r>
                    <w:rPr>
                      <w:highlight w:val="none"/>
                    </w:rPr>
                    <w:t>1.取消部分审批事项。对《建设项目环境影响评价豁免管理名录（修订）》内的所有项目，不需办理环评手续。</w:t>
                  </w:r>
                </w:p>
              </w:tc>
              <w:tc>
                <w:tcPr>
                  <w:tcW w:w="1156" w:type="pct"/>
                  <w:noWrap w:val="0"/>
                  <w:vAlign w:val="center"/>
                </w:tcPr>
                <w:p>
                  <w:pPr>
                    <w:pStyle w:val="29"/>
                    <w:bidi w:val="0"/>
                    <w:rPr>
                      <w:rFonts w:hint="eastAsia"/>
                      <w:highlight w:val="none"/>
                      <w:lang w:eastAsia="zh-CN"/>
                    </w:rPr>
                  </w:pPr>
                  <w:r>
                    <w:rPr>
                      <w:rFonts w:hint="eastAsia"/>
                      <w:highlight w:val="none"/>
                      <w:lang w:eastAsia="zh-CN"/>
                    </w:rPr>
                    <w:t>本项目为新乡市兴豫气体有限责任公司年分装7000吨工业气体项目</w:t>
                  </w:r>
                </w:p>
              </w:tc>
              <w:tc>
                <w:tcPr>
                  <w:tcW w:w="1268" w:type="pct"/>
                  <w:noWrap w:val="0"/>
                  <w:vAlign w:val="center"/>
                </w:tcPr>
                <w:p>
                  <w:pPr>
                    <w:pStyle w:val="29"/>
                    <w:bidi w:val="0"/>
                    <w:rPr>
                      <w:highlight w:val="none"/>
                    </w:rPr>
                  </w:pPr>
                  <w:r>
                    <w:rPr>
                      <w:highlight w:val="none"/>
                    </w:rPr>
                    <w:t>本项目不在豁免名录内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7" w:type="pct"/>
                  <w:vMerge w:val="continue"/>
                  <w:noWrap w:val="0"/>
                  <w:vAlign w:val="center"/>
                </w:tcPr>
                <w:p>
                  <w:pPr>
                    <w:pStyle w:val="29"/>
                    <w:bidi w:val="0"/>
                    <w:rPr>
                      <w:highlight w:val="none"/>
                    </w:rPr>
                  </w:pPr>
                </w:p>
              </w:tc>
              <w:tc>
                <w:tcPr>
                  <w:tcW w:w="2038" w:type="pct"/>
                  <w:noWrap w:val="0"/>
                  <w:vAlign w:val="center"/>
                </w:tcPr>
                <w:p>
                  <w:pPr>
                    <w:pStyle w:val="29"/>
                    <w:bidi w:val="0"/>
                    <w:rPr>
                      <w:highlight w:val="none"/>
                    </w:rPr>
                  </w:pPr>
                  <w:r>
                    <w:rPr>
                      <w:highlight w:val="none"/>
                    </w:rPr>
                    <w:t>2.简化部分审批程序。依据环保部《建设项目环境影响评价分类管理名录》规定，对填报环境影响登记表的项目，环评文件由审批制改为备案制，即报即受理，2个工作日内办结；对编制环境影响报告表的项目，简化审批程序，即报即受理。</w:t>
                  </w:r>
                </w:p>
              </w:tc>
              <w:tc>
                <w:tcPr>
                  <w:tcW w:w="1156" w:type="pct"/>
                  <w:noWrap w:val="0"/>
                  <w:vAlign w:val="center"/>
                </w:tcPr>
                <w:p>
                  <w:pPr>
                    <w:pStyle w:val="29"/>
                    <w:bidi w:val="0"/>
                    <w:rPr>
                      <w:highlight w:val="none"/>
                    </w:rPr>
                  </w:pPr>
                  <w:r>
                    <w:rPr>
                      <w:rFonts w:hint="default"/>
                      <w:highlight w:val="none"/>
                      <w:lang w:eastAsia="zh-CN"/>
                    </w:rPr>
                    <w:t>本项目为</w:t>
                  </w:r>
                  <w:r>
                    <w:rPr>
                      <w:rFonts w:hint="eastAsia"/>
                      <w:highlight w:val="none"/>
                      <w:lang w:eastAsia="zh-CN"/>
                    </w:rPr>
                    <w:t>新乡市兴豫气体有限责任公司年分装7000吨工业气体项目。</w:t>
                  </w:r>
                </w:p>
              </w:tc>
              <w:tc>
                <w:tcPr>
                  <w:tcW w:w="1268" w:type="pct"/>
                  <w:noWrap w:val="0"/>
                  <w:vAlign w:val="center"/>
                </w:tcPr>
                <w:p>
                  <w:pPr>
                    <w:pStyle w:val="29"/>
                    <w:bidi w:val="0"/>
                    <w:rPr>
                      <w:highlight w:val="none"/>
                    </w:rPr>
                  </w:pPr>
                  <w:r>
                    <w:rPr>
                      <w:highlight w:val="none"/>
                    </w:rPr>
                    <w:t>本项目应编制环境影响报告表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7" w:type="pct"/>
                  <w:vMerge w:val="continue"/>
                  <w:noWrap w:val="0"/>
                  <w:vAlign w:val="center"/>
                </w:tcPr>
                <w:p>
                  <w:pPr>
                    <w:pStyle w:val="29"/>
                    <w:bidi w:val="0"/>
                    <w:rPr>
                      <w:highlight w:val="none"/>
                    </w:rPr>
                  </w:pPr>
                </w:p>
              </w:tc>
              <w:tc>
                <w:tcPr>
                  <w:tcW w:w="2038" w:type="pct"/>
                  <w:noWrap w:val="0"/>
                  <w:vAlign w:val="center"/>
                </w:tcPr>
                <w:p>
                  <w:pPr>
                    <w:pStyle w:val="29"/>
                    <w:bidi w:val="0"/>
                    <w:rPr>
                      <w:highlight w:val="none"/>
                    </w:rPr>
                  </w:pPr>
                  <w:r>
                    <w:rPr>
                      <w:highlight w:val="none"/>
                    </w:rPr>
                    <w:t>3.下放部分审批权限。对属于市环保局审批的《工业项目分类清单》中的一类工业项目，其环评文件的审批权限，下放至具有审批权限的各县（市）、区环保部门。</w:t>
                  </w:r>
                </w:p>
              </w:tc>
              <w:tc>
                <w:tcPr>
                  <w:tcW w:w="1156" w:type="pct"/>
                  <w:noWrap w:val="0"/>
                  <w:vAlign w:val="center"/>
                </w:tcPr>
                <w:p>
                  <w:pPr>
                    <w:pStyle w:val="29"/>
                    <w:bidi w:val="0"/>
                    <w:rPr>
                      <w:rFonts w:hint="eastAsia"/>
                      <w:highlight w:val="none"/>
                      <w:lang w:eastAsia="zh-CN"/>
                    </w:rPr>
                  </w:pPr>
                  <w:r>
                    <w:rPr>
                      <w:highlight w:val="none"/>
                    </w:rPr>
                    <w:t>本项目</w:t>
                  </w:r>
                  <w:r>
                    <w:rPr>
                      <w:rFonts w:hint="default"/>
                      <w:highlight w:val="none"/>
                      <w:lang w:eastAsia="zh-CN"/>
                    </w:rPr>
                    <w:t>为</w:t>
                  </w:r>
                  <w:r>
                    <w:rPr>
                      <w:rFonts w:hint="eastAsia"/>
                      <w:highlight w:val="none"/>
                      <w:lang w:eastAsia="zh-CN"/>
                    </w:rPr>
                    <w:t>新乡市兴豫气体有限责任公司年分装7000吨工业气体项目</w:t>
                  </w:r>
                </w:p>
              </w:tc>
              <w:tc>
                <w:tcPr>
                  <w:tcW w:w="1268" w:type="pct"/>
                  <w:noWrap w:val="0"/>
                  <w:vAlign w:val="center"/>
                </w:tcPr>
                <w:p>
                  <w:pPr>
                    <w:pStyle w:val="29"/>
                    <w:bidi w:val="0"/>
                    <w:rPr>
                      <w:rFonts w:hint="eastAsia"/>
                      <w:highlight w:val="none"/>
                      <w:lang w:eastAsia="zh-CN"/>
                    </w:rPr>
                  </w:pPr>
                  <w:r>
                    <w:rPr>
                      <w:rFonts w:hint="eastAsia"/>
                      <w:highlight w:val="none"/>
                      <w:lang w:eastAsia="zh-CN"/>
                    </w:rPr>
                    <w:t>本项目</w:t>
                  </w:r>
                  <w:r>
                    <w:rPr>
                      <w:rFonts w:hint="default"/>
                      <w:highlight w:val="none"/>
                      <w:lang w:eastAsia="zh-CN"/>
                    </w:rPr>
                    <w:t>未划入工业类别清单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7" w:type="pct"/>
                  <w:vMerge w:val="continue"/>
                  <w:noWrap w:val="0"/>
                  <w:vAlign w:val="center"/>
                </w:tcPr>
                <w:p>
                  <w:pPr>
                    <w:pStyle w:val="29"/>
                    <w:bidi w:val="0"/>
                    <w:rPr>
                      <w:highlight w:val="none"/>
                    </w:rPr>
                  </w:pPr>
                </w:p>
              </w:tc>
              <w:tc>
                <w:tcPr>
                  <w:tcW w:w="2038" w:type="pct"/>
                  <w:noWrap w:val="0"/>
                  <w:vAlign w:val="center"/>
                </w:tcPr>
                <w:p>
                  <w:pPr>
                    <w:pStyle w:val="29"/>
                    <w:bidi w:val="0"/>
                    <w:rPr>
                      <w:highlight w:val="none"/>
                    </w:rPr>
                  </w:pPr>
                  <w:r>
                    <w:rPr>
                      <w:highlight w:val="none"/>
                    </w:rPr>
                    <w:t>4.放宽部分审批条件。对规划环评已经过审查的产业集聚区或专业园区，符合主导产业的入驻建设项目的环评文件可适当简化；对污水集中处理设施完善的产业集聚区或专业园区，入驻建设项目的污水排放标准可执行间接排放标准，无间接排放标准的以环评审批的排放要求为准。</w:t>
                  </w:r>
                </w:p>
              </w:tc>
              <w:tc>
                <w:tcPr>
                  <w:tcW w:w="1156" w:type="pct"/>
                  <w:noWrap w:val="0"/>
                  <w:vAlign w:val="center"/>
                </w:tcPr>
                <w:p>
                  <w:pPr>
                    <w:pStyle w:val="29"/>
                    <w:bidi w:val="0"/>
                    <w:rPr>
                      <w:rFonts w:hint="eastAsia"/>
                      <w:highlight w:val="none"/>
                      <w:lang w:eastAsia="zh-CN"/>
                    </w:rPr>
                  </w:pPr>
                  <w:r>
                    <w:rPr>
                      <w:rFonts w:hint="eastAsia"/>
                      <w:highlight w:val="none"/>
                      <w:lang w:eastAsia="zh-CN"/>
                    </w:rPr>
                    <w:t>本项目</w:t>
                  </w:r>
                  <w:r>
                    <w:rPr>
                      <w:rFonts w:hint="default"/>
                      <w:highlight w:val="none"/>
                      <w:lang w:eastAsia="zh-CN"/>
                    </w:rPr>
                    <w:t>为</w:t>
                  </w:r>
                  <w:r>
                    <w:rPr>
                      <w:rFonts w:hint="eastAsia"/>
                      <w:highlight w:val="none"/>
                      <w:lang w:eastAsia="zh-CN"/>
                    </w:rPr>
                    <w:t>新乡市兴豫气体有限责任公司年分装7000吨工业气体项目，</w:t>
                  </w:r>
                  <w:r>
                    <w:rPr>
                      <w:rFonts w:hint="default" w:ascii="Times New Roman" w:hAnsi="Times New Roman" w:eastAsia="宋体" w:cs="Times New Roman"/>
                      <w:b w:val="0"/>
                      <w:bCs/>
                      <w:color w:val="000000"/>
                      <w:sz w:val="21"/>
                      <w:szCs w:val="21"/>
                      <w:highlight w:val="none"/>
                      <w:u w:val="none"/>
                    </w:rPr>
                    <w:t>本项目</w:t>
                  </w:r>
                  <w:r>
                    <w:rPr>
                      <w:rFonts w:hint="eastAsia" w:cs="Times New Roman"/>
                      <w:b w:val="0"/>
                      <w:bCs/>
                      <w:color w:val="000000"/>
                      <w:sz w:val="21"/>
                      <w:szCs w:val="21"/>
                      <w:highlight w:val="none"/>
                      <w:u w:val="none"/>
                      <w:lang w:val="en-US" w:eastAsia="zh-CN"/>
                    </w:rPr>
                    <w:t>无生产废水产生，项目依托现有员工，不新增劳动定员，无新增生活污水，现有项目生活污水由定期清运改为进入大召营镇污水处理厂处理。生活污水经化粪池处理后满足大召营镇污水处理厂收水水质要求：COD400ml/L、氨氮35mg/L、SS300mg/L，总磷4.5mg/L。</w:t>
                  </w:r>
                </w:p>
              </w:tc>
              <w:tc>
                <w:tcPr>
                  <w:tcW w:w="1268" w:type="pct"/>
                  <w:noWrap w:val="0"/>
                  <w:vAlign w:val="center"/>
                </w:tcPr>
                <w:p>
                  <w:pPr>
                    <w:pStyle w:val="29"/>
                    <w:bidi w:val="0"/>
                    <w:rPr>
                      <w:rFonts w:hint="eastAsia"/>
                      <w:highlight w:val="none"/>
                      <w:lang w:eastAsia="zh-CN"/>
                    </w:rPr>
                  </w:pPr>
                  <w:r>
                    <w:rPr>
                      <w:rFonts w:hint="eastAsia"/>
                      <w:highlight w:val="none"/>
                      <w:lang w:eastAsia="zh-CN"/>
                    </w:rPr>
                    <w:t>大召营专业园</w:t>
                  </w:r>
                  <w:r>
                    <w:rPr>
                      <w:rFonts w:hint="default"/>
                      <w:highlight w:val="none"/>
                      <w:lang w:eastAsia="zh-CN"/>
                    </w:rPr>
                    <w:t>区规划环评已通过新乡市环保局审批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7" w:type="pct"/>
                  <w:vMerge w:val="continue"/>
                  <w:noWrap w:val="0"/>
                  <w:vAlign w:val="center"/>
                </w:tcPr>
                <w:p>
                  <w:pPr>
                    <w:pStyle w:val="29"/>
                    <w:bidi w:val="0"/>
                    <w:rPr>
                      <w:highlight w:val="none"/>
                    </w:rPr>
                  </w:pPr>
                </w:p>
              </w:tc>
              <w:tc>
                <w:tcPr>
                  <w:tcW w:w="2038" w:type="pct"/>
                  <w:noWrap w:val="0"/>
                  <w:vAlign w:val="center"/>
                </w:tcPr>
                <w:p>
                  <w:pPr>
                    <w:pStyle w:val="29"/>
                    <w:bidi w:val="0"/>
                    <w:rPr>
                      <w:highlight w:val="none"/>
                    </w:rPr>
                  </w:pPr>
                  <w:r>
                    <w:rPr>
                      <w:highlight w:val="none"/>
                    </w:rPr>
                    <w:t>5.严控部分区域重污染项目。在《水污染防治重点单元》内的我市市区、新乡县、卫辉市、辉县市、获嘉县等区域内，不予审批煤化工、化学合成药以及生物发酵制药、制浆造纸、制革及毛皮鞣制、印染等行业单纯新建和单纯扩大产能的项目；在《大气污染防治重点单元》内的我市全部区域，严格燃煤火电项目审批，不予审批煤化工、冶金、钢铁、铁合金等行业单纯新建和单纯扩大产能的项目；在《重金属污染防控单元》内的新乡县、凤泉区铅镉污染防控区区域内，涉及铅、铬、镉、汞、砷等重金属污染物排放的相关项目</w:t>
                  </w:r>
                  <w:r>
                    <w:rPr>
                      <w:rFonts w:hint="eastAsia"/>
                      <w:highlight w:val="none"/>
                    </w:rPr>
                    <w:t>以“减量替代”为</w:t>
                  </w:r>
                  <w:r>
                    <w:rPr>
                      <w:highlight w:val="none"/>
                    </w:rPr>
                    <w:t>原则，不予审批新增重金属污染物排放的相应项目。（符合省、市重大产业布局的项目除外）</w:t>
                  </w:r>
                </w:p>
              </w:tc>
              <w:tc>
                <w:tcPr>
                  <w:tcW w:w="1156" w:type="pct"/>
                  <w:noWrap w:val="0"/>
                  <w:vAlign w:val="center"/>
                </w:tcPr>
                <w:p>
                  <w:pPr>
                    <w:pStyle w:val="29"/>
                    <w:bidi w:val="0"/>
                    <w:rPr>
                      <w:rFonts w:hint="eastAsia"/>
                      <w:highlight w:val="none"/>
                      <w:lang w:eastAsia="zh-CN"/>
                    </w:rPr>
                  </w:pPr>
                  <w:r>
                    <w:rPr>
                      <w:rFonts w:hint="eastAsia"/>
                      <w:highlight w:val="none"/>
                      <w:lang w:eastAsia="zh-CN"/>
                    </w:rPr>
                    <w:t>本项目位于</w:t>
                  </w:r>
                  <w:r>
                    <w:rPr>
                      <w:rFonts w:hint="default"/>
                      <w:highlight w:val="none"/>
                      <w:lang w:val="en-US" w:eastAsia="zh-CN"/>
                    </w:rPr>
                    <w:t>新乡县大召营镇</w:t>
                  </w:r>
                  <w:r>
                    <w:rPr>
                      <w:rFonts w:hint="eastAsia"/>
                      <w:highlight w:val="none"/>
                      <w:lang w:val="en-US" w:eastAsia="zh-CN"/>
                    </w:rPr>
                    <w:t>（新焦公路八公里处），</w:t>
                  </w:r>
                  <w:r>
                    <w:rPr>
                      <w:rFonts w:hint="eastAsia"/>
                      <w:highlight w:val="none"/>
                      <w:lang w:eastAsia="zh-CN"/>
                    </w:rPr>
                    <w:t>建设年分装7000吨工业气体项目</w:t>
                  </w:r>
                  <w:r>
                    <w:rPr>
                      <w:rFonts w:hint="eastAsia"/>
                      <w:highlight w:val="none"/>
                      <w:lang w:val="en-US" w:eastAsia="zh-CN"/>
                    </w:rPr>
                    <w:t>，为气体分装项目。</w:t>
                  </w:r>
                </w:p>
              </w:tc>
              <w:tc>
                <w:tcPr>
                  <w:tcW w:w="1268" w:type="pct"/>
                  <w:noWrap w:val="0"/>
                  <w:vAlign w:val="center"/>
                </w:tcPr>
                <w:p>
                  <w:pPr>
                    <w:pStyle w:val="29"/>
                    <w:bidi w:val="0"/>
                    <w:rPr>
                      <w:rFonts w:hint="eastAsia"/>
                      <w:highlight w:val="none"/>
                      <w:lang w:eastAsia="zh-CN"/>
                    </w:rPr>
                  </w:pPr>
                  <w:r>
                    <w:rPr>
                      <w:rFonts w:hint="eastAsia"/>
                      <w:highlight w:val="none"/>
                    </w:rPr>
                    <w:t>本项目</w:t>
                  </w:r>
                  <w:r>
                    <w:rPr>
                      <w:highlight w:val="none"/>
                    </w:rPr>
                    <w:t>在《水污染防治重点单元》内</w:t>
                  </w:r>
                  <w:r>
                    <w:rPr>
                      <w:rFonts w:hint="eastAsia"/>
                      <w:highlight w:val="none"/>
                      <w:lang w:eastAsia="zh-CN"/>
                    </w:rPr>
                    <w:t>，但</w:t>
                  </w:r>
                  <w:r>
                    <w:rPr>
                      <w:rFonts w:hint="eastAsia"/>
                      <w:highlight w:val="none"/>
                    </w:rPr>
                    <w:t>不属于煤化工、化学合成</w:t>
                  </w:r>
                  <w:r>
                    <w:rPr>
                      <w:highlight w:val="none"/>
                    </w:rPr>
                    <w:t>药以及生物发酵制药、制浆造纸、制革及毛皮鞣制、印染等行业单纯新建和单纯扩大产能的项目</w:t>
                  </w:r>
                  <w:r>
                    <w:rPr>
                      <w:rFonts w:hint="eastAsia"/>
                      <w:highlight w:val="none"/>
                    </w:rPr>
                    <w:t>；</w:t>
                  </w:r>
                  <w:r>
                    <w:rPr>
                      <w:highlight w:val="none"/>
                    </w:rPr>
                    <w:t>在《大气污染防治重点单元》内</w:t>
                  </w:r>
                  <w:r>
                    <w:rPr>
                      <w:rFonts w:hint="eastAsia"/>
                      <w:highlight w:val="none"/>
                      <w:lang w:eastAsia="zh-CN"/>
                    </w:rPr>
                    <w:t>，但</w:t>
                  </w:r>
                  <w:r>
                    <w:rPr>
                      <w:rFonts w:hint="eastAsia"/>
                      <w:highlight w:val="none"/>
                    </w:rPr>
                    <w:t>不属于</w:t>
                  </w:r>
                  <w:r>
                    <w:rPr>
                      <w:highlight w:val="none"/>
                    </w:rPr>
                    <w:t>煤化工、冶金、钢铁、铁合金等行业单纯新建和单纯扩大产能的项目</w:t>
                  </w:r>
                  <w:r>
                    <w:rPr>
                      <w:rFonts w:hint="eastAsia"/>
                      <w:highlight w:val="none"/>
                    </w:rPr>
                    <w:t>；本项目在</w:t>
                  </w:r>
                  <w:r>
                    <w:rPr>
                      <w:highlight w:val="none"/>
                    </w:rPr>
                    <w:t>《重金属污染防控单元》内</w:t>
                  </w:r>
                  <w:r>
                    <w:rPr>
                      <w:rFonts w:hint="eastAsia"/>
                      <w:highlight w:val="none"/>
                      <w:lang w:eastAsia="zh-CN"/>
                    </w:rPr>
                    <w:t>，但不涉及</w:t>
                  </w:r>
                  <w:r>
                    <w:rPr>
                      <w:highlight w:val="none"/>
                    </w:rPr>
                    <w:t>铅、铬、镉、汞、砷等重金属污染物排放</w:t>
                  </w:r>
                  <w:r>
                    <w:rPr>
                      <w:rFonts w:hint="eastAsia"/>
                      <w:highlight w:val="none"/>
                      <w:lang w:eastAsia="zh-CN"/>
                    </w:rPr>
                    <w:t>，不新增</w:t>
                  </w:r>
                  <w:r>
                    <w:rPr>
                      <w:highlight w:val="none"/>
                    </w:rPr>
                    <w:t>重金属污染物排放</w:t>
                  </w:r>
                  <w:r>
                    <w:rPr>
                      <w:rFonts w:hint="eastAsia"/>
                      <w:highlight w:val="none"/>
                    </w:rPr>
                    <w:t>。</w:t>
                  </w:r>
                </w:p>
              </w:tc>
            </w:tr>
          </w:tbl>
          <w:p>
            <w:pPr>
              <w:bidi w:val="0"/>
              <w:rPr>
                <w:rFonts w:hint="eastAsia"/>
                <w:highlight w:val="none"/>
                <w:lang w:val="en-US" w:eastAsia="zh-CN"/>
              </w:rPr>
            </w:pPr>
            <w:r>
              <w:rPr>
                <w:rFonts w:hint="default"/>
                <w:highlight w:val="none"/>
                <w:lang w:val="en-US" w:eastAsia="zh-CN"/>
              </w:rPr>
              <w:t>由</w:t>
            </w:r>
            <w:r>
              <w:rPr>
                <w:rFonts w:hint="eastAsia"/>
                <w:highlight w:val="none"/>
                <w:lang w:val="en-US" w:eastAsia="zh-CN"/>
              </w:rPr>
              <w:t>上表</w:t>
            </w:r>
            <w:r>
              <w:rPr>
                <w:rFonts w:hint="default"/>
                <w:highlight w:val="none"/>
                <w:lang w:val="en-US" w:eastAsia="zh-CN"/>
              </w:rPr>
              <w:t>可知，本项目不属于《通知》中所列不予审批的项目。</w:t>
            </w:r>
          </w:p>
          <w:p>
            <w:pPr>
              <w:pStyle w:val="4"/>
              <w:bidi w:val="0"/>
              <w:rPr>
                <w:rFonts w:hint="default"/>
                <w:highlight w:val="none"/>
                <w:lang w:val="en-US" w:eastAsia="zh-CN"/>
              </w:rPr>
            </w:pPr>
            <w:r>
              <w:rPr>
                <w:rFonts w:hint="eastAsia"/>
                <w:highlight w:val="none"/>
                <w:lang w:val="en-US" w:eastAsia="zh-CN"/>
              </w:rPr>
              <w:t>（三</w:t>
            </w:r>
            <w:r>
              <w:rPr>
                <w:rFonts w:hint="default"/>
                <w:highlight w:val="none"/>
                <w:lang w:val="en-US" w:eastAsia="zh-CN"/>
              </w:rPr>
              <w:t>）与</w:t>
            </w:r>
            <w:r>
              <w:rPr>
                <w:rFonts w:hint="default"/>
                <w:highlight w:val="none"/>
              </w:rPr>
              <w:t>《新乡市城市总体规划》（2008-2020）</w:t>
            </w:r>
            <w:r>
              <w:rPr>
                <w:rFonts w:hint="default"/>
                <w:highlight w:val="none"/>
                <w:lang w:val="en-US" w:eastAsia="zh-CN"/>
              </w:rPr>
              <w:t>相符性分析</w:t>
            </w:r>
          </w:p>
          <w:p>
            <w:pPr>
              <w:bidi w:val="0"/>
              <w:rPr>
                <w:rFonts w:hint="default"/>
                <w:highlight w:val="none"/>
                <w:lang w:val="en-US" w:eastAsia="zh-CN"/>
              </w:rPr>
            </w:pPr>
            <w:r>
              <w:rPr>
                <w:rFonts w:hint="default"/>
                <w:highlight w:val="none"/>
                <w:lang w:val="en-US" w:eastAsia="zh-CN"/>
              </w:rPr>
              <w:t>新乡市城市总体规划（2008-2020）指出小冀-新乡县域中心重点发展机械制造、生物医药、精细化工等高新技术产业和商贸服务业。规划大召营镇片区的定位为：以环保过滤、精细化工为主导产业。小冀镇片区定位为：以机械装备制造、精细化工为主。</w:t>
            </w:r>
          </w:p>
          <w:p>
            <w:pPr>
              <w:bidi w:val="0"/>
              <w:rPr>
                <w:rFonts w:hint="eastAsia"/>
                <w:highlight w:val="none"/>
                <w:lang w:eastAsia="zh-CN"/>
              </w:rPr>
            </w:pPr>
            <w:r>
              <w:rPr>
                <w:rFonts w:hint="eastAsia"/>
                <w:highlight w:val="none"/>
              </w:rPr>
              <w:t>本项目为</w:t>
            </w:r>
            <w:r>
              <w:rPr>
                <w:rFonts w:hint="eastAsia"/>
                <w:highlight w:val="none"/>
                <w:lang w:eastAsia="zh-CN"/>
              </w:rPr>
              <w:t>工业气体分装项目，</w:t>
            </w:r>
            <w:r>
              <w:rPr>
                <w:rFonts w:hint="eastAsia"/>
                <w:highlight w:val="none"/>
              </w:rPr>
              <w:t>不</w:t>
            </w:r>
            <w:r>
              <w:rPr>
                <w:rFonts w:hint="eastAsia"/>
                <w:highlight w:val="none"/>
                <w:lang w:eastAsia="zh-CN"/>
              </w:rPr>
              <w:t>属于</w:t>
            </w:r>
            <w:r>
              <w:rPr>
                <w:highlight w:val="none"/>
              </w:rPr>
              <w:t>大召营镇片区</w:t>
            </w:r>
            <w:r>
              <w:rPr>
                <w:rFonts w:hint="eastAsia"/>
                <w:highlight w:val="none"/>
              </w:rPr>
              <w:t>主导产业，</w:t>
            </w:r>
            <w:r>
              <w:rPr>
                <w:rFonts w:hint="eastAsia"/>
                <w:highlight w:val="none"/>
                <w:lang w:eastAsia="zh-CN"/>
              </w:rPr>
              <w:t>但是和其主导产业不冲突。</w:t>
            </w:r>
            <w:r>
              <w:rPr>
                <w:rFonts w:hint="default"/>
                <w:highlight w:val="none"/>
                <w:lang w:val="en-US" w:eastAsia="zh-CN"/>
              </w:rPr>
              <w:t>根据新乡县大召营镇总体规划图（2013-2030）</w:t>
            </w:r>
            <w:r>
              <w:rPr>
                <w:rFonts w:hint="eastAsia"/>
                <w:highlight w:val="none"/>
                <w:lang w:val="en-US" w:eastAsia="zh-CN"/>
              </w:rPr>
              <w:t>可知，本项目用地属于工业用地（见附图四），</w:t>
            </w:r>
            <w:r>
              <w:rPr>
                <w:rFonts w:hint="eastAsia"/>
                <w:highlight w:val="none"/>
              </w:rPr>
              <w:t>符合其用地性质</w:t>
            </w:r>
            <w:r>
              <w:rPr>
                <w:rFonts w:hint="eastAsia"/>
                <w:highlight w:val="none"/>
                <w:lang w:eastAsia="zh-CN"/>
              </w:rPr>
              <w:t>。</w:t>
            </w:r>
          </w:p>
          <w:p>
            <w:pPr>
              <w:bidi w:val="0"/>
              <w:rPr>
                <w:rFonts w:hint="eastAsia"/>
                <w:highlight w:val="none"/>
                <w:lang w:val="en-US" w:eastAsia="zh-CN"/>
              </w:rPr>
            </w:pPr>
            <w:r>
              <w:rPr>
                <w:rFonts w:hint="eastAsia"/>
                <w:highlight w:val="none"/>
              </w:rPr>
              <w:t>本项目规划符合大召营镇总体发展规划。</w:t>
            </w:r>
          </w:p>
          <w:p>
            <w:pPr>
              <w:pStyle w:val="4"/>
              <w:bidi w:val="0"/>
              <w:rPr>
                <w:rFonts w:hint="default"/>
                <w:highlight w:val="none"/>
                <w:lang w:val="en-US" w:eastAsia="zh-CN"/>
              </w:rPr>
            </w:pPr>
            <w:r>
              <w:rPr>
                <w:rFonts w:hint="default"/>
                <w:highlight w:val="none"/>
                <w:lang w:val="en-US" w:eastAsia="zh-CN"/>
              </w:rPr>
              <w:t>（四）与《新乡县大召营专业园区发展规划（2014-2025）环境影响报告书》（新环书审〔2016〕5号）相符性分析</w:t>
            </w:r>
          </w:p>
          <w:p>
            <w:pPr>
              <w:bidi w:val="0"/>
              <w:rPr>
                <w:highlight w:val="none"/>
              </w:rPr>
            </w:pPr>
            <w:r>
              <w:rPr>
                <w:rFonts w:hint="eastAsia"/>
                <w:highlight w:val="none"/>
                <w:lang w:val="en-US" w:eastAsia="zh-CN"/>
              </w:rPr>
              <w:t>1、</w:t>
            </w:r>
            <w:r>
              <w:rPr>
                <w:highlight w:val="none"/>
              </w:rPr>
              <w:t>规划范围和期限</w:t>
            </w:r>
          </w:p>
          <w:p>
            <w:pPr>
              <w:bidi w:val="0"/>
              <w:rPr>
                <w:highlight w:val="none"/>
              </w:rPr>
            </w:pPr>
            <w:r>
              <w:rPr>
                <w:highlight w:val="none"/>
              </w:rPr>
              <w:t>大召营专业园区分大召营镇片区和小冀镇片区两部分，总占地面积6.84平方公里。</w:t>
            </w:r>
          </w:p>
          <w:p>
            <w:pPr>
              <w:bidi w:val="0"/>
              <w:rPr>
                <w:highlight w:val="none"/>
              </w:rPr>
            </w:pPr>
            <w:r>
              <w:rPr>
                <w:rFonts w:hint="eastAsia"/>
                <w:highlight w:val="none"/>
                <w:lang w:val="en-US" w:eastAsia="zh-CN"/>
              </w:rPr>
              <w:t>1.1</w:t>
            </w:r>
            <w:r>
              <w:rPr>
                <w:highlight w:val="none"/>
              </w:rPr>
              <w:t>大召营镇片区规划范围及规划期限：</w:t>
            </w:r>
          </w:p>
          <w:p>
            <w:pPr>
              <w:bidi w:val="0"/>
              <w:rPr>
                <w:highlight w:val="none"/>
              </w:rPr>
            </w:pPr>
            <w:r>
              <w:rPr>
                <w:highlight w:val="none"/>
              </w:rPr>
              <w:t>规划范围：大召营镇片区具体范围指位于镇域中心的胡韦线两侧区域和新太铁路南侧部分区域。规划建设用地420公顷，基本田为30.64公顷。</w:t>
            </w:r>
          </w:p>
          <w:p>
            <w:pPr>
              <w:bidi w:val="0"/>
              <w:rPr>
                <w:highlight w:val="none"/>
              </w:rPr>
            </w:pPr>
            <w:r>
              <w:rPr>
                <w:highlight w:val="none"/>
              </w:rPr>
              <w:t>规划期限：本规划期限2014-2025年，其中近期2014-2020，远期2021-2025年。</w:t>
            </w:r>
          </w:p>
          <w:p>
            <w:pPr>
              <w:bidi w:val="0"/>
              <w:rPr>
                <w:highlight w:val="none"/>
              </w:rPr>
            </w:pPr>
            <w:r>
              <w:rPr>
                <w:highlight w:val="none"/>
              </w:rPr>
              <w:t>大召营专业园区空间结构</w:t>
            </w:r>
          </w:p>
          <w:p>
            <w:pPr>
              <w:bidi w:val="0"/>
              <w:rPr>
                <w:highlight w:val="none"/>
              </w:rPr>
            </w:pPr>
            <w:r>
              <w:rPr>
                <w:highlight w:val="none"/>
              </w:rPr>
              <w:t>大召营专业园区规划形成</w:t>
            </w:r>
            <w:r>
              <w:rPr>
                <w:rFonts w:hint="eastAsia"/>
                <w:highlight w:val="none"/>
              </w:rPr>
              <w:t>“</w:t>
            </w:r>
            <w:r>
              <w:rPr>
                <w:highlight w:val="none"/>
              </w:rPr>
              <w:t>三轴、两区、两心</w:t>
            </w:r>
            <w:r>
              <w:rPr>
                <w:rFonts w:hint="eastAsia"/>
                <w:highlight w:val="none"/>
              </w:rPr>
              <w:t>”</w:t>
            </w:r>
            <w:r>
              <w:rPr>
                <w:highlight w:val="none"/>
              </w:rPr>
              <w:t>的空间结构布局形式。</w:t>
            </w:r>
          </w:p>
          <w:p>
            <w:pPr>
              <w:bidi w:val="0"/>
              <w:rPr>
                <w:highlight w:val="none"/>
              </w:rPr>
            </w:pPr>
            <w:r>
              <w:rPr>
                <w:rFonts w:hint="eastAsia"/>
                <w:highlight w:val="none"/>
              </w:rPr>
              <w:t>“</w:t>
            </w:r>
            <w:r>
              <w:rPr>
                <w:highlight w:val="none"/>
              </w:rPr>
              <w:t>三轴</w:t>
            </w:r>
            <w:r>
              <w:rPr>
                <w:rFonts w:hint="eastAsia"/>
                <w:highlight w:val="none"/>
              </w:rPr>
              <w:t>”</w:t>
            </w:r>
            <w:r>
              <w:rPr>
                <w:highlight w:val="none"/>
              </w:rPr>
              <w:t>：指依托胡韦公路形成的大召营专业园区南北向空间联系轴、小冀镇片区沿滨河路形成的东西向发展轴和大召营镇片区沿新济公路形成的东西向发展轴。</w:t>
            </w:r>
          </w:p>
          <w:p>
            <w:pPr>
              <w:bidi w:val="0"/>
              <w:rPr>
                <w:highlight w:val="none"/>
              </w:rPr>
            </w:pPr>
            <w:r>
              <w:rPr>
                <w:rFonts w:hint="eastAsia"/>
                <w:highlight w:val="none"/>
              </w:rPr>
              <w:t>“</w:t>
            </w:r>
            <w:r>
              <w:rPr>
                <w:highlight w:val="none"/>
              </w:rPr>
              <w:t>两区</w:t>
            </w:r>
            <w:r>
              <w:rPr>
                <w:rFonts w:hint="eastAsia"/>
                <w:highlight w:val="none"/>
              </w:rPr>
              <w:t>”</w:t>
            </w:r>
            <w:r>
              <w:rPr>
                <w:highlight w:val="none"/>
              </w:rPr>
              <w:t>：大召营镇片区、小冀镇片区。</w:t>
            </w:r>
          </w:p>
          <w:p>
            <w:pPr>
              <w:bidi w:val="0"/>
              <w:rPr>
                <w:highlight w:val="none"/>
              </w:rPr>
            </w:pPr>
            <w:r>
              <w:rPr>
                <w:rFonts w:hint="eastAsia"/>
                <w:highlight w:val="none"/>
              </w:rPr>
              <w:t>“</w:t>
            </w:r>
            <w:r>
              <w:rPr>
                <w:highlight w:val="none"/>
              </w:rPr>
              <w:t>两心</w:t>
            </w:r>
            <w:r>
              <w:rPr>
                <w:rFonts w:hint="eastAsia"/>
                <w:highlight w:val="none"/>
              </w:rPr>
              <w:t>”</w:t>
            </w:r>
            <w:r>
              <w:rPr>
                <w:highlight w:val="none"/>
              </w:rPr>
              <w:t>：位干大召营镇片区的主综合服务中心和小翼镇片区的次综合服务中心。</w:t>
            </w:r>
          </w:p>
          <w:p>
            <w:pPr>
              <w:bidi w:val="0"/>
              <w:rPr>
                <w:highlight w:val="none"/>
              </w:rPr>
            </w:pPr>
            <w:r>
              <w:rPr>
                <w:highlight w:val="none"/>
              </w:rPr>
              <w:t>产业定位及布局规划</w:t>
            </w:r>
          </w:p>
          <w:p>
            <w:pPr>
              <w:bidi w:val="0"/>
              <w:rPr>
                <w:highlight w:val="none"/>
              </w:rPr>
            </w:pPr>
            <w:r>
              <w:rPr>
                <w:highlight w:val="none"/>
              </w:rPr>
              <w:t>大召营专业园区产业定位：以环保过滤、机械装备制造、精细化工业为主的新</w:t>
            </w:r>
            <w:r>
              <w:rPr>
                <w:rFonts w:hint="eastAsia"/>
                <w:highlight w:val="none"/>
              </w:rPr>
              <w:t>型</w:t>
            </w:r>
            <w:r>
              <w:rPr>
                <w:highlight w:val="none"/>
              </w:rPr>
              <w:t>环保专业园区。</w:t>
            </w:r>
          </w:p>
          <w:p>
            <w:pPr>
              <w:bidi w:val="0"/>
              <w:rPr>
                <w:highlight w:val="none"/>
              </w:rPr>
            </w:pPr>
            <w:r>
              <w:rPr>
                <w:rFonts w:hint="eastAsia"/>
                <w:highlight w:val="none"/>
                <w:lang w:val="en-US" w:eastAsia="zh-CN"/>
              </w:rPr>
              <w:t>3.1</w:t>
            </w:r>
            <w:r>
              <w:rPr>
                <w:highlight w:val="none"/>
              </w:rPr>
              <w:t>产业布局规划：</w:t>
            </w:r>
          </w:p>
          <w:p>
            <w:pPr>
              <w:bidi w:val="0"/>
              <w:rPr>
                <w:highlight w:val="none"/>
              </w:rPr>
            </w:pPr>
            <w:r>
              <w:rPr>
                <w:rFonts w:hint="eastAsia"/>
                <w:highlight w:val="none"/>
                <w:lang w:val="en-US" w:eastAsia="zh-CN"/>
              </w:rPr>
              <w:t>3.1.1</w:t>
            </w:r>
            <w:r>
              <w:rPr>
                <w:highlight w:val="none"/>
              </w:rPr>
              <w:t>环保过滤区</w:t>
            </w:r>
          </w:p>
          <w:p>
            <w:pPr>
              <w:bidi w:val="0"/>
              <w:rPr>
                <w:highlight w:val="none"/>
              </w:rPr>
            </w:pPr>
            <w:r>
              <w:rPr>
                <w:highlight w:val="none"/>
              </w:rPr>
              <w:t>环保过滤类工业主要分布在大召营镇片区北部，占地面积385.06公顷。环保过滤的产品主要为过滤材料、环保材料，无卫生防护距离要求。</w:t>
            </w:r>
          </w:p>
          <w:p>
            <w:pPr>
              <w:bidi w:val="0"/>
              <w:rPr>
                <w:highlight w:val="none"/>
              </w:rPr>
            </w:pPr>
            <w:r>
              <w:rPr>
                <w:rFonts w:hint="eastAsia"/>
                <w:highlight w:val="none"/>
                <w:lang w:val="en-US" w:eastAsia="zh-CN"/>
              </w:rPr>
              <w:t>3.1.2</w:t>
            </w:r>
            <w:r>
              <w:rPr>
                <w:highlight w:val="none"/>
              </w:rPr>
              <w:t>机械装备制造区</w:t>
            </w:r>
          </w:p>
          <w:p>
            <w:pPr>
              <w:bidi w:val="0"/>
              <w:rPr>
                <w:highlight w:val="none"/>
              </w:rPr>
            </w:pPr>
            <w:r>
              <w:rPr>
                <w:highlight w:val="none"/>
              </w:rPr>
              <w:t>主要分布在小冀镇片区，占地面积107.61公顷。机械装备制造主要产品为振动设备，根据《以噪声污染为主的工业企业卫生防护距离标准》（GB18083.2000），经类比，机械装备制造区噪声卫生防护距离为200m。</w:t>
            </w:r>
          </w:p>
          <w:p>
            <w:pPr>
              <w:bidi w:val="0"/>
              <w:rPr>
                <w:highlight w:val="none"/>
              </w:rPr>
            </w:pPr>
            <w:r>
              <w:rPr>
                <w:rFonts w:hint="eastAsia"/>
                <w:highlight w:val="none"/>
                <w:lang w:val="en-US" w:eastAsia="zh-CN"/>
              </w:rPr>
              <w:t>3.1.3</w:t>
            </w:r>
            <w:r>
              <w:rPr>
                <w:highlight w:val="none"/>
              </w:rPr>
              <w:t>精细化工区</w:t>
            </w:r>
          </w:p>
          <w:p>
            <w:pPr>
              <w:bidi w:val="0"/>
              <w:rPr>
                <w:highlight w:val="none"/>
              </w:rPr>
            </w:pPr>
            <w:r>
              <w:rPr>
                <w:highlight w:val="none"/>
              </w:rPr>
              <w:t>主要分布在小冀镇片区中北部及大召营镇片区西南部，占地面积分别为133.45公顷、34.94公顷。</w:t>
            </w:r>
          </w:p>
          <w:p>
            <w:pPr>
              <w:bidi w:val="0"/>
              <w:rPr>
                <w:highlight w:val="none"/>
              </w:rPr>
            </w:pPr>
            <w:r>
              <w:rPr>
                <w:rFonts w:hint="eastAsia"/>
                <w:highlight w:val="none"/>
                <w:lang w:val="en-US" w:eastAsia="zh-CN"/>
              </w:rPr>
              <w:t>3.2</w:t>
            </w:r>
            <w:r>
              <w:rPr>
                <w:highlight w:val="none"/>
              </w:rPr>
              <w:t>总体发展目标</w:t>
            </w:r>
          </w:p>
          <w:p>
            <w:pPr>
              <w:bidi w:val="0"/>
              <w:rPr>
                <w:highlight w:val="none"/>
              </w:rPr>
            </w:pPr>
            <w:r>
              <w:rPr>
                <w:highlight w:val="none"/>
              </w:rPr>
              <w:t>规划为统筹区域和城乡发展，促进土地集约、节约化利用，加快大召营镇、小冀镇区域经济发展，解决本区域在发展中面临的土地、环保、交通、城镇布局等一系列问题，打造区域产业定位明确、功能布局合理、土地利用科学、配套设施完善的现代化专业园区。</w:t>
            </w:r>
          </w:p>
          <w:p>
            <w:pPr>
              <w:bidi w:val="0"/>
              <w:rPr>
                <w:highlight w:val="none"/>
              </w:rPr>
            </w:pPr>
            <w:r>
              <w:rPr>
                <w:rFonts w:hint="eastAsia"/>
                <w:highlight w:val="none"/>
                <w:lang w:val="en-US" w:eastAsia="zh-CN"/>
              </w:rPr>
              <w:t>3.3</w:t>
            </w:r>
            <w:r>
              <w:rPr>
                <w:highlight w:val="none"/>
              </w:rPr>
              <w:t>用地规划</w:t>
            </w:r>
          </w:p>
          <w:p>
            <w:pPr>
              <w:bidi w:val="0"/>
              <w:rPr>
                <w:highlight w:val="none"/>
              </w:rPr>
            </w:pPr>
            <w:r>
              <w:rPr>
                <w:highlight w:val="none"/>
              </w:rPr>
              <w:t>大召营专业园区大召营镇片区用地构成见</w:t>
            </w:r>
            <w:r>
              <w:rPr>
                <w:rFonts w:hint="eastAsia"/>
                <w:highlight w:val="none"/>
                <w:lang w:eastAsia="zh-CN"/>
              </w:rPr>
              <w:t>下表</w:t>
            </w:r>
            <w:r>
              <w:rPr>
                <w:highlight w:val="none"/>
              </w:rPr>
              <w:t>。</w:t>
            </w:r>
          </w:p>
          <w:p>
            <w:pPr>
              <w:pStyle w:val="45"/>
              <w:bidi w:val="0"/>
              <w:rPr>
                <w:highlight w:val="none"/>
              </w:rPr>
            </w:pPr>
            <w:r>
              <w:rPr>
                <w:highlight w:val="none"/>
              </w:rPr>
              <w:t>表</w:t>
            </w:r>
            <w:r>
              <w:rPr>
                <w:rFonts w:hint="eastAsia"/>
                <w:highlight w:val="none"/>
                <w:lang w:val="en-US" w:eastAsia="zh-CN"/>
              </w:rPr>
              <w:t>8</w:t>
            </w:r>
            <w:r>
              <w:rPr>
                <w:highlight w:val="none"/>
              </w:rPr>
              <w:t xml:space="preserve">  </w:t>
            </w:r>
            <w:r>
              <w:rPr>
                <w:rFonts w:hint="eastAsia"/>
                <w:highlight w:val="none"/>
                <w:lang w:val="en-US" w:eastAsia="zh-CN"/>
              </w:rPr>
              <w:t xml:space="preserve">      </w:t>
            </w:r>
            <w:r>
              <w:rPr>
                <w:highlight w:val="none"/>
              </w:rPr>
              <w:t xml:space="preserve"> 大召营镇片区用地构成表</w:t>
            </w:r>
          </w:p>
          <w:tbl>
            <w:tblPr>
              <w:tblStyle w:val="21"/>
              <w:tblW w:w="4999"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2859"/>
              <w:gridCol w:w="2860"/>
              <w:gridCol w:w="286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666" w:type="pct"/>
                  <w:noWrap w:val="0"/>
                  <w:vAlign w:val="top"/>
                </w:tcPr>
                <w:p>
                  <w:pPr>
                    <w:pStyle w:val="29"/>
                    <w:bidi w:val="0"/>
                    <w:rPr>
                      <w:rFonts w:hint="default"/>
                      <w:highlight w:val="none"/>
                    </w:rPr>
                  </w:pPr>
                  <w:r>
                    <w:rPr>
                      <w:rFonts w:hint="default"/>
                      <w:highlight w:val="none"/>
                    </w:rPr>
                    <w:t>用地名称</w:t>
                  </w:r>
                </w:p>
              </w:tc>
              <w:tc>
                <w:tcPr>
                  <w:tcW w:w="1666" w:type="pct"/>
                  <w:noWrap w:val="0"/>
                  <w:vAlign w:val="top"/>
                </w:tcPr>
                <w:p>
                  <w:pPr>
                    <w:pStyle w:val="29"/>
                    <w:bidi w:val="0"/>
                    <w:rPr>
                      <w:rFonts w:hint="default"/>
                      <w:highlight w:val="none"/>
                    </w:rPr>
                  </w:pPr>
                  <w:r>
                    <w:rPr>
                      <w:rFonts w:hint="default"/>
                      <w:highlight w:val="none"/>
                    </w:rPr>
                    <w:t>用地面积（公顷）</w:t>
                  </w:r>
                </w:p>
              </w:tc>
              <w:tc>
                <w:tcPr>
                  <w:tcW w:w="1666" w:type="pct"/>
                  <w:noWrap w:val="0"/>
                  <w:vAlign w:val="top"/>
                </w:tcPr>
                <w:p>
                  <w:pPr>
                    <w:pStyle w:val="29"/>
                    <w:bidi w:val="0"/>
                    <w:rPr>
                      <w:rFonts w:hint="default"/>
                      <w:highlight w:val="none"/>
                    </w:rPr>
                  </w:pPr>
                  <w:r>
                    <w:rPr>
                      <w:rFonts w:hint="default"/>
                      <w:highlight w:val="none"/>
                    </w:rPr>
                    <w:t>比例（％）</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666" w:type="pct"/>
                  <w:noWrap w:val="0"/>
                  <w:vAlign w:val="top"/>
                </w:tcPr>
                <w:p>
                  <w:pPr>
                    <w:pStyle w:val="29"/>
                    <w:bidi w:val="0"/>
                    <w:rPr>
                      <w:rFonts w:hint="default"/>
                      <w:highlight w:val="none"/>
                    </w:rPr>
                  </w:pPr>
                  <w:r>
                    <w:rPr>
                      <w:rFonts w:hint="default"/>
                      <w:highlight w:val="none"/>
                    </w:rPr>
                    <w:t>二类居住用地</w:t>
                  </w:r>
                </w:p>
              </w:tc>
              <w:tc>
                <w:tcPr>
                  <w:tcW w:w="1666" w:type="pct"/>
                  <w:noWrap w:val="0"/>
                  <w:vAlign w:val="top"/>
                </w:tcPr>
                <w:p>
                  <w:pPr>
                    <w:pStyle w:val="29"/>
                    <w:bidi w:val="0"/>
                    <w:rPr>
                      <w:rFonts w:hint="default"/>
                      <w:highlight w:val="none"/>
                    </w:rPr>
                  </w:pPr>
                  <w:r>
                    <w:rPr>
                      <w:rFonts w:hint="default"/>
                      <w:highlight w:val="none"/>
                    </w:rPr>
                    <w:t>1.12</w:t>
                  </w:r>
                </w:p>
              </w:tc>
              <w:tc>
                <w:tcPr>
                  <w:tcW w:w="1666" w:type="pct"/>
                  <w:noWrap w:val="0"/>
                  <w:vAlign w:val="top"/>
                </w:tcPr>
                <w:p>
                  <w:pPr>
                    <w:pStyle w:val="29"/>
                    <w:bidi w:val="0"/>
                    <w:rPr>
                      <w:rFonts w:hint="default"/>
                      <w:highlight w:val="none"/>
                    </w:rPr>
                  </w:pPr>
                  <w:r>
                    <w:rPr>
                      <w:rFonts w:hint="default"/>
                      <w:highlight w:val="none"/>
                    </w:rPr>
                    <w:t>0266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666" w:type="pct"/>
                  <w:noWrap w:val="0"/>
                  <w:vAlign w:val="top"/>
                </w:tcPr>
                <w:p>
                  <w:pPr>
                    <w:pStyle w:val="29"/>
                    <w:bidi w:val="0"/>
                    <w:rPr>
                      <w:rFonts w:hint="default"/>
                      <w:highlight w:val="none"/>
                    </w:rPr>
                  </w:pPr>
                  <w:r>
                    <w:rPr>
                      <w:rFonts w:hint="default"/>
                      <w:highlight w:val="none"/>
                    </w:rPr>
                    <w:t>行政办公用地</w:t>
                  </w:r>
                </w:p>
              </w:tc>
              <w:tc>
                <w:tcPr>
                  <w:tcW w:w="1666" w:type="pct"/>
                  <w:noWrap w:val="0"/>
                  <w:vAlign w:val="top"/>
                </w:tcPr>
                <w:p>
                  <w:pPr>
                    <w:pStyle w:val="29"/>
                    <w:bidi w:val="0"/>
                    <w:rPr>
                      <w:rFonts w:hint="default"/>
                      <w:highlight w:val="none"/>
                    </w:rPr>
                  </w:pPr>
                  <w:r>
                    <w:rPr>
                      <w:rFonts w:hint="default"/>
                      <w:highlight w:val="none"/>
                    </w:rPr>
                    <w:t>3.13</w:t>
                  </w:r>
                </w:p>
              </w:tc>
              <w:tc>
                <w:tcPr>
                  <w:tcW w:w="1666" w:type="pct"/>
                  <w:noWrap w:val="0"/>
                  <w:vAlign w:val="top"/>
                </w:tcPr>
                <w:p>
                  <w:pPr>
                    <w:pStyle w:val="29"/>
                    <w:bidi w:val="0"/>
                    <w:rPr>
                      <w:rFonts w:hint="default"/>
                      <w:highlight w:val="none"/>
                    </w:rPr>
                  </w:pPr>
                  <w:r>
                    <w:rPr>
                      <w:rFonts w:hint="default"/>
                      <w:highlight w:val="none"/>
                    </w:rPr>
                    <w:t>0</w:t>
                  </w:r>
                  <w:r>
                    <w:rPr>
                      <w:rFonts w:hint="eastAsia"/>
                      <w:highlight w:val="none"/>
                      <w:lang w:val="en-US" w:eastAsia="zh-CN"/>
                    </w:rPr>
                    <w:t>.</w:t>
                  </w:r>
                  <w:r>
                    <w:rPr>
                      <w:rFonts w:hint="default"/>
                      <w:highlight w:val="none"/>
                    </w:rPr>
                    <w:t>745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666" w:type="pct"/>
                  <w:noWrap w:val="0"/>
                  <w:vAlign w:val="top"/>
                </w:tcPr>
                <w:p>
                  <w:pPr>
                    <w:pStyle w:val="29"/>
                    <w:bidi w:val="0"/>
                    <w:rPr>
                      <w:rFonts w:hint="default"/>
                      <w:highlight w:val="none"/>
                    </w:rPr>
                  </w:pPr>
                  <w:r>
                    <w:rPr>
                      <w:rFonts w:hint="default"/>
                      <w:highlight w:val="none"/>
                    </w:rPr>
                    <w:t>商业用地</w:t>
                  </w:r>
                </w:p>
              </w:tc>
              <w:tc>
                <w:tcPr>
                  <w:tcW w:w="1666" w:type="pct"/>
                  <w:noWrap w:val="0"/>
                  <w:vAlign w:val="top"/>
                </w:tcPr>
                <w:p>
                  <w:pPr>
                    <w:pStyle w:val="29"/>
                    <w:bidi w:val="0"/>
                    <w:rPr>
                      <w:rFonts w:hint="default"/>
                      <w:highlight w:val="none"/>
                    </w:rPr>
                  </w:pPr>
                  <w:r>
                    <w:rPr>
                      <w:rFonts w:hint="default"/>
                      <w:highlight w:val="none"/>
                    </w:rPr>
                    <w:t>5.79</w:t>
                  </w:r>
                </w:p>
              </w:tc>
              <w:tc>
                <w:tcPr>
                  <w:tcW w:w="1666" w:type="pct"/>
                  <w:noWrap w:val="0"/>
                  <w:vAlign w:val="top"/>
                </w:tcPr>
                <w:p>
                  <w:pPr>
                    <w:pStyle w:val="29"/>
                    <w:bidi w:val="0"/>
                    <w:rPr>
                      <w:rFonts w:hint="default"/>
                      <w:highlight w:val="none"/>
                    </w:rPr>
                  </w:pPr>
                  <w:r>
                    <w:rPr>
                      <w:rFonts w:hint="default"/>
                      <w:highlight w:val="none"/>
                    </w:rPr>
                    <w:t>L38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666" w:type="pct"/>
                  <w:noWrap w:val="0"/>
                  <w:vAlign w:val="top"/>
                </w:tcPr>
                <w:p>
                  <w:pPr>
                    <w:pStyle w:val="29"/>
                    <w:bidi w:val="0"/>
                    <w:rPr>
                      <w:rFonts w:hint="default"/>
                      <w:highlight w:val="none"/>
                    </w:rPr>
                  </w:pPr>
                  <w:r>
                    <w:rPr>
                      <w:rFonts w:hint="default"/>
                      <w:highlight w:val="none"/>
                    </w:rPr>
                    <w:t>公用设施营业网点用地</w:t>
                  </w:r>
                </w:p>
              </w:tc>
              <w:tc>
                <w:tcPr>
                  <w:tcW w:w="1666" w:type="pct"/>
                  <w:noWrap w:val="0"/>
                  <w:vAlign w:val="top"/>
                </w:tcPr>
                <w:p>
                  <w:pPr>
                    <w:pStyle w:val="29"/>
                    <w:bidi w:val="0"/>
                    <w:rPr>
                      <w:rFonts w:hint="default"/>
                      <w:highlight w:val="none"/>
                    </w:rPr>
                  </w:pPr>
                  <w:r>
                    <w:rPr>
                      <w:rFonts w:hint="default"/>
                      <w:highlight w:val="none"/>
                    </w:rPr>
                    <w:t>0.77</w:t>
                  </w:r>
                </w:p>
              </w:tc>
              <w:tc>
                <w:tcPr>
                  <w:tcW w:w="1666" w:type="pct"/>
                  <w:noWrap w:val="0"/>
                  <w:vAlign w:val="top"/>
                </w:tcPr>
                <w:p>
                  <w:pPr>
                    <w:pStyle w:val="29"/>
                    <w:bidi w:val="0"/>
                    <w:rPr>
                      <w:rFonts w:hint="default"/>
                      <w:highlight w:val="none"/>
                    </w:rPr>
                  </w:pPr>
                  <w:r>
                    <w:rPr>
                      <w:rFonts w:hint="default"/>
                      <w:highlight w:val="none"/>
                    </w:rPr>
                    <w:t>0.18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666" w:type="pct"/>
                  <w:noWrap w:val="0"/>
                  <w:vAlign w:val="top"/>
                </w:tcPr>
                <w:p>
                  <w:pPr>
                    <w:pStyle w:val="29"/>
                    <w:bidi w:val="0"/>
                    <w:rPr>
                      <w:rFonts w:hint="default"/>
                      <w:highlight w:val="none"/>
                    </w:rPr>
                  </w:pPr>
                  <w:r>
                    <w:rPr>
                      <w:rFonts w:hint="default"/>
                      <w:highlight w:val="none"/>
                    </w:rPr>
                    <w:t>二类工业用地</w:t>
                  </w:r>
                </w:p>
              </w:tc>
              <w:tc>
                <w:tcPr>
                  <w:tcW w:w="1666" w:type="pct"/>
                  <w:noWrap w:val="0"/>
                  <w:vAlign w:val="top"/>
                </w:tcPr>
                <w:p>
                  <w:pPr>
                    <w:pStyle w:val="29"/>
                    <w:bidi w:val="0"/>
                    <w:rPr>
                      <w:rFonts w:hint="default"/>
                      <w:highlight w:val="none"/>
                    </w:rPr>
                  </w:pPr>
                  <w:r>
                    <w:rPr>
                      <w:rFonts w:hint="default"/>
                      <w:highlight w:val="none"/>
                    </w:rPr>
                    <w:t>209.05</w:t>
                  </w:r>
                </w:p>
              </w:tc>
              <w:tc>
                <w:tcPr>
                  <w:tcW w:w="1666" w:type="pct"/>
                  <w:noWrap w:val="0"/>
                  <w:vAlign w:val="top"/>
                </w:tcPr>
                <w:p>
                  <w:pPr>
                    <w:pStyle w:val="29"/>
                    <w:bidi w:val="0"/>
                    <w:rPr>
                      <w:rFonts w:hint="default"/>
                      <w:highlight w:val="none"/>
                    </w:rPr>
                  </w:pPr>
                  <w:r>
                    <w:rPr>
                      <w:rFonts w:hint="default"/>
                      <w:highlight w:val="none"/>
                    </w:rPr>
                    <w:t>49.77</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666" w:type="pct"/>
                  <w:noWrap w:val="0"/>
                  <w:vAlign w:val="top"/>
                </w:tcPr>
                <w:p>
                  <w:pPr>
                    <w:pStyle w:val="29"/>
                    <w:bidi w:val="0"/>
                    <w:rPr>
                      <w:rFonts w:hint="default"/>
                      <w:highlight w:val="none"/>
                    </w:rPr>
                  </w:pPr>
                  <w:r>
                    <w:rPr>
                      <w:rFonts w:hint="default"/>
                      <w:highlight w:val="none"/>
                    </w:rPr>
                    <w:t>三类工业额用地</w:t>
                  </w:r>
                </w:p>
              </w:tc>
              <w:tc>
                <w:tcPr>
                  <w:tcW w:w="1666" w:type="pct"/>
                  <w:noWrap w:val="0"/>
                  <w:vAlign w:val="top"/>
                </w:tcPr>
                <w:p>
                  <w:pPr>
                    <w:pStyle w:val="29"/>
                    <w:bidi w:val="0"/>
                    <w:rPr>
                      <w:rFonts w:hint="default"/>
                      <w:highlight w:val="none"/>
                    </w:rPr>
                  </w:pPr>
                  <w:r>
                    <w:rPr>
                      <w:rFonts w:hint="default"/>
                      <w:highlight w:val="none"/>
                    </w:rPr>
                    <w:t>65.24</w:t>
                  </w:r>
                </w:p>
              </w:tc>
              <w:tc>
                <w:tcPr>
                  <w:tcW w:w="1666" w:type="pct"/>
                  <w:noWrap w:val="0"/>
                  <w:vAlign w:val="top"/>
                </w:tcPr>
                <w:p>
                  <w:pPr>
                    <w:pStyle w:val="29"/>
                    <w:bidi w:val="0"/>
                    <w:rPr>
                      <w:rFonts w:hint="default"/>
                      <w:highlight w:val="none"/>
                    </w:rPr>
                  </w:pPr>
                  <w:r>
                    <w:rPr>
                      <w:rFonts w:hint="default"/>
                      <w:highlight w:val="none"/>
                    </w:rPr>
                    <w:t>15.53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666" w:type="pct"/>
                  <w:noWrap w:val="0"/>
                  <w:vAlign w:val="top"/>
                </w:tcPr>
                <w:p>
                  <w:pPr>
                    <w:pStyle w:val="29"/>
                    <w:bidi w:val="0"/>
                    <w:rPr>
                      <w:rFonts w:hint="default"/>
                      <w:highlight w:val="none"/>
                    </w:rPr>
                  </w:pPr>
                  <w:r>
                    <w:rPr>
                      <w:rFonts w:hint="default"/>
                      <w:highlight w:val="none"/>
                    </w:rPr>
                    <w:t>仓储用地</w:t>
                  </w:r>
                </w:p>
              </w:tc>
              <w:tc>
                <w:tcPr>
                  <w:tcW w:w="1666" w:type="pct"/>
                  <w:noWrap w:val="0"/>
                  <w:vAlign w:val="top"/>
                </w:tcPr>
                <w:p>
                  <w:pPr>
                    <w:pStyle w:val="29"/>
                    <w:bidi w:val="0"/>
                    <w:rPr>
                      <w:rFonts w:hint="default"/>
                      <w:highlight w:val="none"/>
                    </w:rPr>
                  </w:pPr>
                  <w:r>
                    <w:rPr>
                      <w:rFonts w:hint="default"/>
                      <w:highlight w:val="none"/>
                    </w:rPr>
                    <w:t>19.58</w:t>
                  </w:r>
                </w:p>
              </w:tc>
              <w:tc>
                <w:tcPr>
                  <w:tcW w:w="1666" w:type="pct"/>
                  <w:noWrap w:val="0"/>
                  <w:vAlign w:val="top"/>
                </w:tcPr>
                <w:p>
                  <w:pPr>
                    <w:pStyle w:val="29"/>
                    <w:bidi w:val="0"/>
                    <w:rPr>
                      <w:rFonts w:hint="default"/>
                      <w:highlight w:val="none"/>
                    </w:rPr>
                  </w:pPr>
                  <w:r>
                    <w:rPr>
                      <w:rFonts w:hint="default"/>
                      <w:highlight w:val="none"/>
                    </w:rPr>
                    <w:t>4.66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666" w:type="pct"/>
                  <w:noWrap w:val="0"/>
                  <w:vAlign w:val="top"/>
                </w:tcPr>
                <w:p>
                  <w:pPr>
                    <w:pStyle w:val="29"/>
                    <w:bidi w:val="0"/>
                    <w:rPr>
                      <w:rFonts w:hint="default"/>
                      <w:highlight w:val="none"/>
                    </w:rPr>
                  </w:pPr>
                  <w:r>
                    <w:rPr>
                      <w:rFonts w:hint="default"/>
                      <w:highlight w:val="none"/>
                    </w:rPr>
                    <w:t>道路交通设施用地</w:t>
                  </w:r>
                </w:p>
              </w:tc>
              <w:tc>
                <w:tcPr>
                  <w:tcW w:w="1666" w:type="pct"/>
                  <w:noWrap w:val="0"/>
                  <w:vAlign w:val="top"/>
                </w:tcPr>
                <w:p>
                  <w:pPr>
                    <w:pStyle w:val="29"/>
                    <w:bidi w:val="0"/>
                    <w:rPr>
                      <w:rFonts w:hint="default"/>
                      <w:highlight w:val="none"/>
                    </w:rPr>
                  </w:pPr>
                  <w:r>
                    <w:rPr>
                      <w:rFonts w:hint="default"/>
                      <w:highlight w:val="none"/>
                    </w:rPr>
                    <w:t>62.06</w:t>
                  </w:r>
                </w:p>
              </w:tc>
              <w:tc>
                <w:tcPr>
                  <w:tcW w:w="1666" w:type="pct"/>
                  <w:noWrap w:val="0"/>
                  <w:vAlign w:val="top"/>
                </w:tcPr>
                <w:p>
                  <w:pPr>
                    <w:pStyle w:val="29"/>
                    <w:bidi w:val="0"/>
                    <w:rPr>
                      <w:rFonts w:hint="default"/>
                      <w:highlight w:val="none"/>
                    </w:rPr>
                  </w:pPr>
                  <w:r>
                    <w:rPr>
                      <w:rFonts w:hint="default"/>
                      <w:highlight w:val="none"/>
                    </w:rPr>
                    <w:t>14.77</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666" w:type="pct"/>
                  <w:noWrap w:val="0"/>
                  <w:vAlign w:val="top"/>
                </w:tcPr>
                <w:p>
                  <w:pPr>
                    <w:pStyle w:val="29"/>
                    <w:bidi w:val="0"/>
                    <w:rPr>
                      <w:rFonts w:hint="default"/>
                      <w:highlight w:val="none"/>
                    </w:rPr>
                  </w:pPr>
                  <w:r>
                    <w:rPr>
                      <w:rFonts w:hint="default"/>
                      <w:highlight w:val="none"/>
                    </w:rPr>
                    <w:t>公用设施用地</w:t>
                  </w:r>
                </w:p>
              </w:tc>
              <w:tc>
                <w:tcPr>
                  <w:tcW w:w="1666" w:type="pct"/>
                  <w:noWrap w:val="0"/>
                  <w:vAlign w:val="top"/>
                </w:tcPr>
                <w:p>
                  <w:pPr>
                    <w:pStyle w:val="29"/>
                    <w:bidi w:val="0"/>
                    <w:rPr>
                      <w:rFonts w:hint="default"/>
                      <w:highlight w:val="none"/>
                    </w:rPr>
                  </w:pPr>
                  <w:r>
                    <w:rPr>
                      <w:rFonts w:hint="default"/>
                      <w:highlight w:val="none"/>
                    </w:rPr>
                    <w:t>4.82</w:t>
                  </w:r>
                </w:p>
              </w:tc>
              <w:tc>
                <w:tcPr>
                  <w:tcW w:w="1666" w:type="pct"/>
                  <w:noWrap w:val="0"/>
                  <w:vAlign w:val="top"/>
                </w:tcPr>
                <w:p>
                  <w:pPr>
                    <w:pStyle w:val="29"/>
                    <w:bidi w:val="0"/>
                    <w:rPr>
                      <w:rFonts w:hint="default"/>
                      <w:highlight w:val="none"/>
                    </w:rPr>
                  </w:pPr>
                  <w:r>
                    <w:rPr>
                      <w:rFonts w:hint="default"/>
                      <w:highlight w:val="none"/>
                    </w:rPr>
                    <w:t>10.46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666" w:type="pct"/>
                  <w:noWrap w:val="0"/>
                  <w:vAlign w:val="top"/>
                </w:tcPr>
                <w:p>
                  <w:pPr>
                    <w:pStyle w:val="29"/>
                    <w:bidi w:val="0"/>
                    <w:rPr>
                      <w:rFonts w:hint="default"/>
                      <w:highlight w:val="none"/>
                    </w:rPr>
                  </w:pPr>
                  <w:r>
                    <w:rPr>
                      <w:rFonts w:hint="default"/>
                      <w:highlight w:val="none"/>
                    </w:rPr>
                    <w:t>绿地与广场用地</w:t>
                  </w:r>
                </w:p>
              </w:tc>
              <w:tc>
                <w:tcPr>
                  <w:tcW w:w="1666" w:type="pct"/>
                  <w:noWrap w:val="0"/>
                  <w:vAlign w:val="top"/>
                </w:tcPr>
                <w:p>
                  <w:pPr>
                    <w:pStyle w:val="29"/>
                    <w:bidi w:val="0"/>
                    <w:rPr>
                      <w:rFonts w:hint="default"/>
                      <w:highlight w:val="none"/>
                    </w:rPr>
                  </w:pPr>
                  <w:r>
                    <w:rPr>
                      <w:rFonts w:hint="default"/>
                      <w:highlight w:val="none"/>
                    </w:rPr>
                    <w:t>43.96</w:t>
                  </w:r>
                </w:p>
              </w:tc>
              <w:tc>
                <w:tcPr>
                  <w:tcW w:w="1666" w:type="pct"/>
                  <w:noWrap w:val="0"/>
                  <w:vAlign w:val="top"/>
                </w:tcPr>
                <w:p>
                  <w:pPr>
                    <w:pStyle w:val="29"/>
                    <w:bidi w:val="0"/>
                    <w:rPr>
                      <w:rFonts w:hint="default"/>
                      <w:highlight w:val="none"/>
                    </w:rPr>
                  </w:pPr>
                  <w:r>
                    <w:rPr>
                      <w:rFonts w:hint="default"/>
                      <w:highlight w:val="none"/>
                    </w:rPr>
                    <w:t>L06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666" w:type="pct"/>
                  <w:noWrap w:val="0"/>
                  <w:vAlign w:val="top"/>
                </w:tcPr>
                <w:p>
                  <w:pPr>
                    <w:pStyle w:val="29"/>
                    <w:bidi w:val="0"/>
                    <w:rPr>
                      <w:rFonts w:hint="default"/>
                      <w:highlight w:val="none"/>
                    </w:rPr>
                  </w:pPr>
                  <w:r>
                    <w:rPr>
                      <w:rFonts w:hint="default"/>
                      <w:highlight w:val="none"/>
                    </w:rPr>
                    <w:t>水域</w:t>
                  </w:r>
                </w:p>
              </w:tc>
              <w:tc>
                <w:tcPr>
                  <w:tcW w:w="1666" w:type="pct"/>
                  <w:noWrap w:val="0"/>
                  <w:vAlign w:val="top"/>
                </w:tcPr>
                <w:p>
                  <w:pPr>
                    <w:pStyle w:val="29"/>
                    <w:bidi w:val="0"/>
                    <w:rPr>
                      <w:rFonts w:hint="default"/>
                      <w:highlight w:val="none"/>
                    </w:rPr>
                  </w:pPr>
                  <w:r>
                    <w:rPr>
                      <w:rFonts w:hint="default"/>
                      <w:highlight w:val="none"/>
                    </w:rPr>
                    <w:t>4.48</w:t>
                  </w:r>
                </w:p>
              </w:tc>
              <w:tc>
                <w:tcPr>
                  <w:tcW w:w="1666" w:type="pct"/>
                  <w:noWrap w:val="0"/>
                  <w:vAlign w:val="top"/>
                </w:tcPr>
                <w:p>
                  <w:pPr>
                    <w:pStyle w:val="29"/>
                    <w:bidi w:val="0"/>
                    <w:rPr>
                      <w:rFonts w:hint="default"/>
                      <w:highlight w:val="none"/>
                    </w:rPr>
                  </w:pPr>
                  <w:r>
                    <w:rPr>
                      <w:rFonts w:hint="default"/>
                      <w:highlight w:val="none"/>
                    </w:rPr>
                    <w:t>100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666" w:type="pct"/>
                  <w:noWrap w:val="0"/>
                  <w:vAlign w:val="top"/>
                </w:tcPr>
                <w:p>
                  <w:pPr>
                    <w:pStyle w:val="29"/>
                    <w:bidi w:val="0"/>
                    <w:rPr>
                      <w:rFonts w:hint="default"/>
                      <w:highlight w:val="none"/>
                    </w:rPr>
                  </w:pPr>
                  <w:r>
                    <w:rPr>
                      <w:rFonts w:hint="default"/>
                      <w:highlight w:val="none"/>
                    </w:rPr>
                    <w:t>合计</w:t>
                  </w:r>
                </w:p>
              </w:tc>
              <w:tc>
                <w:tcPr>
                  <w:tcW w:w="1666" w:type="pct"/>
                  <w:noWrap w:val="0"/>
                  <w:vAlign w:val="top"/>
                </w:tcPr>
                <w:p>
                  <w:pPr>
                    <w:pStyle w:val="29"/>
                    <w:bidi w:val="0"/>
                    <w:rPr>
                      <w:rFonts w:hint="default"/>
                      <w:highlight w:val="none"/>
                    </w:rPr>
                  </w:pPr>
                  <w:r>
                    <w:rPr>
                      <w:rFonts w:hint="default"/>
                      <w:highlight w:val="none"/>
                    </w:rPr>
                    <w:t>420</w:t>
                  </w:r>
                </w:p>
              </w:tc>
              <w:tc>
                <w:tcPr>
                  <w:tcW w:w="1666" w:type="pct"/>
                  <w:noWrap w:val="0"/>
                  <w:vAlign w:val="top"/>
                </w:tcPr>
                <w:p>
                  <w:pPr>
                    <w:pStyle w:val="29"/>
                    <w:bidi w:val="0"/>
                    <w:rPr>
                      <w:rFonts w:hint="default"/>
                      <w:highlight w:val="none"/>
                    </w:rPr>
                  </w:pPr>
                  <w:r>
                    <w:rPr>
                      <w:rFonts w:hint="default"/>
                      <w:highlight w:val="none"/>
                    </w:rPr>
                    <w:t>比例（</w:t>
                  </w:r>
                  <w:r>
                    <w:rPr>
                      <w:rFonts w:hint="eastAsia"/>
                      <w:highlight w:val="none"/>
                      <w:lang w:val="en-US" w:eastAsia="zh-CN"/>
                    </w:rPr>
                    <w:t>%</w:t>
                  </w:r>
                  <w:r>
                    <w:rPr>
                      <w:rFonts w:hint="default"/>
                      <w:highlight w:val="none"/>
                    </w:rPr>
                    <w:t>）</w:t>
                  </w:r>
                </w:p>
              </w:tc>
            </w:tr>
          </w:tbl>
          <w:p>
            <w:pPr>
              <w:bidi w:val="0"/>
              <w:rPr>
                <w:highlight w:val="none"/>
              </w:rPr>
            </w:pPr>
            <w:r>
              <w:rPr>
                <w:rFonts w:hint="eastAsia"/>
                <w:highlight w:val="none"/>
                <w:lang w:val="en-US" w:eastAsia="zh-CN"/>
              </w:rPr>
              <w:t>3.4</w:t>
            </w:r>
            <w:r>
              <w:rPr>
                <w:highlight w:val="none"/>
              </w:rPr>
              <w:t>发展定位</w:t>
            </w:r>
          </w:p>
          <w:p>
            <w:pPr>
              <w:bidi w:val="0"/>
              <w:rPr>
                <w:highlight w:val="none"/>
              </w:rPr>
            </w:pPr>
            <w:r>
              <w:rPr>
                <w:highlight w:val="none"/>
              </w:rPr>
              <w:t>园区以环保过滤、机械装备制造、精细化工为主导。园区内产业布局分为环保过滤、机械装备制造和精细化工。</w:t>
            </w:r>
          </w:p>
          <w:p>
            <w:pPr>
              <w:bidi w:val="0"/>
              <w:rPr>
                <w:highlight w:val="none"/>
              </w:rPr>
            </w:pPr>
            <w:r>
              <w:rPr>
                <w:rFonts w:hint="eastAsia"/>
                <w:highlight w:val="none"/>
                <w:lang w:val="en-US" w:eastAsia="zh-CN"/>
              </w:rPr>
              <w:t>3.5</w:t>
            </w:r>
            <w:r>
              <w:rPr>
                <w:highlight w:val="none"/>
              </w:rPr>
              <w:t>基础设施规划</w:t>
            </w:r>
          </w:p>
          <w:p>
            <w:pPr>
              <w:bidi w:val="0"/>
              <w:rPr>
                <w:highlight w:val="none"/>
              </w:rPr>
            </w:pPr>
            <w:r>
              <w:rPr>
                <w:highlight w:val="none"/>
              </w:rPr>
              <w:t>给水工程规划</w:t>
            </w:r>
            <w:r>
              <w:rPr>
                <w:rFonts w:hint="eastAsia"/>
                <w:highlight w:val="none"/>
              </w:rPr>
              <w:t>：</w:t>
            </w:r>
            <w:r>
              <w:rPr>
                <w:highlight w:val="none"/>
              </w:rPr>
              <w:t>规划近期水源采用地下水，远期水源为南水北调用水。排水工程规划</w:t>
            </w:r>
            <w:r>
              <w:rPr>
                <w:rFonts w:hint="eastAsia"/>
                <w:highlight w:val="none"/>
              </w:rPr>
              <w:t>：</w:t>
            </w:r>
            <w:r>
              <w:rPr>
                <w:highlight w:val="none"/>
              </w:rPr>
              <w:t>规划园区内排水工程采用雨、污水分流制。大召营镇片区东北地块污水排入本片区六支排与胡韦线交叉口处的污水处理厂。污水处理厂的出水通过六支排，直接进入卫河。西南地块由于距污水处理厂较远，且中间相隔新焦铁路，污水近期排入污水处理厂较难实现。则近期污水排入四支排，经西孟姜女河流入卫河。远期经污水管网排入本片区污水处理厂。</w:t>
            </w:r>
          </w:p>
          <w:p>
            <w:pPr>
              <w:bidi w:val="0"/>
              <w:rPr>
                <w:highlight w:val="none"/>
              </w:rPr>
            </w:pPr>
            <w:r>
              <w:rPr>
                <w:rFonts w:hint="eastAsia"/>
                <w:highlight w:val="none"/>
                <w:lang w:val="en-US" w:eastAsia="zh-CN"/>
              </w:rPr>
              <w:t>3.6</w:t>
            </w:r>
            <w:r>
              <w:rPr>
                <w:highlight w:val="none"/>
              </w:rPr>
              <w:t>污水工程规划</w:t>
            </w:r>
          </w:p>
          <w:p>
            <w:pPr>
              <w:bidi w:val="0"/>
              <w:rPr>
                <w:highlight w:val="none"/>
              </w:rPr>
            </w:pPr>
            <w:r>
              <w:rPr>
                <w:rFonts w:hint="eastAsia"/>
                <w:highlight w:val="none"/>
                <w:lang w:val="en-US" w:eastAsia="zh-CN"/>
              </w:rPr>
              <w:t>3.6.1</w:t>
            </w:r>
            <w:r>
              <w:rPr>
                <w:highlight w:val="none"/>
              </w:rPr>
              <w:t>污水量预测</w:t>
            </w:r>
          </w:p>
          <w:p>
            <w:pPr>
              <w:bidi w:val="0"/>
              <w:rPr>
                <w:highlight w:val="none"/>
              </w:rPr>
            </w:pPr>
            <w:r>
              <w:rPr>
                <w:highlight w:val="none"/>
              </w:rPr>
              <w:t>污水量按用水量的70％计，因此，园区最高日排水量约为3.32*0：2.324万吨。</w:t>
            </w:r>
          </w:p>
          <w:p>
            <w:pPr>
              <w:bidi w:val="0"/>
              <w:rPr>
                <w:highlight w:val="none"/>
              </w:rPr>
            </w:pPr>
            <w:r>
              <w:rPr>
                <w:rFonts w:hint="eastAsia"/>
                <w:highlight w:val="none"/>
                <w:lang w:val="en-US" w:eastAsia="zh-CN"/>
              </w:rPr>
              <w:t>3.6.2</w:t>
            </w:r>
            <w:r>
              <w:rPr>
                <w:highlight w:val="none"/>
              </w:rPr>
              <w:t>污水处理厂</w:t>
            </w:r>
          </w:p>
          <w:p>
            <w:pPr>
              <w:bidi w:val="0"/>
              <w:rPr>
                <w:rFonts w:hint="eastAsia"/>
                <w:highlight w:val="none"/>
                <w:lang w:eastAsia="zh-CN"/>
              </w:rPr>
            </w:pPr>
            <w:r>
              <w:rPr>
                <w:highlight w:val="none"/>
              </w:rPr>
              <w:t>大召营镇片区东北地块的污水经管网收集后排入胡韦线和六支排交叉口处的大召营镇污水处理厂进行处理。西南地块由于距污水处理厂较远，且中间相隔新焦铁路，污水近期排入本片区污水处理厂较难实现。则近期污水排入</w:t>
            </w:r>
            <w:r>
              <w:rPr>
                <w:rFonts w:hint="eastAsia"/>
                <w:highlight w:val="none"/>
                <w:lang w:eastAsia="zh-CN"/>
              </w:rPr>
              <w:t>六</w:t>
            </w:r>
            <w:r>
              <w:rPr>
                <w:highlight w:val="none"/>
              </w:rPr>
              <w:t>支排，经西孟姜女河流入卫河。远期经污水管网排入本片区污水处理厂。此污水厂规模为5.5万吨/日，占地面积5.12公顷，该污水处理厂同时接纳大召营镇污水及大召营镇片区污水。处理后的污水排入六支排，分两期建设，近期建设规模为4.0万吨/日，远期建设规模为1.5万吨/日。</w:t>
            </w:r>
          </w:p>
          <w:p>
            <w:pPr>
              <w:bidi w:val="0"/>
              <w:rPr>
                <w:highlight w:val="none"/>
              </w:rPr>
            </w:pPr>
            <w:r>
              <w:rPr>
                <w:rFonts w:hint="eastAsia"/>
                <w:highlight w:val="none"/>
                <w:lang w:val="en-US" w:eastAsia="zh-CN"/>
              </w:rPr>
              <w:t>3.7</w:t>
            </w:r>
            <w:r>
              <w:rPr>
                <w:highlight w:val="none"/>
              </w:rPr>
              <w:t>热力工程规划</w:t>
            </w:r>
          </w:p>
          <w:p>
            <w:pPr>
              <w:bidi w:val="0"/>
              <w:rPr>
                <w:highlight w:val="none"/>
              </w:rPr>
            </w:pPr>
            <w:r>
              <w:rPr>
                <w:highlight w:val="none"/>
              </w:rPr>
              <w:t>大召营镇片区在文化路北侧规划热力设施一处，占地面积2.16公顷，供给园区供热需求；小冀镇片区热源接小冀镇市政热力管道。</w:t>
            </w:r>
          </w:p>
          <w:p>
            <w:pPr>
              <w:bidi w:val="0"/>
              <w:rPr>
                <w:highlight w:val="none"/>
              </w:rPr>
            </w:pPr>
            <w:r>
              <w:rPr>
                <w:rFonts w:hint="eastAsia"/>
                <w:highlight w:val="none"/>
                <w:lang w:val="en-US" w:eastAsia="zh-CN"/>
              </w:rPr>
              <w:t>3.8</w:t>
            </w:r>
            <w:r>
              <w:rPr>
                <w:highlight w:val="none"/>
              </w:rPr>
              <w:t>燃气工程规划</w:t>
            </w:r>
          </w:p>
          <w:p>
            <w:pPr>
              <w:bidi w:val="0"/>
              <w:rPr>
                <w:highlight w:val="none"/>
              </w:rPr>
            </w:pPr>
            <w:r>
              <w:rPr>
                <w:highlight w:val="none"/>
              </w:rPr>
              <w:t>大召营镇片区燃气气源引自获嘉县，小冀镇片区燃气气源引自小宋佛天然气门站。大召营镇片区规划在文化路与富兴路交叉口规划燃气调压站一处，占地面积0.42公顷，次高压管网经调压站调压为中压后，沿文化路、富丰路、文祥路、富康路、新济公路布置可靠的环状供气网络，向各片区供气，规划del60主干管。其余道路规划敷设</w:t>
            </w:r>
            <w:r>
              <w:rPr>
                <w:rFonts w:hint="eastAsia"/>
                <w:highlight w:val="none"/>
                <w:lang w:eastAsia="zh-CN"/>
              </w:rPr>
              <w:t>的</w:t>
            </w:r>
            <w:r>
              <w:rPr>
                <w:highlight w:val="none"/>
              </w:rPr>
              <w:t>110燃气支管。</w:t>
            </w:r>
          </w:p>
          <w:p>
            <w:pPr>
              <w:bidi w:val="0"/>
              <w:rPr>
                <w:highlight w:val="none"/>
              </w:rPr>
            </w:pPr>
            <w:r>
              <w:rPr>
                <w:rFonts w:hint="eastAsia"/>
                <w:highlight w:val="none"/>
                <w:lang w:val="en-US" w:eastAsia="zh-CN"/>
              </w:rPr>
              <w:t>3.9</w:t>
            </w:r>
            <w:r>
              <w:rPr>
                <w:highlight w:val="none"/>
              </w:rPr>
              <w:t>环卫设施</w:t>
            </w:r>
          </w:p>
          <w:p>
            <w:pPr>
              <w:bidi w:val="0"/>
              <w:rPr>
                <w:highlight w:val="none"/>
              </w:rPr>
            </w:pPr>
            <w:r>
              <w:rPr>
                <w:rFonts w:hint="eastAsia"/>
                <w:highlight w:val="none"/>
                <w:lang w:val="en-US" w:eastAsia="zh-CN"/>
              </w:rPr>
              <w:t>3.9.1</w:t>
            </w:r>
            <w:r>
              <w:rPr>
                <w:highlight w:val="none"/>
              </w:rPr>
              <w:t>环卫设施布局</w:t>
            </w:r>
            <w:r>
              <w:rPr>
                <w:rFonts w:hint="eastAsia"/>
                <w:highlight w:val="none"/>
              </w:rPr>
              <w:t>：</w:t>
            </w:r>
            <w:r>
              <w:rPr>
                <w:highlight w:val="none"/>
              </w:rPr>
              <w:t>大召营镇片区结合公共绿地、公厕共布置环卫站两处，小冀镇片区合公厕、公共绿地布置环卫站一处。</w:t>
            </w:r>
          </w:p>
          <w:p>
            <w:pPr>
              <w:bidi w:val="0"/>
              <w:rPr>
                <w:highlight w:val="none"/>
              </w:rPr>
            </w:pPr>
            <w:r>
              <w:rPr>
                <w:rFonts w:hint="eastAsia"/>
                <w:highlight w:val="none"/>
                <w:lang w:val="en-US" w:eastAsia="zh-CN"/>
              </w:rPr>
              <w:t>3.9.2</w:t>
            </w:r>
            <w:r>
              <w:rPr>
                <w:highlight w:val="none"/>
              </w:rPr>
              <w:t>垃圾处理</w:t>
            </w:r>
          </w:p>
          <w:p>
            <w:pPr>
              <w:bidi w:val="0"/>
              <w:rPr>
                <w:highlight w:val="none"/>
              </w:rPr>
            </w:pPr>
            <w:r>
              <w:rPr>
                <w:highlight w:val="none"/>
              </w:rPr>
              <w:t>园区固体垃圾处理纳入新乡县统一规划，经统一收集后送至新乡县垃圾处理场所进行处理。小冀镇片区北侧现状有新乡县垃圾处理厂一处，占地面积150余亩。</w:t>
            </w:r>
          </w:p>
          <w:p>
            <w:pPr>
              <w:bidi w:val="0"/>
              <w:rPr>
                <w:rFonts w:hint="eastAsia"/>
                <w:highlight w:val="none"/>
              </w:rPr>
            </w:pPr>
            <w:r>
              <w:rPr>
                <w:rFonts w:hint="eastAsia"/>
                <w:highlight w:val="none"/>
              </w:rPr>
              <w:t>本项目位于</w:t>
            </w:r>
            <w:r>
              <w:rPr>
                <w:rFonts w:hint="eastAsia"/>
                <w:highlight w:val="none"/>
                <w:lang w:eastAsia="zh-CN"/>
              </w:rPr>
              <w:t>新乡市新乡县大召营镇（新焦公路八公里处）</w:t>
            </w:r>
            <w:r>
              <w:rPr>
                <w:rFonts w:hint="eastAsia"/>
                <w:highlight w:val="none"/>
              </w:rPr>
              <w:t>，</w:t>
            </w:r>
            <w:r>
              <w:rPr>
                <w:rFonts w:hint="default"/>
                <w:highlight w:val="none"/>
                <w:lang w:val="en-US" w:eastAsia="zh-CN"/>
              </w:rPr>
              <w:t>根据新乡县大召营镇总体规划图（2013-2030）</w:t>
            </w:r>
            <w:r>
              <w:rPr>
                <w:rFonts w:hint="eastAsia"/>
                <w:highlight w:val="none"/>
                <w:lang w:val="en-US" w:eastAsia="zh-CN"/>
              </w:rPr>
              <w:t>和大召营镇土地利用总体规划图（2010-2020）可知，本项目用地属于二类工业用地（见附图五、附图六），</w:t>
            </w:r>
            <w:r>
              <w:rPr>
                <w:rFonts w:hint="eastAsia"/>
                <w:highlight w:val="none"/>
              </w:rPr>
              <w:t>符合其用地性质</w:t>
            </w:r>
            <w:r>
              <w:rPr>
                <w:rFonts w:hint="eastAsia"/>
                <w:highlight w:val="none"/>
                <w:lang w:eastAsia="zh-CN"/>
              </w:rPr>
              <w:t>。根据</w:t>
            </w:r>
            <w:r>
              <w:rPr>
                <w:rFonts w:hint="eastAsia"/>
                <w:highlight w:val="none"/>
                <w:lang w:val="en-US" w:eastAsia="zh-CN"/>
              </w:rPr>
              <w:t>大召营镇人民政府出具的证明，本项目土地属于工业用地，厂址符合大召营镇总体规划、土地利用规划和产业发展规划（附件四）</w:t>
            </w:r>
            <w:r>
              <w:rPr>
                <w:rFonts w:hint="eastAsia"/>
                <w:highlight w:val="none"/>
              </w:rPr>
              <w:t>。根据现场查勘，</w:t>
            </w:r>
            <w:r>
              <w:rPr>
                <w:rFonts w:hint="eastAsia"/>
                <w:highlight w:val="none"/>
                <w:lang w:eastAsia="zh-CN"/>
              </w:rPr>
              <w:t>新乡县</w:t>
            </w:r>
            <w:r>
              <w:rPr>
                <w:rFonts w:hint="eastAsia"/>
                <w:highlight w:val="none"/>
              </w:rPr>
              <w:t>大召营专业园区大召营镇片区目前给水工程尚未建成，所以本项目用水采用</w:t>
            </w:r>
            <w:r>
              <w:rPr>
                <w:rFonts w:hint="eastAsia"/>
                <w:highlight w:val="none"/>
                <w:lang w:eastAsia="zh-CN"/>
              </w:rPr>
              <w:t>自备井</w:t>
            </w:r>
            <w:r>
              <w:rPr>
                <w:rFonts w:hint="eastAsia"/>
                <w:highlight w:val="none"/>
              </w:rPr>
              <w:t>，</w:t>
            </w:r>
            <w:r>
              <w:rPr>
                <w:rFonts w:hint="default" w:ascii="Times New Roman" w:hAnsi="Times New Roman" w:eastAsia="宋体" w:cs="Times New Roman"/>
                <w:b w:val="0"/>
                <w:bCs/>
                <w:color w:val="000000"/>
                <w:sz w:val="24"/>
                <w:szCs w:val="24"/>
                <w:highlight w:val="none"/>
                <w:u w:val="none"/>
              </w:rPr>
              <w:t>本项目</w:t>
            </w:r>
            <w:r>
              <w:rPr>
                <w:rFonts w:hint="eastAsia" w:cs="Times New Roman"/>
                <w:b w:val="0"/>
                <w:bCs/>
                <w:color w:val="000000"/>
                <w:sz w:val="24"/>
                <w:szCs w:val="24"/>
                <w:highlight w:val="none"/>
                <w:u w:val="none"/>
                <w:lang w:val="en-US" w:eastAsia="zh-CN"/>
              </w:rPr>
              <w:t>无生产废水产生，项目依托现有员工，不新增劳动定员，无新增生活污水</w:t>
            </w:r>
            <w:r>
              <w:rPr>
                <w:rFonts w:hint="eastAsia"/>
                <w:sz w:val="24"/>
                <w:szCs w:val="24"/>
                <w:highlight w:val="none"/>
                <w:lang w:eastAsia="zh-CN"/>
              </w:rPr>
              <w:t>。</w:t>
            </w:r>
          </w:p>
          <w:p>
            <w:pPr>
              <w:pStyle w:val="4"/>
              <w:bidi w:val="0"/>
              <w:rPr>
                <w:rFonts w:hint="default"/>
                <w:highlight w:val="none"/>
                <w:lang w:eastAsia="zh-CN"/>
              </w:rPr>
            </w:pPr>
            <w:r>
              <w:rPr>
                <w:rFonts w:hint="eastAsia"/>
                <w:highlight w:val="none"/>
                <w:lang w:eastAsia="zh-CN"/>
              </w:rPr>
              <w:t>（</w:t>
            </w:r>
            <w:r>
              <w:rPr>
                <w:rFonts w:hint="eastAsia"/>
                <w:highlight w:val="none"/>
                <w:lang w:val="en-US" w:eastAsia="zh-CN"/>
              </w:rPr>
              <w:t>五</w:t>
            </w:r>
            <w:r>
              <w:rPr>
                <w:rFonts w:hint="eastAsia"/>
                <w:highlight w:val="none"/>
                <w:lang w:eastAsia="zh-CN"/>
              </w:rPr>
              <w:t>）</w:t>
            </w:r>
            <w:r>
              <w:rPr>
                <w:rFonts w:hint="default"/>
                <w:highlight w:val="none"/>
                <w:lang w:val="en-US" w:eastAsia="zh-CN"/>
              </w:rPr>
              <w:t>《新乡县大召营专业园区发展规划</w:t>
            </w:r>
            <w:r>
              <w:rPr>
                <w:rFonts w:hint="default"/>
                <w:highlight w:val="none"/>
                <w:lang w:eastAsia="zh-CN"/>
              </w:rPr>
              <w:t>（2014-2025）环境影响报告书》</w:t>
            </w:r>
            <w:r>
              <w:rPr>
                <w:rFonts w:hint="eastAsia"/>
                <w:highlight w:val="none"/>
                <w:lang w:eastAsia="zh-CN"/>
              </w:rPr>
              <w:t>（以下简称《报告书》）</w:t>
            </w:r>
            <w:r>
              <w:rPr>
                <w:rFonts w:hint="default"/>
                <w:highlight w:val="none"/>
                <w:lang w:eastAsia="zh-CN"/>
              </w:rPr>
              <w:t>的审查意</w:t>
            </w:r>
            <w:r>
              <w:rPr>
                <w:rFonts w:hint="eastAsia"/>
                <w:highlight w:val="none"/>
                <w:lang w:eastAsia="zh-CN"/>
              </w:rPr>
              <w:t>见相符性分析。</w:t>
            </w:r>
          </w:p>
          <w:p>
            <w:pPr>
              <w:pStyle w:val="45"/>
              <w:bidi w:val="0"/>
              <w:rPr>
                <w:rFonts w:hint="eastAsia"/>
                <w:highlight w:val="none"/>
                <w:lang w:eastAsia="zh-CN"/>
              </w:rPr>
            </w:pPr>
            <w:r>
              <w:rPr>
                <w:rFonts w:hint="eastAsia"/>
                <w:highlight w:val="none"/>
                <w:lang w:eastAsia="zh-CN"/>
              </w:rPr>
              <w:t>表</w:t>
            </w:r>
            <w:r>
              <w:rPr>
                <w:rFonts w:hint="eastAsia"/>
                <w:highlight w:val="none"/>
                <w:lang w:val="en-US" w:eastAsia="zh-CN"/>
              </w:rPr>
              <w:t>9</w:t>
            </w:r>
            <w:r>
              <w:rPr>
                <w:rFonts w:hint="eastAsia"/>
                <w:highlight w:val="none"/>
                <w:lang w:eastAsia="zh-CN"/>
              </w:rPr>
              <w:t xml:space="preserve">  </w:t>
            </w:r>
            <w:r>
              <w:rPr>
                <w:rFonts w:hint="eastAsia"/>
                <w:highlight w:val="none"/>
                <w:lang w:val="en-US" w:eastAsia="zh-CN"/>
              </w:rPr>
              <w:t xml:space="preserve">    </w:t>
            </w:r>
            <w:r>
              <w:rPr>
                <w:rFonts w:hint="eastAsia"/>
                <w:highlight w:val="none"/>
                <w:lang w:eastAsia="zh-CN"/>
              </w:rPr>
              <w:t>与《报告书》的审查意见相符性分析</w:t>
            </w:r>
          </w:p>
          <w:tbl>
            <w:tblPr>
              <w:tblStyle w:val="21"/>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593"/>
              <w:gridCol w:w="3323"/>
              <w:gridCol w:w="66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2676" w:type="pct"/>
                  <w:noWrap w:val="0"/>
                  <w:vAlign w:val="center"/>
                </w:tcPr>
                <w:p>
                  <w:pPr>
                    <w:pStyle w:val="29"/>
                    <w:bidi w:val="0"/>
                    <w:rPr>
                      <w:rFonts w:hint="eastAsia"/>
                      <w:highlight w:val="none"/>
                      <w:lang w:eastAsia="zh-CN"/>
                    </w:rPr>
                  </w:pPr>
                  <w:r>
                    <w:rPr>
                      <w:rFonts w:hint="default"/>
                      <w:highlight w:val="none"/>
                    </w:rPr>
                    <w:t>《</w:t>
                  </w:r>
                  <w:r>
                    <w:rPr>
                      <w:rFonts w:hint="eastAsia"/>
                      <w:highlight w:val="none"/>
                      <w:lang w:eastAsia="zh-CN"/>
                    </w:rPr>
                    <w:t>报告书</w:t>
                  </w:r>
                  <w:r>
                    <w:rPr>
                      <w:rFonts w:hint="default"/>
                      <w:highlight w:val="none"/>
                    </w:rPr>
                    <w:t>》中</w:t>
                  </w:r>
                  <w:r>
                    <w:rPr>
                      <w:rFonts w:hint="eastAsia"/>
                      <w:highlight w:val="none"/>
                      <w:lang w:eastAsia="zh-CN"/>
                    </w:rPr>
                    <w:t>相关内容</w:t>
                  </w:r>
                </w:p>
              </w:tc>
              <w:tc>
                <w:tcPr>
                  <w:tcW w:w="1936" w:type="pct"/>
                  <w:noWrap w:val="0"/>
                  <w:vAlign w:val="center"/>
                </w:tcPr>
                <w:p>
                  <w:pPr>
                    <w:pStyle w:val="29"/>
                    <w:bidi w:val="0"/>
                    <w:rPr>
                      <w:rFonts w:hint="default"/>
                      <w:highlight w:val="none"/>
                    </w:rPr>
                  </w:pPr>
                  <w:r>
                    <w:rPr>
                      <w:rFonts w:hint="default"/>
                      <w:highlight w:val="none"/>
                    </w:rPr>
                    <w:t>企业实际建设情况</w:t>
                  </w:r>
                </w:p>
              </w:tc>
              <w:tc>
                <w:tcPr>
                  <w:tcW w:w="386" w:type="pct"/>
                  <w:noWrap w:val="0"/>
                  <w:vAlign w:val="center"/>
                </w:tcPr>
                <w:p>
                  <w:pPr>
                    <w:pStyle w:val="29"/>
                    <w:bidi w:val="0"/>
                    <w:rPr>
                      <w:rFonts w:hint="eastAsia"/>
                      <w:highlight w:val="none"/>
                      <w:lang w:eastAsia="zh-CN"/>
                    </w:rPr>
                  </w:pPr>
                  <w:r>
                    <w:rPr>
                      <w:rFonts w:hint="eastAsia"/>
                      <w:highlight w:val="none"/>
                      <w:lang w:eastAsia="zh-CN"/>
                    </w:rPr>
                    <w:t>是否相符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2676" w:type="pct"/>
                  <w:noWrap w:val="0"/>
                  <w:vAlign w:val="center"/>
                </w:tcPr>
                <w:p>
                  <w:pPr>
                    <w:pStyle w:val="29"/>
                    <w:bidi w:val="0"/>
                    <w:rPr>
                      <w:rFonts w:hint="default"/>
                      <w:highlight w:val="none"/>
                    </w:rPr>
                  </w:pPr>
                  <w:r>
                    <w:rPr>
                      <w:rFonts w:hint="default"/>
                      <w:highlight w:val="none"/>
                    </w:rPr>
                    <w:t>一</w:t>
                  </w:r>
                  <w:r>
                    <w:rPr>
                      <w:rFonts w:hint="eastAsia"/>
                      <w:highlight w:val="none"/>
                      <w:lang w:eastAsia="zh-CN"/>
                    </w:rPr>
                    <w:t>、</w:t>
                  </w:r>
                  <w:r>
                    <w:rPr>
                      <w:rFonts w:hint="default"/>
                      <w:highlight w:val="none"/>
                    </w:rPr>
                    <w:t>大召营专业园区分为大召营镇工业组团和小冀镇工业组团两部分，总用地规模6.84平方公里，其中：大召营工业组团占地面积4.2平方公里，规划范围为：东至富康路，西至西三干河，南至新焦铁路，北至老新济公路(环保过滤区)；东至中央大道，西至前高庄、后高庄，南至新济公路，北至北干道（瑞丰工业区）；东至锐捷化工，西至获嘉县界，南至获嘉县界，北至文获路（精细化工区）；小冀镇组团占地面积2.64平方公里，规划范围为：东至翟坡镇界，南至西孟姜女河，西至获嘉县界，北至三支排；园区产业定位：以环保过滤、机械装备制造业和精细化工制造为主的新型环保专业园区。规划年限近期2014-2020年、远期2021-2025年。</w:t>
                  </w:r>
                </w:p>
              </w:tc>
              <w:tc>
                <w:tcPr>
                  <w:tcW w:w="1936" w:type="pct"/>
                  <w:noWrap w:val="0"/>
                  <w:vAlign w:val="center"/>
                </w:tcPr>
                <w:p>
                  <w:pPr>
                    <w:pStyle w:val="29"/>
                    <w:bidi w:val="0"/>
                    <w:rPr>
                      <w:rFonts w:hint="eastAsia"/>
                      <w:highlight w:val="none"/>
                      <w:lang w:val="en-US" w:eastAsia="zh-CN"/>
                    </w:rPr>
                  </w:pPr>
                  <w:r>
                    <w:rPr>
                      <w:rFonts w:hint="eastAsia"/>
                      <w:highlight w:val="none"/>
                      <w:lang w:eastAsia="zh-CN"/>
                    </w:rPr>
                    <w:t>本项目位于新乡市新乡县大召营镇（新焦公路八公里处），位于大召营镇工业组团规划范围内，虽不为园区的主导产业，但根据新乡县大召营镇总体规划图（2013-2030）和大召营镇土地利用总体规划图（2010-2020）可知，本项目用地属于二类工业用地，符合其用地性质。根据大召营镇人民政府出具的证明，本项目土地属于工业用地，厂址符合大召营镇总体规划、土地利用规划和产业发展规划</w:t>
                  </w:r>
                  <w:r>
                    <w:rPr>
                      <w:rFonts w:hint="eastAsia"/>
                      <w:highlight w:val="none"/>
                      <w:lang w:val="en-US" w:eastAsia="zh-CN"/>
                    </w:rPr>
                    <w:t>不和主导产业相冲突。</w:t>
                  </w:r>
                </w:p>
              </w:tc>
              <w:tc>
                <w:tcPr>
                  <w:tcW w:w="386" w:type="pct"/>
                  <w:noWrap w:val="0"/>
                  <w:vAlign w:val="center"/>
                </w:tcPr>
                <w:p>
                  <w:pPr>
                    <w:pStyle w:val="29"/>
                    <w:bidi w:val="0"/>
                    <w:rPr>
                      <w:rFonts w:hint="default"/>
                      <w:highlight w:val="none"/>
                    </w:rPr>
                  </w:pPr>
                  <w:r>
                    <w:rPr>
                      <w:rFonts w:hint="default"/>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2676" w:type="pct"/>
                  <w:noWrap w:val="0"/>
                  <w:vAlign w:val="center"/>
                </w:tcPr>
                <w:p>
                  <w:pPr>
                    <w:pStyle w:val="29"/>
                    <w:bidi w:val="0"/>
                    <w:rPr>
                      <w:rFonts w:hint="default"/>
                      <w:highlight w:val="none"/>
                    </w:rPr>
                  </w:pPr>
                  <w:r>
                    <w:rPr>
                      <w:rFonts w:hint="default"/>
                      <w:b/>
                      <w:bCs/>
                      <w:highlight w:val="none"/>
                      <w:lang w:val="en-US" w:eastAsia="zh-CN"/>
                    </w:rPr>
                    <w:t>（一）合理规划用地布局</w:t>
                  </w:r>
                  <w:r>
                    <w:rPr>
                      <w:rFonts w:hint="eastAsia"/>
                      <w:highlight w:val="none"/>
                      <w:lang w:val="en-US" w:eastAsia="zh-CN"/>
                    </w:rPr>
                    <w:t xml:space="preserve"> </w:t>
                  </w:r>
                  <w:r>
                    <w:rPr>
                      <w:rFonts w:hint="default"/>
                      <w:highlight w:val="none"/>
                      <w:lang w:val="en-US" w:eastAsia="zh-CN"/>
                    </w:rPr>
                    <w:t>新乡县大召营专业园区应进一步优化调整用地布局。在开发过程中不应随意改变各用地功能区的使用功能，并注重节约用地。应充分考虑各功能区相互干扰、影响问题，减小各功能区之间的不利影响。在区内建设项目的大气环境防护范围内，不得规划新建居民区、学校、医院、行政办公等环境敏感点。</w:t>
                  </w:r>
                </w:p>
              </w:tc>
              <w:tc>
                <w:tcPr>
                  <w:tcW w:w="1936" w:type="pct"/>
                  <w:noWrap w:val="0"/>
                  <w:vAlign w:val="center"/>
                </w:tcPr>
                <w:p>
                  <w:pPr>
                    <w:pStyle w:val="29"/>
                    <w:bidi w:val="0"/>
                    <w:rPr>
                      <w:rFonts w:hint="eastAsia"/>
                      <w:highlight w:val="none"/>
                      <w:lang w:val="en-US" w:eastAsia="zh-CN"/>
                    </w:rPr>
                  </w:pPr>
                  <w:r>
                    <w:rPr>
                      <w:rFonts w:hint="eastAsia"/>
                      <w:highlight w:val="none"/>
                      <w:lang w:eastAsia="zh-CN"/>
                    </w:rPr>
                    <w:t>本项目用地属于二类工业用地</w:t>
                  </w:r>
                  <w:r>
                    <w:rPr>
                      <w:rFonts w:hint="eastAsia"/>
                      <w:highlight w:val="none"/>
                      <w:lang w:val="en-US" w:eastAsia="zh-CN"/>
                    </w:rPr>
                    <w:t>，根据环评预测，本项目不需要设置大气环境防护距离，在环境防护距离之内无</w:t>
                  </w:r>
                  <w:r>
                    <w:rPr>
                      <w:rFonts w:hint="default"/>
                      <w:highlight w:val="none"/>
                      <w:lang w:val="en-US" w:eastAsia="zh-CN"/>
                    </w:rPr>
                    <w:t>居民区、学校、医院、行政办公等环境敏感点</w:t>
                  </w:r>
                  <w:r>
                    <w:rPr>
                      <w:rFonts w:hint="eastAsia"/>
                      <w:highlight w:val="none"/>
                      <w:lang w:val="en-US" w:eastAsia="zh-CN"/>
                    </w:rPr>
                    <w:t>。</w:t>
                  </w:r>
                </w:p>
              </w:tc>
              <w:tc>
                <w:tcPr>
                  <w:tcW w:w="386" w:type="pct"/>
                  <w:noWrap w:val="0"/>
                  <w:vAlign w:val="center"/>
                </w:tcPr>
                <w:p>
                  <w:pPr>
                    <w:pStyle w:val="29"/>
                    <w:bidi w:val="0"/>
                    <w:rPr>
                      <w:rFonts w:hint="default"/>
                      <w:highlight w:val="none"/>
                    </w:rPr>
                  </w:pPr>
                  <w:r>
                    <w:rPr>
                      <w:rFonts w:hint="default"/>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2676" w:type="pct"/>
                  <w:noWrap w:val="0"/>
                  <w:vAlign w:val="center"/>
                </w:tcPr>
                <w:p>
                  <w:pPr>
                    <w:pStyle w:val="29"/>
                    <w:bidi w:val="0"/>
                    <w:rPr>
                      <w:rFonts w:hint="default"/>
                      <w:highlight w:val="none"/>
                    </w:rPr>
                  </w:pPr>
                  <w:r>
                    <w:rPr>
                      <w:rFonts w:hint="default"/>
                      <w:b/>
                      <w:bCs/>
                      <w:highlight w:val="none"/>
                      <w:lang w:val="en-US" w:eastAsia="zh-CN"/>
                    </w:rPr>
                    <w:t>（二）优化产业结构</w:t>
                  </w:r>
                  <w:r>
                    <w:rPr>
                      <w:rFonts w:hint="eastAsia"/>
                      <w:highlight w:val="none"/>
                      <w:lang w:val="en-US" w:eastAsia="zh-CN"/>
                    </w:rPr>
                    <w:t xml:space="preserve"> </w:t>
                  </w:r>
                  <w:r>
                    <w:rPr>
                      <w:rFonts w:hint="default"/>
                      <w:highlight w:val="none"/>
                      <w:lang w:val="en-US" w:eastAsia="zh-CN"/>
                    </w:rPr>
                    <w:t>入区建设项目在环境保护方面应做到高起点、高标准、严要求，项目筛选应遵循循环经济理论，实施清洁生产，优化产业结构。优先入驻符合产业定位、工艺技术和装备水平高、污染小、能耗少以及延长产业链条和循环经济项目。落实《报告书》提出的产业布局调整规划，严格按照集聚区项目准入条件入驻企业，在土地利用规划调整到位前，项目禁止入驻。</w:t>
                  </w:r>
                </w:p>
              </w:tc>
              <w:tc>
                <w:tcPr>
                  <w:tcW w:w="1936" w:type="pct"/>
                  <w:noWrap w:val="0"/>
                  <w:vAlign w:val="center"/>
                </w:tcPr>
                <w:p>
                  <w:pPr>
                    <w:pStyle w:val="29"/>
                    <w:bidi w:val="0"/>
                    <w:rPr>
                      <w:rFonts w:hint="eastAsia"/>
                      <w:highlight w:val="none"/>
                      <w:lang w:eastAsia="zh-CN"/>
                    </w:rPr>
                  </w:pPr>
                  <w:r>
                    <w:rPr>
                      <w:rFonts w:hint="eastAsia"/>
                      <w:highlight w:val="none"/>
                      <w:lang w:eastAsia="zh-CN"/>
                    </w:rPr>
                    <w:t>本项目用地为二类工业用地，符合园区用地规划，建设年分装</w:t>
                  </w:r>
                  <w:r>
                    <w:rPr>
                      <w:rFonts w:hint="eastAsia"/>
                      <w:highlight w:val="none"/>
                      <w:lang w:val="en-US" w:eastAsia="zh-CN"/>
                    </w:rPr>
                    <w:t>7000吨工业气体项目</w:t>
                  </w:r>
                  <w:r>
                    <w:rPr>
                      <w:rFonts w:hint="eastAsia"/>
                      <w:highlight w:val="none"/>
                      <w:lang w:eastAsia="zh-CN"/>
                    </w:rPr>
                    <w:t>，</w:t>
                  </w:r>
                  <w:r>
                    <w:rPr>
                      <w:rFonts w:hint="eastAsia"/>
                      <w:highlight w:val="none"/>
                      <w:lang w:val="en-US" w:eastAsia="zh-CN"/>
                    </w:rPr>
                    <w:t>不与主导产业相冲突，满足园区的准入条件。</w:t>
                  </w:r>
                </w:p>
              </w:tc>
              <w:tc>
                <w:tcPr>
                  <w:tcW w:w="386" w:type="pct"/>
                  <w:noWrap w:val="0"/>
                  <w:vAlign w:val="center"/>
                </w:tcPr>
                <w:p>
                  <w:pPr>
                    <w:pStyle w:val="29"/>
                    <w:bidi w:val="0"/>
                    <w:rPr>
                      <w:rFonts w:hint="default"/>
                      <w:highlight w:val="none"/>
                    </w:rPr>
                  </w:pPr>
                  <w:r>
                    <w:rPr>
                      <w:rFonts w:hint="default"/>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2676" w:type="pct"/>
                  <w:noWrap w:val="0"/>
                  <w:vAlign w:val="center"/>
                </w:tcPr>
                <w:p>
                  <w:pPr>
                    <w:pStyle w:val="29"/>
                    <w:bidi w:val="0"/>
                    <w:rPr>
                      <w:rFonts w:hint="default"/>
                      <w:highlight w:val="none"/>
                    </w:rPr>
                  </w:pPr>
                  <w:r>
                    <w:rPr>
                      <w:rFonts w:hint="default"/>
                      <w:b/>
                      <w:bCs/>
                      <w:highlight w:val="none"/>
                      <w:lang w:val="en-US" w:eastAsia="zh-CN"/>
                    </w:rPr>
                    <w:t>（三）完善园区环保设施建设</w:t>
                  </w:r>
                  <w:r>
                    <w:rPr>
                      <w:rFonts w:hint="eastAsia"/>
                      <w:highlight w:val="none"/>
                      <w:lang w:val="en-US" w:eastAsia="zh-CN"/>
                    </w:rPr>
                    <w:t xml:space="preserve"> </w:t>
                  </w:r>
                  <w:r>
                    <w:rPr>
                      <w:rFonts w:hint="default"/>
                      <w:highlight w:val="none"/>
                      <w:lang w:val="en-US" w:eastAsia="zh-CN"/>
                    </w:rPr>
                    <w:t>加快集中供热、供水、污水集中处理、雨污分流管网、中水回用等基础设施建设，优化能源结构，鼓励使用清洁能源，园区内新建项目不得自建燃煤锅炉，入区企业外排废水要通过规范化排污口全部经管网收集到园区污水处理厂集中处理。按照循环经济的要求，提高园区固废的综合利用率。一般工业固废应首先回收或综合利用，危险固废的收集、贮存应满足《危险废物贮存污染控制标准》（GB18597-2001）的要求、并送有资质的危险废物处置单位处置，危险废物的转运应执行《危险废物转移联单管理办法》的有关规定。</w:t>
                  </w:r>
                </w:p>
              </w:tc>
              <w:tc>
                <w:tcPr>
                  <w:tcW w:w="1936" w:type="pct"/>
                  <w:noWrap w:val="0"/>
                  <w:vAlign w:val="center"/>
                </w:tcPr>
                <w:p>
                  <w:pPr>
                    <w:pStyle w:val="29"/>
                    <w:bidi w:val="0"/>
                    <w:rPr>
                      <w:rFonts w:hint="default"/>
                      <w:highlight w:val="none"/>
                    </w:rPr>
                  </w:pPr>
                  <w:r>
                    <w:rPr>
                      <w:rFonts w:hint="default" w:ascii="Times New Roman" w:hAnsi="Times New Roman" w:eastAsia="宋体" w:cs="Times New Roman"/>
                      <w:b w:val="0"/>
                      <w:bCs/>
                      <w:color w:val="000000"/>
                      <w:sz w:val="21"/>
                      <w:szCs w:val="21"/>
                      <w:highlight w:val="none"/>
                      <w:u w:val="none"/>
                    </w:rPr>
                    <w:t>本项目</w:t>
                  </w:r>
                  <w:r>
                    <w:rPr>
                      <w:rFonts w:hint="eastAsia" w:cs="Times New Roman"/>
                      <w:b w:val="0"/>
                      <w:bCs/>
                      <w:color w:val="000000"/>
                      <w:sz w:val="21"/>
                      <w:szCs w:val="21"/>
                      <w:highlight w:val="none"/>
                      <w:u w:val="none"/>
                      <w:lang w:val="en-US" w:eastAsia="zh-CN"/>
                    </w:rPr>
                    <w:t>无生产废水产生，项目依托现有员工，不新增劳动定员，无新增生活污水</w:t>
                  </w:r>
                  <w:r>
                    <w:rPr>
                      <w:rFonts w:hint="eastAsia"/>
                      <w:highlight w:val="none"/>
                      <w:lang w:eastAsia="zh-CN"/>
                    </w:rPr>
                    <w:t>；一般固废按照《一般工业固体废物贮存、处置场污染控制标准》（GB18599-2001）及2013年修改单相关要求进行处置。无危险废物。</w:t>
                  </w:r>
                </w:p>
              </w:tc>
              <w:tc>
                <w:tcPr>
                  <w:tcW w:w="386" w:type="pct"/>
                  <w:noWrap w:val="0"/>
                  <w:vAlign w:val="center"/>
                </w:tcPr>
                <w:p>
                  <w:pPr>
                    <w:pStyle w:val="29"/>
                    <w:bidi w:val="0"/>
                    <w:rPr>
                      <w:rFonts w:hint="default"/>
                      <w:highlight w:val="none"/>
                    </w:rPr>
                  </w:pPr>
                  <w:r>
                    <w:rPr>
                      <w:rFonts w:hint="default"/>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2676" w:type="pct"/>
                  <w:noWrap w:val="0"/>
                  <w:vAlign w:val="center"/>
                </w:tcPr>
                <w:p>
                  <w:pPr>
                    <w:pStyle w:val="29"/>
                    <w:bidi w:val="0"/>
                    <w:rPr>
                      <w:rFonts w:hint="default"/>
                      <w:highlight w:val="none"/>
                    </w:rPr>
                  </w:pPr>
                  <w:r>
                    <w:rPr>
                      <w:rFonts w:hint="default"/>
                      <w:b/>
                      <w:bCs/>
                      <w:highlight w:val="none"/>
                      <w:lang w:val="en-US" w:eastAsia="zh-CN"/>
                    </w:rPr>
                    <w:t>（四）严格控制污染物排放</w:t>
                  </w:r>
                  <w:r>
                    <w:rPr>
                      <w:rFonts w:hint="eastAsia"/>
                      <w:highlight w:val="none"/>
                      <w:lang w:val="en-US" w:eastAsia="zh-CN"/>
                    </w:rPr>
                    <w:t xml:space="preserve"> </w:t>
                  </w:r>
                  <w:r>
                    <w:rPr>
                      <w:rFonts w:hint="default"/>
                      <w:highlight w:val="none"/>
                      <w:lang w:val="en-US" w:eastAsia="zh-CN"/>
                    </w:rPr>
                    <w:t>集聚区规划的实施应严格执行污染物排放总量控制制度。加强废水、废气、噪声、固废等污染防治，保证各治污设施正常运行。</w:t>
                  </w:r>
                </w:p>
              </w:tc>
              <w:tc>
                <w:tcPr>
                  <w:tcW w:w="1936" w:type="pct"/>
                  <w:noWrap w:val="0"/>
                  <w:vAlign w:val="center"/>
                </w:tcPr>
                <w:p>
                  <w:pPr>
                    <w:pStyle w:val="29"/>
                    <w:bidi w:val="0"/>
                    <w:rPr>
                      <w:rFonts w:hint="eastAsia"/>
                      <w:highlight w:val="none"/>
                      <w:lang w:val="en-US" w:eastAsia="zh-CN"/>
                    </w:rPr>
                  </w:pPr>
                  <w:r>
                    <w:rPr>
                      <w:rFonts w:hint="eastAsia"/>
                      <w:highlight w:val="none"/>
                      <w:lang w:val="en-US" w:eastAsia="zh-CN"/>
                    </w:rPr>
                    <w:t>项目依托现有项目员工，无生产废水产生；噪声采用基础减震、厂房隔声、距离衰减等措施治理；一般固废设置有一般固废暂存间。</w:t>
                  </w:r>
                </w:p>
              </w:tc>
              <w:tc>
                <w:tcPr>
                  <w:tcW w:w="386" w:type="pct"/>
                  <w:noWrap w:val="0"/>
                  <w:vAlign w:val="center"/>
                </w:tcPr>
                <w:p>
                  <w:pPr>
                    <w:pStyle w:val="29"/>
                    <w:bidi w:val="0"/>
                    <w:rPr>
                      <w:rFonts w:hint="default"/>
                      <w:highlight w:val="none"/>
                    </w:rPr>
                  </w:pPr>
                  <w:r>
                    <w:rPr>
                      <w:rFonts w:hint="default"/>
                      <w:highlight w:val="none"/>
                    </w:rPr>
                    <w:t>符合</w:t>
                  </w:r>
                </w:p>
              </w:tc>
            </w:tr>
          </w:tbl>
          <w:p>
            <w:pPr>
              <w:keepNext/>
              <w:keepLines/>
              <w:pageBreakBefore w:val="0"/>
              <w:widowControl w:val="0"/>
              <w:kinsoku/>
              <w:wordWrap/>
              <w:overflowPunct/>
              <w:topLinePunct w:val="0"/>
              <w:autoSpaceDE/>
              <w:autoSpaceDN/>
              <w:bidi w:val="0"/>
              <w:adjustRightInd/>
              <w:snapToGrid/>
              <w:spacing w:before="0" w:after="0" w:line="360" w:lineRule="auto"/>
              <w:ind w:left="0" w:leftChars="0" w:firstLine="482" w:firstLineChars="200"/>
              <w:jc w:val="both"/>
              <w:textAlignment w:val="auto"/>
              <w:outlineLvl w:val="2"/>
              <w:rPr>
                <w:rFonts w:hint="eastAsia" w:asciiTheme="minorEastAsia" w:hAnsiTheme="minorEastAsia" w:eastAsiaTheme="minorEastAsia" w:cstheme="minorEastAsia"/>
                <w:b/>
                <w:bCs w:val="0"/>
                <w:kern w:val="2"/>
                <w:sz w:val="24"/>
                <w:szCs w:val="24"/>
                <w:highlight w:val="none"/>
                <w:lang w:val="en-US" w:eastAsia="zh-CN" w:bidi="ar-SA"/>
              </w:rPr>
            </w:pPr>
            <w:r>
              <w:rPr>
                <w:rFonts w:hint="eastAsia" w:asciiTheme="minorEastAsia" w:hAnsiTheme="minorEastAsia" w:eastAsiaTheme="minorEastAsia" w:cstheme="minorEastAsia"/>
                <w:b/>
                <w:bCs w:val="0"/>
                <w:kern w:val="2"/>
                <w:sz w:val="24"/>
                <w:szCs w:val="24"/>
                <w:highlight w:val="none"/>
                <w:lang w:val="en-US" w:eastAsia="zh-CN" w:bidi="ar-SA"/>
              </w:rPr>
              <w:t>（六）项目与园区环境保护准入条件的相符性分析</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ascii="Times New Roman" w:hAnsi="Times New Roman" w:eastAsia="宋体" w:cs="Times New Roman"/>
                <w:sz w:val="24"/>
                <w:highlight w:val="none"/>
              </w:rPr>
            </w:pPr>
            <w:r>
              <w:rPr>
                <w:rFonts w:ascii="Times New Roman" w:hAnsi="Times New Roman" w:eastAsia="宋体" w:cs="Times New Roman"/>
                <w:sz w:val="24"/>
                <w:highlight w:val="none"/>
              </w:rPr>
              <w:t>本项目与园区环境保护准入条件如下：</w:t>
            </w:r>
          </w:p>
          <w:p>
            <w:pPr>
              <w:pStyle w:val="60"/>
              <w:keepNext w:val="0"/>
              <w:keepLines w:val="0"/>
              <w:pageBreakBefore w:val="0"/>
              <w:widowControl w:val="0"/>
              <w:kinsoku/>
              <w:wordWrap/>
              <w:overflowPunct/>
              <w:topLinePunct w:val="0"/>
              <w:autoSpaceDE/>
              <w:autoSpaceDN/>
              <w:bidi w:val="0"/>
              <w:adjustRightInd/>
              <w:snapToGrid/>
              <w:spacing w:before="0" w:line="240" w:lineRule="auto"/>
              <w:ind w:firstLine="840" w:firstLineChars="300"/>
              <w:jc w:val="center"/>
              <w:textAlignment w:val="auto"/>
              <w:rPr>
                <w:rFonts w:hint="default" w:ascii="Times New Roman" w:hAnsi="Times New Roman" w:cs="Times New Roman" w:eastAsiaTheme="minorEastAsia"/>
                <w:highlight w:val="none"/>
              </w:rPr>
            </w:pPr>
            <w:r>
              <w:rPr>
                <w:rFonts w:hint="default" w:ascii="Times New Roman" w:hAnsi="Times New Roman" w:cs="Times New Roman" w:eastAsiaTheme="minorEastAsia"/>
                <w:kern w:val="0"/>
                <w:highlight w:val="none"/>
                <w:lang w:val="zh-CN"/>
              </w:rPr>
              <w:t>表</w:t>
            </w:r>
            <w:r>
              <w:rPr>
                <w:rFonts w:hint="eastAsia" w:ascii="Times New Roman" w:cs="Times New Roman" w:eastAsiaTheme="minorEastAsia"/>
                <w:kern w:val="0"/>
                <w:highlight w:val="none"/>
                <w:lang w:val="en-US" w:eastAsia="zh-CN"/>
              </w:rPr>
              <w:t>10</w:t>
            </w:r>
            <w:r>
              <w:rPr>
                <w:rFonts w:hint="default" w:ascii="Times New Roman" w:hAnsi="Times New Roman" w:cs="Times New Roman" w:eastAsiaTheme="minorEastAsia"/>
                <w:kern w:val="0"/>
                <w:highlight w:val="none"/>
                <w:lang w:val="zh-CN"/>
              </w:rPr>
              <w:t xml:space="preserve">     本项目与</w:t>
            </w:r>
            <w:r>
              <w:rPr>
                <w:rFonts w:hint="default" w:ascii="Times New Roman" w:hAnsi="Times New Roman" w:cs="Times New Roman" w:eastAsiaTheme="minorEastAsia"/>
                <w:highlight w:val="none"/>
              </w:rPr>
              <w:t>园区</w:t>
            </w:r>
            <w:r>
              <w:rPr>
                <w:rFonts w:hint="default" w:ascii="Times New Roman" w:hAnsi="Times New Roman" w:cs="Times New Roman" w:eastAsiaTheme="minorEastAsia"/>
                <w:szCs w:val="21"/>
                <w:highlight w:val="none"/>
              </w:rPr>
              <w:t>环境保护准入条件</w:t>
            </w:r>
            <w:r>
              <w:rPr>
                <w:rFonts w:hint="default" w:ascii="Times New Roman" w:hAnsi="Times New Roman" w:cs="Times New Roman" w:eastAsiaTheme="minorEastAsia"/>
                <w:kern w:val="0"/>
                <w:highlight w:val="none"/>
                <w:lang w:val="zh-CN"/>
              </w:rPr>
              <w:t>的相符性</w:t>
            </w:r>
          </w:p>
          <w:tbl>
            <w:tblPr>
              <w:tblStyle w:val="21"/>
              <w:tblW w:w="4993"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1032"/>
              <w:gridCol w:w="3938"/>
              <w:gridCol w:w="2782"/>
              <w:gridCol w:w="817"/>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95" w:hRule="atLeast"/>
                <w:jc w:val="center"/>
              </w:trPr>
              <w:tc>
                <w:tcPr>
                  <w:tcW w:w="60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kern w:val="0"/>
                      <w:sz w:val="21"/>
                      <w:szCs w:val="21"/>
                      <w:highlight w:val="none"/>
                    </w:rPr>
                  </w:pPr>
                  <w:r>
                    <w:rPr>
                      <w:kern w:val="0"/>
                      <w:sz w:val="21"/>
                      <w:szCs w:val="21"/>
                      <w:highlight w:val="none"/>
                    </w:rPr>
                    <w:t>类别</w:t>
                  </w:r>
                </w:p>
              </w:tc>
              <w:tc>
                <w:tcPr>
                  <w:tcW w:w="229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kern w:val="0"/>
                      <w:sz w:val="21"/>
                      <w:szCs w:val="21"/>
                      <w:highlight w:val="none"/>
                    </w:rPr>
                  </w:pPr>
                  <w:r>
                    <w:rPr>
                      <w:kern w:val="0"/>
                      <w:sz w:val="21"/>
                      <w:szCs w:val="21"/>
                      <w:highlight w:val="none"/>
                    </w:rPr>
                    <w:t>准入条件</w:t>
                  </w:r>
                </w:p>
              </w:tc>
              <w:tc>
                <w:tcPr>
                  <w:tcW w:w="1623"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kern w:val="0"/>
                      <w:sz w:val="21"/>
                      <w:szCs w:val="21"/>
                      <w:highlight w:val="none"/>
                    </w:rPr>
                  </w:pPr>
                  <w:r>
                    <w:rPr>
                      <w:kern w:val="0"/>
                      <w:sz w:val="21"/>
                      <w:szCs w:val="21"/>
                      <w:highlight w:val="none"/>
                    </w:rPr>
                    <w:t>本项目情况</w:t>
                  </w:r>
                </w:p>
              </w:tc>
              <w:tc>
                <w:tcPr>
                  <w:tcW w:w="47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kern w:val="0"/>
                      <w:sz w:val="21"/>
                      <w:szCs w:val="21"/>
                      <w:highlight w:val="none"/>
                    </w:rPr>
                  </w:pPr>
                  <w:r>
                    <w:rPr>
                      <w:kern w:val="0"/>
                      <w:sz w:val="21"/>
                      <w:szCs w:val="21"/>
                      <w:highlight w:val="none"/>
                    </w:rPr>
                    <w:t>相符性</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95" w:hRule="atLeast"/>
                <w:jc w:val="center"/>
              </w:trPr>
              <w:tc>
                <w:tcPr>
                  <w:tcW w:w="60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kern w:val="0"/>
                      <w:sz w:val="21"/>
                      <w:szCs w:val="21"/>
                      <w:highlight w:val="none"/>
                    </w:rPr>
                  </w:pPr>
                  <w:r>
                    <w:rPr>
                      <w:kern w:val="0"/>
                      <w:sz w:val="21"/>
                      <w:szCs w:val="21"/>
                      <w:highlight w:val="none"/>
                    </w:rPr>
                    <w:t>产业类别</w:t>
                  </w:r>
                </w:p>
              </w:tc>
              <w:tc>
                <w:tcPr>
                  <w:tcW w:w="229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kern w:val="0"/>
                      <w:sz w:val="21"/>
                      <w:szCs w:val="21"/>
                      <w:highlight w:val="none"/>
                    </w:rPr>
                  </w:pPr>
                  <w:r>
                    <w:rPr>
                      <w:kern w:val="0"/>
                      <w:sz w:val="21"/>
                      <w:szCs w:val="21"/>
                      <w:highlight w:val="none"/>
                    </w:rPr>
                    <w:t>（1）原则上仅允许入驻符合大召营专业园区的产业定位及产业类别的企业，符合园区循环经济发展产业链上下游产业的补链项目。（2）杜绝入驻不符合国家及地方产业政策要求或受国家产业政策命令淘汰的企业。</w:t>
                  </w:r>
                </w:p>
              </w:tc>
              <w:tc>
                <w:tcPr>
                  <w:tcW w:w="1623"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sz w:val="21"/>
                      <w:szCs w:val="21"/>
                      <w:highlight w:val="none"/>
                    </w:rPr>
                    <w:t>本项目为</w:t>
                  </w:r>
                  <w:r>
                    <w:rPr>
                      <w:rFonts w:hint="eastAsia"/>
                      <w:sz w:val="21"/>
                      <w:szCs w:val="21"/>
                      <w:highlight w:val="none"/>
                      <w:lang w:val="en-US" w:eastAsia="zh-CN"/>
                    </w:rPr>
                    <w:t>气体分装项目</w:t>
                  </w:r>
                  <w:r>
                    <w:rPr>
                      <w:sz w:val="21"/>
                      <w:szCs w:val="21"/>
                      <w:highlight w:val="none"/>
                    </w:rPr>
                    <w:t>，不属于国家产业政策限制及淘汰类项目，属于允许建设项目，符合国家及地方产业政策要求。</w:t>
                  </w:r>
                </w:p>
              </w:tc>
              <w:tc>
                <w:tcPr>
                  <w:tcW w:w="47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sz w:val="21"/>
                      <w:szCs w:val="21"/>
                      <w:highlight w:val="none"/>
                    </w:rPr>
                    <w:t>相符</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95" w:hRule="atLeast"/>
                <w:jc w:val="center"/>
              </w:trPr>
              <w:tc>
                <w:tcPr>
                  <w:tcW w:w="60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kern w:val="0"/>
                      <w:sz w:val="21"/>
                      <w:szCs w:val="21"/>
                      <w:highlight w:val="none"/>
                    </w:rPr>
                  </w:pPr>
                  <w:r>
                    <w:rPr>
                      <w:kern w:val="0"/>
                      <w:sz w:val="21"/>
                      <w:szCs w:val="21"/>
                      <w:highlight w:val="none"/>
                    </w:rPr>
                    <w:t>生产规模和工艺技术先进性要求</w:t>
                  </w:r>
                </w:p>
              </w:tc>
              <w:tc>
                <w:tcPr>
                  <w:tcW w:w="229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kern w:val="0"/>
                      <w:sz w:val="21"/>
                      <w:szCs w:val="21"/>
                      <w:highlight w:val="none"/>
                    </w:rPr>
                  </w:pPr>
                  <w:r>
                    <w:rPr>
                      <w:sz w:val="21"/>
                      <w:szCs w:val="21"/>
                      <w:highlight w:val="none"/>
                    </w:rPr>
                    <w:t>（1）在工艺水平上，要求入驻园区的项目达到国内同行业领先水平；（2）建设规模应符合国家相关行业准入条件中的经济、产品规模和生产工艺要求。</w:t>
                  </w:r>
                </w:p>
              </w:tc>
              <w:tc>
                <w:tcPr>
                  <w:tcW w:w="1623"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kern w:val="0"/>
                      <w:sz w:val="21"/>
                      <w:szCs w:val="21"/>
                      <w:highlight w:val="none"/>
                    </w:rPr>
                  </w:pPr>
                  <w:r>
                    <w:rPr>
                      <w:kern w:val="0"/>
                      <w:sz w:val="21"/>
                      <w:szCs w:val="21"/>
                      <w:highlight w:val="none"/>
                    </w:rPr>
                    <w:t>项目建设规模符合国家相关行业准入条件中的经济、产品规模和生产工艺要求。</w:t>
                  </w:r>
                </w:p>
              </w:tc>
              <w:tc>
                <w:tcPr>
                  <w:tcW w:w="47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sz w:val="21"/>
                      <w:szCs w:val="21"/>
                      <w:highlight w:val="none"/>
                    </w:rPr>
                    <w:t>相符</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95" w:hRule="atLeast"/>
                <w:jc w:val="center"/>
              </w:trPr>
              <w:tc>
                <w:tcPr>
                  <w:tcW w:w="60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kern w:val="0"/>
                      <w:sz w:val="21"/>
                      <w:szCs w:val="21"/>
                      <w:highlight w:val="none"/>
                    </w:rPr>
                  </w:pPr>
                  <w:r>
                    <w:rPr>
                      <w:kern w:val="0"/>
                      <w:sz w:val="21"/>
                      <w:szCs w:val="21"/>
                      <w:highlight w:val="none"/>
                    </w:rPr>
                    <w:t>清洁生产水平</w:t>
                  </w:r>
                </w:p>
              </w:tc>
              <w:tc>
                <w:tcPr>
                  <w:tcW w:w="229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kern w:val="0"/>
                      <w:sz w:val="21"/>
                      <w:szCs w:val="21"/>
                      <w:highlight w:val="none"/>
                    </w:rPr>
                  </w:pPr>
                  <w:r>
                    <w:rPr>
                      <w:kern w:val="0"/>
                      <w:sz w:val="21"/>
                      <w:szCs w:val="21"/>
                      <w:highlight w:val="none"/>
                    </w:rPr>
                    <w:t>（1）应选择使用原材料和产品为环境友好型项目；（2）入驻园区的新建项目的单位产品的水耗、电耗、综合能耗等清洁生产指标达到国内相关行业指标要求。</w:t>
                  </w:r>
                </w:p>
              </w:tc>
              <w:tc>
                <w:tcPr>
                  <w:tcW w:w="1623"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sz w:val="21"/>
                      <w:szCs w:val="21"/>
                      <w:highlight w:val="none"/>
                    </w:rPr>
                    <w:t>本项目使用原料和产品均为环境友好型，单位产品水耗、</w:t>
                  </w:r>
                  <w:r>
                    <w:rPr>
                      <w:kern w:val="0"/>
                      <w:sz w:val="21"/>
                      <w:szCs w:val="21"/>
                      <w:highlight w:val="none"/>
                    </w:rPr>
                    <w:t>电耗、综合能耗等清洁生产指标能够达到国内相关行业指标要求。</w:t>
                  </w:r>
                </w:p>
              </w:tc>
              <w:tc>
                <w:tcPr>
                  <w:tcW w:w="47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both"/>
                    <w:textAlignment w:val="auto"/>
                    <w:rPr>
                      <w:sz w:val="21"/>
                      <w:szCs w:val="21"/>
                      <w:highlight w:val="none"/>
                    </w:rPr>
                  </w:pPr>
                  <w:r>
                    <w:rPr>
                      <w:sz w:val="21"/>
                      <w:szCs w:val="21"/>
                      <w:highlight w:val="none"/>
                    </w:rPr>
                    <w:t>相符</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95" w:hRule="atLeast"/>
                <w:jc w:val="center"/>
              </w:trPr>
              <w:tc>
                <w:tcPr>
                  <w:tcW w:w="60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kern w:val="0"/>
                      <w:sz w:val="21"/>
                      <w:szCs w:val="21"/>
                      <w:highlight w:val="none"/>
                    </w:rPr>
                  </w:pPr>
                  <w:r>
                    <w:rPr>
                      <w:kern w:val="0"/>
                      <w:sz w:val="21"/>
                      <w:szCs w:val="21"/>
                      <w:highlight w:val="none"/>
                    </w:rPr>
                    <w:t>污染物排放总量</w:t>
                  </w:r>
                </w:p>
              </w:tc>
              <w:tc>
                <w:tcPr>
                  <w:tcW w:w="229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kern w:val="0"/>
                      <w:sz w:val="21"/>
                      <w:szCs w:val="21"/>
                      <w:highlight w:val="none"/>
                    </w:rPr>
                  </w:pPr>
                  <w:r>
                    <w:rPr>
                      <w:kern w:val="0"/>
                      <w:sz w:val="21"/>
                      <w:szCs w:val="21"/>
                      <w:highlight w:val="none"/>
                    </w:rPr>
                    <w:t>（1）入驻园区项目单位产品污染物排放必须满足行业污染物排放标准；（2）入驻园区项目污水产生量小于9m</w:t>
                  </w:r>
                  <w:r>
                    <w:rPr>
                      <w:kern w:val="0"/>
                      <w:sz w:val="21"/>
                      <w:szCs w:val="21"/>
                      <w:highlight w:val="none"/>
                      <w:vertAlign w:val="superscript"/>
                    </w:rPr>
                    <w:t>3</w:t>
                  </w:r>
                  <w:r>
                    <w:rPr>
                      <w:kern w:val="0"/>
                      <w:sz w:val="21"/>
                      <w:szCs w:val="21"/>
                      <w:highlight w:val="none"/>
                    </w:rPr>
                    <w:t>/万元工业产业，COD排放量小于1kg/万元工业产业，SO</w:t>
                  </w:r>
                  <w:r>
                    <w:rPr>
                      <w:kern w:val="0"/>
                      <w:sz w:val="21"/>
                      <w:szCs w:val="21"/>
                      <w:highlight w:val="none"/>
                      <w:vertAlign w:val="subscript"/>
                    </w:rPr>
                    <w:t>2</w:t>
                  </w:r>
                  <w:r>
                    <w:rPr>
                      <w:kern w:val="0"/>
                      <w:sz w:val="21"/>
                      <w:szCs w:val="21"/>
                      <w:highlight w:val="none"/>
                    </w:rPr>
                    <w:t>排放量小于1.5kg/万元工业产值。</w:t>
                  </w:r>
                </w:p>
              </w:tc>
              <w:tc>
                <w:tcPr>
                  <w:tcW w:w="1623"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本</w:t>
                  </w:r>
                  <w:r>
                    <w:rPr>
                      <w:sz w:val="21"/>
                      <w:szCs w:val="21"/>
                      <w:highlight w:val="none"/>
                    </w:rPr>
                    <w:t>项目无生产废水，</w:t>
                  </w:r>
                  <w:r>
                    <w:rPr>
                      <w:rFonts w:hint="eastAsia"/>
                      <w:sz w:val="21"/>
                      <w:szCs w:val="21"/>
                      <w:highlight w:val="none"/>
                      <w:lang w:val="en-US" w:eastAsia="zh-CN"/>
                    </w:rPr>
                    <w:t>本项目依托现有项目员工，无生活污水产生，现有项目生活污水由定期清运改为进入大召营镇污水处理厂处理。生活污水经化粪池处理后满足大召营镇污水处理厂收水水质要求：COD400ml/L、氨氮35mg/L、SS300mg/L，总磷4.5mg/L。</w:t>
                  </w:r>
                </w:p>
              </w:tc>
              <w:tc>
                <w:tcPr>
                  <w:tcW w:w="47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sz w:val="21"/>
                      <w:szCs w:val="21"/>
                      <w:highlight w:val="none"/>
                    </w:rPr>
                    <w:t>/</w:t>
                  </w:r>
                </w:p>
              </w:tc>
            </w:tr>
          </w:tbl>
          <w:p>
            <w:pPr>
              <w:pStyle w:val="2"/>
              <w:keepNext/>
              <w:keepLines/>
              <w:pageBreakBefore w:val="0"/>
              <w:widowControl w:val="0"/>
              <w:kinsoku/>
              <w:wordWrap/>
              <w:overflowPunct/>
              <w:topLinePunct w:val="0"/>
              <w:autoSpaceDE/>
              <w:autoSpaceDN/>
              <w:bidi w:val="0"/>
              <w:adjustRightInd/>
              <w:snapToGrid/>
              <w:ind w:firstLine="480" w:firstLineChars="200"/>
              <w:jc w:val="both"/>
              <w:textAlignment w:val="auto"/>
              <w:rPr>
                <w:b w:val="0"/>
                <w:bCs w:val="0"/>
                <w:sz w:val="24"/>
                <w:highlight w:val="none"/>
              </w:rPr>
            </w:pPr>
            <w:r>
              <w:rPr>
                <w:b w:val="0"/>
                <w:bCs w:val="0"/>
                <w:sz w:val="24"/>
                <w:highlight w:val="none"/>
              </w:rPr>
              <w:t>综上，项目建设符合《新乡县大召营专业园区发展规划》（2014-2025）准入条件的相关规定。</w:t>
            </w:r>
          </w:p>
          <w:p>
            <w:pPr>
              <w:pStyle w:val="13"/>
              <w:keepNext w:val="0"/>
              <w:keepLines w:val="0"/>
              <w:pageBreakBefore w:val="0"/>
              <w:widowControl w:val="0"/>
              <w:kinsoku/>
              <w:wordWrap/>
              <w:overflowPunct/>
              <w:topLinePunct w:val="0"/>
              <w:autoSpaceDE/>
              <w:autoSpaceDN/>
              <w:bidi w:val="0"/>
              <w:adjustRightInd/>
              <w:snapToGrid/>
              <w:textAlignment w:val="auto"/>
              <w:rPr>
                <w:b/>
                <w:kern w:val="0"/>
                <w:sz w:val="24"/>
                <w:highlight w:val="none"/>
              </w:rPr>
            </w:pPr>
            <w:r>
              <w:rPr>
                <w:rFonts w:hint="eastAsia" w:asciiTheme="minorEastAsia" w:hAnsiTheme="minorEastAsia" w:eastAsiaTheme="minorEastAsia" w:cstheme="minorEastAsia"/>
                <w:b/>
                <w:bCs w:val="0"/>
                <w:kern w:val="2"/>
                <w:sz w:val="24"/>
                <w:szCs w:val="24"/>
                <w:highlight w:val="none"/>
                <w:lang w:val="en-US" w:eastAsia="zh-CN" w:bidi="ar-SA"/>
              </w:rPr>
              <w:t>（七）</w:t>
            </w:r>
            <w:r>
              <w:rPr>
                <w:b/>
                <w:kern w:val="0"/>
                <w:sz w:val="24"/>
                <w:highlight w:val="none"/>
              </w:rPr>
              <w:t>与新乡县大召营专业园区环保过滤园区环保准入条件相符性分析</w:t>
            </w:r>
          </w:p>
          <w:p>
            <w:pPr>
              <w:pStyle w:val="13"/>
              <w:keepNext w:val="0"/>
              <w:keepLines w:val="0"/>
              <w:pageBreakBefore w:val="0"/>
              <w:widowControl w:val="0"/>
              <w:kinsoku/>
              <w:wordWrap/>
              <w:overflowPunct/>
              <w:topLinePunct w:val="0"/>
              <w:autoSpaceDE/>
              <w:autoSpaceDN/>
              <w:bidi w:val="0"/>
              <w:adjustRightInd/>
              <w:snapToGrid/>
              <w:spacing w:line="240" w:lineRule="auto"/>
              <w:textAlignment w:val="auto"/>
              <w:rPr>
                <w:b w:val="0"/>
                <w:bCs/>
                <w:kern w:val="0"/>
                <w:sz w:val="24"/>
                <w:highlight w:val="none"/>
              </w:rPr>
            </w:pPr>
            <w:r>
              <w:rPr>
                <w:b w:val="0"/>
                <w:bCs/>
                <w:kern w:val="0"/>
                <w:sz w:val="24"/>
                <w:highlight w:val="none"/>
              </w:rPr>
              <w:t>表</w:t>
            </w:r>
            <w:r>
              <w:rPr>
                <w:rFonts w:hint="eastAsia"/>
                <w:b w:val="0"/>
                <w:bCs/>
                <w:kern w:val="0"/>
                <w:sz w:val="24"/>
                <w:highlight w:val="none"/>
                <w:lang w:val="en-US" w:eastAsia="zh-CN"/>
              </w:rPr>
              <w:t>11</w:t>
            </w:r>
            <w:r>
              <w:rPr>
                <w:b w:val="0"/>
                <w:bCs/>
                <w:kern w:val="0"/>
                <w:sz w:val="24"/>
                <w:highlight w:val="none"/>
              </w:rPr>
              <w:t xml:space="preserve">  与新乡县大召营专业园区环保过滤园区环保准入条件相符性分析</w:t>
            </w:r>
          </w:p>
          <w:tbl>
            <w:tblPr>
              <w:tblStyle w:val="21"/>
              <w:tblW w:w="4993"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1031"/>
              <w:gridCol w:w="3807"/>
              <w:gridCol w:w="2915"/>
              <w:gridCol w:w="816"/>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50" w:hRule="atLeast"/>
                <w:jc w:val="center"/>
              </w:trPr>
              <w:tc>
                <w:tcPr>
                  <w:tcW w:w="6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sz w:val="21"/>
                      <w:szCs w:val="21"/>
                      <w:highlight w:val="none"/>
                    </w:rPr>
                    <w:t>序号</w:t>
                  </w:r>
                </w:p>
              </w:tc>
              <w:tc>
                <w:tcPr>
                  <w:tcW w:w="22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sz w:val="21"/>
                      <w:szCs w:val="21"/>
                      <w:highlight w:val="none"/>
                    </w:rPr>
                    <w:t>准入条件</w:t>
                  </w:r>
                </w:p>
              </w:tc>
              <w:tc>
                <w:tcPr>
                  <w:tcW w:w="17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sz w:val="21"/>
                      <w:szCs w:val="21"/>
                      <w:highlight w:val="none"/>
                    </w:rPr>
                    <w:t>本项目情况</w:t>
                  </w:r>
                </w:p>
              </w:tc>
              <w:tc>
                <w:tcPr>
                  <w:tcW w:w="47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sz w:val="21"/>
                      <w:szCs w:val="21"/>
                      <w:highlight w:val="none"/>
                    </w:rPr>
                    <w:t>相符性</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50" w:hRule="atLeast"/>
                <w:jc w:val="center"/>
              </w:trPr>
              <w:tc>
                <w:tcPr>
                  <w:tcW w:w="6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sz w:val="21"/>
                      <w:szCs w:val="21"/>
                      <w:highlight w:val="none"/>
                    </w:rPr>
                    <w:t>1</w:t>
                  </w:r>
                </w:p>
              </w:tc>
              <w:tc>
                <w:tcPr>
                  <w:tcW w:w="22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sz w:val="21"/>
                      <w:szCs w:val="21"/>
                      <w:highlight w:val="none"/>
                    </w:rPr>
                    <w:t>鼓励生产海水淡化设备、反向渗透纯水装备、大气污染治理装备、安全饮水设备、污水防治技术设备、烟气脱硝装置的企业入驻；限制高耗能、高污染、低水平重复建设的企业入驻；禁止含新增铅、镉、铬、汞、砷等重金属污染物排放的项目入驻。</w:t>
                  </w:r>
                </w:p>
              </w:tc>
              <w:tc>
                <w:tcPr>
                  <w:tcW w:w="17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highlight w:val="none"/>
                    </w:rPr>
                  </w:pPr>
                  <w:r>
                    <w:rPr>
                      <w:sz w:val="21"/>
                      <w:szCs w:val="21"/>
                      <w:highlight w:val="none"/>
                    </w:rPr>
                    <w:t>本项目为</w:t>
                  </w:r>
                  <w:r>
                    <w:rPr>
                      <w:rFonts w:hint="eastAsia"/>
                      <w:sz w:val="21"/>
                      <w:szCs w:val="21"/>
                      <w:highlight w:val="none"/>
                      <w:lang w:val="en-US" w:eastAsia="zh-CN"/>
                    </w:rPr>
                    <w:t>气体分装项目</w:t>
                  </w:r>
                  <w:r>
                    <w:rPr>
                      <w:sz w:val="21"/>
                      <w:szCs w:val="21"/>
                      <w:highlight w:val="none"/>
                    </w:rPr>
                    <w:t>，不属于高耗能、高污染、低水平重复建设的企业，项目不涉及重金属污染物的排放，不属于园区规定的限制类、禁止类入驻项目</w:t>
                  </w:r>
                </w:p>
              </w:tc>
              <w:tc>
                <w:tcPr>
                  <w:tcW w:w="47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sz w:val="21"/>
                      <w:szCs w:val="21"/>
                      <w:highlight w:val="none"/>
                    </w:rPr>
                    <w:t>相符</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50" w:hRule="atLeast"/>
                <w:jc w:val="center"/>
              </w:trPr>
              <w:tc>
                <w:tcPr>
                  <w:tcW w:w="6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sz w:val="21"/>
                      <w:szCs w:val="21"/>
                      <w:highlight w:val="none"/>
                    </w:rPr>
                    <w:t>2</w:t>
                  </w:r>
                </w:p>
              </w:tc>
              <w:tc>
                <w:tcPr>
                  <w:tcW w:w="22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sz w:val="21"/>
                      <w:szCs w:val="21"/>
                      <w:highlight w:val="none"/>
                    </w:rPr>
                    <w:t>投资强度满足河南省国土资源厅《关于调整河南省工业建设项目建设用地控制指标的通知》：入驻企业生产规模符合国家产业政策最小经济规模要求，清洁生产水平达到国内同行业先进清洁生产水平以上。</w:t>
                  </w:r>
                </w:p>
              </w:tc>
              <w:tc>
                <w:tcPr>
                  <w:tcW w:w="17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sz w:val="21"/>
                      <w:szCs w:val="21"/>
                      <w:highlight w:val="none"/>
                    </w:rPr>
                    <w:t>本项目总投资</w:t>
                  </w:r>
                  <w:r>
                    <w:rPr>
                      <w:rFonts w:hint="eastAsia"/>
                      <w:sz w:val="21"/>
                      <w:szCs w:val="21"/>
                      <w:highlight w:val="none"/>
                      <w:lang w:val="en-US" w:eastAsia="zh-CN"/>
                    </w:rPr>
                    <w:t>2320</w:t>
                  </w:r>
                  <w:r>
                    <w:rPr>
                      <w:sz w:val="21"/>
                      <w:szCs w:val="21"/>
                      <w:highlight w:val="none"/>
                    </w:rPr>
                    <w:t>万元，投资强度为</w:t>
                  </w:r>
                  <w:r>
                    <w:rPr>
                      <w:rFonts w:hint="eastAsia"/>
                      <w:sz w:val="21"/>
                      <w:szCs w:val="21"/>
                      <w:highlight w:val="none"/>
                      <w:lang w:val="en-US" w:eastAsia="zh-CN"/>
                    </w:rPr>
                    <w:t>7030</w:t>
                  </w:r>
                  <w:r>
                    <w:rPr>
                      <w:sz w:val="21"/>
                      <w:szCs w:val="21"/>
                      <w:highlight w:val="none"/>
                    </w:rPr>
                    <w:t>万元/公顷，满足河南省国土资源厅《关于调整河南省工业建设项目建设用地控制指标的通知》规定的投资强度（≥520万元/公顷）；本项目建设符合国家产业政策最小经济规模要求，清洁生产水平达到国内同行业先进清洁生产水平以上。</w:t>
                  </w:r>
                </w:p>
              </w:tc>
              <w:tc>
                <w:tcPr>
                  <w:tcW w:w="47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sz w:val="21"/>
                      <w:szCs w:val="21"/>
                      <w:highlight w:val="none"/>
                    </w:rPr>
                    <w:t>相符</w:t>
                  </w:r>
                </w:p>
              </w:tc>
            </w:tr>
          </w:tbl>
          <w:p>
            <w:pPr>
              <w:pStyle w:val="2"/>
              <w:keepNext/>
              <w:keepLines/>
              <w:pageBreakBefore w:val="0"/>
              <w:widowControl w:val="0"/>
              <w:kinsoku/>
              <w:wordWrap/>
              <w:overflowPunct/>
              <w:topLinePunct w:val="0"/>
              <w:autoSpaceDE/>
              <w:autoSpaceDN/>
              <w:bidi w:val="0"/>
              <w:adjustRightInd/>
              <w:snapToGrid/>
              <w:ind w:firstLine="480" w:firstLineChars="200"/>
              <w:jc w:val="both"/>
              <w:textAlignment w:val="auto"/>
              <w:rPr>
                <w:rFonts w:hint="default" w:ascii="Times New Roman" w:hAnsi="Times New Roman" w:cs="Times New Roman" w:eastAsiaTheme="minorEastAsia"/>
                <w:b w:val="0"/>
                <w:bCs w:val="0"/>
                <w:highlight w:val="none"/>
              </w:rPr>
            </w:pPr>
            <w:r>
              <w:rPr>
                <w:b w:val="0"/>
                <w:bCs w:val="0"/>
                <w:sz w:val="24"/>
                <w:highlight w:val="none"/>
              </w:rPr>
              <w:t>项目建设符合《新乡县大召营专业园区发展规划》（2014-2025）环保过滤园区准入条件的相关规定。</w:t>
            </w:r>
          </w:p>
          <w:p>
            <w:pPr>
              <w:pStyle w:val="4"/>
              <w:bidi w:val="0"/>
              <w:rPr>
                <w:rFonts w:hint="eastAsia"/>
                <w:highlight w:val="none"/>
                <w:lang w:val="en-US" w:eastAsia="zh-CN"/>
              </w:rPr>
            </w:pPr>
            <w:r>
              <w:rPr>
                <w:rFonts w:hint="eastAsia"/>
                <w:highlight w:val="none"/>
                <w:lang w:val="en-US" w:eastAsia="zh-CN"/>
              </w:rPr>
              <w:t>（八）与国务院发布《打赢蓝天保卫战三年行动计划》（</w:t>
            </w:r>
            <w:r>
              <w:rPr>
                <w:rFonts w:hint="default"/>
                <w:highlight w:val="none"/>
              </w:rPr>
              <w:t>国发〔2018〕22号</w:t>
            </w:r>
            <w:r>
              <w:rPr>
                <w:rFonts w:hint="eastAsia"/>
                <w:highlight w:val="none"/>
                <w:lang w:val="en-US" w:eastAsia="zh-CN"/>
              </w:rPr>
              <w:t>）对照分析</w:t>
            </w:r>
            <w:r>
              <w:rPr>
                <w:rFonts w:hint="default"/>
                <w:highlight w:val="none"/>
              </w:rPr>
              <w:t>见下表</w:t>
            </w:r>
            <w:r>
              <w:rPr>
                <w:rFonts w:hint="eastAsia"/>
                <w:highlight w:val="none"/>
                <w:lang w:val="en-US" w:eastAsia="zh-CN"/>
              </w:rPr>
              <w:t>。</w:t>
            </w:r>
          </w:p>
          <w:p>
            <w:pPr>
              <w:pStyle w:val="45"/>
              <w:bidi w:val="0"/>
              <w:rPr>
                <w:rFonts w:hint="eastAsia"/>
                <w:highlight w:val="none"/>
                <w:lang w:val="en-US" w:eastAsia="zh-CN"/>
              </w:rPr>
            </w:pPr>
            <w:r>
              <w:rPr>
                <w:rFonts w:hint="eastAsia"/>
                <w:highlight w:val="none"/>
                <w:lang w:val="en-US" w:eastAsia="zh-CN"/>
              </w:rPr>
              <w:t>表12  项目与《打赢蓝天保卫战三年行动计划》相符性分析</w:t>
            </w:r>
          </w:p>
          <w:tbl>
            <w:tblPr>
              <w:tblStyle w:val="2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28"/>
              <w:gridCol w:w="4244"/>
              <w:gridCol w:w="2869"/>
              <w:gridCol w:w="73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4" w:type="pct"/>
                  <w:noWrap w:val="0"/>
                  <w:vAlign w:val="center"/>
                </w:tcPr>
                <w:p>
                  <w:pPr>
                    <w:pStyle w:val="29"/>
                    <w:bidi w:val="0"/>
                    <w:rPr>
                      <w:rFonts w:hint="eastAsia"/>
                      <w:highlight w:val="none"/>
                      <w:lang w:val="en-US" w:eastAsia="zh-CN"/>
                    </w:rPr>
                  </w:pPr>
                  <w:r>
                    <w:rPr>
                      <w:rFonts w:hint="eastAsia"/>
                      <w:highlight w:val="none"/>
                      <w:lang w:eastAsia="zh-CN"/>
                    </w:rPr>
                    <w:t>类别</w:t>
                  </w:r>
                </w:p>
              </w:tc>
              <w:tc>
                <w:tcPr>
                  <w:tcW w:w="2473" w:type="pct"/>
                  <w:noWrap w:val="0"/>
                  <w:vAlign w:val="center"/>
                </w:tcPr>
                <w:p>
                  <w:pPr>
                    <w:pStyle w:val="29"/>
                    <w:bidi w:val="0"/>
                    <w:rPr>
                      <w:rFonts w:hint="default"/>
                      <w:highlight w:val="none"/>
                    </w:rPr>
                  </w:pPr>
                  <w:r>
                    <w:rPr>
                      <w:rFonts w:hint="default"/>
                      <w:highlight w:val="none"/>
                      <w:lang w:val="en-US" w:eastAsia="zh-CN"/>
                    </w:rPr>
                    <w:t>《打赢蓝天保卫战三年行动计划》</w:t>
                  </w:r>
                </w:p>
                <w:p>
                  <w:pPr>
                    <w:pStyle w:val="29"/>
                    <w:bidi w:val="0"/>
                    <w:rPr>
                      <w:rFonts w:hint="default"/>
                      <w:highlight w:val="none"/>
                      <w:lang w:val="en-US" w:eastAsia="zh-CN"/>
                    </w:rPr>
                  </w:pPr>
                  <w:r>
                    <w:rPr>
                      <w:rFonts w:hint="default"/>
                      <w:highlight w:val="none"/>
                    </w:rPr>
                    <w:t>中有关要求</w:t>
                  </w:r>
                </w:p>
              </w:tc>
              <w:tc>
                <w:tcPr>
                  <w:tcW w:w="1672" w:type="pct"/>
                  <w:noWrap w:val="0"/>
                  <w:vAlign w:val="center"/>
                </w:tcPr>
                <w:p>
                  <w:pPr>
                    <w:pStyle w:val="29"/>
                    <w:bidi w:val="0"/>
                    <w:rPr>
                      <w:rFonts w:hint="default"/>
                      <w:highlight w:val="none"/>
                      <w:lang w:val="en-US" w:eastAsia="zh-CN"/>
                    </w:rPr>
                  </w:pPr>
                  <w:r>
                    <w:rPr>
                      <w:rFonts w:hint="default"/>
                      <w:highlight w:val="none"/>
                    </w:rPr>
                    <w:t>企业建设情况</w:t>
                  </w:r>
                </w:p>
              </w:tc>
              <w:tc>
                <w:tcPr>
                  <w:tcW w:w="429" w:type="pct"/>
                  <w:noWrap w:val="0"/>
                  <w:vAlign w:val="center"/>
                </w:tcPr>
                <w:p>
                  <w:pPr>
                    <w:pStyle w:val="29"/>
                    <w:bidi w:val="0"/>
                    <w:rPr>
                      <w:rFonts w:hint="default"/>
                      <w:highlight w:val="none"/>
                      <w:lang w:val="en-US" w:eastAsia="zh-CN"/>
                    </w:rPr>
                  </w:pPr>
                  <w:r>
                    <w:rPr>
                      <w:rFonts w:hint="default"/>
                      <w:highlight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4" w:type="pct"/>
                  <w:noWrap w:val="0"/>
                  <w:vAlign w:val="center"/>
                </w:tcPr>
                <w:p>
                  <w:pPr>
                    <w:pStyle w:val="29"/>
                    <w:bidi w:val="0"/>
                    <w:rPr>
                      <w:rFonts w:hint="default"/>
                      <w:highlight w:val="none"/>
                    </w:rPr>
                  </w:pPr>
                  <w:r>
                    <w:rPr>
                      <w:rFonts w:hint="default"/>
                      <w:highlight w:val="none"/>
                    </w:rPr>
                    <w:t>一、总体要求</w:t>
                  </w:r>
                </w:p>
              </w:tc>
              <w:tc>
                <w:tcPr>
                  <w:tcW w:w="2473" w:type="pct"/>
                  <w:noWrap w:val="0"/>
                  <w:vAlign w:val="center"/>
                </w:tcPr>
                <w:p>
                  <w:pPr>
                    <w:pStyle w:val="29"/>
                    <w:bidi w:val="0"/>
                    <w:rPr>
                      <w:rFonts w:hint="default"/>
                      <w:highlight w:val="none"/>
                    </w:rPr>
                  </w:pPr>
                  <w:r>
                    <w:rPr>
                      <w:rFonts w:hint="default"/>
                      <w:b/>
                      <w:bCs/>
                      <w:highlight w:val="none"/>
                    </w:rPr>
                    <w:t>（三）重点区域范围。</w:t>
                  </w:r>
                  <w:r>
                    <w:rPr>
                      <w:rFonts w:hint="default"/>
                      <w:highlight w:val="none"/>
                    </w:rPr>
                    <w:t>京津冀及周边地区，包含北京市，天津市，河北省石家庄、唐山、邯郸、邢台、保定、沧州、廊坊、衡水市以及雄安新区，山西省太原、阳泉、长治、晋城市，山东省济南、淄博、济宁、德州、聊城、滨州、菏泽市，河南省郑州、开封、安阳、鹤壁、新乡、焦作、濮阳市等；长三角地区，包含上海市、江苏省、浙江省、安徽省；汾渭平原，包含山西省晋中、运城、临汾、吕梁市，河南省洛阳、三门峡市，陕西省西安、铜川、宝鸡、咸阳、渭南市以及杨凌示范区等。</w:t>
                  </w:r>
                </w:p>
              </w:tc>
              <w:tc>
                <w:tcPr>
                  <w:tcW w:w="1672" w:type="pct"/>
                  <w:noWrap w:val="0"/>
                  <w:vAlign w:val="center"/>
                </w:tcPr>
                <w:p>
                  <w:pPr>
                    <w:pStyle w:val="29"/>
                    <w:bidi w:val="0"/>
                    <w:rPr>
                      <w:rFonts w:hint="default"/>
                      <w:highlight w:val="none"/>
                    </w:rPr>
                  </w:pPr>
                  <w:r>
                    <w:rPr>
                      <w:rFonts w:hint="eastAsia"/>
                      <w:highlight w:val="none"/>
                      <w:lang w:eastAsia="zh-CN"/>
                    </w:rPr>
                    <w:t>本项目位于新乡市新乡县大召营镇（新焦公路八公里处）</w:t>
                  </w:r>
                </w:p>
              </w:tc>
              <w:tc>
                <w:tcPr>
                  <w:tcW w:w="429" w:type="pct"/>
                  <w:noWrap w:val="0"/>
                  <w:vAlign w:val="center"/>
                </w:tcPr>
                <w:p>
                  <w:pPr>
                    <w:pStyle w:val="29"/>
                    <w:bidi w:val="0"/>
                    <w:rPr>
                      <w:rFonts w:hint="eastAsia"/>
                      <w:highlight w:val="none"/>
                      <w:lang w:val="en-US" w:eastAsia="zh-CN"/>
                    </w:rPr>
                  </w:pPr>
                  <w:r>
                    <w:rPr>
                      <w:rFonts w:hint="eastAsia"/>
                      <w:highlight w:val="none"/>
                      <w:lang w:eastAsia="zh-CN"/>
                    </w:rPr>
                    <w:t>本项目位于重点区域范围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4" w:type="pct"/>
                  <w:vMerge w:val="restart"/>
                  <w:noWrap w:val="0"/>
                  <w:vAlign w:val="center"/>
                </w:tcPr>
                <w:p>
                  <w:pPr>
                    <w:pStyle w:val="29"/>
                    <w:bidi w:val="0"/>
                    <w:rPr>
                      <w:rFonts w:hint="default"/>
                      <w:highlight w:val="none"/>
                      <w:lang w:val="en-US" w:eastAsia="zh-CN"/>
                    </w:rPr>
                  </w:pPr>
                  <w:r>
                    <w:rPr>
                      <w:rFonts w:hint="default"/>
                      <w:highlight w:val="none"/>
                      <w:lang w:val="en-US" w:eastAsia="zh-CN"/>
                    </w:rPr>
                    <w:t>二、调整优化产业结构，推进产业绿色发展</w:t>
                  </w:r>
                </w:p>
              </w:tc>
              <w:tc>
                <w:tcPr>
                  <w:tcW w:w="2473" w:type="pct"/>
                  <w:noWrap w:val="0"/>
                  <w:vAlign w:val="center"/>
                </w:tcPr>
                <w:p>
                  <w:pPr>
                    <w:pStyle w:val="29"/>
                    <w:bidi w:val="0"/>
                    <w:rPr>
                      <w:rFonts w:hint="default"/>
                      <w:highlight w:val="none"/>
                      <w:lang w:val="en-US" w:eastAsia="zh-CN"/>
                    </w:rPr>
                  </w:pPr>
                  <w:r>
                    <w:rPr>
                      <w:rFonts w:hint="default"/>
                      <w:b/>
                      <w:bCs/>
                      <w:highlight w:val="none"/>
                      <w:lang w:val="en-US" w:eastAsia="zh-CN"/>
                    </w:rPr>
                    <w:t>（五）严控</w:t>
                  </w:r>
                  <w:r>
                    <w:rPr>
                      <w:rFonts w:hint="eastAsia"/>
                      <w:b/>
                      <w:bCs/>
                      <w:highlight w:val="none"/>
                      <w:lang w:val="en-US" w:eastAsia="zh-CN"/>
                    </w:rPr>
                    <w:t>“两高”行</w:t>
                  </w:r>
                  <w:r>
                    <w:rPr>
                      <w:rFonts w:hint="default"/>
                      <w:b/>
                      <w:bCs/>
                      <w:highlight w:val="none"/>
                      <w:lang w:val="en-US" w:eastAsia="zh-CN"/>
                    </w:rPr>
                    <w:t>业产能。</w:t>
                  </w:r>
                  <w:r>
                    <w:rPr>
                      <w:rFonts w:hint="default"/>
                      <w:highlight w:val="none"/>
                      <w:lang w:val="en-US" w:eastAsia="zh-CN"/>
                    </w:rPr>
                    <w:t>重点区域严禁新增钢铁、焦化、电解铝、铸造、水泥和平板玻璃等产能；严格执行钢铁、水泥、平板玻璃等行业产能置换实施办法；新、改、扩建涉及大宗物料运输的建设项目，原则上不得采用公路运输。</w:t>
                  </w:r>
                </w:p>
              </w:tc>
              <w:tc>
                <w:tcPr>
                  <w:tcW w:w="1672" w:type="pct"/>
                  <w:noWrap w:val="0"/>
                  <w:vAlign w:val="center"/>
                </w:tcPr>
                <w:p>
                  <w:pPr>
                    <w:pStyle w:val="29"/>
                    <w:bidi w:val="0"/>
                    <w:rPr>
                      <w:rFonts w:hint="default"/>
                      <w:highlight w:val="none"/>
                      <w:lang w:val="en-US" w:eastAsia="zh-CN"/>
                    </w:rPr>
                  </w:pPr>
                  <w:r>
                    <w:rPr>
                      <w:rFonts w:hint="eastAsia"/>
                      <w:highlight w:val="none"/>
                      <w:lang w:val="en-US" w:eastAsia="zh-CN"/>
                    </w:rPr>
                    <w:t>本项目为</w:t>
                  </w:r>
                  <w:r>
                    <w:rPr>
                      <w:rFonts w:hint="eastAsia"/>
                      <w:highlight w:val="none"/>
                      <w:lang w:eastAsia="zh-CN"/>
                    </w:rPr>
                    <w:t>分装</w:t>
                  </w:r>
                  <w:r>
                    <w:rPr>
                      <w:rFonts w:hint="eastAsia"/>
                      <w:highlight w:val="none"/>
                      <w:lang w:val="en-US" w:eastAsia="zh-CN"/>
                    </w:rPr>
                    <w:t>7000吨工业气体项目，属于危险化学品仓储（行业代码：C5942），不属于“两高”行业</w:t>
                  </w:r>
                </w:p>
              </w:tc>
              <w:tc>
                <w:tcPr>
                  <w:tcW w:w="429" w:type="pct"/>
                  <w:vMerge w:val="restart"/>
                  <w:noWrap w:val="0"/>
                  <w:vAlign w:val="center"/>
                </w:tcPr>
                <w:p>
                  <w:pPr>
                    <w:pStyle w:val="29"/>
                    <w:bidi w:val="0"/>
                    <w:rPr>
                      <w:rFonts w:hint="default"/>
                      <w:highlight w:val="none"/>
                      <w:lang w:val="en-US" w:eastAsia="zh-CN"/>
                    </w:rPr>
                  </w:pPr>
                  <w:r>
                    <w:rPr>
                      <w:rFonts w:hint="eastAsia"/>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4" w:type="pct"/>
                  <w:vMerge w:val="continue"/>
                  <w:noWrap w:val="0"/>
                  <w:vAlign w:val="center"/>
                </w:tcPr>
                <w:p>
                  <w:pPr>
                    <w:pStyle w:val="29"/>
                    <w:bidi w:val="0"/>
                    <w:rPr>
                      <w:rFonts w:hint="default"/>
                      <w:highlight w:val="none"/>
                      <w:lang w:val="en-US" w:eastAsia="zh-CN"/>
                    </w:rPr>
                  </w:pPr>
                </w:p>
              </w:tc>
              <w:tc>
                <w:tcPr>
                  <w:tcW w:w="2473" w:type="pct"/>
                  <w:noWrap w:val="0"/>
                  <w:vAlign w:val="center"/>
                </w:tcPr>
                <w:p>
                  <w:pPr>
                    <w:pStyle w:val="29"/>
                    <w:bidi w:val="0"/>
                    <w:rPr>
                      <w:rFonts w:hint="default"/>
                      <w:highlight w:val="none"/>
                      <w:lang w:val="en-US" w:eastAsia="zh-CN"/>
                    </w:rPr>
                  </w:pPr>
                  <w:r>
                    <w:rPr>
                      <w:rFonts w:hint="eastAsia"/>
                      <w:b/>
                      <w:bCs/>
                      <w:highlight w:val="none"/>
                      <w:lang w:val="en-US" w:eastAsia="zh-CN"/>
                    </w:rPr>
                    <w:t>（七）深化工业污染治理。</w:t>
                  </w:r>
                  <w:r>
                    <w:rPr>
                      <w:rFonts w:hint="eastAsia"/>
                      <w:highlight w:val="none"/>
                      <w:lang w:val="en-US" w:eastAsia="zh-CN"/>
                    </w:rPr>
                    <w:t>推进重点行业污染治理升级改造。重点区域二氧化硫、氮氧化物、颗粒物、挥发性有机物（VOCs）全面执行大气污染物特别排放限值。</w:t>
                  </w:r>
                </w:p>
              </w:tc>
              <w:tc>
                <w:tcPr>
                  <w:tcW w:w="1672" w:type="pct"/>
                  <w:noWrap w:val="0"/>
                  <w:vAlign w:val="center"/>
                </w:tcPr>
                <w:p>
                  <w:pPr>
                    <w:pStyle w:val="29"/>
                    <w:bidi w:val="0"/>
                    <w:rPr>
                      <w:rFonts w:hint="default"/>
                      <w:highlight w:val="none"/>
                      <w:lang w:val="en-US" w:eastAsia="zh-CN"/>
                    </w:rPr>
                  </w:pPr>
                  <w:r>
                    <w:rPr>
                      <w:rFonts w:hint="eastAsia"/>
                      <w:highlight w:val="none"/>
                      <w:lang w:eastAsia="zh-CN"/>
                    </w:rPr>
                    <w:t>本项目生产过程中丙烷（</w:t>
                  </w:r>
                  <w:r>
                    <w:rPr>
                      <w:rFonts w:hint="eastAsia"/>
                      <w:highlight w:val="none"/>
                      <w:lang w:val="en-US" w:eastAsia="zh-CN"/>
                    </w:rPr>
                    <w:t>非甲烷总烃）满足《关于全省开展工业企业挥发性有机物专项治理工作中排放建议值的通知》豫环攻坚办【2017】162号文要求</w:t>
                  </w:r>
                </w:p>
              </w:tc>
              <w:tc>
                <w:tcPr>
                  <w:tcW w:w="429" w:type="pct"/>
                  <w:vMerge w:val="continue"/>
                  <w:noWrap w:val="0"/>
                  <w:vAlign w:val="center"/>
                </w:tcPr>
                <w:p>
                  <w:pPr>
                    <w:pStyle w:val="29"/>
                    <w:bidi w:val="0"/>
                    <w:rPr>
                      <w:rFonts w:hint="eastAsia"/>
                      <w:highlight w:val="none"/>
                      <w:lang w:val="en-US" w:eastAsia="zh-CN"/>
                    </w:rPr>
                  </w:pPr>
                </w:p>
              </w:tc>
            </w:tr>
          </w:tbl>
          <w:p>
            <w:pPr>
              <w:bidi w:val="0"/>
              <w:rPr>
                <w:rFonts w:hint="eastAsia"/>
                <w:highlight w:val="none"/>
                <w:lang w:val="en-US" w:eastAsia="zh-CN"/>
              </w:rPr>
            </w:pPr>
            <w:r>
              <w:rPr>
                <w:rFonts w:hint="eastAsia"/>
                <w:highlight w:val="none"/>
                <w:lang w:eastAsia="zh-CN"/>
              </w:rPr>
              <w:t>经对照分析，本项目满足</w:t>
            </w:r>
            <w:r>
              <w:rPr>
                <w:rFonts w:hint="eastAsia"/>
                <w:highlight w:val="none"/>
                <w:lang w:val="en-US" w:eastAsia="zh-CN"/>
              </w:rPr>
              <w:t>《打赢蓝天保卫战三年行动计划》（国发〔2018〕22号）中相关要求。</w:t>
            </w:r>
          </w:p>
          <w:p>
            <w:pPr>
              <w:pStyle w:val="4"/>
              <w:bidi w:val="0"/>
              <w:rPr>
                <w:rFonts w:hint="eastAsia"/>
                <w:highlight w:val="none"/>
                <w:lang w:val="en-US" w:eastAsia="zh-CN"/>
              </w:rPr>
            </w:pPr>
            <w:r>
              <w:rPr>
                <w:rFonts w:hint="eastAsia"/>
                <w:highlight w:val="none"/>
                <w:lang w:val="en-US" w:eastAsia="zh-CN"/>
              </w:rPr>
              <w:t>（九）与《新乡市环境污染攻坚战三年行动实施方案》（2018-2020）对照分析见下表。</w:t>
            </w:r>
          </w:p>
          <w:p>
            <w:pPr>
              <w:pStyle w:val="45"/>
              <w:bidi w:val="0"/>
              <w:rPr>
                <w:rFonts w:hint="eastAsia"/>
                <w:highlight w:val="none"/>
                <w:lang w:val="en-US" w:eastAsia="zh-CN"/>
              </w:rPr>
            </w:pPr>
            <w:r>
              <w:rPr>
                <w:rFonts w:hint="eastAsia"/>
                <w:highlight w:val="none"/>
                <w:lang w:val="en-US" w:eastAsia="zh-CN"/>
              </w:rPr>
              <w:t>表13  项目与《新乡市环境污染攻坚战三年行动实施方案》相符性分析</w:t>
            </w:r>
          </w:p>
          <w:tbl>
            <w:tblPr>
              <w:tblStyle w:val="22"/>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77"/>
              <w:gridCol w:w="5416"/>
              <w:gridCol w:w="1550"/>
              <w:gridCol w:w="73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1" w:type="pct"/>
                  <w:noWrap w:val="0"/>
                  <w:vAlign w:val="center"/>
                </w:tcPr>
                <w:p>
                  <w:pPr>
                    <w:pStyle w:val="29"/>
                    <w:bidi w:val="0"/>
                    <w:rPr>
                      <w:rFonts w:hint="default"/>
                      <w:highlight w:val="none"/>
                      <w:lang w:val="en-US" w:eastAsia="zh-CN"/>
                    </w:rPr>
                  </w:pPr>
                  <w:r>
                    <w:rPr>
                      <w:rFonts w:hint="default"/>
                      <w:highlight w:val="none"/>
                      <w:lang w:eastAsia="zh-CN"/>
                    </w:rPr>
                    <w:t>类别</w:t>
                  </w:r>
                </w:p>
              </w:tc>
              <w:tc>
                <w:tcPr>
                  <w:tcW w:w="3156" w:type="pct"/>
                  <w:noWrap w:val="0"/>
                  <w:vAlign w:val="center"/>
                </w:tcPr>
                <w:p>
                  <w:pPr>
                    <w:pStyle w:val="29"/>
                    <w:bidi w:val="0"/>
                    <w:rPr>
                      <w:rFonts w:hint="default"/>
                      <w:highlight w:val="none"/>
                      <w:lang w:val="en-US" w:eastAsia="zh-CN"/>
                    </w:rPr>
                  </w:pPr>
                  <w:r>
                    <w:rPr>
                      <w:rFonts w:hint="default"/>
                      <w:highlight w:val="none"/>
                      <w:lang w:val="en-US" w:eastAsia="zh-CN"/>
                    </w:rPr>
                    <w:t>《新乡市环境污染攻坚战三年行动实施方案》</w:t>
                  </w:r>
                  <w:r>
                    <w:rPr>
                      <w:rFonts w:hint="default"/>
                      <w:highlight w:val="none"/>
                    </w:rPr>
                    <w:t>中有关要求</w:t>
                  </w:r>
                </w:p>
              </w:tc>
              <w:tc>
                <w:tcPr>
                  <w:tcW w:w="903" w:type="pct"/>
                  <w:noWrap w:val="0"/>
                  <w:vAlign w:val="center"/>
                </w:tcPr>
                <w:p>
                  <w:pPr>
                    <w:pStyle w:val="29"/>
                    <w:bidi w:val="0"/>
                    <w:rPr>
                      <w:rFonts w:hint="default"/>
                      <w:highlight w:val="none"/>
                      <w:lang w:val="en-US" w:eastAsia="zh-CN"/>
                    </w:rPr>
                  </w:pPr>
                  <w:r>
                    <w:rPr>
                      <w:rFonts w:hint="default"/>
                      <w:highlight w:val="none"/>
                    </w:rPr>
                    <w:t>企业建设情况</w:t>
                  </w:r>
                </w:p>
              </w:tc>
              <w:tc>
                <w:tcPr>
                  <w:tcW w:w="429" w:type="pct"/>
                  <w:noWrap w:val="0"/>
                  <w:vAlign w:val="center"/>
                </w:tcPr>
                <w:p>
                  <w:pPr>
                    <w:pStyle w:val="29"/>
                    <w:bidi w:val="0"/>
                    <w:rPr>
                      <w:rFonts w:hint="default"/>
                      <w:highlight w:val="none"/>
                      <w:lang w:val="en-US" w:eastAsia="zh-CN"/>
                    </w:rPr>
                  </w:pPr>
                  <w:r>
                    <w:rPr>
                      <w:rFonts w:hint="default"/>
                      <w:highlight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1" w:type="pct"/>
                  <w:noWrap w:val="0"/>
                  <w:vAlign w:val="center"/>
                </w:tcPr>
                <w:p>
                  <w:pPr>
                    <w:pStyle w:val="29"/>
                    <w:bidi w:val="0"/>
                    <w:rPr>
                      <w:rFonts w:hint="default"/>
                      <w:highlight w:val="none"/>
                    </w:rPr>
                  </w:pPr>
                  <w:r>
                    <w:rPr>
                      <w:rFonts w:hint="default"/>
                      <w:highlight w:val="none"/>
                    </w:rPr>
                    <w:t>（二）</w:t>
                  </w:r>
                </w:p>
                <w:p>
                  <w:pPr>
                    <w:pStyle w:val="29"/>
                    <w:bidi w:val="0"/>
                    <w:rPr>
                      <w:rFonts w:hint="default"/>
                      <w:highlight w:val="none"/>
                    </w:rPr>
                  </w:pPr>
                  <w:r>
                    <w:rPr>
                      <w:rFonts w:hint="default"/>
                      <w:highlight w:val="none"/>
                    </w:rPr>
                    <w:t>产业结构优化工程</w:t>
                  </w:r>
                </w:p>
              </w:tc>
              <w:tc>
                <w:tcPr>
                  <w:tcW w:w="3156" w:type="pct"/>
                  <w:noWrap w:val="0"/>
                  <w:vAlign w:val="center"/>
                </w:tcPr>
                <w:p>
                  <w:pPr>
                    <w:pStyle w:val="29"/>
                    <w:bidi w:val="0"/>
                    <w:rPr>
                      <w:rFonts w:hint="default"/>
                      <w:highlight w:val="none"/>
                    </w:rPr>
                  </w:pPr>
                  <w:r>
                    <w:rPr>
                      <w:rFonts w:hint="default"/>
                      <w:highlight w:val="none"/>
                    </w:rPr>
                    <w:t>9.严格环境准入门槛。禁止火电、焦化、铸造、传统煤化工（甲醇、合成氨）、电解铝、水泥和平板玻璃等行业新建、扩建单纯新增产能（搬迁升级改造项目除外）以及耐火材料、陶瓷等行业新建、扩建以煤炭为燃料的项目和企业，积极推行区域、规划环境影响评价，对搬迁升级改造石化、化工、建材、有色等项目的环境影响评价，应满足区域、规划环评要求。对水泥行业不再实施省内产能置换。对本地过剩产能重点行业搬迁、改建项目，实行污染物排放倍量削减替代，其他行业搬迁项目污染物排放量削减比例不低于1.5:1，并将替代方案落实到企业排污许可证中，纳入环境执法管理。禁止建设生产和使用高VOCs含量的溶剂型涂料、油墨、胶黏剂项目。其他新、改、扩建排放VOCs的项目，应从源头加强控制，使用低（无）VOCs含量的原辅材料，配套安装高效收集、治理设施，其中新建涉VOCs排放的工业企业要入园区，实行区域内VOCs排放总量倍量消减替代。新、改、扩建涉及大宗物料运输的建设项目，原则上不得采用公路运输。严格控制新增燃煤项目建设。除背压热电联产外，全市不再核准“十三五”期间新开工建设的燃煤发电项目。</w:t>
                  </w:r>
                </w:p>
              </w:tc>
              <w:tc>
                <w:tcPr>
                  <w:tcW w:w="903" w:type="pct"/>
                  <w:noWrap w:val="0"/>
                  <w:vAlign w:val="center"/>
                </w:tcPr>
                <w:p>
                  <w:pPr>
                    <w:pStyle w:val="29"/>
                    <w:bidi w:val="0"/>
                    <w:rPr>
                      <w:rFonts w:hint="default"/>
                      <w:highlight w:val="none"/>
                      <w:lang w:val="en-US" w:eastAsia="zh-CN"/>
                    </w:rPr>
                  </w:pPr>
                  <w:r>
                    <w:rPr>
                      <w:rFonts w:hint="default"/>
                      <w:highlight w:val="none"/>
                      <w:lang w:eastAsia="zh-CN"/>
                    </w:rPr>
                    <w:t>本项目位于新乡市新乡县大召营镇</w:t>
                  </w:r>
                  <w:r>
                    <w:rPr>
                      <w:rFonts w:hint="eastAsia"/>
                      <w:highlight w:val="none"/>
                      <w:lang w:eastAsia="zh-CN"/>
                    </w:rPr>
                    <w:t>（新焦公路八公里处）</w:t>
                  </w:r>
                  <w:r>
                    <w:rPr>
                      <w:rFonts w:hint="default"/>
                      <w:highlight w:val="none"/>
                      <w:lang w:val="en-US" w:eastAsia="zh-CN"/>
                    </w:rPr>
                    <w:t>，建设</w:t>
                  </w:r>
                  <w:r>
                    <w:rPr>
                      <w:rFonts w:hint="default"/>
                      <w:highlight w:val="none"/>
                      <w:lang w:eastAsia="zh-CN"/>
                    </w:rPr>
                    <w:t>年</w:t>
                  </w:r>
                  <w:r>
                    <w:rPr>
                      <w:rFonts w:hint="eastAsia"/>
                      <w:highlight w:val="none"/>
                      <w:lang w:eastAsia="zh-CN"/>
                    </w:rPr>
                    <w:t>分装</w:t>
                  </w:r>
                  <w:r>
                    <w:rPr>
                      <w:rFonts w:hint="eastAsia"/>
                      <w:highlight w:val="none"/>
                      <w:lang w:val="en-US" w:eastAsia="zh-CN"/>
                    </w:rPr>
                    <w:t>7000吨工业气体项目</w:t>
                  </w:r>
                  <w:r>
                    <w:rPr>
                      <w:rFonts w:hint="default"/>
                      <w:highlight w:val="none"/>
                      <w:lang w:eastAsia="zh-CN"/>
                    </w:rPr>
                    <w:t>，</w:t>
                  </w:r>
                  <w:r>
                    <w:rPr>
                      <w:rFonts w:hint="default"/>
                      <w:highlight w:val="none"/>
                      <w:lang w:val="en-US" w:eastAsia="zh-CN"/>
                    </w:rPr>
                    <w:t>属于危险化学品仓储（行业代码：C5942），不属于禁止建设行业。本项目位于新乡县大召营专业园区内，生产所用原辅料</w:t>
                  </w:r>
                  <w:r>
                    <w:rPr>
                      <w:rFonts w:hint="eastAsia"/>
                      <w:highlight w:val="none"/>
                      <w:lang w:val="en-US" w:eastAsia="zh-CN"/>
                    </w:rPr>
                    <w:t>丙烷仅有极少量废气产生，不计总量，以无组织的形式排放。</w:t>
                  </w:r>
                </w:p>
              </w:tc>
              <w:tc>
                <w:tcPr>
                  <w:tcW w:w="429" w:type="pct"/>
                  <w:noWrap w:val="0"/>
                  <w:vAlign w:val="center"/>
                </w:tcPr>
                <w:p>
                  <w:pPr>
                    <w:pStyle w:val="29"/>
                    <w:bidi w:val="0"/>
                    <w:rPr>
                      <w:rFonts w:hint="default"/>
                      <w:highlight w:val="none"/>
                      <w:lang w:val="en-US" w:eastAsia="zh-CN"/>
                    </w:rPr>
                  </w:pPr>
                  <w:r>
                    <w:rPr>
                      <w:rFonts w:hint="default"/>
                      <w:highlight w:val="none"/>
                      <w:lang w:eastAsia="zh-CN"/>
                    </w:rPr>
                    <w:t>符合</w:t>
                  </w:r>
                </w:p>
              </w:tc>
            </w:tr>
          </w:tbl>
          <w:p>
            <w:pPr>
              <w:bidi w:val="0"/>
              <w:rPr>
                <w:rFonts w:hint="default"/>
                <w:highlight w:val="none"/>
                <w:lang w:val="en-US" w:eastAsia="zh-CN"/>
              </w:rPr>
            </w:pPr>
            <w:r>
              <w:rPr>
                <w:rFonts w:hint="default"/>
                <w:highlight w:val="none"/>
                <w:lang w:eastAsia="zh-CN"/>
              </w:rPr>
              <w:t>经过对照分析，本项目符合</w:t>
            </w:r>
            <w:r>
              <w:rPr>
                <w:rFonts w:hint="default"/>
                <w:highlight w:val="none"/>
                <w:lang w:val="en-US" w:eastAsia="zh-CN"/>
              </w:rPr>
              <w:t>《新乡市环境污染攻坚战三年行动实施方案》（2018-2020）</w:t>
            </w:r>
            <w:r>
              <w:rPr>
                <w:rFonts w:hint="default"/>
                <w:highlight w:val="none"/>
                <w:lang w:eastAsia="zh-CN"/>
              </w:rPr>
              <w:t>中的相关要求。</w:t>
            </w:r>
          </w:p>
          <w:p>
            <w:pPr>
              <w:pStyle w:val="4"/>
              <w:bidi w:val="0"/>
              <w:rPr>
                <w:rFonts w:hint="eastAsia"/>
                <w:highlight w:val="none"/>
                <w:lang w:val="en-US" w:eastAsia="zh-CN"/>
              </w:rPr>
            </w:pPr>
            <w:r>
              <w:rPr>
                <w:rFonts w:hint="eastAsia"/>
                <w:highlight w:val="none"/>
                <w:lang w:val="en-US" w:eastAsia="zh-CN"/>
              </w:rPr>
              <w:t>（十）与生态环境部发布的《关于印发&lt;京津冀及周边地区2019-2020 年秋冬季大气污染综合治理攻坚行动方案&gt;的通知》（环大气[2019]88号）（以下简称《通知》）进行对照分析。</w:t>
            </w:r>
          </w:p>
          <w:p>
            <w:pPr>
              <w:pStyle w:val="45"/>
              <w:bidi w:val="0"/>
              <w:rPr>
                <w:rFonts w:hint="default"/>
                <w:highlight w:val="none"/>
                <w:lang w:val="en-US" w:eastAsia="zh-CN"/>
              </w:rPr>
            </w:pPr>
            <w:r>
              <w:rPr>
                <w:rFonts w:hint="default"/>
                <w:highlight w:val="none"/>
                <w:lang w:val="en-US" w:eastAsia="zh-CN"/>
              </w:rPr>
              <w:t>表1</w:t>
            </w:r>
            <w:r>
              <w:rPr>
                <w:rFonts w:hint="eastAsia"/>
                <w:highlight w:val="none"/>
                <w:lang w:val="en-US" w:eastAsia="zh-CN"/>
              </w:rPr>
              <w:t>4</w:t>
            </w:r>
            <w:r>
              <w:rPr>
                <w:rFonts w:hint="default"/>
                <w:highlight w:val="none"/>
                <w:lang w:val="en-US" w:eastAsia="zh-CN"/>
              </w:rPr>
              <w:t xml:space="preserve">         项目与《通知》相符性分析</w:t>
            </w:r>
          </w:p>
          <w:tbl>
            <w:tblPr>
              <w:tblStyle w:val="2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5890"/>
              <w:gridCol w:w="1197"/>
              <w:gridCol w:w="64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6" w:type="pct"/>
                  <w:noWrap w:val="0"/>
                  <w:vAlign w:val="center"/>
                </w:tcPr>
                <w:p>
                  <w:pPr>
                    <w:pStyle w:val="29"/>
                    <w:bidi w:val="0"/>
                    <w:rPr>
                      <w:rFonts w:hint="default"/>
                      <w:highlight w:val="none"/>
                      <w:lang w:val="en-US" w:eastAsia="zh-CN"/>
                    </w:rPr>
                  </w:pPr>
                  <w:r>
                    <w:rPr>
                      <w:rFonts w:hint="default"/>
                      <w:highlight w:val="none"/>
                      <w:lang w:eastAsia="zh-CN"/>
                    </w:rPr>
                    <w:t>类别</w:t>
                  </w:r>
                </w:p>
              </w:tc>
              <w:tc>
                <w:tcPr>
                  <w:tcW w:w="3483" w:type="pct"/>
                  <w:noWrap w:val="0"/>
                  <w:vAlign w:val="center"/>
                </w:tcPr>
                <w:p>
                  <w:pPr>
                    <w:pStyle w:val="29"/>
                    <w:bidi w:val="0"/>
                    <w:rPr>
                      <w:rFonts w:hint="default"/>
                      <w:highlight w:val="none"/>
                      <w:lang w:val="en-US" w:eastAsia="zh-CN"/>
                    </w:rPr>
                  </w:pPr>
                  <w:r>
                    <w:rPr>
                      <w:rFonts w:hint="default"/>
                      <w:highlight w:val="none"/>
                      <w:lang w:val="en-US" w:eastAsia="zh-CN"/>
                    </w:rPr>
                    <w:t>《京津冀及周边地区201</w:t>
                  </w:r>
                  <w:r>
                    <w:rPr>
                      <w:rFonts w:hint="eastAsia"/>
                      <w:highlight w:val="none"/>
                      <w:lang w:val="en-US" w:eastAsia="zh-CN"/>
                    </w:rPr>
                    <w:t>9</w:t>
                  </w:r>
                  <w:r>
                    <w:rPr>
                      <w:rFonts w:hint="default"/>
                      <w:highlight w:val="none"/>
                      <w:lang w:val="en-US" w:eastAsia="zh-CN"/>
                    </w:rPr>
                    <w:t>-20</w:t>
                  </w:r>
                  <w:r>
                    <w:rPr>
                      <w:rFonts w:hint="eastAsia"/>
                      <w:highlight w:val="none"/>
                      <w:lang w:val="en-US" w:eastAsia="zh-CN"/>
                    </w:rPr>
                    <w:t>20</w:t>
                  </w:r>
                  <w:r>
                    <w:rPr>
                      <w:rFonts w:hint="default"/>
                      <w:highlight w:val="none"/>
                      <w:lang w:val="en-US" w:eastAsia="zh-CN"/>
                    </w:rPr>
                    <w:t>年秋冬季大气污染综合治理攻坚行动方案》</w:t>
                  </w:r>
                  <w:r>
                    <w:rPr>
                      <w:rFonts w:hint="default"/>
                      <w:highlight w:val="none"/>
                    </w:rPr>
                    <w:t>中有关要求</w:t>
                  </w:r>
                </w:p>
              </w:tc>
              <w:tc>
                <w:tcPr>
                  <w:tcW w:w="681" w:type="pct"/>
                  <w:noWrap w:val="0"/>
                  <w:vAlign w:val="center"/>
                </w:tcPr>
                <w:p>
                  <w:pPr>
                    <w:pStyle w:val="29"/>
                    <w:bidi w:val="0"/>
                    <w:rPr>
                      <w:rFonts w:hint="default"/>
                      <w:highlight w:val="none"/>
                      <w:lang w:val="en-US" w:eastAsia="zh-CN"/>
                    </w:rPr>
                  </w:pPr>
                  <w:r>
                    <w:rPr>
                      <w:rFonts w:hint="default"/>
                      <w:highlight w:val="none"/>
                    </w:rPr>
                    <w:t>企业建设情况</w:t>
                  </w:r>
                </w:p>
              </w:tc>
              <w:tc>
                <w:tcPr>
                  <w:tcW w:w="427" w:type="pct"/>
                  <w:noWrap w:val="0"/>
                  <w:vAlign w:val="center"/>
                </w:tcPr>
                <w:p>
                  <w:pPr>
                    <w:pStyle w:val="29"/>
                    <w:bidi w:val="0"/>
                    <w:rPr>
                      <w:rFonts w:hint="default"/>
                      <w:highlight w:val="none"/>
                      <w:lang w:val="en-US" w:eastAsia="zh-CN"/>
                    </w:rPr>
                  </w:pPr>
                  <w:r>
                    <w:rPr>
                      <w:rFonts w:hint="default"/>
                      <w:highlight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6" w:type="pct"/>
                  <w:noWrap w:val="0"/>
                  <w:vAlign w:val="center"/>
                </w:tcPr>
                <w:p>
                  <w:pPr>
                    <w:pStyle w:val="29"/>
                    <w:bidi w:val="0"/>
                    <w:rPr>
                      <w:rFonts w:hint="default"/>
                      <w:highlight w:val="none"/>
                      <w:lang w:eastAsia="zh-CN"/>
                    </w:rPr>
                  </w:pPr>
                  <w:r>
                    <w:rPr>
                      <w:rFonts w:hint="default"/>
                      <w:highlight w:val="none"/>
                      <w:lang w:eastAsia="zh-CN"/>
                    </w:rPr>
                    <w:t>一、总体要求</w:t>
                  </w:r>
                </w:p>
              </w:tc>
              <w:tc>
                <w:tcPr>
                  <w:tcW w:w="3483" w:type="pct"/>
                  <w:noWrap w:val="0"/>
                  <w:vAlign w:val="top"/>
                </w:tcPr>
                <w:p>
                  <w:pPr>
                    <w:pStyle w:val="29"/>
                    <w:bidi w:val="0"/>
                    <w:rPr>
                      <w:rFonts w:hint="default"/>
                      <w:highlight w:val="none"/>
                      <w:lang w:val="en-US" w:eastAsia="zh-CN"/>
                    </w:rPr>
                  </w:pPr>
                  <w:r>
                    <w:rPr>
                      <w:rFonts w:hint="default"/>
                      <w:highlight w:val="none"/>
                      <w:lang w:val="en-US" w:eastAsia="zh-CN"/>
                    </w:rPr>
                    <w:t>实施范围：京津冀及周边地区，包含北京市，天津市，河北省石家庄、唐山、邯郸、邢台、保定、沧州、廊坊、衡水市</w:t>
                  </w:r>
                  <w:r>
                    <w:rPr>
                      <w:rFonts w:hint="eastAsia"/>
                      <w:highlight w:val="none"/>
                      <w:lang w:val="en-US" w:eastAsia="zh-CN"/>
                    </w:rPr>
                    <w:t>以及雄安新区</w:t>
                  </w:r>
                  <w:r>
                    <w:rPr>
                      <w:rFonts w:hint="default"/>
                      <w:highlight w:val="none"/>
                      <w:lang w:val="en-US" w:eastAsia="zh-CN"/>
                    </w:rPr>
                    <w:t>，山西省太原、阳泉、长治、晋城市，山东省济南、淄博、济宁、德州、聊城、滨州、菏泽市，河南省郑州、开封、安阳、鹤壁、新乡、焦作、濮阳市（以下简称“2+26”城市，含河北省定州市、辛集市，河南省济源市）。</w:t>
                  </w:r>
                </w:p>
              </w:tc>
              <w:tc>
                <w:tcPr>
                  <w:tcW w:w="681" w:type="pct"/>
                  <w:noWrap w:val="0"/>
                  <w:vAlign w:val="center"/>
                </w:tcPr>
                <w:p>
                  <w:pPr>
                    <w:pStyle w:val="29"/>
                    <w:bidi w:val="0"/>
                    <w:rPr>
                      <w:rFonts w:hint="eastAsia"/>
                      <w:highlight w:val="none"/>
                      <w:lang w:val="en-US" w:eastAsia="zh-CN"/>
                    </w:rPr>
                  </w:pPr>
                  <w:r>
                    <w:rPr>
                      <w:rFonts w:hint="default"/>
                      <w:highlight w:val="none"/>
                    </w:rPr>
                    <w:t>本项目位于新乡市新乡县大召营镇</w:t>
                  </w:r>
                </w:p>
              </w:tc>
              <w:tc>
                <w:tcPr>
                  <w:tcW w:w="427" w:type="pct"/>
                  <w:noWrap w:val="0"/>
                  <w:vAlign w:val="center"/>
                </w:tcPr>
                <w:p>
                  <w:pPr>
                    <w:pStyle w:val="29"/>
                    <w:bidi w:val="0"/>
                    <w:rPr>
                      <w:rFonts w:hint="default"/>
                      <w:highlight w:val="none"/>
                      <w:lang w:eastAsia="zh-CN"/>
                    </w:rPr>
                  </w:pPr>
                  <w:r>
                    <w:rPr>
                      <w:rFonts w:hint="default"/>
                      <w:highlight w:val="none"/>
                      <w:lang w:eastAsia="zh-CN"/>
                    </w:rPr>
                    <w:t>本项目位于实施范围内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6" w:type="pct"/>
                  <w:noWrap w:val="0"/>
                  <w:vAlign w:val="center"/>
                </w:tcPr>
                <w:p>
                  <w:pPr>
                    <w:pStyle w:val="29"/>
                    <w:bidi w:val="0"/>
                    <w:rPr>
                      <w:rFonts w:hint="default"/>
                      <w:highlight w:val="none"/>
                      <w:lang w:eastAsia="zh-CN"/>
                    </w:rPr>
                  </w:pPr>
                  <w:r>
                    <w:rPr>
                      <w:rFonts w:hint="eastAsia"/>
                      <w:highlight w:val="none"/>
                      <w:lang w:eastAsia="zh-CN"/>
                    </w:rPr>
                    <w:t>（</w:t>
                  </w:r>
                  <w:r>
                    <w:rPr>
                      <w:rFonts w:hint="eastAsia"/>
                      <w:highlight w:val="none"/>
                      <w:lang w:val="en-US" w:eastAsia="zh-CN"/>
                    </w:rPr>
                    <w:t>一</w:t>
                  </w:r>
                  <w:r>
                    <w:rPr>
                      <w:rFonts w:hint="eastAsia"/>
                      <w:highlight w:val="none"/>
                      <w:lang w:eastAsia="zh-CN"/>
                    </w:rPr>
                    <w:t>）优化调整用地结构。</w:t>
                  </w:r>
                </w:p>
              </w:tc>
              <w:tc>
                <w:tcPr>
                  <w:tcW w:w="3483" w:type="pct"/>
                  <w:noWrap w:val="0"/>
                  <w:vAlign w:val="top"/>
                </w:tcPr>
                <w:p>
                  <w:pPr>
                    <w:pStyle w:val="29"/>
                    <w:bidi w:val="0"/>
                    <w:rPr>
                      <w:rFonts w:hint="default"/>
                      <w:highlight w:val="none"/>
                      <w:lang w:val="en-US" w:eastAsia="zh-CN"/>
                    </w:rPr>
                  </w:pPr>
                  <w:r>
                    <w:rPr>
                      <w:rFonts w:hint="eastAsia"/>
                      <w:highlight w:val="none"/>
                      <w:lang w:val="en-US" w:eastAsia="zh-CN"/>
                    </w:rPr>
                    <w:t>7.</w:t>
                  </w:r>
                  <w:r>
                    <w:rPr>
                      <w:rFonts w:hint="default"/>
                      <w:highlight w:val="none"/>
                      <w:lang w:val="en-US" w:eastAsia="zh-CN"/>
                    </w:rPr>
                    <w:t>提升VOCs综合治理水平。各地要加强对企业帮扶指导，对本地VOCs排放量较大的企业，组织编制“一厂一策”方案。加大源头替代力度。2019年12月底前，市场监管总局出台低VOCs含量涂料产品技术要求。各地要大力推广使用低VOCs含量涂料、油墨、胶粘剂，在技术成熟的家具、集装箱、整车生产、船舶制造、机械设备制造、汽修、印刷等行业，全面推进企业实施源头替代。强化无组织排放管控。全面加强含VOCs物料储存、转移和输送、设备与管线组件泄漏、敞开液面逸散以及工艺过程等五类排放源VOCs管控。按照“应收尽收、分质收集”的原则，显著提高废气收集率。密封点数量大于等于2000个的，开展泄漏检测与修复（LDAR）工作。推进建设适宜高效的治理设施，鼓励企业采用多种技术的组合工艺，提高VOCs治理效率。低浓度、大风量废气，宜采用沸石转轮吸附、活性炭吸附、减风增浓等浓缩技术，提高VOCs浓度后净化处理；高浓度废气，优先进行溶剂回收，难以回收的，宜采用高温焚烧、催化燃烧等技术。油气（溶剂）回收宜采用冷凝+吸附、吸附+吸收、膜分离+吸附等技术。低温等离子、光催化、光氧化技术主要适用于恶臭异味等治理；生物法主要适用于低浓度VOCs废气治理和恶臭异味治理。VOCs初始排放速率大于等于2千克/小时的，去除效率不应低于80%（采用的原辅材料符合国家有关低VOCs含量产品规定的除外）。2019年10月底前，各地开展一轮VOCs治理执法检查，将有机溶剂使用量较大的，存在敞开式作业的，末端治理仅使用一次活性炭吸附、水或水溶液喷淋吸收、等离子、光催化、光氧化等技术的企业作为重点，对不能稳定达到《挥发性有机物无组织排放控制标准》以及相关行业排放标准要求的，督促企业限期整改。</w:t>
                  </w:r>
                </w:p>
              </w:tc>
              <w:tc>
                <w:tcPr>
                  <w:tcW w:w="681" w:type="pct"/>
                  <w:noWrap w:val="0"/>
                  <w:vAlign w:val="center"/>
                </w:tcPr>
                <w:p>
                  <w:pPr>
                    <w:pStyle w:val="29"/>
                    <w:bidi w:val="0"/>
                    <w:rPr>
                      <w:rFonts w:hint="default"/>
                      <w:highlight w:val="none"/>
                    </w:rPr>
                  </w:pPr>
                  <w:r>
                    <w:rPr>
                      <w:rFonts w:hint="default"/>
                      <w:highlight w:val="none"/>
                    </w:rPr>
                    <w:t>本项目属于</w:t>
                  </w:r>
                  <w:r>
                    <w:rPr>
                      <w:rFonts w:hint="default"/>
                      <w:highlight w:val="none"/>
                      <w:lang w:val="en-US" w:eastAsia="zh-CN"/>
                    </w:rPr>
                    <w:t>危险化学品仓储（行业代码：C5942）</w:t>
                  </w:r>
                  <w:r>
                    <w:rPr>
                      <w:rFonts w:hint="default"/>
                      <w:highlight w:val="none"/>
                    </w:rPr>
                    <w:t>，</w:t>
                  </w:r>
                  <w:r>
                    <w:rPr>
                      <w:rFonts w:hint="default"/>
                      <w:highlight w:val="none"/>
                      <w:lang w:val="en-US" w:eastAsia="zh-CN"/>
                    </w:rPr>
                    <w:t>生产所用原辅料</w:t>
                  </w:r>
                  <w:r>
                    <w:rPr>
                      <w:rFonts w:hint="eastAsia"/>
                      <w:highlight w:val="none"/>
                      <w:lang w:val="en-US" w:eastAsia="zh-CN"/>
                    </w:rPr>
                    <w:t>丙烷仅有极少量废气产生，不计总量，以无组织的形式排放。</w:t>
                  </w:r>
                </w:p>
              </w:tc>
              <w:tc>
                <w:tcPr>
                  <w:tcW w:w="427" w:type="pct"/>
                  <w:noWrap w:val="0"/>
                  <w:vAlign w:val="center"/>
                </w:tcPr>
                <w:p>
                  <w:pPr>
                    <w:pStyle w:val="29"/>
                    <w:bidi w:val="0"/>
                    <w:rPr>
                      <w:rFonts w:hint="default"/>
                      <w:highlight w:val="none"/>
                      <w:lang w:eastAsia="zh-CN"/>
                    </w:rPr>
                  </w:pPr>
                  <w:r>
                    <w:rPr>
                      <w:rFonts w:hint="default"/>
                      <w:highlight w:val="none"/>
                    </w:rPr>
                    <w:t>符合要求</w:t>
                  </w:r>
                </w:p>
              </w:tc>
            </w:tr>
          </w:tbl>
          <w:p>
            <w:pPr>
              <w:bidi w:val="0"/>
              <w:rPr>
                <w:rFonts w:hint="default"/>
                <w:highlight w:val="none"/>
              </w:rPr>
            </w:pPr>
            <w:r>
              <w:rPr>
                <w:rFonts w:hint="default"/>
                <w:highlight w:val="none"/>
                <w:lang w:eastAsia="zh-CN"/>
              </w:rPr>
              <w:t>经对照分析，本项目建设符合</w:t>
            </w:r>
            <w:r>
              <w:rPr>
                <w:rFonts w:hint="default"/>
                <w:highlight w:val="none"/>
                <w:lang w:val="en-US" w:eastAsia="zh-CN"/>
              </w:rPr>
              <w:t>《京津冀及周边地区2019-2020 年秋冬季大气污染综合治理攻坚行动方案》（环大气[2019]88号）相关要求。</w:t>
            </w:r>
          </w:p>
          <w:p>
            <w:pPr>
              <w:pStyle w:val="4"/>
              <w:bidi w:val="0"/>
              <w:rPr>
                <w:rFonts w:hint="default"/>
                <w:highlight w:val="none"/>
              </w:rPr>
            </w:pPr>
            <w:r>
              <w:rPr>
                <w:rFonts w:hint="default"/>
                <w:highlight w:val="none"/>
                <w:lang w:val="en-US" w:eastAsia="zh-CN"/>
              </w:rPr>
              <w:t>（</w:t>
            </w:r>
            <w:r>
              <w:rPr>
                <w:rFonts w:hint="eastAsia"/>
                <w:highlight w:val="none"/>
                <w:lang w:val="en-US" w:eastAsia="zh-CN"/>
              </w:rPr>
              <w:t>十一</w:t>
            </w:r>
            <w:r>
              <w:rPr>
                <w:rFonts w:hint="default"/>
                <w:highlight w:val="none"/>
                <w:lang w:val="en-US" w:eastAsia="zh-CN"/>
              </w:rPr>
              <w:t>）与河南省污染防治攻坚战领导小组发布的《关于印发河南省20</w:t>
            </w:r>
            <w:r>
              <w:rPr>
                <w:rFonts w:hint="eastAsia"/>
                <w:highlight w:val="none"/>
                <w:lang w:val="en-US" w:eastAsia="zh-CN"/>
              </w:rPr>
              <w:t>20</w:t>
            </w:r>
            <w:r>
              <w:rPr>
                <w:rFonts w:hint="default"/>
                <w:highlight w:val="none"/>
                <w:lang w:val="en-US" w:eastAsia="zh-CN"/>
              </w:rPr>
              <w:t>年大气</w:t>
            </w:r>
            <w:r>
              <w:rPr>
                <w:rFonts w:hint="eastAsia"/>
                <w:highlight w:val="none"/>
                <w:lang w:val="en-US" w:eastAsia="zh-CN"/>
              </w:rPr>
              <w:t>、水、土壤</w:t>
            </w:r>
            <w:r>
              <w:rPr>
                <w:rFonts w:hint="default"/>
                <w:highlight w:val="none"/>
                <w:lang w:val="en-US" w:eastAsia="zh-CN"/>
              </w:rPr>
              <w:t>污染防治攻坚战实施方案的通知》（豫环攻坚办[20</w:t>
            </w:r>
            <w:r>
              <w:rPr>
                <w:rFonts w:hint="eastAsia"/>
                <w:highlight w:val="none"/>
                <w:lang w:val="en-US" w:eastAsia="zh-CN"/>
              </w:rPr>
              <w:t>20</w:t>
            </w:r>
            <w:r>
              <w:rPr>
                <w:rFonts w:hint="default"/>
                <w:highlight w:val="none"/>
                <w:lang w:val="en-US" w:eastAsia="zh-CN"/>
              </w:rPr>
              <w:t>]</w:t>
            </w:r>
            <w:r>
              <w:rPr>
                <w:rFonts w:hint="eastAsia"/>
                <w:highlight w:val="none"/>
                <w:lang w:val="en-US" w:eastAsia="zh-CN"/>
              </w:rPr>
              <w:t>7</w:t>
            </w:r>
            <w:r>
              <w:rPr>
                <w:rFonts w:hint="default"/>
                <w:highlight w:val="none"/>
                <w:lang w:val="en-US" w:eastAsia="zh-CN"/>
              </w:rPr>
              <w:t>号）（以下简称《通知》）进行对照分析。</w:t>
            </w:r>
          </w:p>
          <w:p>
            <w:pPr>
              <w:pStyle w:val="45"/>
              <w:bidi w:val="0"/>
              <w:rPr>
                <w:rFonts w:hint="default"/>
                <w:highlight w:val="none"/>
              </w:rPr>
            </w:pPr>
            <w:r>
              <w:rPr>
                <w:rFonts w:hint="default"/>
                <w:highlight w:val="none"/>
              </w:rPr>
              <w:t>表</w:t>
            </w:r>
            <w:r>
              <w:rPr>
                <w:rFonts w:hint="default"/>
                <w:highlight w:val="none"/>
                <w:lang w:val="en-US" w:eastAsia="zh-CN"/>
              </w:rPr>
              <w:t>1</w:t>
            </w:r>
            <w:r>
              <w:rPr>
                <w:rFonts w:hint="eastAsia"/>
                <w:highlight w:val="none"/>
                <w:lang w:val="en-US" w:eastAsia="zh-CN"/>
              </w:rPr>
              <w:t>5</w:t>
            </w:r>
            <w:r>
              <w:rPr>
                <w:rFonts w:hint="default"/>
                <w:highlight w:val="none"/>
              </w:rPr>
              <w:t xml:space="preserve">       项目与《通知》相符性分析</w:t>
            </w:r>
          </w:p>
          <w:tbl>
            <w:tblPr>
              <w:tblStyle w:val="2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77"/>
              <w:gridCol w:w="5762"/>
              <w:gridCol w:w="1157"/>
              <w:gridCol w:w="7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7" w:hRule="atLeast"/>
                <w:jc w:val="center"/>
              </w:trPr>
              <w:tc>
                <w:tcPr>
                  <w:tcW w:w="511" w:type="pct"/>
                  <w:noWrap w:val="0"/>
                  <w:vAlign w:val="center"/>
                </w:tcPr>
                <w:p>
                  <w:pPr>
                    <w:pStyle w:val="29"/>
                    <w:bidi w:val="0"/>
                    <w:rPr>
                      <w:rFonts w:hint="default"/>
                      <w:highlight w:val="none"/>
                    </w:rPr>
                  </w:pPr>
                  <w:r>
                    <w:rPr>
                      <w:rFonts w:hint="default"/>
                      <w:highlight w:val="none"/>
                    </w:rPr>
                    <w:t>类别</w:t>
                  </w:r>
                </w:p>
              </w:tc>
              <w:tc>
                <w:tcPr>
                  <w:tcW w:w="3358" w:type="pct"/>
                  <w:noWrap w:val="0"/>
                  <w:vAlign w:val="center"/>
                </w:tcPr>
                <w:p>
                  <w:pPr>
                    <w:pStyle w:val="29"/>
                    <w:bidi w:val="0"/>
                    <w:rPr>
                      <w:rFonts w:hint="default"/>
                      <w:highlight w:val="none"/>
                    </w:rPr>
                  </w:pPr>
                  <w:r>
                    <w:rPr>
                      <w:rFonts w:hint="default"/>
                      <w:highlight w:val="none"/>
                    </w:rPr>
                    <w:t>《河南省2019年大气污染防治攻坚战实施方案》中有关要求</w:t>
                  </w:r>
                </w:p>
              </w:tc>
              <w:tc>
                <w:tcPr>
                  <w:tcW w:w="674" w:type="pct"/>
                  <w:noWrap w:val="0"/>
                  <w:vAlign w:val="center"/>
                </w:tcPr>
                <w:p>
                  <w:pPr>
                    <w:pStyle w:val="29"/>
                    <w:bidi w:val="0"/>
                    <w:rPr>
                      <w:rFonts w:hint="default"/>
                      <w:highlight w:val="none"/>
                    </w:rPr>
                  </w:pPr>
                  <w:r>
                    <w:rPr>
                      <w:rFonts w:hint="default"/>
                      <w:highlight w:val="none"/>
                    </w:rPr>
                    <w:t>企业建设情况</w:t>
                  </w:r>
                </w:p>
              </w:tc>
              <w:tc>
                <w:tcPr>
                  <w:tcW w:w="456" w:type="pct"/>
                  <w:noWrap w:val="0"/>
                  <w:vAlign w:val="center"/>
                </w:tcPr>
                <w:p>
                  <w:pPr>
                    <w:pStyle w:val="29"/>
                    <w:bidi w:val="0"/>
                    <w:rPr>
                      <w:rFonts w:hint="default"/>
                      <w:highlight w:val="none"/>
                    </w:rPr>
                  </w:pPr>
                  <w:r>
                    <w:rPr>
                      <w:rFonts w:hint="default"/>
                      <w:highlight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76" w:hRule="atLeast"/>
                <w:jc w:val="center"/>
              </w:trPr>
              <w:tc>
                <w:tcPr>
                  <w:tcW w:w="511" w:type="pct"/>
                  <w:noWrap w:val="0"/>
                  <w:vAlign w:val="center"/>
                </w:tcPr>
                <w:p>
                  <w:pPr>
                    <w:pStyle w:val="29"/>
                    <w:bidi w:val="0"/>
                    <w:rPr>
                      <w:rFonts w:hint="default"/>
                      <w:highlight w:val="none"/>
                    </w:rPr>
                  </w:pPr>
                  <w:r>
                    <w:rPr>
                      <w:rFonts w:hint="default"/>
                      <w:highlight w:val="none"/>
                    </w:rPr>
                    <w:t>（一）持续调整优化产业结构</w:t>
                  </w:r>
                </w:p>
              </w:tc>
              <w:tc>
                <w:tcPr>
                  <w:tcW w:w="3358" w:type="pct"/>
                  <w:noWrap w:val="0"/>
                  <w:vAlign w:val="center"/>
                </w:tcPr>
                <w:p>
                  <w:pPr>
                    <w:pStyle w:val="29"/>
                    <w:bidi w:val="0"/>
                    <w:rPr>
                      <w:rFonts w:hint="default"/>
                      <w:highlight w:val="none"/>
                    </w:rPr>
                  </w:pPr>
                  <w:r>
                    <w:rPr>
                      <w:rFonts w:hint="default"/>
                      <w:b/>
                      <w:bCs/>
                      <w:highlight w:val="none"/>
                      <w:lang w:val="en-US" w:eastAsia="zh-CN"/>
                    </w:rPr>
                    <w:t>5.严格新建项目准入管理。</w:t>
                  </w:r>
                  <w:r>
                    <w:rPr>
                      <w:rFonts w:hint="default"/>
                      <w:highlight w:val="none"/>
                      <w:lang w:val="en-US" w:eastAsia="zh-CN"/>
                    </w:rPr>
                    <w:t>加强区域、流域规划环评管理，强化对项目环评的指导和约束，逐步构建起“三线一单”为空间管控基础、项目环评为环境准入把关、排污许可为企业运行守法依据的管理新框架，从源头预防环境污染和生态破坏。全省原则上禁止新增钢铁、电解铝、水泥、平板玻璃、传统煤化工（甲醇、合成氨）、焦化、铸造、铝用炭素、砖瓦窑、耐火材料等行业产能，原则上禁止新建燃料类煤气发生炉和35蒸吨/时及以下燃煤锅炉。对钢铁、水泥、电解铝、玻璃等行业严格落实国家、省有关产能置换规定，新建涉工业炉窑的建设项目，应进入园区，配套建设高效环保治理设施。（省生态环境厅、发展改革委牵头，省自然资源厅、工业和信息化厅配合）</w:t>
                  </w:r>
                </w:p>
              </w:tc>
              <w:tc>
                <w:tcPr>
                  <w:tcW w:w="674" w:type="pct"/>
                  <w:noWrap w:val="0"/>
                  <w:vAlign w:val="center"/>
                </w:tcPr>
                <w:p>
                  <w:pPr>
                    <w:pStyle w:val="29"/>
                    <w:bidi w:val="0"/>
                    <w:rPr>
                      <w:rFonts w:hint="default"/>
                      <w:highlight w:val="none"/>
                    </w:rPr>
                  </w:pPr>
                  <w:r>
                    <w:rPr>
                      <w:rFonts w:hint="eastAsia"/>
                      <w:highlight w:val="none"/>
                      <w:lang w:val="en-US" w:eastAsia="zh-CN"/>
                    </w:rPr>
                    <w:t>本项目不属于文件规定的禁止建设项目</w:t>
                  </w:r>
                </w:p>
              </w:tc>
              <w:tc>
                <w:tcPr>
                  <w:tcW w:w="456" w:type="pct"/>
                  <w:noWrap w:val="0"/>
                  <w:vAlign w:val="center"/>
                </w:tcPr>
                <w:p>
                  <w:pPr>
                    <w:pStyle w:val="29"/>
                    <w:bidi w:val="0"/>
                    <w:rPr>
                      <w:rFonts w:hint="default"/>
                      <w:highlight w:val="none"/>
                    </w:rPr>
                  </w:pPr>
                  <w:r>
                    <w:rPr>
                      <w:rFonts w:hint="default"/>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56" w:hRule="atLeast"/>
                <w:jc w:val="center"/>
              </w:trPr>
              <w:tc>
                <w:tcPr>
                  <w:tcW w:w="511" w:type="pct"/>
                  <w:noWrap w:val="0"/>
                  <w:vAlign w:val="center"/>
                </w:tcPr>
                <w:p>
                  <w:pPr>
                    <w:pStyle w:val="29"/>
                    <w:bidi w:val="0"/>
                    <w:rPr>
                      <w:rFonts w:hint="default"/>
                      <w:highlight w:val="none"/>
                    </w:rPr>
                  </w:pPr>
                  <w:r>
                    <w:rPr>
                      <w:rFonts w:hint="default"/>
                      <w:highlight w:val="none"/>
                    </w:rPr>
                    <w:t>（七）深化挥发性有机物污染治理</w:t>
                  </w:r>
                </w:p>
              </w:tc>
              <w:tc>
                <w:tcPr>
                  <w:tcW w:w="3358" w:type="pct"/>
                  <w:noWrap w:val="0"/>
                  <w:vAlign w:val="center"/>
                </w:tcPr>
                <w:p>
                  <w:pPr>
                    <w:pStyle w:val="29"/>
                    <w:bidi w:val="0"/>
                    <w:rPr>
                      <w:rFonts w:hint="default"/>
                      <w:highlight w:val="none"/>
                    </w:rPr>
                  </w:pPr>
                  <w:r>
                    <w:rPr>
                      <w:rFonts w:hint="default"/>
                      <w:b/>
                      <w:bCs/>
                      <w:highlight w:val="none"/>
                    </w:rPr>
                    <w:t>38.加强废气收集和处理。</w:t>
                  </w:r>
                  <w:r>
                    <w:rPr>
                      <w:rFonts w:hint="default"/>
                      <w:highlight w:val="none"/>
                    </w:rPr>
                    <w:t>推进治污设施升级改造，通过采用全密闭、连续化、自动化等生产技术，以及高效工艺与设备等，减少工艺过程无组织排放。提高废气收集率，遵循“应收尽收、分质收集”的原则，科学设计废气收集系统，将无组织排放转变为有组织排放进行控制，采用密闭空间作业的，除行业有特殊要求外，应保持微负压状态，并根据相关规范合理设置通风量；采用局部集气罩的，距集气罩开口面最远处的VOCs无组织排放位置，控制风速应不低于0.3米/秒，有行业要求的按相关规定执行。车间或生产设施收集排放的废气，VOCs初始排放速率大于等于2千克/小时，应加大控制力度，除确保排放浓度稳定达标外，还应实行去除效率控制，去除效率不低于80%。</w:t>
                  </w:r>
                </w:p>
              </w:tc>
              <w:tc>
                <w:tcPr>
                  <w:tcW w:w="674" w:type="pct"/>
                  <w:noWrap w:val="0"/>
                  <w:vAlign w:val="center"/>
                </w:tcPr>
                <w:p>
                  <w:pPr>
                    <w:pStyle w:val="29"/>
                    <w:bidi w:val="0"/>
                    <w:rPr>
                      <w:rFonts w:hint="default"/>
                      <w:highlight w:val="none"/>
                    </w:rPr>
                  </w:pPr>
                  <w:r>
                    <w:rPr>
                      <w:rFonts w:hint="default"/>
                      <w:highlight w:val="none"/>
                    </w:rPr>
                    <w:t>本项目产品密封仓库存放，</w:t>
                  </w:r>
                  <w:r>
                    <w:rPr>
                      <w:rFonts w:hint="default"/>
                      <w:highlight w:val="none"/>
                      <w:lang w:val="en-US" w:eastAsia="zh-CN"/>
                    </w:rPr>
                    <w:t>生产所用原辅料</w:t>
                  </w:r>
                  <w:r>
                    <w:rPr>
                      <w:rFonts w:hint="eastAsia"/>
                      <w:highlight w:val="none"/>
                      <w:lang w:val="en-US" w:eastAsia="zh-CN"/>
                    </w:rPr>
                    <w:t>丙烷仅有极少量废气产生，不计总量，以无组织的形式排放。</w:t>
                  </w:r>
                </w:p>
              </w:tc>
              <w:tc>
                <w:tcPr>
                  <w:tcW w:w="456" w:type="pct"/>
                  <w:noWrap w:val="0"/>
                  <w:vAlign w:val="center"/>
                </w:tcPr>
                <w:p>
                  <w:pPr>
                    <w:pStyle w:val="29"/>
                    <w:bidi w:val="0"/>
                    <w:rPr>
                      <w:rFonts w:hint="default"/>
                      <w:highlight w:val="none"/>
                    </w:rPr>
                  </w:pPr>
                  <w:r>
                    <w:rPr>
                      <w:rFonts w:hint="default"/>
                      <w:highlight w:val="none"/>
                    </w:rPr>
                    <w:t>符合</w:t>
                  </w:r>
                </w:p>
              </w:tc>
            </w:tr>
          </w:tbl>
          <w:p>
            <w:pPr>
              <w:pStyle w:val="4"/>
              <w:bidi w:val="0"/>
              <w:rPr>
                <w:rFonts w:hint="default"/>
                <w:highlight w:val="none"/>
                <w:lang w:val="en-US" w:eastAsia="zh-CN"/>
              </w:rPr>
            </w:pPr>
            <w:r>
              <w:rPr>
                <w:rFonts w:hint="default"/>
                <w:highlight w:val="none"/>
                <w:lang w:val="en-US" w:eastAsia="zh-CN"/>
              </w:rPr>
              <w:t>（十</w:t>
            </w:r>
            <w:r>
              <w:rPr>
                <w:rFonts w:hint="eastAsia"/>
                <w:highlight w:val="none"/>
                <w:lang w:val="en-US" w:eastAsia="zh-CN"/>
              </w:rPr>
              <w:t>二</w:t>
            </w:r>
            <w:r>
              <w:rPr>
                <w:rFonts w:hint="default"/>
                <w:highlight w:val="none"/>
                <w:lang w:val="en-US" w:eastAsia="zh-CN"/>
              </w:rPr>
              <w:t>）与《新乡市人民政府关于加快绿色发展的意见》的对照分析</w:t>
            </w:r>
          </w:p>
          <w:p>
            <w:pPr>
              <w:pStyle w:val="45"/>
              <w:bidi w:val="0"/>
              <w:rPr>
                <w:rFonts w:hint="default"/>
                <w:highlight w:val="none"/>
              </w:rPr>
            </w:pPr>
            <w:r>
              <w:rPr>
                <w:rFonts w:hint="default"/>
                <w:highlight w:val="none"/>
                <w:lang w:val="en-US" w:eastAsia="zh-CN"/>
              </w:rPr>
              <w:t>表1</w:t>
            </w:r>
            <w:r>
              <w:rPr>
                <w:rFonts w:hint="eastAsia"/>
                <w:highlight w:val="none"/>
                <w:lang w:val="en-US" w:eastAsia="zh-CN"/>
              </w:rPr>
              <w:t>6</w:t>
            </w:r>
            <w:r>
              <w:rPr>
                <w:rFonts w:hint="default"/>
                <w:highlight w:val="none"/>
                <w:lang w:val="en-US" w:eastAsia="zh-CN"/>
              </w:rPr>
              <w:t xml:space="preserve">   </w:t>
            </w:r>
            <w:r>
              <w:rPr>
                <w:rFonts w:hint="default"/>
                <w:highlight w:val="none"/>
              </w:rPr>
              <w:t>与</w:t>
            </w:r>
            <w:r>
              <w:rPr>
                <w:rFonts w:hint="default"/>
                <w:highlight w:val="none"/>
                <w:lang w:val="en-US" w:eastAsia="zh-CN"/>
              </w:rPr>
              <w:t>加快绿色发展的意见</w:t>
            </w:r>
            <w:r>
              <w:rPr>
                <w:rFonts w:hint="default"/>
                <w:highlight w:val="none"/>
              </w:rPr>
              <w:t>的对照分析</w:t>
            </w:r>
          </w:p>
          <w:tbl>
            <w:tblPr>
              <w:tblStyle w:val="2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47"/>
              <w:gridCol w:w="5622"/>
              <w:gridCol w:w="1505"/>
              <w:gridCol w:w="70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36" w:type="pct"/>
                  <w:noWrap w:val="0"/>
                  <w:vAlign w:val="center"/>
                </w:tcPr>
                <w:p>
                  <w:pPr>
                    <w:pStyle w:val="29"/>
                    <w:bidi w:val="0"/>
                    <w:rPr>
                      <w:rFonts w:hint="default"/>
                      <w:highlight w:val="none"/>
                      <w:lang w:val="en-US" w:eastAsia="zh-CN"/>
                    </w:rPr>
                  </w:pPr>
                  <w:r>
                    <w:rPr>
                      <w:rFonts w:hint="default"/>
                      <w:highlight w:val="none"/>
                      <w:lang w:val="en-US" w:eastAsia="zh-CN"/>
                    </w:rPr>
                    <w:t>类别</w:t>
                  </w:r>
                </w:p>
              </w:tc>
              <w:tc>
                <w:tcPr>
                  <w:tcW w:w="3276" w:type="pct"/>
                  <w:noWrap w:val="0"/>
                  <w:vAlign w:val="center"/>
                </w:tcPr>
                <w:p>
                  <w:pPr>
                    <w:pStyle w:val="29"/>
                    <w:bidi w:val="0"/>
                    <w:rPr>
                      <w:rFonts w:hint="default"/>
                      <w:highlight w:val="none"/>
                      <w:lang w:val="en-US" w:eastAsia="zh-CN"/>
                    </w:rPr>
                  </w:pPr>
                  <w:r>
                    <w:rPr>
                      <w:rFonts w:hint="default"/>
                      <w:highlight w:val="none"/>
                      <w:lang w:val="en-US" w:eastAsia="zh-CN"/>
                    </w:rPr>
                    <w:t>加快绿色发展的意见</w:t>
                  </w:r>
                  <w:r>
                    <w:rPr>
                      <w:rFonts w:hint="default"/>
                      <w:highlight w:val="none"/>
                    </w:rPr>
                    <w:t>中有关要求</w:t>
                  </w:r>
                </w:p>
              </w:tc>
              <w:tc>
                <w:tcPr>
                  <w:tcW w:w="877" w:type="pct"/>
                  <w:noWrap w:val="0"/>
                  <w:vAlign w:val="center"/>
                </w:tcPr>
                <w:p>
                  <w:pPr>
                    <w:pStyle w:val="29"/>
                    <w:bidi w:val="0"/>
                    <w:rPr>
                      <w:rFonts w:hint="default"/>
                      <w:highlight w:val="none"/>
                      <w:lang w:val="en-US" w:eastAsia="zh-CN"/>
                    </w:rPr>
                  </w:pPr>
                  <w:r>
                    <w:rPr>
                      <w:rFonts w:hint="default"/>
                      <w:highlight w:val="none"/>
                    </w:rPr>
                    <w:t>企业实际建设情况</w:t>
                  </w:r>
                </w:p>
              </w:tc>
              <w:tc>
                <w:tcPr>
                  <w:tcW w:w="410" w:type="pct"/>
                  <w:noWrap w:val="0"/>
                  <w:vAlign w:val="center"/>
                </w:tcPr>
                <w:p>
                  <w:pPr>
                    <w:pStyle w:val="29"/>
                    <w:bidi w:val="0"/>
                    <w:rPr>
                      <w:rFonts w:hint="default"/>
                      <w:highlight w:val="none"/>
                      <w:lang w:val="en-US" w:eastAsia="zh-CN"/>
                    </w:rPr>
                  </w:pPr>
                  <w:r>
                    <w:rPr>
                      <w:rFonts w:hint="default"/>
                      <w:highlight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6" w:type="pct"/>
                  <w:noWrap w:val="0"/>
                  <w:vAlign w:val="center"/>
                </w:tcPr>
                <w:p>
                  <w:pPr>
                    <w:pStyle w:val="29"/>
                    <w:bidi w:val="0"/>
                    <w:rPr>
                      <w:rFonts w:hint="default"/>
                      <w:highlight w:val="none"/>
                    </w:rPr>
                  </w:pPr>
                  <w:r>
                    <w:rPr>
                      <w:rFonts w:hint="default"/>
                      <w:highlight w:val="none"/>
                      <w:lang w:val="en-US" w:eastAsia="zh-CN"/>
                    </w:rPr>
                    <w:t>产业结构优化工程</w:t>
                  </w:r>
                </w:p>
              </w:tc>
              <w:tc>
                <w:tcPr>
                  <w:tcW w:w="3276" w:type="pct"/>
                  <w:noWrap w:val="0"/>
                  <w:vAlign w:val="center"/>
                </w:tcPr>
                <w:p>
                  <w:pPr>
                    <w:pStyle w:val="29"/>
                    <w:bidi w:val="0"/>
                    <w:rPr>
                      <w:rFonts w:hint="default"/>
                      <w:highlight w:val="none"/>
                      <w:lang w:val="en-US" w:eastAsia="zh-CN"/>
                    </w:rPr>
                  </w:pPr>
                  <w:r>
                    <w:rPr>
                      <w:rFonts w:hint="default"/>
                      <w:highlight w:val="none"/>
                      <w:lang w:eastAsia="zh-CN"/>
                    </w:rPr>
                    <w:t>（</w:t>
                  </w:r>
                  <w:r>
                    <w:rPr>
                      <w:rFonts w:hint="default"/>
                      <w:highlight w:val="none"/>
                      <w:lang w:val="en-US" w:eastAsia="zh-CN"/>
                    </w:rPr>
                    <w:t>4</w:t>
                  </w:r>
                  <w:r>
                    <w:rPr>
                      <w:rFonts w:hint="default"/>
                      <w:highlight w:val="none"/>
                      <w:lang w:eastAsia="zh-CN"/>
                    </w:rPr>
                    <w:t>）</w:t>
                  </w:r>
                  <w:r>
                    <w:rPr>
                      <w:rFonts w:hint="eastAsia"/>
                      <w:highlight w:val="none"/>
                    </w:rPr>
                    <w:t>严格资源环境准入</w:t>
                  </w:r>
                  <w:r>
                    <w:rPr>
                      <w:rFonts w:hint="eastAsia"/>
                      <w:highlight w:val="none"/>
                      <w:lang w:eastAsia="zh-CN"/>
                    </w:rPr>
                    <w:t>：</w:t>
                  </w:r>
                  <w:r>
                    <w:rPr>
                      <w:rFonts w:hint="eastAsia"/>
                      <w:highlight w:val="none"/>
                    </w:rPr>
                    <w:t>制定禁止重污染、高耗能行业准入的负面清单制度,从源头上杜绝新增污染源。严禁新建产能过剩和“两高一资”项目,严格控制低水平重复建设项目。新建能耗较高项目必须选用一级能效设备,单位产品(产值)能耗达到国内先进水平。老企业扩大产能必须进行以新带老改造</w:t>
                  </w:r>
                  <w:r>
                    <w:rPr>
                      <w:rFonts w:hint="eastAsia"/>
                      <w:highlight w:val="none"/>
                      <w:lang w:eastAsia="zh-CN"/>
                    </w:rPr>
                    <w:t>，</w:t>
                  </w:r>
                  <w:r>
                    <w:rPr>
                      <w:rFonts w:hint="eastAsia"/>
                      <w:highlight w:val="none"/>
                    </w:rPr>
                    <w:t>实现增产减污,转型升级。对环境空气质量中二氧化硫、氮氧化物、可吸入颗粒物超标地方,实施新建工业项目大气污染物排放倍量削减替代</w:t>
                  </w:r>
                  <w:r>
                    <w:rPr>
                      <w:rFonts w:hint="eastAsia"/>
                      <w:highlight w:val="none"/>
                      <w:lang w:eastAsia="zh-CN"/>
                    </w:rPr>
                    <w:t>，</w:t>
                  </w:r>
                  <w:r>
                    <w:rPr>
                      <w:rFonts w:hint="eastAsia"/>
                      <w:highlight w:val="none"/>
                    </w:rPr>
                    <w:t>促进增产减污。对未通过能评、环评、安评审查的项目</w:t>
                  </w:r>
                  <w:r>
                    <w:rPr>
                      <w:rFonts w:hint="eastAsia"/>
                      <w:highlight w:val="none"/>
                      <w:lang w:eastAsia="zh-CN"/>
                    </w:rPr>
                    <w:t>，</w:t>
                  </w:r>
                  <w:r>
                    <w:rPr>
                      <w:rFonts w:hint="eastAsia"/>
                      <w:highlight w:val="none"/>
                    </w:rPr>
                    <w:t>一律不得发放各类许可证</w:t>
                  </w:r>
                  <w:r>
                    <w:rPr>
                      <w:rFonts w:hint="eastAsia"/>
                      <w:highlight w:val="none"/>
                      <w:lang w:eastAsia="zh-CN"/>
                    </w:rPr>
                    <w:t>，</w:t>
                  </w:r>
                  <w:r>
                    <w:rPr>
                      <w:rFonts w:hint="eastAsia"/>
                      <w:highlight w:val="none"/>
                    </w:rPr>
                    <w:t>不得提供建设生产条件</w:t>
                  </w:r>
                  <w:r>
                    <w:rPr>
                      <w:rFonts w:hint="eastAsia"/>
                      <w:highlight w:val="none"/>
                      <w:lang w:eastAsia="zh-CN"/>
                    </w:rPr>
                    <w:t>；</w:t>
                  </w:r>
                  <w:r>
                    <w:rPr>
                      <w:rFonts w:hint="eastAsia"/>
                      <w:highlight w:val="none"/>
                    </w:rPr>
                    <w:t>严格实施能源消费、污染物排放总量控制制度,作为能评、环评审批的前置条件。</w:t>
                  </w:r>
                </w:p>
              </w:tc>
              <w:tc>
                <w:tcPr>
                  <w:tcW w:w="877" w:type="pct"/>
                  <w:noWrap w:val="0"/>
                  <w:vAlign w:val="center"/>
                </w:tcPr>
                <w:p>
                  <w:pPr>
                    <w:pStyle w:val="29"/>
                    <w:bidi w:val="0"/>
                    <w:rPr>
                      <w:rFonts w:hint="eastAsia"/>
                      <w:highlight w:val="none"/>
                      <w:lang w:eastAsia="zh-CN"/>
                    </w:rPr>
                  </w:pPr>
                  <w:r>
                    <w:rPr>
                      <w:rFonts w:hint="eastAsia"/>
                      <w:highlight w:val="none"/>
                      <w:lang w:eastAsia="zh-CN"/>
                    </w:rPr>
                    <w:t>本项目</w:t>
                  </w:r>
                  <w:r>
                    <w:rPr>
                      <w:rFonts w:hint="eastAsia"/>
                      <w:highlight w:val="none"/>
                      <w:lang w:val="en-US" w:eastAsia="zh-CN"/>
                    </w:rPr>
                    <w:t>属于危险化学品仓储（行业代码：C5942），</w:t>
                  </w:r>
                  <w:r>
                    <w:rPr>
                      <w:rFonts w:hint="eastAsia"/>
                      <w:highlight w:val="none"/>
                      <w:lang w:eastAsia="zh-CN"/>
                    </w:rPr>
                    <w:t>不属于重污染，高耗能、产能过剩、“两高一资”项目</w:t>
                  </w:r>
                </w:p>
              </w:tc>
              <w:tc>
                <w:tcPr>
                  <w:tcW w:w="410" w:type="pct"/>
                  <w:noWrap w:val="0"/>
                  <w:vAlign w:val="center"/>
                </w:tcPr>
                <w:p>
                  <w:pPr>
                    <w:pStyle w:val="29"/>
                    <w:bidi w:val="0"/>
                    <w:rPr>
                      <w:rFonts w:hint="eastAsia"/>
                      <w:highlight w:val="none"/>
                      <w:lang w:eastAsia="zh-CN"/>
                    </w:rPr>
                  </w:pPr>
                  <w:r>
                    <w:rPr>
                      <w:rFonts w:hint="eastAsia"/>
                      <w:highlight w:val="none"/>
                      <w:lang w:eastAsia="zh-CN"/>
                    </w:rPr>
                    <w:t>符合相关要求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6" w:type="pct"/>
                  <w:noWrap w:val="0"/>
                  <w:vAlign w:val="center"/>
                </w:tcPr>
                <w:p>
                  <w:pPr>
                    <w:pStyle w:val="29"/>
                    <w:bidi w:val="0"/>
                    <w:rPr>
                      <w:rFonts w:hint="default"/>
                      <w:highlight w:val="none"/>
                      <w:lang w:val="en-US" w:eastAsia="zh-CN"/>
                    </w:rPr>
                  </w:pPr>
                  <w:r>
                    <w:rPr>
                      <w:rFonts w:hint="default"/>
                      <w:highlight w:val="none"/>
                      <w:lang w:val="en-US" w:eastAsia="zh-CN"/>
                    </w:rPr>
                    <w:t>产业空间布局调整工程</w:t>
                  </w:r>
                </w:p>
              </w:tc>
              <w:tc>
                <w:tcPr>
                  <w:tcW w:w="3276" w:type="pct"/>
                  <w:noWrap w:val="0"/>
                  <w:vAlign w:val="top"/>
                </w:tcPr>
                <w:p>
                  <w:pPr>
                    <w:pStyle w:val="29"/>
                    <w:bidi w:val="0"/>
                    <w:rPr>
                      <w:rFonts w:hint="default"/>
                      <w:highlight w:val="none"/>
                      <w:lang w:val="en-US"/>
                    </w:rPr>
                  </w:pPr>
                  <w:r>
                    <w:rPr>
                      <w:rFonts w:hint="eastAsia"/>
                      <w:highlight w:val="none"/>
                      <w:lang w:val="en-US" w:eastAsia="zh-CN"/>
                    </w:rPr>
                    <w:t>（2）</w:t>
                  </w:r>
                  <w:r>
                    <w:rPr>
                      <w:rFonts w:hint="default"/>
                      <w:highlight w:val="none"/>
                      <w:lang w:val="en-US"/>
                    </w:rPr>
                    <w:t>优化产业空间布局</w:t>
                  </w:r>
                  <w:r>
                    <w:rPr>
                      <w:rFonts w:hint="eastAsia"/>
                      <w:highlight w:val="none"/>
                      <w:lang w:val="en-US" w:eastAsia="zh-CN"/>
                    </w:rPr>
                    <w:t>：</w:t>
                  </w:r>
                  <w:r>
                    <w:rPr>
                      <w:rFonts w:hint="default"/>
                      <w:highlight w:val="none"/>
                      <w:lang w:val="en-US"/>
                    </w:rPr>
                    <w:t>南部沿黄地区以种植业、养殖业、生态观光农业和农产品生产加工、都市工业为主。中部地区以绿色制造业和现代服务业为主</w:t>
                  </w:r>
                  <w:r>
                    <w:rPr>
                      <w:rFonts w:hint="eastAsia"/>
                      <w:highlight w:val="none"/>
                      <w:lang w:val="en-US" w:eastAsia="zh-CN"/>
                    </w:rPr>
                    <w:t>，</w:t>
                  </w:r>
                  <w:r>
                    <w:rPr>
                      <w:rFonts w:hint="default"/>
                      <w:highlight w:val="none"/>
                      <w:lang w:val="en-US"/>
                    </w:rPr>
                    <w:t>积极推进大东区规划建设,加快老城区改造提升</w:t>
                  </w:r>
                  <w:r>
                    <w:rPr>
                      <w:rFonts w:hint="eastAsia"/>
                      <w:highlight w:val="none"/>
                      <w:lang w:val="en-US" w:eastAsia="zh-CN"/>
                    </w:rPr>
                    <w:t>，</w:t>
                  </w:r>
                  <w:r>
                    <w:rPr>
                      <w:rFonts w:hint="default"/>
                      <w:highlight w:val="none"/>
                      <w:lang w:val="en-US"/>
                    </w:rPr>
                    <w:t>促进产业和人口向中心城区集聚和集中</w:t>
                  </w:r>
                  <w:r>
                    <w:rPr>
                      <w:rFonts w:hint="eastAsia"/>
                      <w:highlight w:val="none"/>
                      <w:lang w:val="en-US" w:eastAsia="zh-CN"/>
                    </w:rPr>
                    <w:t>；</w:t>
                  </w:r>
                  <w:r>
                    <w:rPr>
                      <w:rFonts w:hint="default"/>
                      <w:highlight w:val="none"/>
                      <w:lang w:val="en-US"/>
                    </w:rPr>
                    <w:t>加大城镇污染防治,切实控制面源污染;加快新乡经济技术开发区国家园区循环化改造</w:t>
                  </w:r>
                  <w:r>
                    <w:rPr>
                      <w:rFonts w:hint="eastAsia"/>
                      <w:highlight w:val="none"/>
                      <w:lang w:val="en-US" w:eastAsia="zh-CN"/>
                    </w:rPr>
                    <w:t>了，</w:t>
                  </w:r>
                  <w:r>
                    <w:rPr>
                      <w:rFonts w:hint="default"/>
                      <w:highlight w:val="none"/>
                      <w:lang w:val="en-US"/>
                    </w:rPr>
                    <w:t>推广先进技术,延伸产业链条,提高产品开发附加值。北部太行山地区以生态保护为主</w:t>
                  </w:r>
                  <w:r>
                    <w:rPr>
                      <w:rFonts w:hint="eastAsia"/>
                      <w:highlight w:val="none"/>
                      <w:lang w:val="en-US" w:eastAsia="zh-CN"/>
                    </w:rPr>
                    <w:t>，</w:t>
                  </w:r>
                  <w:r>
                    <w:rPr>
                      <w:rFonts w:hint="default"/>
                      <w:highlight w:val="none"/>
                      <w:lang w:val="en-US"/>
                    </w:rPr>
                    <w:t>加大环境保护和水土保持力度</w:t>
                  </w:r>
                  <w:r>
                    <w:rPr>
                      <w:rFonts w:hint="eastAsia"/>
                      <w:highlight w:val="none"/>
                      <w:lang w:val="en-US" w:eastAsia="zh-CN"/>
                    </w:rPr>
                    <w:t>，</w:t>
                  </w:r>
                  <w:r>
                    <w:rPr>
                      <w:rFonts w:hint="default"/>
                      <w:highlight w:val="none"/>
                      <w:lang w:val="en-US"/>
                    </w:rPr>
                    <w:t>为周边地区提供更多的生态产品;因地制宜发展林业、中药材及林特产品加工业,鼓励发展健康、旅游、文化、体育等现代服务业,适度发展新能源、新材料和高端装备制造业。卫辉市、辉县市、凤泉区等位于城市上风向区域,要严格控制新建化工、水泥粉磨站</w:t>
                  </w:r>
                  <w:r>
                    <w:rPr>
                      <w:rFonts w:hint="eastAsia"/>
                      <w:highlight w:val="none"/>
                      <w:lang w:val="en-US" w:eastAsia="zh-CN"/>
                    </w:rPr>
                    <w:t>（</w:t>
                  </w:r>
                  <w:r>
                    <w:rPr>
                      <w:rFonts w:hint="default"/>
                      <w:highlight w:val="none"/>
                      <w:lang w:val="en-US"/>
                    </w:rPr>
                    <w:t>微粉站</w:t>
                  </w:r>
                  <w:r>
                    <w:rPr>
                      <w:rFonts w:hint="eastAsia"/>
                      <w:highlight w:val="none"/>
                      <w:lang w:val="en-US" w:eastAsia="zh-CN"/>
                    </w:rPr>
                    <w:t>）</w:t>
                  </w:r>
                  <w:r>
                    <w:rPr>
                      <w:rFonts w:hint="default"/>
                      <w:highlight w:val="none"/>
                      <w:lang w:val="en-US"/>
                    </w:rPr>
                    <w:t>、碎石等大气污染企业;卫辉市产业集聚区、新乡电源产业集聚区、凤泉专业园区、新乡经济技术开发区等要严格控制涉气企业的入驻;新乡县、获嘉县等地表水上游区域,要严格控制新建水污染严重的企业。鼓励各地结合实际探索加快绿色发展新模式。</w:t>
                  </w:r>
                </w:p>
              </w:tc>
              <w:tc>
                <w:tcPr>
                  <w:tcW w:w="877" w:type="pct"/>
                  <w:noWrap w:val="0"/>
                  <w:vAlign w:val="center"/>
                </w:tcPr>
                <w:p>
                  <w:pPr>
                    <w:pStyle w:val="29"/>
                    <w:bidi w:val="0"/>
                    <w:rPr>
                      <w:rFonts w:hint="default"/>
                      <w:highlight w:val="none"/>
                      <w:lang w:val="en-US"/>
                    </w:rPr>
                  </w:pPr>
                  <w:r>
                    <w:rPr>
                      <w:rFonts w:hint="default"/>
                      <w:highlight w:val="none"/>
                      <w:lang w:eastAsia="zh-CN"/>
                    </w:rPr>
                    <w:t>本项目</w:t>
                  </w:r>
                  <w:r>
                    <w:rPr>
                      <w:rFonts w:hint="eastAsia"/>
                      <w:highlight w:val="none"/>
                      <w:lang w:val="en-US" w:eastAsia="zh-CN"/>
                    </w:rPr>
                    <w:t>位于</w:t>
                  </w:r>
                  <w:r>
                    <w:rPr>
                      <w:rFonts w:hint="eastAsia"/>
                      <w:highlight w:val="none"/>
                      <w:lang w:eastAsia="zh-CN"/>
                    </w:rPr>
                    <w:t>新乡市新乡县大召营镇（新焦公路八公里处），</w:t>
                  </w:r>
                  <w:r>
                    <w:rPr>
                      <w:rFonts w:hint="eastAsia"/>
                      <w:highlight w:val="none"/>
                      <w:lang w:val="en-US" w:eastAsia="zh-CN"/>
                    </w:rPr>
                    <w:t>为危险化学品仓储（行业代码：C5942），</w:t>
                  </w:r>
                  <w:r>
                    <w:rPr>
                      <w:rFonts w:hint="default" w:ascii="Times New Roman" w:hAnsi="Times New Roman" w:eastAsia="宋体" w:cs="Times New Roman"/>
                      <w:b w:val="0"/>
                      <w:bCs/>
                      <w:color w:val="000000"/>
                      <w:sz w:val="21"/>
                      <w:szCs w:val="21"/>
                      <w:highlight w:val="none"/>
                      <w:u w:val="none"/>
                    </w:rPr>
                    <w:t>本项目</w:t>
                  </w:r>
                  <w:r>
                    <w:rPr>
                      <w:rFonts w:hint="eastAsia" w:cs="Times New Roman"/>
                      <w:b w:val="0"/>
                      <w:bCs/>
                      <w:color w:val="000000"/>
                      <w:sz w:val="21"/>
                      <w:szCs w:val="21"/>
                      <w:highlight w:val="none"/>
                      <w:u w:val="none"/>
                      <w:lang w:val="en-US" w:eastAsia="zh-CN"/>
                    </w:rPr>
                    <w:t>无生产废水产生，项目依托现有员工，不新增劳动定员，无新增生活污水</w:t>
                  </w:r>
                  <w:r>
                    <w:rPr>
                      <w:rFonts w:hint="eastAsia"/>
                      <w:highlight w:val="none"/>
                      <w:lang w:val="en-US" w:eastAsia="zh-CN"/>
                    </w:rPr>
                    <w:t>，不属于</w:t>
                  </w:r>
                  <w:r>
                    <w:rPr>
                      <w:rFonts w:hint="default"/>
                      <w:highlight w:val="none"/>
                      <w:lang w:val="en-US"/>
                    </w:rPr>
                    <w:t>新建水污染严重的企业</w:t>
                  </w:r>
                </w:p>
              </w:tc>
              <w:tc>
                <w:tcPr>
                  <w:tcW w:w="410" w:type="pct"/>
                  <w:noWrap w:val="0"/>
                  <w:vAlign w:val="center"/>
                </w:tcPr>
                <w:p>
                  <w:pPr>
                    <w:pStyle w:val="29"/>
                    <w:bidi w:val="0"/>
                    <w:rPr>
                      <w:rFonts w:hint="default"/>
                      <w:highlight w:val="none"/>
                      <w:lang w:val="en-US" w:eastAsia="zh-CN"/>
                    </w:rPr>
                  </w:pPr>
                  <w:r>
                    <w:rPr>
                      <w:rFonts w:hint="eastAsia"/>
                      <w:highlight w:val="none"/>
                      <w:lang w:val="en-US" w:eastAsia="zh-CN"/>
                    </w:rPr>
                    <w:t>符合</w:t>
                  </w:r>
                  <w:r>
                    <w:rPr>
                      <w:rFonts w:hint="default"/>
                      <w:highlight w:val="none"/>
                      <w:lang w:val="en-US" w:eastAsia="zh-CN"/>
                    </w:rPr>
                    <w:t>相关要求</w:t>
                  </w:r>
                </w:p>
              </w:tc>
            </w:tr>
          </w:tbl>
          <w:p>
            <w:pPr>
              <w:pStyle w:val="4"/>
              <w:bidi w:val="0"/>
              <w:rPr>
                <w:rFonts w:hint="default"/>
                <w:highlight w:val="none"/>
                <w:lang w:val="en-US" w:eastAsia="zh-CN"/>
              </w:rPr>
            </w:pPr>
            <w:r>
              <w:rPr>
                <w:rFonts w:hint="default"/>
                <w:highlight w:val="none"/>
                <w:lang w:eastAsia="zh-CN"/>
              </w:rPr>
              <w:t>（</w:t>
            </w:r>
            <w:r>
              <w:rPr>
                <w:rFonts w:hint="default"/>
                <w:highlight w:val="none"/>
                <w:lang w:val="en-US" w:eastAsia="zh-CN"/>
              </w:rPr>
              <w:t>十</w:t>
            </w:r>
            <w:r>
              <w:rPr>
                <w:rFonts w:hint="eastAsia"/>
                <w:highlight w:val="none"/>
                <w:lang w:val="en-US" w:eastAsia="zh-CN"/>
              </w:rPr>
              <w:t>三</w:t>
            </w:r>
            <w:r>
              <w:rPr>
                <w:rFonts w:hint="default"/>
                <w:highlight w:val="none"/>
                <w:lang w:eastAsia="zh-CN"/>
              </w:rPr>
              <w:t>）</w:t>
            </w:r>
            <w:r>
              <w:rPr>
                <w:rFonts w:hint="default"/>
                <w:highlight w:val="none"/>
                <w:lang w:val="en-US" w:eastAsia="zh-CN"/>
              </w:rPr>
              <w:t>与《</w:t>
            </w:r>
            <w:r>
              <w:rPr>
                <w:rFonts w:hint="default"/>
                <w:highlight w:val="none"/>
              </w:rPr>
              <w:t>河南省生态环境厅关于印发河南省工业污染大气防治6个专项方案的通知</w:t>
            </w:r>
            <w:r>
              <w:rPr>
                <w:rFonts w:hint="default"/>
                <w:highlight w:val="none"/>
                <w:lang w:val="en-US" w:eastAsia="zh-CN"/>
              </w:rPr>
              <w:t>》（豫环文[2019]84号）（以下简称《通知》）附件4河南省2019年挥发性有机物治理方案进行对照分析</w:t>
            </w:r>
          </w:p>
          <w:p>
            <w:pPr>
              <w:pStyle w:val="45"/>
              <w:bidi w:val="0"/>
              <w:rPr>
                <w:rFonts w:hint="default"/>
                <w:highlight w:val="none"/>
                <w:lang w:val="en-US" w:eastAsia="zh-CN"/>
              </w:rPr>
            </w:pPr>
            <w:r>
              <w:rPr>
                <w:rFonts w:hint="default"/>
                <w:highlight w:val="none"/>
                <w:lang w:val="en-US" w:eastAsia="zh-CN"/>
              </w:rPr>
              <w:t>表1</w:t>
            </w:r>
            <w:r>
              <w:rPr>
                <w:rFonts w:hint="eastAsia"/>
                <w:highlight w:val="none"/>
                <w:lang w:val="en-US" w:eastAsia="zh-CN"/>
              </w:rPr>
              <w:t>7</w:t>
            </w:r>
            <w:r>
              <w:rPr>
                <w:rFonts w:hint="default"/>
                <w:highlight w:val="none"/>
                <w:lang w:val="en-US" w:eastAsia="zh-CN"/>
              </w:rPr>
              <w:t xml:space="preserve">     项目与《通知》相符性分析</w:t>
            </w:r>
          </w:p>
          <w:tbl>
            <w:tblPr>
              <w:tblStyle w:val="2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5893"/>
              <w:gridCol w:w="1325"/>
              <w:gridCol w:w="70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noWrap w:val="0"/>
                  <w:vAlign w:val="center"/>
                </w:tcPr>
                <w:p>
                  <w:pPr>
                    <w:pStyle w:val="29"/>
                    <w:bidi w:val="0"/>
                    <w:rPr>
                      <w:rFonts w:hint="default"/>
                      <w:highlight w:val="none"/>
                      <w:lang w:val="en-US" w:eastAsia="zh-CN"/>
                    </w:rPr>
                  </w:pPr>
                  <w:r>
                    <w:rPr>
                      <w:rFonts w:hint="default"/>
                      <w:highlight w:val="none"/>
                      <w:lang w:eastAsia="zh-CN"/>
                    </w:rPr>
                    <w:t>类别</w:t>
                  </w:r>
                </w:p>
              </w:tc>
              <w:tc>
                <w:tcPr>
                  <w:tcW w:w="3434" w:type="pct"/>
                  <w:noWrap w:val="0"/>
                  <w:vAlign w:val="center"/>
                </w:tcPr>
                <w:p>
                  <w:pPr>
                    <w:pStyle w:val="29"/>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highlight w:val="none"/>
                      <w:lang w:val="en-US" w:eastAsia="zh-CN"/>
                    </w:rPr>
                  </w:pPr>
                  <w:r>
                    <w:rPr>
                      <w:rFonts w:hint="default"/>
                      <w:highlight w:val="none"/>
                      <w:lang w:val="en-US" w:eastAsia="zh-CN"/>
                    </w:rPr>
                    <w:t>河南省2019年挥发性有机物治理方案</w:t>
                  </w:r>
                </w:p>
              </w:tc>
              <w:tc>
                <w:tcPr>
                  <w:tcW w:w="772" w:type="pct"/>
                  <w:noWrap w:val="0"/>
                  <w:vAlign w:val="center"/>
                </w:tcPr>
                <w:p>
                  <w:pPr>
                    <w:pStyle w:val="29"/>
                    <w:bidi w:val="0"/>
                    <w:rPr>
                      <w:rFonts w:hint="default"/>
                      <w:highlight w:val="none"/>
                      <w:lang w:val="en-US" w:eastAsia="zh-CN"/>
                    </w:rPr>
                  </w:pPr>
                  <w:r>
                    <w:rPr>
                      <w:rFonts w:hint="default"/>
                      <w:highlight w:val="none"/>
                    </w:rPr>
                    <w:t>企业建设情况</w:t>
                  </w:r>
                </w:p>
              </w:tc>
              <w:tc>
                <w:tcPr>
                  <w:tcW w:w="408" w:type="pct"/>
                  <w:noWrap w:val="0"/>
                  <w:vAlign w:val="center"/>
                </w:tcPr>
                <w:p>
                  <w:pPr>
                    <w:pStyle w:val="29"/>
                    <w:bidi w:val="0"/>
                    <w:rPr>
                      <w:rFonts w:hint="default"/>
                      <w:highlight w:val="none"/>
                      <w:lang w:val="en-US" w:eastAsia="zh-CN"/>
                    </w:rPr>
                  </w:pPr>
                  <w:r>
                    <w:rPr>
                      <w:rFonts w:hint="default"/>
                      <w:highlight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Merge w:val="restart"/>
                  <w:noWrap w:val="0"/>
                  <w:vAlign w:val="center"/>
                </w:tcPr>
                <w:p>
                  <w:pPr>
                    <w:pStyle w:val="29"/>
                    <w:bidi w:val="0"/>
                    <w:rPr>
                      <w:rFonts w:hint="default"/>
                      <w:highlight w:val="none"/>
                      <w:lang w:eastAsia="zh-CN"/>
                    </w:rPr>
                  </w:pPr>
                  <w:r>
                    <w:rPr>
                      <w:rFonts w:hint="default"/>
                      <w:highlight w:val="none"/>
                      <w:lang w:val="en-US" w:eastAsia="zh-CN"/>
                    </w:rPr>
                    <w:t>一、总体要求及工作目标</w:t>
                  </w:r>
                </w:p>
              </w:tc>
              <w:tc>
                <w:tcPr>
                  <w:tcW w:w="3434" w:type="pct"/>
                  <w:noWrap w:val="0"/>
                  <w:vAlign w:val="top"/>
                </w:tcPr>
                <w:p>
                  <w:pPr>
                    <w:pStyle w:val="29"/>
                    <w:bidi w:val="0"/>
                    <w:rPr>
                      <w:rFonts w:hint="default"/>
                      <w:highlight w:val="none"/>
                      <w:lang w:val="en-US" w:eastAsia="zh-CN"/>
                    </w:rPr>
                  </w:pPr>
                  <w:r>
                    <w:rPr>
                      <w:rFonts w:hint="default"/>
                      <w:highlight w:val="none"/>
                      <w:lang w:val="en-US" w:eastAsia="zh-CN"/>
                    </w:rPr>
                    <w:t>（一）总体要求。以改善环境空气质量为核心，坚持源头控制、过程管理、末端治理和强化减排相结合的全方位综合治理原则，大力推进原辅材料源头替代，深入开展涉VOCs重点行业提标改造工作，持续进行VOCs整治专项执法检查，逐步推广VOCs在线监测设施建设，全面建成VOCs综合防控体系，大幅减少VOCs排放总量。</w:t>
                  </w:r>
                </w:p>
              </w:tc>
              <w:tc>
                <w:tcPr>
                  <w:tcW w:w="772" w:type="pct"/>
                  <w:vMerge w:val="restart"/>
                  <w:noWrap w:val="0"/>
                  <w:vAlign w:val="center"/>
                </w:tcPr>
                <w:p>
                  <w:pPr>
                    <w:pStyle w:val="29"/>
                    <w:bidi w:val="0"/>
                    <w:rPr>
                      <w:rFonts w:hint="default"/>
                      <w:highlight w:val="none"/>
                      <w:lang w:val="en-US" w:eastAsia="zh-CN"/>
                    </w:rPr>
                  </w:pPr>
                  <w:r>
                    <w:rPr>
                      <w:rFonts w:hint="default"/>
                      <w:highlight w:val="none"/>
                    </w:rPr>
                    <w:t>本项目属于危险化学品仓储（行业代码：C5942），</w:t>
                  </w:r>
                  <w:r>
                    <w:rPr>
                      <w:rFonts w:hint="default"/>
                      <w:highlight w:val="none"/>
                      <w:lang w:val="en-US" w:eastAsia="zh-CN"/>
                    </w:rPr>
                    <w:t>生产所用原辅料</w:t>
                  </w:r>
                  <w:r>
                    <w:rPr>
                      <w:rFonts w:hint="eastAsia"/>
                      <w:highlight w:val="none"/>
                      <w:lang w:val="en-US" w:eastAsia="zh-CN"/>
                    </w:rPr>
                    <w:t>丙烷仅有极少量废气产生，不计总量，以无组织的形式排放。</w:t>
                  </w:r>
                </w:p>
              </w:tc>
              <w:tc>
                <w:tcPr>
                  <w:tcW w:w="408" w:type="pct"/>
                  <w:vMerge w:val="restart"/>
                  <w:noWrap w:val="0"/>
                  <w:vAlign w:val="center"/>
                </w:tcPr>
                <w:p>
                  <w:pPr>
                    <w:pStyle w:val="29"/>
                    <w:bidi w:val="0"/>
                    <w:rPr>
                      <w:rFonts w:hint="default"/>
                      <w:highlight w:val="none"/>
                      <w:lang w:eastAsia="zh-CN"/>
                    </w:rPr>
                  </w:pPr>
                  <w:r>
                    <w:rPr>
                      <w:rFonts w:hint="default"/>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Merge w:val="continue"/>
                  <w:noWrap w:val="0"/>
                  <w:vAlign w:val="center"/>
                </w:tcPr>
                <w:p>
                  <w:pPr>
                    <w:pStyle w:val="29"/>
                    <w:bidi w:val="0"/>
                    <w:rPr>
                      <w:rFonts w:hint="default"/>
                      <w:highlight w:val="none"/>
                    </w:rPr>
                  </w:pPr>
                </w:p>
              </w:tc>
              <w:tc>
                <w:tcPr>
                  <w:tcW w:w="3434" w:type="pct"/>
                  <w:noWrap w:val="0"/>
                  <w:vAlign w:val="top"/>
                </w:tcPr>
                <w:p>
                  <w:pPr>
                    <w:pStyle w:val="29"/>
                    <w:bidi w:val="0"/>
                    <w:rPr>
                      <w:rFonts w:hint="default"/>
                      <w:highlight w:val="none"/>
                      <w:lang w:val="en-US" w:eastAsia="zh-CN"/>
                    </w:rPr>
                  </w:pPr>
                  <w:r>
                    <w:rPr>
                      <w:rFonts w:hint="default"/>
                      <w:highlight w:val="none"/>
                      <w:lang w:val="en-US" w:eastAsia="zh-CN"/>
                    </w:rPr>
                    <w:t>（二）工作目标。2019年6月底前，全省石油化学、石油炼制、工业涂装、包装印刷、化工、制药等工业企业，全面完成VOCs污染治理；8月底前，全省石油化学、石油炼制企业完成VOCs深度治理和泄漏检测与修复（LDAR）治理；12月底前，省辖市建成区全面淘汰开启式干洗机。石油炼制企业VOCs排放全面达到《石油炼制工业污染物排放标准（GB31570-2015）》特别排放限值要求，石油化学企业VOCs排放全面达到《石油化学行业污染物排放标准（GB31571-2015）》特别排放限值要求，其他行业VOCs排放全面达到《河南省污染防治攻坚战领导小组办公室关于全省开展工业企业挥发性有机物专项治理工作中排放建议值的通知》（豫环攻坚办〔2017〕162号）要求。</w:t>
                  </w:r>
                </w:p>
              </w:tc>
              <w:tc>
                <w:tcPr>
                  <w:tcW w:w="772" w:type="pct"/>
                  <w:vMerge w:val="continue"/>
                  <w:noWrap w:val="0"/>
                  <w:vAlign w:val="center"/>
                </w:tcPr>
                <w:p>
                  <w:pPr>
                    <w:pStyle w:val="29"/>
                    <w:bidi w:val="0"/>
                    <w:rPr>
                      <w:rFonts w:hint="default"/>
                      <w:highlight w:val="none"/>
                      <w:lang w:val="en-US" w:eastAsia="zh-CN"/>
                    </w:rPr>
                  </w:pPr>
                </w:p>
              </w:tc>
              <w:tc>
                <w:tcPr>
                  <w:tcW w:w="408" w:type="pct"/>
                  <w:vMerge w:val="continue"/>
                  <w:noWrap w:val="0"/>
                  <w:vAlign w:val="center"/>
                </w:tcPr>
                <w:p>
                  <w:pPr>
                    <w:pStyle w:val="29"/>
                    <w:bidi w:val="0"/>
                    <w:rPr>
                      <w:rFonts w:hint="default"/>
                      <w:highlight w:val="none"/>
                      <w:lang w:val="en-US" w:eastAsia="zh-CN"/>
                    </w:rPr>
                  </w:pPr>
                </w:p>
              </w:tc>
            </w:tr>
          </w:tbl>
          <w:p>
            <w:pPr>
              <w:pStyle w:val="4"/>
              <w:bidi w:val="0"/>
              <w:rPr>
                <w:rFonts w:hint="default"/>
                <w:highlight w:val="none"/>
                <w:lang w:val="en-US" w:eastAsia="zh-CN"/>
              </w:rPr>
            </w:pPr>
            <w:r>
              <w:rPr>
                <w:rFonts w:hint="eastAsia"/>
                <w:highlight w:val="none"/>
                <w:lang w:val="en-US" w:eastAsia="zh-CN"/>
              </w:rPr>
              <w:t>（十四）</w:t>
            </w:r>
            <w:r>
              <w:rPr>
                <w:rFonts w:hint="default"/>
                <w:highlight w:val="none"/>
                <w:lang w:val="en-US" w:eastAsia="zh-CN"/>
              </w:rPr>
              <w:t>与《新乡市生态环境局关于部署安装工业企业用电监控系统的通知》（新环（2019）154号）相符性分析</w:t>
            </w:r>
          </w:p>
          <w:p>
            <w:pPr>
              <w:pStyle w:val="45"/>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highlight w:val="none"/>
                <w:lang w:val="en-US" w:eastAsia="zh-CN"/>
              </w:rPr>
            </w:pPr>
            <w:r>
              <w:rPr>
                <w:rFonts w:hint="default"/>
                <w:highlight w:val="none"/>
                <w:lang w:val="en-US" w:eastAsia="zh-CN"/>
              </w:rPr>
              <w:t>表</w:t>
            </w:r>
            <w:r>
              <w:rPr>
                <w:rFonts w:hint="eastAsia"/>
                <w:highlight w:val="none"/>
                <w:lang w:val="en-US" w:eastAsia="zh-CN"/>
              </w:rPr>
              <w:t xml:space="preserve">18    </w:t>
            </w:r>
            <w:r>
              <w:rPr>
                <w:rFonts w:hint="default"/>
                <w:highlight w:val="none"/>
                <w:lang w:val="en-US" w:eastAsia="zh-CN"/>
              </w:rPr>
              <w:t>本项目与通知要求对照一览表</w:t>
            </w:r>
          </w:p>
          <w:tbl>
            <w:tblPr>
              <w:tblStyle w:val="22"/>
              <w:tblW w:w="499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81"/>
              <w:gridCol w:w="3444"/>
              <w:gridCol w:w="3205"/>
              <w:gridCol w:w="94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pct"/>
                  <w:noWrap w:val="0"/>
                  <w:vAlign w:val="center"/>
                </w:tcPr>
                <w:p>
                  <w:pPr>
                    <w:pStyle w:val="29"/>
                    <w:bidi w:val="0"/>
                    <w:rPr>
                      <w:rFonts w:hint="default"/>
                      <w:highlight w:val="none"/>
                      <w:lang w:val="en-US" w:eastAsia="zh-CN"/>
                    </w:rPr>
                  </w:pPr>
                  <w:r>
                    <w:rPr>
                      <w:rFonts w:hint="default"/>
                      <w:highlight w:val="none"/>
                      <w:lang w:val="en-US" w:eastAsia="zh-CN"/>
                    </w:rPr>
                    <w:t>类别</w:t>
                  </w:r>
                </w:p>
              </w:tc>
              <w:tc>
                <w:tcPr>
                  <w:tcW w:w="2008" w:type="pct"/>
                  <w:noWrap w:val="0"/>
                  <w:vAlign w:val="center"/>
                </w:tcPr>
                <w:p>
                  <w:pPr>
                    <w:pStyle w:val="29"/>
                    <w:bidi w:val="0"/>
                    <w:rPr>
                      <w:rFonts w:hint="default"/>
                      <w:highlight w:val="none"/>
                      <w:lang w:val="en-US" w:eastAsia="zh-CN"/>
                    </w:rPr>
                  </w:pPr>
                  <w:r>
                    <w:rPr>
                      <w:rFonts w:hint="default"/>
                      <w:highlight w:val="none"/>
                      <w:lang w:val="en-US" w:eastAsia="zh-CN"/>
                    </w:rPr>
                    <w:t>通知要求</w:t>
                  </w:r>
                </w:p>
              </w:tc>
              <w:tc>
                <w:tcPr>
                  <w:tcW w:w="1869" w:type="pct"/>
                  <w:noWrap w:val="0"/>
                  <w:vAlign w:val="center"/>
                </w:tcPr>
                <w:p>
                  <w:pPr>
                    <w:pStyle w:val="29"/>
                    <w:bidi w:val="0"/>
                    <w:rPr>
                      <w:rFonts w:hint="default"/>
                      <w:highlight w:val="none"/>
                      <w:lang w:val="en-US" w:eastAsia="zh-CN"/>
                    </w:rPr>
                  </w:pPr>
                  <w:r>
                    <w:rPr>
                      <w:rFonts w:hint="default"/>
                      <w:highlight w:val="none"/>
                      <w:lang w:val="en-US" w:eastAsia="zh-CN"/>
                    </w:rPr>
                    <w:t>项目情况</w:t>
                  </w:r>
                </w:p>
              </w:tc>
              <w:tc>
                <w:tcPr>
                  <w:tcW w:w="549" w:type="pct"/>
                  <w:noWrap w:val="0"/>
                  <w:vAlign w:val="center"/>
                </w:tcPr>
                <w:p>
                  <w:pPr>
                    <w:pStyle w:val="29"/>
                    <w:bidi w:val="0"/>
                    <w:rPr>
                      <w:rFonts w:hint="default"/>
                      <w:highlight w:val="none"/>
                      <w:lang w:val="en-US" w:eastAsia="zh-CN"/>
                    </w:rPr>
                  </w:pPr>
                  <w:r>
                    <w:rPr>
                      <w:rFonts w:hint="default"/>
                      <w:highlight w:val="none"/>
                      <w:lang w:val="en-US" w:eastAsia="zh-CN"/>
                    </w:rPr>
                    <w:t>符合性分析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pct"/>
                  <w:noWrap w:val="0"/>
                  <w:vAlign w:val="center"/>
                </w:tcPr>
                <w:p>
                  <w:pPr>
                    <w:pStyle w:val="29"/>
                    <w:bidi w:val="0"/>
                    <w:rPr>
                      <w:rFonts w:hint="default"/>
                      <w:highlight w:val="none"/>
                      <w:lang w:val="en-US"/>
                    </w:rPr>
                  </w:pPr>
                  <w:r>
                    <w:rPr>
                      <w:rFonts w:hint="default"/>
                      <w:highlight w:val="none"/>
                      <w:lang w:val="en-US" w:eastAsia="zh-CN"/>
                    </w:rPr>
                    <w:t>用电监控部署的意义</w:t>
                  </w:r>
                </w:p>
              </w:tc>
              <w:tc>
                <w:tcPr>
                  <w:tcW w:w="2008" w:type="pct"/>
                  <w:noWrap w:val="0"/>
                  <w:vAlign w:val="center"/>
                </w:tcPr>
                <w:p>
                  <w:pPr>
                    <w:pStyle w:val="29"/>
                    <w:bidi w:val="0"/>
                    <w:rPr>
                      <w:rFonts w:hint="default"/>
                      <w:highlight w:val="none"/>
                      <w:lang w:val="en-US" w:eastAsia="zh-CN"/>
                    </w:rPr>
                  </w:pPr>
                  <w:r>
                    <w:rPr>
                      <w:rFonts w:hint="default"/>
                      <w:highlight w:val="none"/>
                      <w:lang w:eastAsia="zh-CN"/>
                    </w:rPr>
                    <w:t>实现生产设施和治污设施用电实时监控，真实掌握企业生产状况，判定企业停产、限产的措施落实和企业错峰生产要求执行情况</w:t>
                  </w:r>
                </w:p>
              </w:tc>
              <w:tc>
                <w:tcPr>
                  <w:tcW w:w="1869" w:type="pct"/>
                  <w:vMerge w:val="restart"/>
                  <w:noWrap w:val="0"/>
                  <w:vAlign w:val="center"/>
                </w:tcPr>
                <w:p>
                  <w:pPr>
                    <w:pStyle w:val="29"/>
                    <w:bidi w:val="0"/>
                    <w:rPr>
                      <w:rFonts w:hint="default"/>
                      <w:highlight w:val="none"/>
                      <w:lang w:val="en-US" w:eastAsia="zh-CN"/>
                    </w:rPr>
                  </w:pPr>
                  <w:r>
                    <w:rPr>
                      <w:rFonts w:hint="default"/>
                      <w:highlight w:val="none"/>
                      <w:lang w:val="en-US" w:eastAsia="zh-CN"/>
                    </w:rPr>
                    <w:t>项目在建设过程中在厂区总电源控制室、生产设施供电装置、污染治理设施供电装置处安装满足监控需要数量的用电监控系统终端，并在日常生产过程中负责用电监控系统的运行维护，积极配合安装监控工作</w:t>
                  </w:r>
                </w:p>
              </w:tc>
              <w:tc>
                <w:tcPr>
                  <w:tcW w:w="549" w:type="pct"/>
                  <w:vMerge w:val="restart"/>
                  <w:noWrap w:val="0"/>
                  <w:vAlign w:val="center"/>
                </w:tcPr>
                <w:p>
                  <w:pPr>
                    <w:pStyle w:val="29"/>
                    <w:bidi w:val="0"/>
                    <w:rPr>
                      <w:rFonts w:hint="default"/>
                      <w:highlight w:val="none"/>
                      <w:lang w:eastAsia="zh-CN"/>
                    </w:rPr>
                  </w:pPr>
                  <w:r>
                    <w:rPr>
                      <w:rFonts w:hint="default"/>
                      <w:highlight w:val="none"/>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pct"/>
                  <w:noWrap w:val="0"/>
                  <w:vAlign w:val="center"/>
                </w:tcPr>
                <w:p>
                  <w:pPr>
                    <w:pStyle w:val="29"/>
                    <w:bidi w:val="0"/>
                    <w:rPr>
                      <w:rFonts w:hint="default"/>
                      <w:highlight w:val="none"/>
                      <w:lang w:val="en-US" w:eastAsia="zh-CN"/>
                    </w:rPr>
                  </w:pPr>
                  <w:r>
                    <w:rPr>
                      <w:rFonts w:hint="default"/>
                      <w:highlight w:val="none"/>
                      <w:lang w:val="en-US" w:eastAsia="zh-CN"/>
                    </w:rPr>
                    <w:t>安装范围</w:t>
                  </w:r>
                </w:p>
              </w:tc>
              <w:tc>
                <w:tcPr>
                  <w:tcW w:w="2008" w:type="pct"/>
                  <w:noWrap w:val="0"/>
                  <w:vAlign w:val="center"/>
                </w:tcPr>
                <w:p>
                  <w:pPr>
                    <w:pStyle w:val="29"/>
                    <w:bidi w:val="0"/>
                    <w:rPr>
                      <w:rFonts w:hint="default"/>
                      <w:highlight w:val="none"/>
                      <w:lang w:val="en-US"/>
                    </w:rPr>
                  </w:pPr>
                  <w:r>
                    <w:rPr>
                      <w:rFonts w:hint="default"/>
                      <w:highlight w:val="none"/>
                      <w:lang w:val="en-US" w:eastAsia="zh-CN"/>
                    </w:rPr>
                    <w:t>所有排污企业的总用电控制位置、主要生产设施和污染治理设施必须安装用电量监控系统终端。</w:t>
                  </w:r>
                </w:p>
              </w:tc>
              <w:tc>
                <w:tcPr>
                  <w:tcW w:w="1869" w:type="pct"/>
                  <w:vMerge w:val="continue"/>
                  <w:noWrap w:val="0"/>
                  <w:vAlign w:val="center"/>
                </w:tcPr>
                <w:p>
                  <w:pPr>
                    <w:pStyle w:val="29"/>
                    <w:bidi w:val="0"/>
                    <w:rPr>
                      <w:rFonts w:hint="default"/>
                      <w:highlight w:val="none"/>
                      <w:lang w:val="en-US"/>
                    </w:rPr>
                  </w:pPr>
                </w:p>
              </w:tc>
              <w:tc>
                <w:tcPr>
                  <w:tcW w:w="549" w:type="pct"/>
                  <w:vMerge w:val="continue"/>
                  <w:noWrap w:val="0"/>
                  <w:vAlign w:val="center"/>
                </w:tcPr>
                <w:p>
                  <w:pPr>
                    <w:pStyle w:val="29"/>
                    <w:bidi w:val="0"/>
                    <w:rPr>
                      <w:rFonts w:hint="default"/>
                      <w:highlight w:val="none"/>
                      <w:lang w:val="en-US" w:eastAsia="zh-CN"/>
                    </w:rPr>
                  </w:pPr>
                </w:p>
              </w:tc>
            </w:tr>
          </w:tbl>
          <w:p>
            <w:pPr>
              <w:pStyle w:val="4"/>
              <w:keepNext/>
              <w:keepLines/>
              <w:pageBreakBefore w:val="0"/>
              <w:widowControl w:val="0"/>
              <w:kinsoku/>
              <w:wordWrap/>
              <w:overflowPunct/>
              <w:topLinePunct w:val="0"/>
              <w:autoSpaceDE/>
              <w:autoSpaceDN/>
              <w:bidi w:val="0"/>
              <w:adjustRightInd/>
              <w:snapToGrid/>
              <w:ind w:left="0" w:leftChars="0" w:firstLine="482" w:firstLineChars="200"/>
              <w:textAlignment w:val="auto"/>
              <w:rPr>
                <w:rFonts w:hint="default"/>
                <w:highlight w:val="none"/>
                <w:lang w:val="en-US" w:eastAsia="zh-CN"/>
              </w:rPr>
            </w:pPr>
            <w:r>
              <w:rPr>
                <w:rFonts w:hint="default"/>
                <w:highlight w:val="none"/>
                <w:lang w:val="en-US" w:eastAsia="zh-CN"/>
              </w:rPr>
              <w:t>8、劳动定员与工作时间</w:t>
            </w:r>
          </w:p>
          <w:p>
            <w:pPr>
              <w:bidi w:val="0"/>
              <w:rPr>
                <w:rFonts w:hint="default"/>
                <w:highlight w:val="none"/>
                <w:lang w:val="en-US" w:eastAsia="zh-CN"/>
              </w:rPr>
            </w:pPr>
            <w:r>
              <w:rPr>
                <w:rFonts w:hint="default" w:ascii="Times New Roman" w:hAnsi="Times New Roman" w:eastAsia="宋体" w:cs="Times New Roman"/>
                <w:sz w:val="24"/>
                <w:szCs w:val="24"/>
                <w:highlight w:val="none"/>
              </w:rPr>
              <w:t>本项目依托现有员工，不新增劳动定员</w:t>
            </w:r>
            <w:r>
              <w:rPr>
                <w:rFonts w:hint="default"/>
                <w:highlight w:val="none"/>
                <w:lang w:val="en-US" w:eastAsia="zh-CN"/>
              </w:rPr>
              <w:t>，</w:t>
            </w:r>
            <w:r>
              <w:rPr>
                <w:rFonts w:hint="eastAsia"/>
                <w:highlight w:val="none"/>
                <w:lang w:val="en-US" w:eastAsia="zh-CN"/>
              </w:rPr>
              <w:t>每</w:t>
            </w:r>
            <w:r>
              <w:rPr>
                <w:rFonts w:hint="default"/>
                <w:highlight w:val="none"/>
                <w:lang w:val="en-US" w:eastAsia="zh-CN"/>
              </w:rPr>
              <w:t>班工作8小时，年有效工作日300天，项目职工均不在厂区内食宿。</w:t>
            </w:r>
          </w:p>
          <w:p>
            <w:pPr>
              <w:pStyle w:val="4"/>
              <w:bidi w:val="0"/>
              <w:rPr>
                <w:rFonts w:hint="default"/>
                <w:highlight w:val="none"/>
                <w:lang w:val="en-US" w:eastAsia="zh-CN"/>
              </w:rPr>
            </w:pPr>
            <w:r>
              <w:rPr>
                <w:rFonts w:hint="default"/>
                <w:highlight w:val="none"/>
                <w:lang w:val="en-US" w:eastAsia="zh-CN"/>
              </w:rPr>
              <w:t>9、公用设施</w:t>
            </w:r>
          </w:p>
          <w:p>
            <w:pPr>
              <w:bidi w:val="0"/>
              <w:rPr>
                <w:highlight w:val="none"/>
                <w:lang w:val="en-US" w:eastAsia="zh-CN"/>
              </w:rPr>
            </w:pPr>
            <w:r>
              <w:rPr>
                <w:highlight w:val="none"/>
                <w:lang w:val="en-US" w:eastAsia="zh-CN"/>
              </w:rPr>
              <w:t>（</w:t>
            </w:r>
            <w:r>
              <w:rPr>
                <w:rFonts w:hint="default"/>
                <w:highlight w:val="none"/>
                <w:lang w:val="en-US" w:eastAsia="zh-CN"/>
              </w:rPr>
              <w:t>1</w:t>
            </w:r>
            <w:r>
              <w:rPr>
                <w:highlight w:val="none"/>
                <w:lang w:val="en-US" w:eastAsia="zh-CN"/>
              </w:rPr>
              <w:t>）供水</w:t>
            </w:r>
          </w:p>
          <w:p>
            <w:pPr>
              <w:pStyle w:val="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highlight w:val="none"/>
              </w:rPr>
            </w:pPr>
            <w:r>
              <w:rPr>
                <w:rFonts w:hint="default" w:ascii="Times New Roman" w:hAnsi="Times New Roman" w:eastAsia="宋体" w:cs="Times New Roman"/>
                <w:b w:val="0"/>
                <w:bCs w:val="0"/>
                <w:color w:val="auto"/>
                <w:sz w:val="24"/>
                <w:szCs w:val="24"/>
                <w:highlight w:val="none"/>
                <w:u w:val="none"/>
              </w:rPr>
              <w:t>本项目</w:t>
            </w:r>
            <w:r>
              <w:rPr>
                <w:rFonts w:hint="eastAsia" w:cs="Times New Roman"/>
                <w:b w:val="0"/>
                <w:bCs w:val="0"/>
                <w:color w:val="auto"/>
                <w:sz w:val="24"/>
                <w:szCs w:val="24"/>
                <w:highlight w:val="none"/>
                <w:u w:val="none"/>
                <w:lang w:val="en-US" w:eastAsia="zh-CN"/>
              </w:rPr>
              <w:t>生产不用水，项目</w:t>
            </w:r>
            <w:r>
              <w:rPr>
                <w:rFonts w:hint="default" w:ascii="Times New Roman" w:hAnsi="Times New Roman" w:eastAsia="宋体" w:cs="Times New Roman"/>
                <w:sz w:val="24"/>
                <w:szCs w:val="24"/>
                <w:highlight w:val="none"/>
              </w:rPr>
              <w:t>依托现有员工，不新增劳动定员</w:t>
            </w:r>
            <w:r>
              <w:rPr>
                <w:rFonts w:hint="eastAsia" w:ascii="Times New Roman" w:hAnsi="Times New Roman" w:eastAsia="宋体" w:cs="Times New Roman"/>
                <w:sz w:val="24"/>
                <w:szCs w:val="24"/>
                <w:highlight w:val="none"/>
                <w:lang w:eastAsia="zh-CN"/>
              </w:rPr>
              <w:t>，</w:t>
            </w:r>
            <w:r>
              <w:rPr>
                <w:rFonts w:hint="eastAsia" w:ascii="Times New Roman" w:hAnsi="Times New Roman" w:eastAsia="宋体" w:cs="Times New Roman"/>
                <w:sz w:val="24"/>
                <w:szCs w:val="24"/>
                <w:highlight w:val="none"/>
                <w:lang w:val="en-US" w:eastAsia="zh-CN"/>
              </w:rPr>
              <w:t>故不新增生活用水</w:t>
            </w:r>
            <w:r>
              <w:rPr>
                <w:rFonts w:hint="default" w:ascii="Times New Roman" w:hAnsi="Times New Roman" w:eastAsia="宋体" w:cs="Times New Roman"/>
                <w:b w:val="0"/>
                <w:bCs w:val="0"/>
                <w:color w:val="auto"/>
                <w:sz w:val="24"/>
                <w:szCs w:val="24"/>
                <w:highlight w:val="none"/>
                <w:u w:val="none"/>
                <w:lang w:eastAsia="zh-CN"/>
              </w:rPr>
              <w:t>。</w:t>
            </w:r>
          </w:p>
          <w:p>
            <w:pPr>
              <w:bidi w:val="0"/>
              <w:rPr>
                <w:highlight w:val="none"/>
                <w:lang w:val="en-US" w:eastAsia="zh-CN"/>
              </w:rPr>
            </w:pPr>
            <w:r>
              <w:rPr>
                <w:highlight w:val="none"/>
                <w:lang w:val="en-US" w:eastAsia="zh-CN"/>
              </w:rPr>
              <w:t>（</w:t>
            </w:r>
            <w:r>
              <w:rPr>
                <w:rFonts w:hint="default"/>
                <w:highlight w:val="none"/>
                <w:lang w:val="en-US" w:eastAsia="zh-CN"/>
              </w:rPr>
              <w:t>2</w:t>
            </w:r>
            <w:r>
              <w:rPr>
                <w:highlight w:val="none"/>
                <w:lang w:val="en-US" w:eastAsia="zh-CN"/>
              </w:rPr>
              <w:t>）排水</w:t>
            </w:r>
          </w:p>
          <w:p>
            <w:pPr>
              <w:bidi w:val="0"/>
              <w:rPr>
                <w:rFonts w:hint="eastAsia" w:eastAsia="宋体"/>
                <w:sz w:val="24"/>
                <w:szCs w:val="24"/>
                <w:highlight w:val="none"/>
                <w:lang w:eastAsia="zh-CN"/>
              </w:rPr>
            </w:pPr>
            <w:r>
              <w:rPr>
                <w:highlight w:val="none"/>
              </w:rPr>
              <w:t>本项目实行雨污分流制，雨水经专门的雨水管网收集后排放。</w:t>
            </w:r>
            <w:r>
              <w:rPr>
                <w:rFonts w:hint="eastAsia"/>
                <w:highlight w:val="none"/>
              </w:rPr>
              <w:t>本项目无生产废水产生，项目依托现有员工，不新增劳动定员，无新增生活污水</w:t>
            </w:r>
            <w:r>
              <w:rPr>
                <w:rFonts w:hint="eastAsia"/>
                <w:highlight w:val="none"/>
                <w:lang w:eastAsia="zh-CN"/>
              </w:rPr>
              <w:t>，</w:t>
            </w:r>
            <w:r>
              <w:rPr>
                <w:rFonts w:hint="eastAsia" w:cs="Times New Roman"/>
                <w:b w:val="0"/>
                <w:bCs/>
                <w:color w:val="000000"/>
                <w:sz w:val="24"/>
                <w:szCs w:val="24"/>
                <w:highlight w:val="none"/>
                <w:u w:val="none"/>
                <w:lang w:val="en-US" w:eastAsia="zh-CN"/>
              </w:rPr>
              <w:t>现有项目生活污水由定期清运改为进入大召营镇污水处理厂处理</w:t>
            </w:r>
            <w:r>
              <w:rPr>
                <w:rFonts w:hint="eastAsia"/>
                <w:sz w:val="24"/>
                <w:szCs w:val="24"/>
                <w:highlight w:val="none"/>
                <w:lang w:eastAsia="zh-CN"/>
              </w:rPr>
              <w:t>。</w:t>
            </w:r>
          </w:p>
          <w:p>
            <w:pPr>
              <w:bidi w:val="0"/>
              <w:rPr>
                <w:highlight w:val="none"/>
                <w:lang w:val="en-US" w:eastAsia="zh-CN"/>
              </w:rPr>
            </w:pPr>
            <w:r>
              <w:rPr>
                <w:highlight w:val="none"/>
                <w:lang w:val="en-US" w:eastAsia="zh-CN"/>
              </w:rPr>
              <w:t>（</w:t>
            </w:r>
            <w:r>
              <w:rPr>
                <w:rFonts w:hint="default"/>
                <w:highlight w:val="none"/>
                <w:lang w:val="en-US" w:eastAsia="zh-CN"/>
              </w:rPr>
              <w:t>3</w:t>
            </w:r>
            <w:r>
              <w:rPr>
                <w:highlight w:val="none"/>
                <w:lang w:val="en-US" w:eastAsia="zh-CN"/>
              </w:rPr>
              <w:t>）供电</w:t>
            </w:r>
          </w:p>
          <w:p>
            <w:pPr>
              <w:bidi w:val="0"/>
              <w:rPr>
                <w:highlight w:val="none"/>
                <w:lang w:val="en-US" w:eastAsia="zh-CN"/>
              </w:rPr>
            </w:pPr>
            <w:r>
              <w:rPr>
                <w:highlight w:val="none"/>
                <w:lang w:val="en-US" w:eastAsia="zh-CN"/>
              </w:rPr>
              <w:t>本项目</w:t>
            </w:r>
            <w:r>
              <w:rPr>
                <w:rFonts w:hint="eastAsia"/>
                <w:highlight w:val="none"/>
                <w:lang w:val="en-US" w:eastAsia="zh-CN"/>
              </w:rPr>
              <w:t>年</w:t>
            </w:r>
            <w:r>
              <w:rPr>
                <w:highlight w:val="none"/>
                <w:lang w:val="en-US" w:eastAsia="zh-CN"/>
              </w:rPr>
              <w:t>用电量约</w:t>
            </w:r>
            <w:r>
              <w:rPr>
                <w:rFonts w:hint="default"/>
                <w:highlight w:val="none"/>
                <w:lang w:val="en-US" w:eastAsia="zh-CN"/>
              </w:rPr>
              <w:t>为</w:t>
            </w:r>
            <w:r>
              <w:rPr>
                <w:rFonts w:hint="eastAsia"/>
                <w:highlight w:val="none"/>
                <w:lang w:val="en-US" w:eastAsia="zh-CN"/>
              </w:rPr>
              <w:t>10</w:t>
            </w:r>
            <w:r>
              <w:rPr>
                <w:rFonts w:hint="default"/>
                <w:highlight w:val="none"/>
                <w:lang w:val="en-US" w:eastAsia="zh-CN"/>
              </w:rPr>
              <w:t>万kW·h，由大召营镇供电所供电</w:t>
            </w:r>
            <w:r>
              <w:rPr>
                <w:highlight w:val="none"/>
                <w:lang w:val="en-US" w:eastAsia="zh-CN"/>
              </w:rPr>
              <w:t>，主要用于设施设备运转</w:t>
            </w:r>
            <w:r>
              <w:rPr>
                <w:rFonts w:hint="eastAsia"/>
                <w:highlight w:val="none"/>
                <w:lang w:val="en-US" w:eastAsia="zh-CN"/>
              </w:rPr>
              <w:t>、日常办公等</w:t>
            </w:r>
            <w:r>
              <w:rPr>
                <w:highlight w:val="none"/>
                <w:lang w:val="en-US" w:eastAsia="zh-CN"/>
              </w:rPr>
              <w:t>用电，可以满足</w:t>
            </w:r>
            <w:r>
              <w:rPr>
                <w:rFonts w:hint="eastAsia"/>
                <w:highlight w:val="none"/>
                <w:lang w:val="en-US" w:eastAsia="zh-CN"/>
              </w:rPr>
              <w:t>项目</w:t>
            </w:r>
            <w:r>
              <w:rPr>
                <w:highlight w:val="none"/>
                <w:lang w:val="en-US" w:eastAsia="zh-CN"/>
              </w:rPr>
              <w:t>要求。</w:t>
            </w:r>
          </w:p>
          <w:p>
            <w:pPr>
              <w:bidi w:val="0"/>
              <w:ind w:left="0" w:leftChars="0" w:firstLine="0" w:firstLineChars="0"/>
              <w:rPr>
                <w:rFonts w:hint="eastAsia"/>
                <w:highlight w:val="none"/>
                <w:lang w:val="en-US" w:eastAsia="zh-CN"/>
              </w:rPr>
            </w:pPr>
          </w:p>
          <w:p>
            <w:pPr>
              <w:bidi w:val="0"/>
              <w:ind w:left="0" w:leftChars="0" w:firstLine="0" w:firstLineChars="0"/>
              <w:rPr>
                <w:rFonts w:hint="eastAsia"/>
                <w:highlight w:val="none"/>
                <w:lang w:val="en-US" w:eastAsia="zh-CN"/>
              </w:rPr>
            </w:pPr>
          </w:p>
          <w:p>
            <w:pPr>
              <w:bidi w:val="0"/>
              <w:ind w:left="0" w:leftChars="0" w:firstLine="0" w:firstLineChars="0"/>
              <w:rPr>
                <w:rFonts w:hint="eastAsia"/>
                <w:highlight w:val="none"/>
                <w:lang w:val="en-US" w:eastAsia="zh-CN"/>
              </w:rPr>
            </w:pPr>
          </w:p>
          <w:p>
            <w:pPr>
              <w:bidi w:val="0"/>
              <w:ind w:left="0" w:leftChars="0" w:firstLine="0" w:firstLineChars="0"/>
              <w:rPr>
                <w:rFonts w:hint="eastAsia"/>
                <w:highlight w:val="none"/>
                <w:lang w:val="en-US" w:eastAsia="zh-CN"/>
              </w:rPr>
            </w:pPr>
          </w:p>
          <w:p>
            <w:pPr>
              <w:bidi w:val="0"/>
              <w:ind w:left="0" w:leftChars="0" w:firstLine="0" w:firstLineChars="0"/>
              <w:rPr>
                <w:rFonts w:hint="eastAsia"/>
                <w:highlight w:val="none"/>
                <w:lang w:val="en-US" w:eastAsia="zh-CN"/>
              </w:rPr>
            </w:pPr>
          </w:p>
          <w:p>
            <w:pPr>
              <w:bidi w:val="0"/>
              <w:ind w:left="0" w:leftChars="0" w:firstLine="0" w:firstLineChars="0"/>
              <w:rPr>
                <w:rFonts w:hint="eastAsia"/>
                <w:highlight w:val="none"/>
                <w:lang w:val="en-US" w:eastAsia="zh-CN"/>
              </w:rPr>
            </w:pPr>
          </w:p>
          <w:p>
            <w:pPr>
              <w:bidi w:val="0"/>
              <w:ind w:left="0" w:leftChars="0" w:firstLine="0" w:firstLineChars="0"/>
              <w:rPr>
                <w:rFonts w:hint="eastAsia"/>
                <w:highlight w:val="none"/>
                <w:lang w:val="en-US" w:eastAsia="zh-CN"/>
              </w:rPr>
            </w:pPr>
          </w:p>
          <w:p>
            <w:pPr>
              <w:bidi w:val="0"/>
              <w:ind w:left="0" w:leftChars="0" w:firstLine="0" w:firstLineChars="0"/>
              <w:rPr>
                <w:rFonts w:hint="eastAsia"/>
                <w:highlight w:val="none"/>
                <w:lang w:val="en-US" w:eastAsia="zh-CN"/>
              </w:rPr>
            </w:pPr>
          </w:p>
          <w:p>
            <w:pPr>
              <w:bidi w:val="0"/>
              <w:ind w:left="0" w:leftChars="0" w:firstLine="0" w:firstLineChars="0"/>
              <w:rPr>
                <w:rFonts w:hint="eastAsia"/>
                <w:highlight w:val="none"/>
                <w:lang w:val="en-US" w:eastAsia="zh-CN"/>
              </w:rPr>
            </w:pPr>
          </w:p>
          <w:p>
            <w:pPr>
              <w:bidi w:val="0"/>
              <w:ind w:left="0" w:leftChars="0" w:firstLine="0" w:firstLineChars="0"/>
              <w:rPr>
                <w:rFonts w:hint="eastAsia"/>
                <w:highlight w:val="none"/>
                <w:lang w:val="en-US" w:eastAsia="zh-CN"/>
              </w:rPr>
            </w:pPr>
          </w:p>
          <w:p>
            <w:pPr>
              <w:bidi w:val="0"/>
              <w:ind w:left="0" w:leftChars="0" w:firstLine="0" w:firstLineChars="0"/>
              <w:rPr>
                <w:rFonts w:hint="eastAsia"/>
                <w:highlight w:val="none"/>
                <w:lang w:val="en-US" w:eastAsia="zh-CN"/>
              </w:rPr>
            </w:pPr>
          </w:p>
          <w:p>
            <w:pPr>
              <w:bidi w:val="0"/>
              <w:ind w:left="0" w:leftChars="0" w:firstLine="0" w:firstLineChars="0"/>
              <w:rPr>
                <w:rFonts w:hint="eastAsia"/>
                <w:highlight w:val="none"/>
                <w:lang w:val="en-US" w:eastAsia="zh-CN"/>
              </w:rPr>
            </w:pPr>
          </w:p>
          <w:p>
            <w:pPr>
              <w:bidi w:val="0"/>
              <w:ind w:left="0" w:leftChars="0" w:firstLine="0" w:firstLineChars="0"/>
              <w:rPr>
                <w:rFonts w:hint="eastAsia"/>
                <w:highlight w:val="none"/>
                <w:lang w:val="en-US" w:eastAsia="zh-CN"/>
              </w:rPr>
            </w:pPr>
          </w:p>
          <w:p>
            <w:pPr>
              <w:bidi w:val="0"/>
              <w:ind w:left="0" w:leftChars="0" w:firstLine="0" w:firstLineChars="0"/>
              <w:rPr>
                <w:rFonts w:hint="eastAsia"/>
                <w:highlight w:val="none"/>
                <w:lang w:val="en-US" w:eastAsia="zh-CN"/>
              </w:rPr>
            </w:pPr>
          </w:p>
          <w:p>
            <w:pPr>
              <w:bidi w:val="0"/>
              <w:ind w:left="0" w:leftChars="0" w:firstLine="0" w:firstLineChars="0"/>
              <w:rPr>
                <w:rFonts w:hint="eastAsia"/>
                <w:highlight w:val="none"/>
                <w:lang w:val="en-US" w:eastAsia="zh-CN"/>
              </w:rPr>
            </w:pPr>
          </w:p>
          <w:p>
            <w:pPr>
              <w:bidi w:val="0"/>
              <w:ind w:left="0" w:leftChars="0" w:firstLine="0" w:firstLineChars="0"/>
              <w:rPr>
                <w:rFonts w:hint="eastAsia"/>
                <w:highlight w:val="none"/>
                <w:lang w:val="en-US" w:eastAsia="zh-CN"/>
              </w:rPr>
            </w:pPr>
          </w:p>
          <w:p>
            <w:pPr>
              <w:bidi w:val="0"/>
              <w:ind w:left="0" w:leftChars="0" w:firstLine="0" w:firstLineChars="0"/>
              <w:rPr>
                <w:rFonts w:hint="eastAsia"/>
                <w:highlight w:val="none"/>
                <w:lang w:val="en-US" w:eastAsia="zh-CN"/>
              </w:rPr>
            </w:pPr>
          </w:p>
          <w:p>
            <w:pPr>
              <w:bidi w:val="0"/>
              <w:ind w:left="0" w:leftChars="0" w:firstLine="0" w:firstLineChars="0"/>
              <w:rPr>
                <w:rFonts w:hint="eastAsia"/>
                <w:highlight w:val="none"/>
                <w:lang w:val="en-US" w:eastAsia="zh-CN"/>
              </w:rPr>
            </w:pPr>
          </w:p>
          <w:p>
            <w:pPr>
              <w:bidi w:val="0"/>
              <w:ind w:left="0" w:leftChars="0" w:firstLine="0" w:firstLineChars="0"/>
              <w:rPr>
                <w:rFonts w:hint="eastAsia"/>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097" w:hRule="atLeast"/>
          <w:jc w:val="center"/>
        </w:trPr>
        <w:tc>
          <w:tcPr>
            <w:tcW w:w="8827" w:type="dxa"/>
            <w:gridSpan w:val="8"/>
            <w:noWrap w:val="0"/>
            <w:vAlign w:val="top"/>
          </w:tcPr>
          <w:p>
            <w:pPr>
              <w:pStyle w:val="4"/>
              <w:bidi w:val="0"/>
              <w:rPr>
                <w:rFonts w:hint="eastAsia"/>
                <w:highlight w:val="none"/>
                <w:lang w:val="en-US" w:eastAsia="zh-CN"/>
              </w:rPr>
            </w:pPr>
            <w:r>
              <w:rPr>
                <w:rFonts w:hint="eastAsia"/>
                <w:highlight w:val="none"/>
                <w:lang w:val="en-US" w:eastAsia="zh-CN"/>
              </w:rPr>
              <w:t>本项目有关的原有污染情况及主要问题：</w:t>
            </w:r>
          </w:p>
          <w:p>
            <w:pPr>
              <w:bidi w:val="0"/>
              <w:rPr>
                <w:rFonts w:hint="default" w:eastAsia="宋体"/>
                <w:b w:val="0"/>
                <w:bCs w:val="0"/>
                <w:highlight w:val="none"/>
                <w:u w:val="none"/>
                <w:lang w:val="en-US" w:eastAsia="zh-CN"/>
              </w:rPr>
            </w:pPr>
            <w:r>
              <w:rPr>
                <w:rFonts w:hint="eastAsia"/>
                <w:b w:val="0"/>
                <w:bCs w:val="0"/>
                <w:highlight w:val="none"/>
                <w:u w:val="none"/>
                <w:lang w:val="en-US" w:eastAsia="zh-CN"/>
              </w:rPr>
              <w:t>新乡市兴豫气体有限责任公司</w:t>
            </w:r>
            <w:r>
              <w:rPr>
                <w:rFonts w:hint="default"/>
                <w:b w:val="0"/>
                <w:bCs w:val="0"/>
                <w:highlight w:val="none"/>
                <w:u w:val="none"/>
              </w:rPr>
              <w:t>位于新乡市新乡县</w:t>
            </w:r>
            <w:r>
              <w:rPr>
                <w:rFonts w:hint="eastAsia"/>
                <w:b w:val="0"/>
                <w:bCs w:val="0"/>
                <w:highlight w:val="none"/>
                <w:u w:val="none"/>
                <w:lang w:eastAsia="zh-CN"/>
              </w:rPr>
              <w:t>大召营镇（</w:t>
            </w:r>
            <w:r>
              <w:rPr>
                <w:rFonts w:hint="eastAsia"/>
                <w:b w:val="0"/>
                <w:bCs w:val="0"/>
                <w:highlight w:val="none"/>
                <w:u w:val="none"/>
              </w:rPr>
              <w:t>新焦公路八公里处</w:t>
            </w:r>
            <w:r>
              <w:rPr>
                <w:rFonts w:hint="eastAsia"/>
                <w:b w:val="0"/>
                <w:bCs w:val="0"/>
                <w:highlight w:val="none"/>
                <w:u w:val="none"/>
                <w:lang w:eastAsia="zh-CN"/>
              </w:rPr>
              <w:t>）</w:t>
            </w:r>
            <w:r>
              <w:rPr>
                <w:rFonts w:hint="default"/>
                <w:b w:val="0"/>
                <w:bCs w:val="0"/>
                <w:highlight w:val="none"/>
                <w:u w:val="none"/>
              </w:rPr>
              <w:t>，主要经营范围为</w:t>
            </w:r>
            <w:r>
              <w:rPr>
                <w:rFonts w:hint="eastAsia"/>
                <w:b w:val="0"/>
                <w:bCs w:val="0"/>
                <w:highlight w:val="none"/>
                <w:u w:val="none"/>
                <w:lang w:eastAsia="zh-CN"/>
              </w:rPr>
              <w:t>工业气体的分装以及销售</w:t>
            </w:r>
            <w:r>
              <w:rPr>
                <w:rFonts w:hint="default"/>
                <w:b w:val="0"/>
                <w:bCs w:val="0"/>
                <w:highlight w:val="none"/>
                <w:u w:val="none"/>
              </w:rPr>
              <w:t>。</w:t>
            </w:r>
            <w:r>
              <w:rPr>
                <w:rFonts w:hint="eastAsia"/>
                <w:b w:val="0"/>
                <w:bCs w:val="0"/>
                <w:highlight w:val="none"/>
                <w:u w:val="none"/>
                <w:lang w:val="en-US" w:eastAsia="zh-CN"/>
              </w:rPr>
              <w:t>新乡市兴豫气体有限责任公司于</w:t>
            </w:r>
            <w:r>
              <w:rPr>
                <w:rFonts w:hint="default"/>
                <w:b w:val="0"/>
                <w:bCs w:val="0"/>
                <w:highlight w:val="none"/>
                <w:u w:val="none"/>
                <w:lang w:val="en-US" w:eastAsia="zh-CN"/>
              </w:rPr>
              <w:t>20</w:t>
            </w:r>
            <w:r>
              <w:rPr>
                <w:rFonts w:hint="eastAsia"/>
                <w:b w:val="0"/>
                <w:bCs w:val="0"/>
                <w:highlight w:val="none"/>
                <w:u w:val="none"/>
                <w:lang w:val="en-US" w:eastAsia="zh-CN"/>
              </w:rPr>
              <w:t>03</w:t>
            </w:r>
            <w:r>
              <w:rPr>
                <w:rFonts w:hint="default"/>
                <w:b w:val="0"/>
                <w:bCs w:val="0"/>
                <w:highlight w:val="none"/>
                <w:u w:val="none"/>
                <w:lang w:val="en-US" w:eastAsia="zh-CN"/>
              </w:rPr>
              <w:t>年</w:t>
            </w:r>
            <w:r>
              <w:rPr>
                <w:rFonts w:hint="eastAsia"/>
                <w:b w:val="0"/>
                <w:bCs w:val="0"/>
                <w:highlight w:val="none"/>
                <w:u w:val="none"/>
                <w:lang w:val="en-US" w:eastAsia="zh-CN"/>
              </w:rPr>
              <w:t>8月27日</w:t>
            </w:r>
            <w:r>
              <w:rPr>
                <w:rFonts w:hint="default"/>
                <w:b w:val="0"/>
                <w:bCs w:val="0"/>
                <w:highlight w:val="none"/>
                <w:u w:val="none"/>
                <w:lang w:val="en-US" w:eastAsia="zh-CN"/>
              </w:rPr>
              <w:t>委托</w:t>
            </w:r>
            <w:r>
              <w:rPr>
                <w:rFonts w:hint="eastAsia"/>
                <w:b w:val="0"/>
                <w:bCs w:val="0"/>
                <w:highlight w:val="none"/>
                <w:u w:val="none"/>
                <w:lang w:val="en-US" w:eastAsia="zh-CN"/>
              </w:rPr>
              <w:t>新乡市环境保护科学研究所编制</w:t>
            </w:r>
            <w:r>
              <w:rPr>
                <w:rFonts w:hint="default"/>
                <w:b w:val="0"/>
                <w:bCs w:val="0"/>
                <w:highlight w:val="none"/>
                <w:u w:val="none"/>
                <w:lang w:val="en-US" w:eastAsia="zh-CN"/>
              </w:rPr>
              <w:t>完成</w:t>
            </w:r>
            <w:r>
              <w:rPr>
                <w:rFonts w:hint="default"/>
                <w:b w:val="0"/>
                <w:bCs w:val="0"/>
                <w:highlight w:val="none"/>
                <w:u w:val="none"/>
              </w:rPr>
              <w:t>《</w:t>
            </w:r>
            <w:r>
              <w:rPr>
                <w:rFonts w:hint="eastAsia"/>
                <w:b w:val="0"/>
                <w:bCs w:val="0"/>
                <w:highlight w:val="none"/>
                <w:u w:val="none"/>
                <w:lang w:eastAsia="zh-CN"/>
              </w:rPr>
              <w:t>新乡市兴豫气体有限责任公司年产溶解乙炔气</w:t>
            </w:r>
            <w:r>
              <w:rPr>
                <w:rFonts w:hint="eastAsia"/>
                <w:b w:val="0"/>
                <w:bCs w:val="0"/>
                <w:highlight w:val="none"/>
                <w:u w:val="none"/>
                <w:lang w:val="en-US" w:eastAsia="zh-CN"/>
              </w:rPr>
              <w:t>80</w:t>
            </w:r>
            <w:r>
              <w:rPr>
                <w:rFonts w:hint="default"/>
                <w:b w:val="0"/>
                <w:bCs w:val="0"/>
                <w:highlight w:val="none"/>
                <w:u w:val="none"/>
              </w:rPr>
              <w:t>000</w:t>
            </w:r>
            <w:r>
              <w:rPr>
                <w:rFonts w:hint="eastAsia"/>
                <w:b w:val="0"/>
                <w:bCs w:val="0"/>
                <w:highlight w:val="none"/>
                <w:u w:val="none"/>
                <w:lang w:val="en-US" w:eastAsia="zh-CN"/>
              </w:rPr>
              <w:t>m</w:t>
            </w:r>
            <w:r>
              <w:rPr>
                <w:rFonts w:hint="eastAsia"/>
                <w:b w:val="0"/>
                <w:bCs w:val="0"/>
                <w:highlight w:val="none"/>
                <w:u w:val="none"/>
                <w:vertAlign w:val="superscript"/>
                <w:lang w:val="en-US" w:eastAsia="zh-CN"/>
              </w:rPr>
              <w:t>3</w:t>
            </w:r>
            <w:r>
              <w:rPr>
                <w:rFonts w:hint="eastAsia"/>
                <w:b w:val="0"/>
                <w:bCs w:val="0"/>
                <w:highlight w:val="none"/>
                <w:u w:val="none"/>
                <w:vertAlign w:val="baseline"/>
                <w:lang w:val="en-US" w:eastAsia="zh-CN"/>
              </w:rPr>
              <w:t>环境影响报告表</w:t>
            </w:r>
            <w:r>
              <w:rPr>
                <w:rFonts w:hint="default"/>
                <w:b w:val="0"/>
                <w:bCs w:val="0"/>
                <w:highlight w:val="none"/>
                <w:u w:val="none"/>
              </w:rPr>
              <w:t>》</w:t>
            </w:r>
            <w:r>
              <w:rPr>
                <w:rFonts w:hint="default"/>
                <w:b w:val="0"/>
                <w:bCs w:val="0"/>
                <w:highlight w:val="none"/>
                <w:u w:val="none"/>
                <w:lang w:val="en-US" w:eastAsia="zh-CN"/>
              </w:rPr>
              <w:t>，</w:t>
            </w:r>
            <w:r>
              <w:rPr>
                <w:rFonts w:hint="eastAsia"/>
                <w:b w:val="0"/>
                <w:bCs w:val="0"/>
                <w:highlight w:val="none"/>
                <w:u w:val="none"/>
                <w:lang w:val="en-US" w:eastAsia="zh-CN"/>
              </w:rPr>
              <w:t>项目于</w:t>
            </w:r>
            <w:r>
              <w:rPr>
                <w:rFonts w:hint="default"/>
                <w:b w:val="0"/>
                <w:bCs w:val="0"/>
                <w:highlight w:val="none"/>
                <w:u w:val="none"/>
                <w:lang w:val="en-US" w:eastAsia="zh-CN"/>
              </w:rPr>
              <w:t>20</w:t>
            </w:r>
            <w:r>
              <w:rPr>
                <w:rFonts w:hint="eastAsia"/>
                <w:b w:val="0"/>
                <w:bCs w:val="0"/>
                <w:highlight w:val="none"/>
                <w:u w:val="none"/>
                <w:lang w:val="en-US" w:eastAsia="zh-CN"/>
              </w:rPr>
              <w:t>03</w:t>
            </w:r>
            <w:r>
              <w:rPr>
                <w:rFonts w:hint="default"/>
                <w:b w:val="0"/>
                <w:bCs w:val="0"/>
                <w:highlight w:val="none"/>
                <w:u w:val="none"/>
                <w:lang w:val="en-US" w:eastAsia="zh-CN"/>
              </w:rPr>
              <w:t>年</w:t>
            </w:r>
            <w:r>
              <w:rPr>
                <w:rFonts w:hint="eastAsia"/>
                <w:b w:val="0"/>
                <w:bCs w:val="0"/>
                <w:highlight w:val="none"/>
                <w:u w:val="none"/>
                <w:lang w:val="en-US" w:eastAsia="zh-CN"/>
              </w:rPr>
              <w:t>9</w:t>
            </w:r>
            <w:r>
              <w:rPr>
                <w:rFonts w:hint="default"/>
                <w:b w:val="0"/>
                <w:bCs w:val="0"/>
                <w:highlight w:val="none"/>
                <w:u w:val="none"/>
                <w:lang w:val="en-US" w:eastAsia="zh-CN"/>
              </w:rPr>
              <w:t>月2</w:t>
            </w:r>
            <w:r>
              <w:rPr>
                <w:rFonts w:hint="eastAsia"/>
                <w:b w:val="0"/>
                <w:bCs w:val="0"/>
                <w:highlight w:val="none"/>
                <w:u w:val="none"/>
                <w:lang w:val="en-US" w:eastAsia="zh-CN"/>
              </w:rPr>
              <w:t>2</w:t>
            </w:r>
            <w:r>
              <w:rPr>
                <w:rFonts w:hint="default"/>
                <w:b w:val="0"/>
                <w:bCs w:val="0"/>
                <w:highlight w:val="none"/>
                <w:u w:val="none"/>
                <w:lang w:val="en-US" w:eastAsia="zh-CN"/>
              </w:rPr>
              <w:t>日</w:t>
            </w:r>
            <w:r>
              <w:rPr>
                <w:rFonts w:hint="eastAsia"/>
                <w:b w:val="0"/>
                <w:bCs w:val="0"/>
                <w:highlight w:val="none"/>
                <w:u w:val="none"/>
                <w:lang w:val="en-US" w:eastAsia="zh-CN"/>
              </w:rPr>
              <w:t>取得</w:t>
            </w:r>
            <w:r>
              <w:rPr>
                <w:rFonts w:hint="default"/>
                <w:b w:val="0"/>
                <w:bCs w:val="0"/>
                <w:highlight w:val="none"/>
                <w:u w:val="none"/>
                <w:lang w:val="en-US" w:eastAsia="zh-CN"/>
              </w:rPr>
              <w:t>新乡市环境保护局</w:t>
            </w:r>
            <w:r>
              <w:rPr>
                <w:rFonts w:hint="eastAsia"/>
                <w:b w:val="0"/>
                <w:bCs w:val="0"/>
                <w:highlight w:val="none"/>
                <w:u w:val="none"/>
                <w:lang w:val="en-US" w:eastAsia="zh-CN"/>
              </w:rPr>
              <w:t>批复，批复文号：新环监（2003）85号。2006年12月25日，新乡县环境保护局通过</w:t>
            </w:r>
            <w:r>
              <w:rPr>
                <w:rFonts w:hint="eastAsia"/>
                <w:b w:val="0"/>
                <w:bCs w:val="0"/>
                <w:highlight w:val="none"/>
                <w:u w:val="none"/>
                <w:lang w:eastAsia="zh-CN"/>
              </w:rPr>
              <w:t>新乡市兴豫气体有限责任公司年产溶解乙炔气</w:t>
            </w:r>
            <w:r>
              <w:rPr>
                <w:rFonts w:hint="eastAsia"/>
                <w:b w:val="0"/>
                <w:bCs w:val="0"/>
                <w:highlight w:val="none"/>
                <w:u w:val="none"/>
                <w:lang w:val="en-US" w:eastAsia="zh-CN"/>
              </w:rPr>
              <w:t>80</w:t>
            </w:r>
            <w:r>
              <w:rPr>
                <w:rFonts w:hint="default"/>
                <w:b w:val="0"/>
                <w:bCs w:val="0"/>
                <w:highlight w:val="none"/>
                <w:u w:val="none"/>
              </w:rPr>
              <w:t>000</w:t>
            </w:r>
            <w:r>
              <w:rPr>
                <w:rFonts w:hint="eastAsia"/>
                <w:b w:val="0"/>
                <w:bCs w:val="0"/>
                <w:highlight w:val="none"/>
                <w:u w:val="none"/>
                <w:lang w:val="en-US" w:eastAsia="zh-CN"/>
              </w:rPr>
              <w:t>m</w:t>
            </w:r>
            <w:r>
              <w:rPr>
                <w:rFonts w:hint="eastAsia"/>
                <w:b w:val="0"/>
                <w:bCs w:val="0"/>
                <w:highlight w:val="none"/>
                <w:u w:val="none"/>
                <w:vertAlign w:val="superscript"/>
                <w:lang w:val="en-US" w:eastAsia="zh-CN"/>
              </w:rPr>
              <w:t>3</w:t>
            </w:r>
            <w:r>
              <w:rPr>
                <w:rFonts w:hint="eastAsia"/>
                <w:b w:val="0"/>
                <w:bCs w:val="0"/>
                <w:highlight w:val="none"/>
                <w:u w:val="none"/>
                <w:vertAlign w:val="baseline"/>
                <w:lang w:val="en-US" w:eastAsia="zh-CN"/>
              </w:rPr>
              <w:t>项目环保行政验收（附件四）。由于现有项目环境影响报告批复时间较早，环保治理措施等厂区情况发生变动，因此本次评价对现有项目情况进行梳理。</w:t>
            </w:r>
          </w:p>
          <w:p>
            <w:pPr>
              <w:bidi w:val="0"/>
              <w:rPr>
                <w:rFonts w:hint="default"/>
                <w:b w:val="0"/>
                <w:bCs w:val="0"/>
                <w:highlight w:val="none"/>
                <w:u w:val="none"/>
              </w:rPr>
            </w:pPr>
            <w:r>
              <w:rPr>
                <w:rFonts w:hint="eastAsia"/>
                <w:b w:val="0"/>
                <w:bCs w:val="0"/>
                <w:highlight w:val="none"/>
                <w:u w:val="none"/>
                <w:lang w:val="en-US" w:eastAsia="zh-CN"/>
              </w:rPr>
              <w:t>现有项目</w:t>
            </w:r>
            <w:r>
              <w:rPr>
                <w:rFonts w:hint="default"/>
                <w:b w:val="0"/>
                <w:bCs w:val="0"/>
                <w:highlight w:val="none"/>
                <w:u w:val="none"/>
              </w:rPr>
              <w:t>主要原辅材料及资源能源消耗情况见</w:t>
            </w:r>
            <w:r>
              <w:rPr>
                <w:rFonts w:hint="eastAsia"/>
                <w:b w:val="0"/>
                <w:bCs w:val="0"/>
                <w:highlight w:val="none"/>
                <w:u w:val="none"/>
                <w:lang w:eastAsia="zh-CN"/>
              </w:rPr>
              <w:t>下表</w:t>
            </w:r>
            <w:r>
              <w:rPr>
                <w:rFonts w:hint="default"/>
                <w:b w:val="0"/>
                <w:bCs w:val="0"/>
                <w:highlight w:val="none"/>
                <w:u w:val="none"/>
              </w:rPr>
              <w:t>：</w:t>
            </w:r>
          </w:p>
          <w:p>
            <w:pPr>
              <w:pStyle w:val="29"/>
              <w:bidi w:val="0"/>
              <w:rPr>
                <w:rFonts w:hint="default"/>
                <w:b w:val="0"/>
                <w:bCs w:val="0"/>
                <w:highlight w:val="none"/>
                <w:u w:val="none"/>
                <w:lang w:val="en-US" w:eastAsia="zh-CN"/>
              </w:rPr>
            </w:pPr>
            <w:r>
              <w:rPr>
                <w:rFonts w:hint="default"/>
                <w:b w:val="0"/>
                <w:bCs w:val="0"/>
                <w:sz w:val="24"/>
                <w:szCs w:val="24"/>
                <w:highlight w:val="none"/>
                <w:u w:val="none"/>
                <w:lang w:val="en-US" w:eastAsia="zh-CN"/>
              </w:rPr>
              <w:t>表</w:t>
            </w:r>
            <w:r>
              <w:rPr>
                <w:rFonts w:hint="eastAsia"/>
                <w:b w:val="0"/>
                <w:bCs w:val="0"/>
                <w:sz w:val="24"/>
                <w:szCs w:val="24"/>
                <w:highlight w:val="none"/>
                <w:u w:val="none"/>
                <w:lang w:val="en-US" w:eastAsia="zh-CN"/>
              </w:rPr>
              <w:t>19 现有项目</w:t>
            </w:r>
            <w:r>
              <w:rPr>
                <w:rFonts w:hint="default"/>
                <w:b w:val="0"/>
                <w:bCs w:val="0"/>
                <w:sz w:val="24"/>
                <w:szCs w:val="24"/>
                <w:highlight w:val="none"/>
                <w:u w:val="none"/>
                <w:lang w:val="en-US" w:eastAsia="zh-CN"/>
              </w:rPr>
              <w:t>原辅材料及资源消耗情况</w:t>
            </w:r>
          </w:p>
          <w:tbl>
            <w:tblPr>
              <w:tblStyle w:val="21"/>
              <w:tblW w:w="4998" w:type="pct"/>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108" w:type="dxa"/>
                <w:bottom w:w="0" w:type="dxa"/>
                <w:right w:w="108" w:type="dxa"/>
              </w:tblCellMar>
            </w:tblPr>
            <w:tblGrid>
              <w:gridCol w:w="956"/>
              <w:gridCol w:w="1069"/>
              <w:gridCol w:w="2537"/>
              <w:gridCol w:w="1742"/>
              <w:gridCol w:w="2274"/>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180" w:type="pct"/>
                  <w:gridSpan w:val="2"/>
                  <w:vAlign w:val="center"/>
                </w:tcPr>
                <w:p>
                  <w:pPr>
                    <w:pStyle w:val="29"/>
                    <w:bidi w:val="0"/>
                    <w:rPr>
                      <w:b w:val="0"/>
                      <w:bCs w:val="0"/>
                      <w:highlight w:val="none"/>
                      <w:u w:val="none"/>
                    </w:rPr>
                  </w:pPr>
                  <w:r>
                    <w:rPr>
                      <w:rFonts w:hint="eastAsia"/>
                      <w:b w:val="0"/>
                      <w:bCs w:val="0"/>
                      <w:highlight w:val="none"/>
                      <w:u w:val="none"/>
                    </w:rPr>
                    <w:t>序号</w:t>
                  </w:r>
                </w:p>
              </w:tc>
              <w:tc>
                <w:tcPr>
                  <w:tcW w:w="1478" w:type="pct"/>
                  <w:vAlign w:val="center"/>
                </w:tcPr>
                <w:p>
                  <w:pPr>
                    <w:pStyle w:val="29"/>
                    <w:bidi w:val="0"/>
                    <w:rPr>
                      <w:b w:val="0"/>
                      <w:bCs w:val="0"/>
                      <w:highlight w:val="none"/>
                      <w:u w:val="none"/>
                    </w:rPr>
                  </w:pPr>
                  <w:r>
                    <w:rPr>
                      <w:rFonts w:hint="eastAsia"/>
                      <w:b w:val="0"/>
                      <w:bCs w:val="0"/>
                      <w:highlight w:val="none"/>
                      <w:u w:val="none"/>
                    </w:rPr>
                    <w:t>名称</w:t>
                  </w:r>
                </w:p>
              </w:tc>
              <w:tc>
                <w:tcPr>
                  <w:tcW w:w="1015" w:type="pct"/>
                  <w:vAlign w:val="center"/>
                </w:tcPr>
                <w:p>
                  <w:pPr>
                    <w:pStyle w:val="29"/>
                    <w:bidi w:val="0"/>
                    <w:rPr>
                      <w:rFonts w:hint="eastAsia"/>
                      <w:b w:val="0"/>
                      <w:bCs w:val="0"/>
                      <w:highlight w:val="none"/>
                      <w:u w:val="none"/>
                      <w:lang w:eastAsia="zh-CN"/>
                    </w:rPr>
                  </w:pPr>
                  <w:r>
                    <w:rPr>
                      <w:rFonts w:hint="eastAsia"/>
                      <w:b w:val="0"/>
                      <w:bCs w:val="0"/>
                      <w:highlight w:val="none"/>
                      <w:u w:val="none"/>
                    </w:rPr>
                    <w:t>年用量</w:t>
                  </w:r>
                  <w:r>
                    <w:rPr>
                      <w:rFonts w:hint="eastAsia"/>
                      <w:b w:val="0"/>
                      <w:bCs w:val="0"/>
                      <w:highlight w:val="none"/>
                      <w:u w:val="none"/>
                      <w:lang w:eastAsia="zh-CN"/>
                    </w:rPr>
                    <w:t>（</w:t>
                  </w:r>
                  <w:r>
                    <w:rPr>
                      <w:rFonts w:hint="eastAsia"/>
                      <w:b w:val="0"/>
                      <w:bCs w:val="0"/>
                      <w:highlight w:val="none"/>
                      <w:u w:val="none"/>
                      <w:lang w:val="en-US" w:eastAsia="zh-CN"/>
                    </w:rPr>
                    <w:t>t/a</w:t>
                  </w:r>
                  <w:r>
                    <w:rPr>
                      <w:rFonts w:hint="eastAsia"/>
                      <w:b w:val="0"/>
                      <w:bCs w:val="0"/>
                      <w:highlight w:val="none"/>
                      <w:u w:val="none"/>
                      <w:lang w:eastAsia="zh-CN"/>
                    </w:rPr>
                    <w:t>）</w:t>
                  </w:r>
                </w:p>
              </w:tc>
              <w:tc>
                <w:tcPr>
                  <w:tcW w:w="1325" w:type="pct"/>
                  <w:vAlign w:val="center"/>
                </w:tcPr>
                <w:p>
                  <w:pPr>
                    <w:pStyle w:val="29"/>
                    <w:bidi w:val="0"/>
                    <w:rPr>
                      <w:b w:val="0"/>
                      <w:bCs w:val="0"/>
                      <w:highlight w:val="none"/>
                      <w:u w:val="none"/>
                    </w:rPr>
                  </w:pPr>
                  <w:r>
                    <w:rPr>
                      <w:rFonts w:hint="eastAsia"/>
                      <w:b w:val="0"/>
                      <w:bCs w:val="0"/>
                      <w:highlight w:val="none"/>
                      <w:u w:val="none"/>
                    </w:rPr>
                    <w:t>备注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557" w:type="pct"/>
                  <w:vMerge w:val="restart"/>
                  <w:vAlign w:val="center"/>
                </w:tcPr>
                <w:p>
                  <w:pPr>
                    <w:pStyle w:val="29"/>
                    <w:bidi w:val="0"/>
                    <w:rPr>
                      <w:rFonts w:hint="eastAsia"/>
                      <w:b w:val="0"/>
                      <w:bCs w:val="0"/>
                      <w:highlight w:val="none"/>
                      <w:u w:val="none"/>
                      <w:lang w:val="en-US" w:eastAsia="zh-CN"/>
                    </w:rPr>
                  </w:pPr>
                  <w:r>
                    <w:rPr>
                      <w:rFonts w:hint="eastAsia"/>
                      <w:b w:val="0"/>
                      <w:bCs w:val="0"/>
                      <w:highlight w:val="none"/>
                      <w:u w:val="none"/>
                      <w:lang w:val="en-US" w:eastAsia="zh-CN"/>
                    </w:rPr>
                    <w:t>原辅料</w:t>
                  </w:r>
                </w:p>
              </w:tc>
              <w:tc>
                <w:tcPr>
                  <w:tcW w:w="622" w:type="pct"/>
                  <w:vAlign w:val="center"/>
                </w:tcPr>
                <w:p>
                  <w:pPr>
                    <w:pStyle w:val="29"/>
                    <w:bidi w:val="0"/>
                    <w:rPr>
                      <w:b w:val="0"/>
                      <w:bCs w:val="0"/>
                      <w:highlight w:val="none"/>
                      <w:u w:val="none"/>
                    </w:rPr>
                  </w:pPr>
                  <w:r>
                    <w:rPr>
                      <w:rFonts w:hint="eastAsia"/>
                      <w:b w:val="0"/>
                      <w:bCs w:val="0"/>
                      <w:highlight w:val="none"/>
                      <w:u w:val="none"/>
                    </w:rPr>
                    <w:t>1</w:t>
                  </w:r>
                </w:p>
              </w:tc>
              <w:tc>
                <w:tcPr>
                  <w:tcW w:w="1478" w:type="pct"/>
                  <w:vAlign w:val="center"/>
                </w:tcPr>
                <w:p>
                  <w:pPr>
                    <w:pStyle w:val="29"/>
                    <w:bidi w:val="0"/>
                    <w:rPr>
                      <w:rFonts w:hint="eastAsia"/>
                      <w:b w:val="0"/>
                      <w:bCs w:val="0"/>
                      <w:highlight w:val="none"/>
                      <w:u w:val="none"/>
                      <w:lang w:eastAsia="zh-CN"/>
                    </w:rPr>
                  </w:pPr>
                  <w:r>
                    <w:rPr>
                      <w:rFonts w:hint="eastAsia"/>
                      <w:b w:val="0"/>
                      <w:bCs w:val="0"/>
                      <w:highlight w:val="none"/>
                      <w:u w:val="none"/>
                      <w:lang w:eastAsia="zh-CN"/>
                    </w:rPr>
                    <w:t>电石</w:t>
                  </w:r>
                </w:p>
              </w:tc>
              <w:tc>
                <w:tcPr>
                  <w:tcW w:w="1015" w:type="pct"/>
                  <w:vAlign w:val="center"/>
                </w:tcPr>
                <w:p>
                  <w:pPr>
                    <w:pStyle w:val="29"/>
                    <w:bidi w:val="0"/>
                    <w:rPr>
                      <w:rFonts w:hint="default"/>
                      <w:b w:val="0"/>
                      <w:bCs w:val="0"/>
                      <w:highlight w:val="none"/>
                      <w:u w:val="none"/>
                      <w:lang w:val="en-US" w:eastAsia="zh-CN"/>
                    </w:rPr>
                  </w:pPr>
                  <w:r>
                    <w:rPr>
                      <w:rFonts w:hint="eastAsia"/>
                      <w:b w:val="0"/>
                      <w:bCs w:val="0"/>
                      <w:highlight w:val="none"/>
                      <w:u w:val="none"/>
                      <w:lang w:val="en-US" w:eastAsia="zh-CN"/>
                    </w:rPr>
                    <w:t>250</w:t>
                  </w:r>
                </w:p>
              </w:tc>
              <w:tc>
                <w:tcPr>
                  <w:tcW w:w="1325" w:type="pct"/>
                  <w:vAlign w:val="center"/>
                </w:tcPr>
                <w:p>
                  <w:pPr>
                    <w:pStyle w:val="29"/>
                    <w:bidi w:val="0"/>
                    <w:rPr>
                      <w:rFonts w:hint="eastAsia"/>
                      <w:b w:val="0"/>
                      <w:bCs w:val="0"/>
                      <w:highlight w:val="none"/>
                      <w:u w:val="none"/>
                      <w:lang w:eastAsia="zh-CN"/>
                    </w:rPr>
                  </w:pPr>
                  <w:r>
                    <w:rPr>
                      <w:rFonts w:hint="eastAsia"/>
                      <w:b w:val="0"/>
                      <w:bCs w:val="0"/>
                      <w:highlight w:val="none"/>
                      <w:u w:val="none"/>
                      <w:lang w:eastAsia="zh-CN"/>
                    </w:rPr>
                    <w:t>外购</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557" w:type="pct"/>
                  <w:vMerge w:val="continue"/>
                  <w:vAlign w:val="center"/>
                </w:tcPr>
                <w:p>
                  <w:pPr>
                    <w:pStyle w:val="29"/>
                    <w:bidi w:val="0"/>
                    <w:rPr>
                      <w:b w:val="0"/>
                      <w:bCs w:val="0"/>
                      <w:highlight w:val="none"/>
                      <w:u w:val="none"/>
                    </w:rPr>
                  </w:pPr>
                </w:p>
              </w:tc>
              <w:tc>
                <w:tcPr>
                  <w:tcW w:w="622" w:type="pct"/>
                  <w:vAlign w:val="center"/>
                </w:tcPr>
                <w:p>
                  <w:pPr>
                    <w:pStyle w:val="29"/>
                    <w:bidi w:val="0"/>
                    <w:rPr>
                      <w:b w:val="0"/>
                      <w:bCs w:val="0"/>
                      <w:highlight w:val="none"/>
                      <w:u w:val="none"/>
                    </w:rPr>
                  </w:pPr>
                  <w:r>
                    <w:rPr>
                      <w:rFonts w:hint="eastAsia"/>
                      <w:b w:val="0"/>
                      <w:bCs w:val="0"/>
                      <w:highlight w:val="none"/>
                      <w:u w:val="none"/>
                    </w:rPr>
                    <w:t>2</w:t>
                  </w:r>
                </w:p>
              </w:tc>
              <w:tc>
                <w:tcPr>
                  <w:tcW w:w="1478" w:type="pct"/>
                  <w:vAlign w:val="center"/>
                </w:tcPr>
                <w:p>
                  <w:pPr>
                    <w:pStyle w:val="29"/>
                    <w:bidi w:val="0"/>
                    <w:rPr>
                      <w:rFonts w:hint="default"/>
                      <w:b w:val="0"/>
                      <w:bCs w:val="0"/>
                      <w:highlight w:val="none"/>
                      <w:u w:val="none"/>
                      <w:lang w:val="en-US" w:eastAsia="zh-CN"/>
                    </w:rPr>
                  </w:pPr>
                  <w:r>
                    <w:rPr>
                      <w:rFonts w:hint="eastAsia"/>
                      <w:b w:val="0"/>
                      <w:bCs w:val="0"/>
                      <w:highlight w:val="none"/>
                      <w:u w:val="none"/>
                      <w:lang w:val="en-US" w:eastAsia="zh-CN"/>
                    </w:rPr>
                    <w:t>丙酮</w:t>
                  </w:r>
                </w:p>
              </w:tc>
              <w:tc>
                <w:tcPr>
                  <w:tcW w:w="1015" w:type="pct"/>
                  <w:vAlign w:val="center"/>
                </w:tcPr>
                <w:p>
                  <w:pPr>
                    <w:pStyle w:val="29"/>
                    <w:bidi w:val="0"/>
                    <w:rPr>
                      <w:rFonts w:hint="default"/>
                      <w:b w:val="0"/>
                      <w:bCs w:val="0"/>
                      <w:highlight w:val="none"/>
                      <w:u w:val="none"/>
                      <w:lang w:val="en-US" w:eastAsia="zh-CN"/>
                    </w:rPr>
                  </w:pPr>
                  <w:r>
                    <w:rPr>
                      <w:rFonts w:hint="eastAsia"/>
                      <w:b w:val="0"/>
                      <w:bCs w:val="0"/>
                      <w:highlight w:val="none"/>
                      <w:u w:val="none"/>
                      <w:lang w:val="en-US" w:eastAsia="zh-CN"/>
                    </w:rPr>
                    <w:t>5</w:t>
                  </w:r>
                </w:p>
              </w:tc>
              <w:tc>
                <w:tcPr>
                  <w:tcW w:w="1325" w:type="pct"/>
                  <w:vAlign w:val="center"/>
                </w:tcPr>
                <w:p>
                  <w:pPr>
                    <w:pStyle w:val="29"/>
                    <w:bidi w:val="0"/>
                    <w:rPr>
                      <w:rFonts w:hint="eastAsia"/>
                      <w:b w:val="0"/>
                      <w:bCs w:val="0"/>
                      <w:highlight w:val="none"/>
                      <w:u w:val="none"/>
                      <w:lang w:eastAsia="zh-CN"/>
                    </w:rPr>
                  </w:pPr>
                  <w:r>
                    <w:rPr>
                      <w:rFonts w:hint="eastAsia"/>
                      <w:b w:val="0"/>
                      <w:bCs w:val="0"/>
                      <w:highlight w:val="none"/>
                      <w:u w:val="none"/>
                      <w:lang w:eastAsia="zh-CN"/>
                    </w:rPr>
                    <w:t>外购</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557" w:type="pct"/>
                  <w:vMerge w:val="continue"/>
                  <w:vAlign w:val="center"/>
                </w:tcPr>
                <w:p>
                  <w:pPr>
                    <w:pStyle w:val="29"/>
                    <w:bidi w:val="0"/>
                    <w:rPr>
                      <w:b w:val="0"/>
                      <w:bCs w:val="0"/>
                      <w:highlight w:val="none"/>
                      <w:u w:val="none"/>
                    </w:rPr>
                  </w:pPr>
                </w:p>
              </w:tc>
              <w:tc>
                <w:tcPr>
                  <w:tcW w:w="622" w:type="pct"/>
                  <w:vAlign w:val="center"/>
                </w:tcPr>
                <w:p>
                  <w:pPr>
                    <w:pStyle w:val="29"/>
                    <w:bidi w:val="0"/>
                    <w:rPr>
                      <w:rFonts w:hint="eastAsia"/>
                      <w:b w:val="0"/>
                      <w:bCs w:val="0"/>
                      <w:highlight w:val="none"/>
                      <w:u w:val="none"/>
                      <w:lang w:val="en-US" w:eastAsia="zh-CN"/>
                    </w:rPr>
                  </w:pPr>
                  <w:r>
                    <w:rPr>
                      <w:rFonts w:hint="eastAsia"/>
                      <w:b w:val="0"/>
                      <w:bCs w:val="0"/>
                      <w:highlight w:val="none"/>
                      <w:u w:val="none"/>
                      <w:lang w:val="en-US" w:eastAsia="zh-CN"/>
                    </w:rPr>
                    <w:t>3</w:t>
                  </w:r>
                </w:p>
              </w:tc>
              <w:tc>
                <w:tcPr>
                  <w:tcW w:w="1478" w:type="pct"/>
                  <w:vAlign w:val="center"/>
                </w:tcPr>
                <w:p>
                  <w:pPr>
                    <w:pStyle w:val="29"/>
                    <w:bidi w:val="0"/>
                    <w:rPr>
                      <w:rFonts w:hint="default"/>
                      <w:b w:val="0"/>
                      <w:bCs w:val="0"/>
                      <w:highlight w:val="none"/>
                      <w:u w:val="none"/>
                      <w:lang w:val="en-US" w:eastAsia="zh-CN"/>
                    </w:rPr>
                  </w:pPr>
                  <w:r>
                    <w:rPr>
                      <w:rFonts w:hint="eastAsia"/>
                      <w:b w:val="0"/>
                      <w:bCs w:val="0"/>
                      <w:highlight w:val="none"/>
                      <w:u w:val="none"/>
                      <w:lang w:val="en-US" w:eastAsia="zh-CN"/>
                    </w:rPr>
                    <w:t>98%硫酸</w:t>
                  </w:r>
                </w:p>
              </w:tc>
              <w:tc>
                <w:tcPr>
                  <w:tcW w:w="1015" w:type="pct"/>
                  <w:vAlign w:val="center"/>
                </w:tcPr>
                <w:p>
                  <w:pPr>
                    <w:pStyle w:val="29"/>
                    <w:bidi w:val="0"/>
                    <w:rPr>
                      <w:rFonts w:hint="default"/>
                      <w:b w:val="0"/>
                      <w:bCs w:val="0"/>
                      <w:highlight w:val="none"/>
                      <w:u w:val="none"/>
                      <w:lang w:val="en-US" w:eastAsia="zh-CN"/>
                    </w:rPr>
                  </w:pPr>
                  <w:r>
                    <w:rPr>
                      <w:rFonts w:hint="eastAsia"/>
                      <w:b w:val="0"/>
                      <w:bCs w:val="0"/>
                      <w:highlight w:val="none"/>
                      <w:u w:val="none"/>
                      <w:lang w:val="en-US" w:eastAsia="zh-CN"/>
                    </w:rPr>
                    <w:t>6</w:t>
                  </w:r>
                </w:p>
              </w:tc>
              <w:tc>
                <w:tcPr>
                  <w:tcW w:w="1325" w:type="pct"/>
                  <w:vAlign w:val="center"/>
                </w:tcPr>
                <w:p>
                  <w:pPr>
                    <w:pStyle w:val="29"/>
                    <w:bidi w:val="0"/>
                    <w:rPr>
                      <w:rFonts w:hint="default"/>
                      <w:b w:val="0"/>
                      <w:bCs w:val="0"/>
                      <w:highlight w:val="none"/>
                      <w:u w:val="none"/>
                      <w:lang w:val="en-US" w:eastAsia="zh-CN"/>
                    </w:rPr>
                  </w:pPr>
                  <w:r>
                    <w:rPr>
                      <w:rFonts w:hint="eastAsia"/>
                      <w:b w:val="0"/>
                      <w:bCs w:val="0"/>
                      <w:highlight w:val="none"/>
                      <w:u w:val="none"/>
                      <w:lang w:val="en-US" w:eastAsia="zh-CN"/>
                    </w:rPr>
                    <w:t>硫酸采取随用随买的方式，厂区不暂存</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557" w:type="pct"/>
                  <w:vMerge w:val="continue"/>
                  <w:vAlign w:val="center"/>
                </w:tcPr>
                <w:p>
                  <w:pPr>
                    <w:pStyle w:val="29"/>
                    <w:bidi w:val="0"/>
                    <w:rPr>
                      <w:b w:val="0"/>
                      <w:bCs w:val="0"/>
                      <w:highlight w:val="none"/>
                      <w:u w:val="none"/>
                    </w:rPr>
                  </w:pPr>
                </w:p>
              </w:tc>
              <w:tc>
                <w:tcPr>
                  <w:tcW w:w="622" w:type="pct"/>
                  <w:vAlign w:val="center"/>
                </w:tcPr>
                <w:p>
                  <w:pPr>
                    <w:pStyle w:val="29"/>
                    <w:bidi w:val="0"/>
                    <w:rPr>
                      <w:rFonts w:hint="default"/>
                      <w:b w:val="0"/>
                      <w:bCs w:val="0"/>
                      <w:highlight w:val="none"/>
                      <w:u w:val="none"/>
                      <w:lang w:val="en-US" w:eastAsia="zh-CN"/>
                    </w:rPr>
                  </w:pPr>
                  <w:r>
                    <w:rPr>
                      <w:rFonts w:hint="eastAsia"/>
                      <w:b w:val="0"/>
                      <w:bCs w:val="0"/>
                      <w:highlight w:val="none"/>
                      <w:u w:val="none"/>
                      <w:lang w:val="en-US" w:eastAsia="zh-CN"/>
                    </w:rPr>
                    <w:t>4</w:t>
                  </w:r>
                </w:p>
              </w:tc>
              <w:tc>
                <w:tcPr>
                  <w:tcW w:w="1478" w:type="pct"/>
                  <w:vAlign w:val="center"/>
                </w:tcPr>
                <w:p>
                  <w:pPr>
                    <w:pStyle w:val="29"/>
                    <w:bidi w:val="0"/>
                    <w:rPr>
                      <w:rFonts w:hint="eastAsia"/>
                      <w:b w:val="0"/>
                      <w:bCs w:val="0"/>
                      <w:highlight w:val="none"/>
                      <w:u w:val="none"/>
                      <w:lang w:val="en-US" w:eastAsia="zh-CN"/>
                    </w:rPr>
                  </w:pPr>
                  <w:r>
                    <w:rPr>
                      <w:rFonts w:hint="eastAsia"/>
                      <w:b w:val="0"/>
                      <w:bCs w:val="0"/>
                      <w:highlight w:val="none"/>
                      <w:u w:val="none"/>
                      <w:lang w:val="en-US" w:eastAsia="zh-CN"/>
                    </w:rPr>
                    <w:t>烧碱</w:t>
                  </w:r>
                </w:p>
              </w:tc>
              <w:tc>
                <w:tcPr>
                  <w:tcW w:w="1015" w:type="pct"/>
                  <w:vAlign w:val="center"/>
                </w:tcPr>
                <w:p>
                  <w:pPr>
                    <w:pStyle w:val="29"/>
                    <w:bidi w:val="0"/>
                    <w:rPr>
                      <w:rFonts w:hint="default"/>
                      <w:b w:val="0"/>
                      <w:bCs w:val="0"/>
                      <w:highlight w:val="none"/>
                      <w:u w:val="none"/>
                      <w:lang w:val="en-US" w:eastAsia="zh-CN"/>
                    </w:rPr>
                  </w:pPr>
                  <w:r>
                    <w:rPr>
                      <w:rFonts w:hint="eastAsia"/>
                      <w:b w:val="0"/>
                      <w:bCs w:val="0"/>
                      <w:highlight w:val="none"/>
                      <w:u w:val="none"/>
                      <w:lang w:val="en-US" w:eastAsia="zh-CN"/>
                    </w:rPr>
                    <w:t>0.2t/a</w:t>
                  </w:r>
                </w:p>
              </w:tc>
              <w:tc>
                <w:tcPr>
                  <w:tcW w:w="1325" w:type="pct"/>
                  <w:vAlign w:val="center"/>
                </w:tcPr>
                <w:p>
                  <w:pPr>
                    <w:pStyle w:val="29"/>
                    <w:bidi w:val="0"/>
                    <w:rPr>
                      <w:rFonts w:hint="eastAsia"/>
                      <w:b w:val="0"/>
                      <w:bCs w:val="0"/>
                      <w:highlight w:val="none"/>
                      <w:u w:val="none"/>
                      <w:lang w:eastAsia="zh-CN"/>
                    </w:rPr>
                  </w:pPr>
                  <w:r>
                    <w:rPr>
                      <w:rFonts w:hint="eastAsia"/>
                      <w:b w:val="0"/>
                      <w:bCs w:val="0"/>
                      <w:highlight w:val="none"/>
                      <w:u w:val="none"/>
                      <w:lang w:eastAsia="zh-CN"/>
                    </w:rPr>
                    <w:t>外购</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557" w:type="pct"/>
                  <w:vMerge w:val="continue"/>
                  <w:vAlign w:val="center"/>
                </w:tcPr>
                <w:p>
                  <w:pPr>
                    <w:pStyle w:val="29"/>
                    <w:bidi w:val="0"/>
                    <w:rPr>
                      <w:b w:val="0"/>
                      <w:bCs w:val="0"/>
                      <w:highlight w:val="none"/>
                      <w:u w:val="none"/>
                    </w:rPr>
                  </w:pPr>
                </w:p>
              </w:tc>
              <w:tc>
                <w:tcPr>
                  <w:tcW w:w="622" w:type="pct"/>
                  <w:vAlign w:val="center"/>
                </w:tcPr>
                <w:p>
                  <w:pPr>
                    <w:pStyle w:val="29"/>
                    <w:bidi w:val="0"/>
                    <w:rPr>
                      <w:rFonts w:hint="default"/>
                      <w:b w:val="0"/>
                      <w:bCs w:val="0"/>
                      <w:highlight w:val="none"/>
                      <w:u w:val="none"/>
                      <w:lang w:val="en-US" w:eastAsia="zh-CN"/>
                    </w:rPr>
                  </w:pPr>
                  <w:r>
                    <w:rPr>
                      <w:rFonts w:hint="eastAsia"/>
                      <w:b w:val="0"/>
                      <w:bCs w:val="0"/>
                      <w:highlight w:val="none"/>
                      <w:u w:val="none"/>
                      <w:lang w:val="en-US" w:eastAsia="zh-CN"/>
                    </w:rPr>
                    <w:t>5</w:t>
                  </w:r>
                </w:p>
              </w:tc>
              <w:tc>
                <w:tcPr>
                  <w:tcW w:w="1478" w:type="pct"/>
                  <w:vAlign w:val="center"/>
                </w:tcPr>
                <w:p>
                  <w:pPr>
                    <w:pStyle w:val="29"/>
                    <w:bidi w:val="0"/>
                    <w:rPr>
                      <w:rFonts w:hint="eastAsia"/>
                      <w:b w:val="0"/>
                      <w:bCs w:val="0"/>
                      <w:highlight w:val="none"/>
                      <w:u w:val="none"/>
                      <w:lang w:val="en-US" w:eastAsia="zh-CN"/>
                    </w:rPr>
                  </w:pPr>
                  <w:r>
                    <w:rPr>
                      <w:rFonts w:hint="eastAsia"/>
                      <w:b w:val="0"/>
                      <w:bCs w:val="0"/>
                      <w:highlight w:val="none"/>
                      <w:u w:val="none"/>
                      <w:lang w:val="en-US" w:eastAsia="zh-CN"/>
                    </w:rPr>
                    <w:t>氮气</w:t>
                  </w:r>
                </w:p>
              </w:tc>
              <w:tc>
                <w:tcPr>
                  <w:tcW w:w="1015" w:type="pct"/>
                  <w:vAlign w:val="center"/>
                </w:tcPr>
                <w:p>
                  <w:pPr>
                    <w:pStyle w:val="29"/>
                    <w:bidi w:val="0"/>
                    <w:rPr>
                      <w:rFonts w:hint="default"/>
                      <w:b w:val="0"/>
                      <w:bCs w:val="0"/>
                      <w:highlight w:val="none"/>
                      <w:u w:val="none"/>
                      <w:lang w:val="en-US" w:eastAsia="zh-CN"/>
                    </w:rPr>
                  </w:pPr>
                  <w:r>
                    <w:rPr>
                      <w:rFonts w:hint="eastAsia"/>
                      <w:b w:val="0"/>
                      <w:bCs w:val="0"/>
                      <w:highlight w:val="none"/>
                      <w:u w:val="none"/>
                      <w:lang w:val="en-US" w:eastAsia="zh-CN"/>
                    </w:rPr>
                    <w:t>120瓶/a</w:t>
                  </w:r>
                </w:p>
              </w:tc>
              <w:tc>
                <w:tcPr>
                  <w:tcW w:w="1325" w:type="pct"/>
                  <w:vAlign w:val="center"/>
                </w:tcPr>
                <w:p>
                  <w:pPr>
                    <w:pStyle w:val="29"/>
                    <w:bidi w:val="0"/>
                    <w:rPr>
                      <w:rFonts w:hint="eastAsia"/>
                      <w:b w:val="0"/>
                      <w:bCs w:val="0"/>
                      <w:highlight w:val="none"/>
                      <w:u w:val="none"/>
                      <w:lang w:eastAsia="zh-CN"/>
                    </w:rPr>
                  </w:pPr>
                  <w:r>
                    <w:rPr>
                      <w:rFonts w:hint="eastAsia"/>
                      <w:b w:val="0"/>
                      <w:bCs w:val="0"/>
                      <w:highlight w:val="none"/>
                      <w:u w:val="none"/>
                      <w:lang w:eastAsia="zh-CN"/>
                    </w:rPr>
                    <w:t>外购</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557" w:type="pct"/>
                  <w:vMerge w:val="continue"/>
                  <w:vAlign w:val="center"/>
                </w:tcPr>
                <w:p>
                  <w:pPr>
                    <w:pStyle w:val="29"/>
                    <w:bidi w:val="0"/>
                    <w:rPr>
                      <w:b w:val="0"/>
                      <w:bCs w:val="0"/>
                      <w:highlight w:val="none"/>
                      <w:u w:val="none"/>
                    </w:rPr>
                  </w:pPr>
                </w:p>
              </w:tc>
              <w:tc>
                <w:tcPr>
                  <w:tcW w:w="622" w:type="pct"/>
                  <w:vAlign w:val="center"/>
                </w:tcPr>
                <w:p>
                  <w:pPr>
                    <w:pStyle w:val="29"/>
                    <w:bidi w:val="0"/>
                    <w:rPr>
                      <w:rFonts w:hint="default"/>
                      <w:b w:val="0"/>
                      <w:bCs w:val="0"/>
                      <w:highlight w:val="none"/>
                      <w:u w:val="none"/>
                      <w:lang w:val="en-US" w:eastAsia="zh-CN"/>
                    </w:rPr>
                  </w:pPr>
                  <w:r>
                    <w:rPr>
                      <w:rFonts w:hint="eastAsia"/>
                      <w:b w:val="0"/>
                      <w:bCs w:val="0"/>
                      <w:highlight w:val="none"/>
                      <w:u w:val="none"/>
                      <w:lang w:val="en-US" w:eastAsia="zh-CN"/>
                    </w:rPr>
                    <w:t>6</w:t>
                  </w:r>
                </w:p>
              </w:tc>
              <w:tc>
                <w:tcPr>
                  <w:tcW w:w="1478" w:type="pct"/>
                  <w:vAlign w:val="center"/>
                </w:tcPr>
                <w:p>
                  <w:pPr>
                    <w:pStyle w:val="29"/>
                    <w:bidi w:val="0"/>
                    <w:rPr>
                      <w:rFonts w:hint="eastAsia"/>
                      <w:b w:val="0"/>
                      <w:bCs w:val="0"/>
                      <w:highlight w:val="none"/>
                      <w:u w:val="none"/>
                      <w:lang w:val="en-US" w:eastAsia="zh-CN"/>
                    </w:rPr>
                  </w:pPr>
                  <w:r>
                    <w:rPr>
                      <w:rFonts w:hint="eastAsia"/>
                      <w:b w:val="0"/>
                      <w:bCs w:val="0"/>
                      <w:highlight w:val="none"/>
                      <w:u w:val="none"/>
                      <w:lang w:val="en-US" w:eastAsia="zh-CN"/>
                    </w:rPr>
                    <w:t>无水氯化钙</w:t>
                  </w:r>
                </w:p>
              </w:tc>
              <w:tc>
                <w:tcPr>
                  <w:tcW w:w="1015" w:type="pct"/>
                  <w:vAlign w:val="center"/>
                </w:tcPr>
                <w:p>
                  <w:pPr>
                    <w:pStyle w:val="29"/>
                    <w:bidi w:val="0"/>
                    <w:rPr>
                      <w:rFonts w:hint="default"/>
                      <w:b w:val="0"/>
                      <w:bCs w:val="0"/>
                      <w:highlight w:val="none"/>
                      <w:u w:val="none"/>
                      <w:lang w:val="en-US" w:eastAsia="zh-CN"/>
                    </w:rPr>
                  </w:pPr>
                  <w:r>
                    <w:rPr>
                      <w:rFonts w:hint="eastAsia"/>
                      <w:b w:val="0"/>
                      <w:bCs w:val="0"/>
                      <w:highlight w:val="none"/>
                      <w:u w:val="none"/>
                      <w:lang w:val="en-US" w:eastAsia="zh-CN"/>
                    </w:rPr>
                    <w:t>0.3</w:t>
                  </w:r>
                </w:p>
              </w:tc>
              <w:tc>
                <w:tcPr>
                  <w:tcW w:w="1325" w:type="pct"/>
                  <w:vAlign w:val="center"/>
                </w:tcPr>
                <w:p>
                  <w:pPr>
                    <w:pStyle w:val="29"/>
                    <w:bidi w:val="0"/>
                    <w:rPr>
                      <w:rFonts w:hint="eastAsia"/>
                      <w:b w:val="0"/>
                      <w:bCs w:val="0"/>
                      <w:highlight w:val="none"/>
                      <w:u w:val="none"/>
                      <w:lang w:eastAsia="zh-CN"/>
                    </w:rPr>
                  </w:pPr>
                  <w:r>
                    <w:rPr>
                      <w:rFonts w:hint="eastAsia"/>
                      <w:b w:val="0"/>
                      <w:bCs w:val="0"/>
                      <w:highlight w:val="none"/>
                      <w:u w:val="none"/>
                      <w:lang w:eastAsia="zh-CN"/>
                    </w:rPr>
                    <w:t>外购</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557" w:type="pct"/>
                  <w:vMerge w:val="restart"/>
                  <w:vAlign w:val="center"/>
                </w:tcPr>
                <w:p>
                  <w:pPr>
                    <w:pStyle w:val="29"/>
                    <w:bidi w:val="0"/>
                    <w:rPr>
                      <w:b w:val="0"/>
                      <w:bCs w:val="0"/>
                      <w:highlight w:val="none"/>
                      <w:u w:val="none"/>
                    </w:rPr>
                  </w:pPr>
                  <w:r>
                    <w:rPr>
                      <w:rFonts w:hint="eastAsia"/>
                      <w:b w:val="0"/>
                      <w:bCs w:val="0"/>
                      <w:highlight w:val="none"/>
                      <w:u w:val="none"/>
                    </w:rPr>
                    <w:t>能耗</w:t>
                  </w:r>
                </w:p>
              </w:tc>
              <w:tc>
                <w:tcPr>
                  <w:tcW w:w="622" w:type="pct"/>
                  <w:vAlign w:val="center"/>
                </w:tcPr>
                <w:p>
                  <w:pPr>
                    <w:pStyle w:val="29"/>
                    <w:bidi w:val="0"/>
                    <w:rPr>
                      <w:rFonts w:hint="default"/>
                      <w:b w:val="0"/>
                      <w:bCs w:val="0"/>
                      <w:highlight w:val="none"/>
                      <w:u w:val="none"/>
                      <w:lang w:val="en-US" w:eastAsia="zh-CN"/>
                    </w:rPr>
                  </w:pPr>
                  <w:r>
                    <w:rPr>
                      <w:rFonts w:hint="eastAsia"/>
                      <w:b w:val="0"/>
                      <w:bCs w:val="0"/>
                      <w:highlight w:val="none"/>
                      <w:u w:val="none"/>
                      <w:lang w:val="en-US" w:eastAsia="zh-CN"/>
                    </w:rPr>
                    <w:t>1</w:t>
                  </w:r>
                </w:p>
              </w:tc>
              <w:tc>
                <w:tcPr>
                  <w:tcW w:w="1478" w:type="pct"/>
                  <w:vAlign w:val="center"/>
                </w:tcPr>
                <w:p>
                  <w:pPr>
                    <w:pStyle w:val="29"/>
                    <w:bidi w:val="0"/>
                    <w:rPr>
                      <w:rFonts w:hint="eastAsia"/>
                      <w:b w:val="0"/>
                      <w:bCs w:val="0"/>
                      <w:highlight w:val="none"/>
                      <w:u w:val="none"/>
                    </w:rPr>
                  </w:pPr>
                  <w:r>
                    <w:rPr>
                      <w:rFonts w:hint="eastAsia"/>
                      <w:b w:val="0"/>
                      <w:bCs w:val="0"/>
                      <w:highlight w:val="none"/>
                      <w:u w:val="none"/>
                    </w:rPr>
                    <w:t>水</w:t>
                  </w:r>
                </w:p>
              </w:tc>
              <w:tc>
                <w:tcPr>
                  <w:tcW w:w="1015" w:type="pct"/>
                  <w:vAlign w:val="center"/>
                </w:tcPr>
                <w:p>
                  <w:pPr>
                    <w:pStyle w:val="29"/>
                    <w:bidi w:val="0"/>
                    <w:rPr>
                      <w:rFonts w:hint="default"/>
                      <w:b w:val="0"/>
                      <w:bCs w:val="0"/>
                      <w:highlight w:val="none"/>
                      <w:u w:val="none"/>
                      <w:lang w:val="en-US" w:eastAsia="zh-CN"/>
                    </w:rPr>
                  </w:pPr>
                  <w:r>
                    <w:rPr>
                      <w:rFonts w:hint="eastAsia"/>
                      <w:b w:val="0"/>
                      <w:bCs w:val="0"/>
                      <w:highlight w:val="none"/>
                      <w:u w:val="none"/>
                      <w:lang w:val="en-US" w:eastAsia="zh-CN"/>
                    </w:rPr>
                    <w:t>5040</w:t>
                  </w:r>
                </w:p>
              </w:tc>
              <w:tc>
                <w:tcPr>
                  <w:tcW w:w="1325" w:type="pct"/>
                  <w:vAlign w:val="center"/>
                </w:tcPr>
                <w:p>
                  <w:pPr>
                    <w:pStyle w:val="29"/>
                    <w:bidi w:val="0"/>
                    <w:rPr>
                      <w:rFonts w:hint="eastAsia"/>
                      <w:b w:val="0"/>
                      <w:bCs w:val="0"/>
                      <w:highlight w:val="none"/>
                      <w:u w:val="none"/>
                      <w:lang w:eastAsia="zh-CN"/>
                    </w:rPr>
                  </w:pPr>
                  <w:r>
                    <w:rPr>
                      <w:rFonts w:hint="eastAsia"/>
                      <w:b w:val="0"/>
                      <w:bCs w:val="0"/>
                      <w:highlight w:val="none"/>
                      <w:u w:val="none"/>
                      <w:lang w:eastAsia="zh-CN"/>
                    </w:rPr>
                    <w:t>自备井</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557" w:type="pct"/>
                  <w:vMerge w:val="continue"/>
                  <w:vAlign w:val="center"/>
                </w:tcPr>
                <w:p>
                  <w:pPr>
                    <w:pStyle w:val="29"/>
                    <w:bidi w:val="0"/>
                    <w:rPr>
                      <w:b w:val="0"/>
                      <w:bCs w:val="0"/>
                      <w:highlight w:val="none"/>
                      <w:u w:val="none"/>
                    </w:rPr>
                  </w:pPr>
                </w:p>
              </w:tc>
              <w:tc>
                <w:tcPr>
                  <w:tcW w:w="622" w:type="pct"/>
                  <w:vAlign w:val="center"/>
                </w:tcPr>
                <w:p>
                  <w:pPr>
                    <w:pStyle w:val="29"/>
                    <w:bidi w:val="0"/>
                    <w:rPr>
                      <w:rFonts w:hint="default"/>
                      <w:b w:val="0"/>
                      <w:bCs w:val="0"/>
                      <w:highlight w:val="none"/>
                      <w:u w:val="none"/>
                      <w:lang w:val="en-US" w:eastAsia="zh-CN"/>
                    </w:rPr>
                  </w:pPr>
                  <w:r>
                    <w:rPr>
                      <w:rFonts w:hint="eastAsia"/>
                      <w:b w:val="0"/>
                      <w:bCs w:val="0"/>
                      <w:highlight w:val="none"/>
                      <w:u w:val="none"/>
                      <w:lang w:val="en-US" w:eastAsia="zh-CN"/>
                    </w:rPr>
                    <w:t>2</w:t>
                  </w:r>
                </w:p>
              </w:tc>
              <w:tc>
                <w:tcPr>
                  <w:tcW w:w="1478" w:type="pct"/>
                  <w:vAlign w:val="center"/>
                </w:tcPr>
                <w:p>
                  <w:pPr>
                    <w:pStyle w:val="29"/>
                    <w:bidi w:val="0"/>
                    <w:rPr>
                      <w:b w:val="0"/>
                      <w:bCs w:val="0"/>
                      <w:highlight w:val="none"/>
                      <w:u w:val="none"/>
                    </w:rPr>
                  </w:pPr>
                  <w:r>
                    <w:rPr>
                      <w:rFonts w:hint="eastAsia"/>
                      <w:b w:val="0"/>
                      <w:bCs w:val="0"/>
                      <w:highlight w:val="none"/>
                      <w:u w:val="none"/>
                    </w:rPr>
                    <w:t>电</w:t>
                  </w:r>
                </w:p>
              </w:tc>
              <w:tc>
                <w:tcPr>
                  <w:tcW w:w="1015" w:type="pct"/>
                  <w:vAlign w:val="center"/>
                </w:tcPr>
                <w:p>
                  <w:pPr>
                    <w:pStyle w:val="29"/>
                    <w:bidi w:val="0"/>
                    <w:rPr>
                      <w:rFonts w:hint="default"/>
                      <w:b w:val="0"/>
                      <w:bCs w:val="0"/>
                      <w:highlight w:val="none"/>
                      <w:u w:val="none"/>
                      <w:lang w:val="en-US" w:eastAsia="zh-CN"/>
                    </w:rPr>
                  </w:pPr>
                  <w:r>
                    <w:rPr>
                      <w:rFonts w:hint="eastAsia"/>
                      <w:b w:val="0"/>
                      <w:bCs w:val="0"/>
                      <w:highlight w:val="none"/>
                      <w:u w:val="none"/>
                      <w:lang w:val="en-US" w:eastAsia="zh-CN"/>
                    </w:rPr>
                    <w:t>5</w:t>
                  </w:r>
                  <w:r>
                    <w:rPr>
                      <w:rFonts w:hint="eastAsia"/>
                      <w:b w:val="0"/>
                      <w:bCs w:val="0"/>
                      <w:highlight w:val="none"/>
                      <w:u w:val="none"/>
                      <w:lang w:eastAsia="zh-CN"/>
                    </w:rPr>
                    <w:t>万</w:t>
                  </w:r>
                  <w:r>
                    <w:rPr>
                      <w:rFonts w:hint="eastAsia"/>
                      <w:b w:val="0"/>
                      <w:bCs w:val="0"/>
                      <w:highlight w:val="none"/>
                      <w:u w:val="none"/>
                      <w:lang w:val="en-US" w:eastAsia="zh-CN"/>
                    </w:rPr>
                    <w:t>kw·h</w:t>
                  </w:r>
                </w:p>
              </w:tc>
              <w:tc>
                <w:tcPr>
                  <w:tcW w:w="1325" w:type="pct"/>
                  <w:vAlign w:val="center"/>
                </w:tcPr>
                <w:p>
                  <w:pPr>
                    <w:pStyle w:val="29"/>
                    <w:bidi w:val="0"/>
                    <w:rPr>
                      <w:b w:val="0"/>
                      <w:bCs w:val="0"/>
                      <w:highlight w:val="none"/>
                      <w:u w:val="none"/>
                    </w:rPr>
                  </w:pPr>
                  <w:r>
                    <w:rPr>
                      <w:rFonts w:hint="eastAsia"/>
                      <w:b w:val="0"/>
                      <w:bCs w:val="0"/>
                      <w:highlight w:val="none"/>
                      <w:u w:val="none"/>
                      <w:lang w:eastAsia="zh-CN"/>
                    </w:rPr>
                    <w:t>大召营镇供电所</w:t>
                  </w:r>
                  <w:r>
                    <w:rPr>
                      <w:rFonts w:hint="eastAsia"/>
                      <w:b w:val="0"/>
                      <w:bCs w:val="0"/>
                      <w:highlight w:val="none"/>
                      <w:u w:val="none"/>
                    </w:rPr>
                    <w:t>供电</w:t>
                  </w:r>
                </w:p>
              </w:tc>
            </w:tr>
          </w:tbl>
          <w:p>
            <w:pPr>
              <w:bidi w:val="0"/>
              <w:rPr>
                <w:rFonts w:hint="eastAsia"/>
                <w:b w:val="0"/>
                <w:bCs w:val="0"/>
                <w:highlight w:val="none"/>
                <w:u w:val="none"/>
                <w:lang w:eastAsia="zh-CN"/>
              </w:rPr>
            </w:pPr>
            <w:r>
              <w:rPr>
                <w:rFonts w:hint="eastAsia"/>
                <w:b w:val="0"/>
                <w:bCs w:val="0"/>
                <w:highlight w:val="none"/>
                <w:u w:val="none"/>
                <w:lang w:val="en-US" w:eastAsia="zh-CN"/>
              </w:rPr>
              <w:t>注：</w:t>
            </w:r>
            <w:r>
              <w:rPr>
                <w:rFonts w:hint="eastAsia"/>
                <w:b w:val="0"/>
                <w:bCs w:val="0"/>
                <w:highlight w:val="none"/>
                <w:u w:val="none"/>
                <w:lang w:eastAsia="zh-CN"/>
              </w:rPr>
              <w:t>由于电石易与空气中的水分进行反应，所以电石贮存过程中采用塑料薄膜密封，并使用密封铁桶储存于仓库。</w:t>
            </w:r>
          </w:p>
          <w:p>
            <w:pPr>
              <w:bidi w:val="0"/>
              <w:rPr>
                <w:rFonts w:hint="default"/>
                <w:b w:val="0"/>
                <w:bCs w:val="0"/>
                <w:highlight w:val="none"/>
                <w:u w:val="none"/>
              </w:rPr>
            </w:pPr>
            <w:r>
              <w:rPr>
                <w:rFonts w:hint="eastAsia"/>
                <w:b w:val="0"/>
                <w:bCs w:val="0"/>
                <w:highlight w:val="none"/>
                <w:u w:val="none"/>
                <w:lang w:eastAsia="zh-CN"/>
              </w:rPr>
              <w:t>现有项目</w:t>
            </w:r>
            <w:r>
              <w:rPr>
                <w:rFonts w:hint="default"/>
                <w:b w:val="0"/>
                <w:bCs w:val="0"/>
                <w:highlight w:val="none"/>
                <w:u w:val="none"/>
              </w:rPr>
              <w:t>生产设备见</w:t>
            </w:r>
            <w:r>
              <w:rPr>
                <w:rFonts w:hint="eastAsia"/>
                <w:b w:val="0"/>
                <w:bCs w:val="0"/>
                <w:highlight w:val="none"/>
                <w:u w:val="none"/>
                <w:lang w:eastAsia="zh-CN"/>
              </w:rPr>
              <w:t>下表</w:t>
            </w:r>
            <w:r>
              <w:rPr>
                <w:rFonts w:hint="default"/>
                <w:b w:val="0"/>
                <w:bCs w:val="0"/>
                <w:highlight w:val="none"/>
                <w:u w:val="none"/>
              </w:rPr>
              <w:t>：</w:t>
            </w:r>
          </w:p>
          <w:p>
            <w:pPr>
              <w:pStyle w:val="29"/>
              <w:bidi w:val="0"/>
              <w:rPr>
                <w:rFonts w:hint="default"/>
                <w:b w:val="0"/>
                <w:bCs w:val="0"/>
                <w:sz w:val="24"/>
                <w:szCs w:val="24"/>
                <w:highlight w:val="none"/>
                <w:u w:val="none"/>
              </w:rPr>
            </w:pPr>
            <w:r>
              <w:rPr>
                <w:rFonts w:hint="default"/>
                <w:b w:val="0"/>
                <w:bCs w:val="0"/>
                <w:sz w:val="24"/>
                <w:szCs w:val="24"/>
                <w:highlight w:val="none"/>
                <w:u w:val="none"/>
              </w:rPr>
              <w:t>表</w:t>
            </w:r>
            <w:r>
              <w:rPr>
                <w:rFonts w:hint="eastAsia"/>
                <w:b w:val="0"/>
                <w:bCs w:val="0"/>
                <w:sz w:val="24"/>
                <w:szCs w:val="24"/>
                <w:highlight w:val="none"/>
                <w:u w:val="none"/>
                <w:lang w:val="en-US" w:eastAsia="zh-CN"/>
              </w:rPr>
              <w:t>20</w:t>
            </w:r>
            <w:r>
              <w:rPr>
                <w:rFonts w:hint="default"/>
                <w:b w:val="0"/>
                <w:bCs w:val="0"/>
                <w:sz w:val="24"/>
                <w:szCs w:val="24"/>
                <w:highlight w:val="none"/>
                <w:u w:val="none"/>
              </w:rPr>
              <w:t xml:space="preserve"> </w:t>
            </w:r>
            <w:r>
              <w:rPr>
                <w:rFonts w:hint="eastAsia"/>
                <w:b w:val="0"/>
                <w:bCs w:val="0"/>
                <w:sz w:val="24"/>
                <w:szCs w:val="24"/>
                <w:highlight w:val="none"/>
                <w:u w:val="none"/>
                <w:lang w:val="en-US" w:eastAsia="zh-CN"/>
              </w:rPr>
              <w:t>现</w:t>
            </w:r>
            <w:r>
              <w:rPr>
                <w:rFonts w:hint="default"/>
                <w:b w:val="0"/>
                <w:bCs w:val="0"/>
                <w:sz w:val="24"/>
                <w:szCs w:val="24"/>
                <w:highlight w:val="none"/>
                <w:u w:val="none"/>
              </w:rPr>
              <w:t>有工程生产设备一览表</w:t>
            </w:r>
          </w:p>
          <w:tbl>
            <w:tblPr>
              <w:tblStyle w:val="22"/>
              <w:tblW w:w="4999"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1361"/>
              <w:gridCol w:w="2928"/>
              <w:gridCol w:w="2145"/>
              <w:gridCol w:w="2145"/>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793" w:type="pct"/>
                  <w:tcBorders>
                    <w:tl2br w:val="nil"/>
                    <w:tr2bl w:val="nil"/>
                  </w:tcBorders>
                </w:tcPr>
                <w:p>
                  <w:pPr>
                    <w:pStyle w:val="29"/>
                    <w:bidi w:val="0"/>
                    <w:rPr>
                      <w:b w:val="0"/>
                      <w:bCs w:val="0"/>
                      <w:highlight w:val="none"/>
                      <w:u w:val="none"/>
                    </w:rPr>
                  </w:pPr>
                  <w:r>
                    <w:rPr>
                      <w:rFonts w:hint="eastAsia"/>
                      <w:b w:val="0"/>
                      <w:bCs w:val="0"/>
                      <w:highlight w:val="none"/>
                      <w:u w:val="none"/>
                    </w:rPr>
                    <w:t>序号</w:t>
                  </w:r>
                </w:p>
              </w:tc>
              <w:tc>
                <w:tcPr>
                  <w:tcW w:w="1706" w:type="pct"/>
                  <w:tcBorders>
                    <w:tl2br w:val="nil"/>
                    <w:tr2bl w:val="nil"/>
                  </w:tcBorders>
                </w:tcPr>
                <w:p>
                  <w:pPr>
                    <w:pStyle w:val="29"/>
                    <w:bidi w:val="0"/>
                    <w:rPr>
                      <w:b w:val="0"/>
                      <w:bCs w:val="0"/>
                      <w:highlight w:val="none"/>
                      <w:u w:val="none"/>
                    </w:rPr>
                  </w:pPr>
                  <w:r>
                    <w:rPr>
                      <w:rFonts w:hint="eastAsia"/>
                      <w:b w:val="0"/>
                      <w:bCs w:val="0"/>
                      <w:highlight w:val="none"/>
                      <w:u w:val="none"/>
                    </w:rPr>
                    <w:t>设备名称</w:t>
                  </w:r>
                </w:p>
              </w:tc>
              <w:tc>
                <w:tcPr>
                  <w:tcW w:w="1250" w:type="pct"/>
                  <w:tcBorders>
                    <w:tl2br w:val="nil"/>
                    <w:tr2bl w:val="nil"/>
                  </w:tcBorders>
                </w:tcPr>
                <w:p>
                  <w:pPr>
                    <w:pStyle w:val="29"/>
                    <w:bidi w:val="0"/>
                    <w:rPr>
                      <w:b w:val="0"/>
                      <w:bCs w:val="0"/>
                      <w:highlight w:val="none"/>
                      <w:u w:val="none"/>
                    </w:rPr>
                  </w:pPr>
                  <w:r>
                    <w:rPr>
                      <w:rFonts w:hint="eastAsia"/>
                      <w:b w:val="0"/>
                      <w:bCs w:val="0"/>
                      <w:highlight w:val="none"/>
                      <w:u w:val="none"/>
                    </w:rPr>
                    <w:t>型号</w:t>
                  </w:r>
                </w:p>
              </w:tc>
              <w:tc>
                <w:tcPr>
                  <w:tcW w:w="1250" w:type="pct"/>
                  <w:tcBorders>
                    <w:tl2br w:val="nil"/>
                    <w:tr2bl w:val="nil"/>
                  </w:tcBorders>
                </w:tcPr>
                <w:p>
                  <w:pPr>
                    <w:pStyle w:val="29"/>
                    <w:bidi w:val="0"/>
                    <w:rPr>
                      <w:b w:val="0"/>
                      <w:bCs w:val="0"/>
                      <w:highlight w:val="none"/>
                      <w:u w:val="none"/>
                    </w:rPr>
                  </w:pPr>
                  <w:r>
                    <w:rPr>
                      <w:rFonts w:hint="eastAsia"/>
                      <w:b w:val="0"/>
                      <w:bCs w:val="0"/>
                      <w:highlight w:val="none"/>
                      <w:u w:val="none"/>
                    </w:rPr>
                    <w:t>台数</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793" w:type="pct"/>
                  <w:tcBorders>
                    <w:tl2br w:val="nil"/>
                    <w:tr2bl w:val="nil"/>
                  </w:tcBorders>
                </w:tcPr>
                <w:p>
                  <w:pPr>
                    <w:pStyle w:val="29"/>
                    <w:bidi w:val="0"/>
                    <w:rPr>
                      <w:b w:val="0"/>
                      <w:bCs w:val="0"/>
                      <w:highlight w:val="none"/>
                      <w:u w:val="none"/>
                    </w:rPr>
                  </w:pPr>
                  <w:r>
                    <w:rPr>
                      <w:rFonts w:hint="eastAsia"/>
                      <w:b w:val="0"/>
                      <w:bCs w:val="0"/>
                      <w:highlight w:val="none"/>
                      <w:u w:val="none"/>
                    </w:rPr>
                    <w:t>1</w:t>
                  </w:r>
                </w:p>
              </w:tc>
              <w:tc>
                <w:tcPr>
                  <w:tcW w:w="1706" w:type="pct"/>
                  <w:tcBorders>
                    <w:tl2br w:val="nil"/>
                    <w:tr2bl w:val="nil"/>
                  </w:tcBorders>
                </w:tcPr>
                <w:p>
                  <w:pPr>
                    <w:pStyle w:val="29"/>
                    <w:bidi w:val="0"/>
                    <w:rPr>
                      <w:rFonts w:hint="default"/>
                      <w:b w:val="0"/>
                      <w:bCs w:val="0"/>
                      <w:highlight w:val="none"/>
                      <w:u w:val="none"/>
                      <w:lang w:val="en-US" w:eastAsia="zh-CN"/>
                    </w:rPr>
                  </w:pPr>
                  <w:r>
                    <w:rPr>
                      <w:rFonts w:hint="eastAsia"/>
                      <w:b w:val="0"/>
                      <w:bCs w:val="0"/>
                      <w:highlight w:val="none"/>
                      <w:u w:val="none"/>
                      <w:lang w:val="en-US" w:eastAsia="zh-CN"/>
                    </w:rPr>
                    <w:t>低压乙炔发生器</w:t>
                  </w:r>
                </w:p>
              </w:tc>
              <w:tc>
                <w:tcPr>
                  <w:tcW w:w="1250" w:type="pct"/>
                  <w:tcBorders>
                    <w:tl2br w:val="nil"/>
                    <w:tr2bl w:val="nil"/>
                  </w:tcBorders>
                </w:tcPr>
                <w:p>
                  <w:pPr>
                    <w:pStyle w:val="29"/>
                    <w:bidi w:val="0"/>
                    <w:rPr>
                      <w:rFonts w:hint="default"/>
                      <w:b w:val="0"/>
                      <w:bCs w:val="0"/>
                      <w:highlight w:val="none"/>
                      <w:u w:val="none"/>
                      <w:lang w:val="en-US" w:eastAsia="zh-CN"/>
                    </w:rPr>
                  </w:pPr>
                  <w:r>
                    <w:rPr>
                      <w:rFonts w:hint="eastAsia"/>
                      <w:b w:val="0"/>
                      <w:bCs w:val="0"/>
                      <w:highlight w:val="none"/>
                      <w:u w:val="none"/>
                      <w:lang w:val="en-US" w:eastAsia="zh-CN"/>
                    </w:rPr>
                    <w:t>CYDS-100</w:t>
                  </w:r>
                </w:p>
              </w:tc>
              <w:tc>
                <w:tcPr>
                  <w:tcW w:w="1250" w:type="pct"/>
                  <w:tcBorders>
                    <w:tl2br w:val="nil"/>
                    <w:tr2bl w:val="nil"/>
                  </w:tcBorders>
                </w:tcPr>
                <w:p>
                  <w:pPr>
                    <w:pStyle w:val="29"/>
                    <w:bidi w:val="0"/>
                    <w:rPr>
                      <w:rFonts w:hint="default"/>
                      <w:b w:val="0"/>
                      <w:bCs w:val="0"/>
                      <w:highlight w:val="none"/>
                      <w:u w:val="none"/>
                      <w:lang w:val="en-US" w:eastAsia="zh-CN"/>
                    </w:rPr>
                  </w:pPr>
                  <w:r>
                    <w:rPr>
                      <w:rFonts w:hint="eastAsia"/>
                      <w:b w:val="0"/>
                      <w:bCs w:val="0"/>
                      <w:highlight w:val="none"/>
                      <w:u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793" w:type="pct"/>
                  <w:tcBorders>
                    <w:tl2br w:val="nil"/>
                    <w:tr2bl w:val="nil"/>
                  </w:tcBorders>
                </w:tcPr>
                <w:p>
                  <w:pPr>
                    <w:pStyle w:val="29"/>
                    <w:bidi w:val="0"/>
                    <w:rPr>
                      <w:b w:val="0"/>
                      <w:bCs w:val="0"/>
                      <w:highlight w:val="none"/>
                      <w:u w:val="none"/>
                    </w:rPr>
                  </w:pPr>
                  <w:r>
                    <w:rPr>
                      <w:rFonts w:hint="eastAsia"/>
                      <w:b w:val="0"/>
                      <w:bCs w:val="0"/>
                      <w:highlight w:val="none"/>
                      <w:u w:val="none"/>
                    </w:rPr>
                    <w:t>2</w:t>
                  </w:r>
                </w:p>
              </w:tc>
              <w:tc>
                <w:tcPr>
                  <w:tcW w:w="1706" w:type="pct"/>
                  <w:tcBorders>
                    <w:tl2br w:val="nil"/>
                    <w:tr2bl w:val="nil"/>
                  </w:tcBorders>
                </w:tcPr>
                <w:p>
                  <w:pPr>
                    <w:pStyle w:val="29"/>
                    <w:bidi w:val="0"/>
                    <w:rPr>
                      <w:rFonts w:hint="eastAsia"/>
                      <w:b w:val="0"/>
                      <w:bCs w:val="0"/>
                      <w:highlight w:val="none"/>
                      <w:u w:val="none"/>
                      <w:lang w:eastAsia="zh-CN"/>
                    </w:rPr>
                  </w:pPr>
                  <w:r>
                    <w:rPr>
                      <w:rFonts w:hint="eastAsia"/>
                      <w:b w:val="0"/>
                      <w:bCs w:val="0"/>
                      <w:highlight w:val="none"/>
                      <w:u w:val="none"/>
                      <w:lang w:eastAsia="zh-CN"/>
                    </w:rPr>
                    <w:t>防爆电动葫芦</w:t>
                  </w:r>
                </w:p>
              </w:tc>
              <w:tc>
                <w:tcPr>
                  <w:tcW w:w="1250" w:type="pct"/>
                  <w:tcBorders>
                    <w:tl2br w:val="nil"/>
                    <w:tr2bl w:val="nil"/>
                  </w:tcBorders>
                </w:tcPr>
                <w:p>
                  <w:pPr>
                    <w:pStyle w:val="29"/>
                    <w:bidi w:val="0"/>
                    <w:rPr>
                      <w:rFonts w:hint="default"/>
                      <w:b w:val="0"/>
                      <w:bCs w:val="0"/>
                      <w:highlight w:val="none"/>
                      <w:u w:val="none"/>
                      <w:lang w:val="en-US" w:eastAsia="zh-CN"/>
                    </w:rPr>
                  </w:pPr>
                  <w:r>
                    <w:rPr>
                      <w:rFonts w:hint="eastAsia"/>
                      <w:b w:val="0"/>
                      <w:bCs w:val="0"/>
                      <w:highlight w:val="none"/>
                      <w:u w:val="none"/>
                      <w:lang w:val="en-US" w:eastAsia="zh-CN"/>
                    </w:rPr>
                    <w:t>/</w:t>
                  </w:r>
                </w:p>
              </w:tc>
              <w:tc>
                <w:tcPr>
                  <w:tcW w:w="1250" w:type="pct"/>
                  <w:tcBorders>
                    <w:tl2br w:val="nil"/>
                    <w:tr2bl w:val="nil"/>
                  </w:tcBorders>
                </w:tcPr>
                <w:p>
                  <w:pPr>
                    <w:pStyle w:val="29"/>
                    <w:bidi w:val="0"/>
                    <w:rPr>
                      <w:rFonts w:hint="default"/>
                      <w:b w:val="0"/>
                      <w:bCs w:val="0"/>
                      <w:highlight w:val="none"/>
                      <w:u w:val="none"/>
                      <w:lang w:val="en-US" w:eastAsia="zh-CN"/>
                    </w:rPr>
                  </w:pPr>
                  <w:r>
                    <w:rPr>
                      <w:rFonts w:hint="eastAsia"/>
                      <w:b w:val="0"/>
                      <w:bCs w:val="0"/>
                      <w:highlight w:val="none"/>
                      <w:u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793" w:type="pct"/>
                  <w:tcBorders>
                    <w:tl2br w:val="nil"/>
                    <w:tr2bl w:val="nil"/>
                  </w:tcBorders>
                </w:tcPr>
                <w:p>
                  <w:pPr>
                    <w:pStyle w:val="29"/>
                    <w:bidi w:val="0"/>
                    <w:rPr>
                      <w:b w:val="0"/>
                      <w:bCs w:val="0"/>
                      <w:highlight w:val="none"/>
                      <w:u w:val="none"/>
                    </w:rPr>
                  </w:pPr>
                  <w:r>
                    <w:rPr>
                      <w:rFonts w:hint="eastAsia"/>
                      <w:b w:val="0"/>
                      <w:bCs w:val="0"/>
                      <w:highlight w:val="none"/>
                      <w:u w:val="none"/>
                    </w:rPr>
                    <w:t>3</w:t>
                  </w:r>
                </w:p>
              </w:tc>
              <w:tc>
                <w:tcPr>
                  <w:tcW w:w="1706" w:type="pct"/>
                  <w:tcBorders>
                    <w:tl2br w:val="nil"/>
                    <w:tr2bl w:val="nil"/>
                  </w:tcBorders>
                </w:tcPr>
                <w:p>
                  <w:pPr>
                    <w:pStyle w:val="29"/>
                    <w:bidi w:val="0"/>
                    <w:rPr>
                      <w:rFonts w:hint="eastAsia"/>
                      <w:b w:val="0"/>
                      <w:bCs w:val="0"/>
                      <w:highlight w:val="none"/>
                      <w:u w:val="none"/>
                      <w:lang w:val="en-US" w:eastAsia="zh-CN"/>
                    </w:rPr>
                  </w:pPr>
                  <w:r>
                    <w:rPr>
                      <w:rFonts w:hint="eastAsia"/>
                      <w:b w:val="0"/>
                      <w:bCs w:val="0"/>
                      <w:highlight w:val="none"/>
                      <w:u w:val="none"/>
                      <w:lang w:val="en-US" w:eastAsia="zh-CN"/>
                    </w:rPr>
                    <w:t>洗涤器</w:t>
                  </w:r>
                </w:p>
              </w:tc>
              <w:tc>
                <w:tcPr>
                  <w:tcW w:w="1250" w:type="pct"/>
                  <w:tcBorders>
                    <w:tl2br w:val="nil"/>
                    <w:tr2bl w:val="nil"/>
                  </w:tcBorders>
                </w:tcPr>
                <w:p>
                  <w:pPr>
                    <w:pStyle w:val="29"/>
                    <w:bidi w:val="0"/>
                    <w:rPr>
                      <w:rFonts w:hint="default"/>
                      <w:b w:val="0"/>
                      <w:bCs w:val="0"/>
                      <w:highlight w:val="none"/>
                      <w:u w:val="none"/>
                      <w:lang w:val="en-US" w:eastAsia="zh-CN"/>
                    </w:rPr>
                  </w:pPr>
                  <w:r>
                    <w:rPr>
                      <w:rFonts w:hint="eastAsia"/>
                      <w:b w:val="0"/>
                      <w:bCs w:val="0"/>
                      <w:highlight w:val="none"/>
                      <w:u w:val="none"/>
                      <w:lang w:val="en-US" w:eastAsia="zh-CN"/>
                    </w:rPr>
                    <w:t>/</w:t>
                  </w:r>
                </w:p>
              </w:tc>
              <w:tc>
                <w:tcPr>
                  <w:tcW w:w="1250" w:type="pct"/>
                  <w:tcBorders>
                    <w:tl2br w:val="nil"/>
                    <w:tr2bl w:val="nil"/>
                  </w:tcBorders>
                </w:tcPr>
                <w:p>
                  <w:pPr>
                    <w:pStyle w:val="29"/>
                    <w:bidi w:val="0"/>
                    <w:rPr>
                      <w:rFonts w:hint="default"/>
                      <w:b w:val="0"/>
                      <w:bCs w:val="0"/>
                      <w:highlight w:val="none"/>
                      <w:u w:val="none"/>
                      <w:lang w:val="en-US" w:eastAsia="zh-CN"/>
                    </w:rPr>
                  </w:pPr>
                  <w:r>
                    <w:rPr>
                      <w:rFonts w:hint="eastAsia"/>
                      <w:b w:val="0"/>
                      <w:bCs w:val="0"/>
                      <w:highlight w:val="none"/>
                      <w:u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793" w:type="pct"/>
                  <w:tcBorders>
                    <w:tl2br w:val="nil"/>
                    <w:tr2bl w:val="nil"/>
                  </w:tcBorders>
                </w:tcPr>
                <w:p>
                  <w:pPr>
                    <w:pStyle w:val="29"/>
                    <w:bidi w:val="0"/>
                    <w:rPr>
                      <w:rFonts w:hint="eastAsia"/>
                      <w:b w:val="0"/>
                      <w:bCs w:val="0"/>
                      <w:highlight w:val="none"/>
                      <w:u w:val="none"/>
                      <w:lang w:val="en-US" w:eastAsia="zh-CN"/>
                    </w:rPr>
                  </w:pPr>
                  <w:r>
                    <w:rPr>
                      <w:rFonts w:hint="eastAsia"/>
                      <w:b w:val="0"/>
                      <w:bCs w:val="0"/>
                      <w:highlight w:val="none"/>
                      <w:u w:val="none"/>
                      <w:lang w:val="en-US" w:eastAsia="zh-CN"/>
                    </w:rPr>
                    <w:t>4</w:t>
                  </w:r>
                </w:p>
              </w:tc>
              <w:tc>
                <w:tcPr>
                  <w:tcW w:w="1706" w:type="pct"/>
                  <w:tcBorders>
                    <w:tl2br w:val="nil"/>
                    <w:tr2bl w:val="nil"/>
                  </w:tcBorders>
                </w:tcPr>
                <w:p>
                  <w:pPr>
                    <w:pStyle w:val="29"/>
                    <w:bidi w:val="0"/>
                    <w:rPr>
                      <w:rFonts w:hint="eastAsia"/>
                      <w:b w:val="0"/>
                      <w:bCs w:val="0"/>
                      <w:highlight w:val="none"/>
                      <w:u w:val="none"/>
                      <w:lang w:val="en-US" w:eastAsia="zh-CN"/>
                    </w:rPr>
                  </w:pPr>
                  <w:r>
                    <w:rPr>
                      <w:rFonts w:hint="eastAsia"/>
                      <w:b w:val="0"/>
                      <w:bCs w:val="0"/>
                      <w:highlight w:val="none"/>
                      <w:u w:val="none"/>
                      <w:lang w:val="en-US" w:eastAsia="zh-CN"/>
                    </w:rPr>
                    <w:t>气水分离器</w:t>
                  </w:r>
                </w:p>
              </w:tc>
              <w:tc>
                <w:tcPr>
                  <w:tcW w:w="1250" w:type="pct"/>
                  <w:tcBorders>
                    <w:tl2br w:val="nil"/>
                    <w:tr2bl w:val="nil"/>
                  </w:tcBorders>
                </w:tcPr>
                <w:p>
                  <w:pPr>
                    <w:pStyle w:val="29"/>
                    <w:bidi w:val="0"/>
                    <w:rPr>
                      <w:rFonts w:hint="default"/>
                      <w:b w:val="0"/>
                      <w:bCs w:val="0"/>
                      <w:highlight w:val="none"/>
                      <w:u w:val="none"/>
                      <w:lang w:val="en-US" w:eastAsia="zh-CN"/>
                    </w:rPr>
                  </w:pPr>
                  <w:r>
                    <w:rPr>
                      <w:rFonts w:hint="eastAsia"/>
                      <w:b w:val="0"/>
                      <w:bCs w:val="0"/>
                      <w:highlight w:val="none"/>
                      <w:u w:val="none"/>
                      <w:lang w:val="en-US" w:eastAsia="zh-CN"/>
                    </w:rPr>
                    <w:t>/</w:t>
                  </w:r>
                </w:p>
              </w:tc>
              <w:tc>
                <w:tcPr>
                  <w:tcW w:w="1250" w:type="pct"/>
                  <w:tcBorders>
                    <w:tl2br w:val="nil"/>
                    <w:tr2bl w:val="nil"/>
                  </w:tcBorders>
                </w:tcPr>
                <w:p>
                  <w:pPr>
                    <w:pStyle w:val="29"/>
                    <w:bidi w:val="0"/>
                    <w:rPr>
                      <w:rFonts w:hint="default"/>
                      <w:b w:val="0"/>
                      <w:bCs w:val="0"/>
                      <w:highlight w:val="none"/>
                      <w:u w:val="none"/>
                      <w:lang w:val="en-US" w:eastAsia="zh-CN"/>
                    </w:rPr>
                  </w:pPr>
                  <w:r>
                    <w:rPr>
                      <w:rFonts w:hint="eastAsia"/>
                      <w:b w:val="0"/>
                      <w:bCs w:val="0"/>
                      <w:highlight w:val="none"/>
                      <w:u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793" w:type="pct"/>
                  <w:tcBorders>
                    <w:tl2br w:val="nil"/>
                    <w:tr2bl w:val="nil"/>
                  </w:tcBorders>
                </w:tcPr>
                <w:p>
                  <w:pPr>
                    <w:pStyle w:val="29"/>
                    <w:bidi w:val="0"/>
                    <w:rPr>
                      <w:rFonts w:hint="eastAsia"/>
                      <w:b w:val="0"/>
                      <w:bCs w:val="0"/>
                      <w:highlight w:val="none"/>
                      <w:u w:val="none"/>
                      <w:lang w:val="en-US" w:eastAsia="zh-CN"/>
                    </w:rPr>
                  </w:pPr>
                  <w:r>
                    <w:rPr>
                      <w:rFonts w:hint="eastAsia"/>
                      <w:b w:val="0"/>
                      <w:bCs w:val="0"/>
                      <w:highlight w:val="none"/>
                      <w:u w:val="none"/>
                      <w:lang w:val="en-US" w:eastAsia="zh-CN"/>
                    </w:rPr>
                    <w:t>5</w:t>
                  </w:r>
                </w:p>
              </w:tc>
              <w:tc>
                <w:tcPr>
                  <w:tcW w:w="1706" w:type="pct"/>
                  <w:tcBorders>
                    <w:tl2br w:val="nil"/>
                    <w:tr2bl w:val="nil"/>
                  </w:tcBorders>
                </w:tcPr>
                <w:p>
                  <w:pPr>
                    <w:pStyle w:val="29"/>
                    <w:bidi w:val="0"/>
                    <w:rPr>
                      <w:rFonts w:hint="default"/>
                      <w:b w:val="0"/>
                      <w:bCs w:val="0"/>
                      <w:highlight w:val="none"/>
                      <w:u w:val="none"/>
                      <w:lang w:val="en-US" w:eastAsia="zh-CN"/>
                    </w:rPr>
                  </w:pPr>
                  <w:r>
                    <w:rPr>
                      <w:rFonts w:hint="eastAsia"/>
                      <w:b w:val="0"/>
                      <w:bCs w:val="0"/>
                      <w:highlight w:val="none"/>
                      <w:u w:val="none"/>
                      <w:lang w:val="en-US" w:eastAsia="zh-CN"/>
                    </w:rPr>
                    <w:t>隔膜式乙炔压缩机</w:t>
                  </w:r>
                </w:p>
              </w:tc>
              <w:tc>
                <w:tcPr>
                  <w:tcW w:w="1250" w:type="pct"/>
                  <w:tcBorders>
                    <w:tl2br w:val="nil"/>
                    <w:tr2bl w:val="nil"/>
                  </w:tcBorders>
                </w:tcPr>
                <w:p>
                  <w:pPr>
                    <w:pStyle w:val="29"/>
                    <w:bidi w:val="0"/>
                    <w:rPr>
                      <w:rFonts w:hint="default"/>
                      <w:b w:val="0"/>
                      <w:bCs w:val="0"/>
                      <w:highlight w:val="none"/>
                      <w:u w:val="none"/>
                      <w:lang w:val="en-US" w:eastAsia="zh-CN"/>
                    </w:rPr>
                  </w:pPr>
                  <w:r>
                    <w:rPr>
                      <w:rFonts w:hint="eastAsia"/>
                      <w:b w:val="0"/>
                      <w:bCs w:val="0"/>
                      <w:highlight w:val="none"/>
                      <w:u w:val="none"/>
                      <w:lang w:val="en-US" w:eastAsia="zh-CN"/>
                    </w:rPr>
                    <w:t>YZY-20/25</w:t>
                  </w:r>
                </w:p>
              </w:tc>
              <w:tc>
                <w:tcPr>
                  <w:tcW w:w="1250" w:type="pct"/>
                  <w:tcBorders>
                    <w:tl2br w:val="nil"/>
                    <w:tr2bl w:val="nil"/>
                  </w:tcBorders>
                </w:tcPr>
                <w:p>
                  <w:pPr>
                    <w:pStyle w:val="29"/>
                    <w:bidi w:val="0"/>
                    <w:rPr>
                      <w:rFonts w:hint="default"/>
                      <w:b w:val="0"/>
                      <w:bCs w:val="0"/>
                      <w:highlight w:val="none"/>
                      <w:u w:val="none"/>
                      <w:lang w:val="en-US" w:eastAsia="zh-CN"/>
                    </w:rPr>
                  </w:pPr>
                  <w:r>
                    <w:rPr>
                      <w:rFonts w:hint="eastAsia"/>
                      <w:b w:val="0"/>
                      <w:bCs w:val="0"/>
                      <w:highlight w:val="none"/>
                      <w:u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793" w:type="pct"/>
                  <w:tcBorders>
                    <w:tl2br w:val="nil"/>
                    <w:tr2bl w:val="nil"/>
                  </w:tcBorders>
                </w:tcPr>
                <w:p>
                  <w:pPr>
                    <w:pStyle w:val="29"/>
                    <w:bidi w:val="0"/>
                    <w:rPr>
                      <w:rFonts w:hint="eastAsia"/>
                      <w:b w:val="0"/>
                      <w:bCs w:val="0"/>
                      <w:highlight w:val="none"/>
                      <w:u w:val="none"/>
                      <w:lang w:val="en-US" w:eastAsia="zh-CN"/>
                    </w:rPr>
                  </w:pPr>
                  <w:r>
                    <w:rPr>
                      <w:rFonts w:hint="eastAsia"/>
                      <w:b w:val="0"/>
                      <w:bCs w:val="0"/>
                      <w:highlight w:val="none"/>
                      <w:u w:val="none"/>
                      <w:lang w:val="en-US" w:eastAsia="zh-CN"/>
                    </w:rPr>
                    <w:t>6</w:t>
                  </w:r>
                </w:p>
              </w:tc>
              <w:tc>
                <w:tcPr>
                  <w:tcW w:w="1706" w:type="pct"/>
                  <w:tcBorders>
                    <w:tl2br w:val="nil"/>
                    <w:tr2bl w:val="nil"/>
                  </w:tcBorders>
                </w:tcPr>
                <w:p>
                  <w:pPr>
                    <w:pStyle w:val="29"/>
                    <w:bidi w:val="0"/>
                    <w:rPr>
                      <w:rFonts w:hint="default"/>
                      <w:b w:val="0"/>
                      <w:bCs w:val="0"/>
                      <w:highlight w:val="none"/>
                      <w:u w:val="none"/>
                      <w:lang w:val="en-US" w:eastAsia="zh-CN"/>
                    </w:rPr>
                  </w:pPr>
                  <w:r>
                    <w:rPr>
                      <w:rFonts w:hint="eastAsia"/>
                      <w:b w:val="0"/>
                      <w:bCs w:val="0"/>
                      <w:highlight w:val="none"/>
                      <w:u w:val="none"/>
                      <w:lang w:val="en-US" w:eastAsia="zh-CN"/>
                    </w:rPr>
                    <w:t>贮气柜</w:t>
                  </w:r>
                </w:p>
              </w:tc>
              <w:tc>
                <w:tcPr>
                  <w:tcW w:w="1250" w:type="pct"/>
                  <w:tcBorders>
                    <w:tl2br w:val="nil"/>
                    <w:tr2bl w:val="nil"/>
                  </w:tcBorders>
                </w:tcPr>
                <w:p>
                  <w:pPr>
                    <w:pStyle w:val="29"/>
                    <w:bidi w:val="0"/>
                    <w:rPr>
                      <w:rFonts w:hint="default"/>
                      <w:b w:val="0"/>
                      <w:bCs w:val="0"/>
                      <w:highlight w:val="none"/>
                      <w:u w:val="none"/>
                      <w:lang w:val="en-US" w:eastAsia="zh-CN"/>
                    </w:rPr>
                  </w:pPr>
                  <w:r>
                    <w:rPr>
                      <w:rFonts w:hint="eastAsia"/>
                      <w:b w:val="0"/>
                      <w:bCs w:val="0"/>
                      <w:highlight w:val="none"/>
                      <w:u w:val="none"/>
                      <w:lang w:val="en-US" w:eastAsia="zh-CN"/>
                    </w:rPr>
                    <w:t>10m</w:t>
                  </w:r>
                  <w:r>
                    <w:rPr>
                      <w:rFonts w:hint="eastAsia"/>
                      <w:b w:val="0"/>
                      <w:bCs w:val="0"/>
                      <w:highlight w:val="none"/>
                      <w:u w:val="none"/>
                      <w:vertAlign w:val="superscript"/>
                      <w:lang w:val="en-US" w:eastAsia="zh-CN"/>
                    </w:rPr>
                    <w:t>3</w:t>
                  </w:r>
                </w:p>
              </w:tc>
              <w:tc>
                <w:tcPr>
                  <w:tcW w:w="1250" w:type="pct"/>
                  <w:tcBorders>
                    <w:tl2br w:val="nil"/>
                    <w:tr2bl w:val="nil"/>
                  </w:tcBorders>
                </w:tcPr>
                <w:p>
                  <w:pPr>
                    <w:pStyle w:val="29"/>
                    <w:bidi w:val="0"/>
                    <w:rPr>
                      <w:rFonts w:hint="default"/>
                      <w:b w:val="0"/>
                      <w:bCs w:val="0"/>
                      <w:highlight w:val="none"/>
                      <w:u w:val="none"/>
                      <w:lang w:val="en-US" w:eastAsia="zh-CN"/>
                    </w:rPr>
                  </w:pPr>
                  <w:r>
                    <w:rPr>
                      <w:rFonts w:hint="eastAsia"/>
                      <w:b w:val="0"/>
                      <w:bCs w:val="0"/>
                      <w:highlight w:val="none"/>
                      <w:u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793" w:type="pct"/>
                  <w:tcBorders>
                    <w:tl2br w:val="nil"/>
                    <w:tr2bl w:val="nil"/>
                  </w:tcBorders>
                </w:tcPr>
                <w:p>
                  <w:pPr>
                    <w:pStyle w:val="29"/>
                    <w:bidi w:val="0"/>
                    <w:rPr>
                      <w:rFonts w:hint="default"/>
                      <w:b w:val="0"/>
                      <w:bCs w:val="0"/>
                      <w:highlight w:val="none"/>
                      <w:u w:val="none"/>
                      <w:lang w:val="en-US" w:eastAsia="zh-CN"/>
                    </w:rPr>
                  </w:pPr>
                  <w:r>
                    <w:rPr>
                      <w:rFonts w:hint="eastAsia"/>
                      <w:b w:val="0"/>
                      <w:bCs w:val="0"/>
                      <w:highlight w:val="none"/>
                      <w:u w:val="none"/>
                      <w:lang w:val="en-US" w:eastAsia="zh-CN"/>
                    </w:rPr>
                    <w:t>7</w:t>
                  </w:r>
                </w:p>
              </w:tc>
              <w:tc>
                <w:tcPr>
                  <w:tcW w:w="1706" w:type="pct"/>
                  <w:tcBorders>
                    <w:tl2br w:val="nil"/>
                    <w:tr2bl w:val="nil"/>
                  </w:tcBorders>
                </w:tcPr>
                <w:p>
                  <w:pPr>
                    <w:pStyle w:val="29"/>
                    <w:bidi w:val="0"/>
                    <w:rPr>
                      <w:rFonts w:hint="default"/>
                      <w:b w:val="0"/>
                      <w:bCs w:val="0"/>
                      <w:highlight w:val="none"/>
                      <w:u w:val="none"/>
                      <w:lang w:val="en-US" w:eastAsia="zh-CN"/>
                    </w:rPr>
                  </w:pPr>
                  <w:r>
                    <w:rPr>
                      <w:rFonts w:hint="eastAsia"/>
                      <w:b w:val="0"/>
                      <w:bCs w:val="0"/>
                      <w:highlight w:val="none"/>
                      <w:u w:val="none"/>
                      <w:lang w:val="en-US" w:eastAsia="zh-CN"/>
                    </w:rPr>
                    <w:t>硫酸净化器</w:t>
                  </w:r>
                </w:p>
              </w:tc>
              <w:tc>
                <w:tcPr>
                  <w:tcW w:w="1250" w:type="pct"/>
                  <w:tcBorders>
                    <w:tl2br w:val="nil"/>
                    <w:tr2bl w:val="nil"/>
                  </w:tcBorders>
                </w:tcPr>
                <w:p>
                  <w:pPr>
                    <w:pStyle w:val="29"/>
                    <w:bidi w:val="0"/>
                    <w:rPr>
                      <w:rFonts w:hint="eastAsia"/>
                      <w:b w:val="0"/>
                      <w:bCs w:val="0"/>
                      <w:highlight w:val="none"/>
                      <w:u w:val="none"/>
                      <w:lang w:val="en-US" w:eastAsia="zh-CN"/>
                    </w:rPr>
                  </w:pPr>
                  <w:r>
                    <w:rPr>
                      <w:rFonts w:hint="eastAsia"/>
                      <w:b w:val="0"/>
                      <w:bCs w:val="0"/>
                      <w:highlight w:val="none"/>
                      <w:u w:val="none"/>
                      <w:lang w:val="en-US" w:eastAsia="zh-CN"/>
                    </w:rPr>
                    <w:t>D3-46-1</w:t>
                  </w:r>
                </w:p>
              </w:tc>
              <w:tc>
                <w:tcPr>
                  <w:tcW w:w="1250" w:type="pct"/>
                  <w:tcBorders>
                    <w:tl2br w:val="nil"/>
                    <w:tr2bl w:val="nil"/>
                  </w:tcBorders>
                </w:tcPr>
                <w:p>
                  <w:pPr>
                    <w:pStyle w:val="29"/>
                    <w:bidi w:val="0"/>
                    <w:rPr>
                      <w:rFonts w:hint="default"/>
                      <w:b w:val="0"/>
                      <w:bCs w:val="0"/>
                      <w:highlight w:val="none"/>
                      <w:u w:val="none"/>
                      <w:lang w:val="en-US" w:eastAsia="zh-CN"/>
                    </w:rPr>
                  </w:pPr>
                  <w:r>
                    <w:rPr>
                      <w:rFonts w:hint="eastAsia"/>
                      <w:b w:val="0"/>
                      <w:bCs w:val="0"/>
                      <w:highlight w:val="none"/>
                      <w:u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793" w:type="pct"/>
                  <w:tcBorders>
                    <w:tl2br w:val="nil"/>
                    <w:tr2bl w:val="nil"/>
                  </w:tcBorders>
                </w:tcPr>
                <w:p>
                  <w:pPr>
                    <w:pStyle w:val="29"/>
                    <w:bidi w:val="0"/>
                    <w:rPr>
                      <w:rFonts w:hint="default"/>
                      <w:b w:val="0"/>
                      <w:bCs w:val="0"/>
                      <w:highlight w:val="none"/>
                      <w:u w:val="none"/>
                      <w:lang w:val="en-US" w:eastAsia="zh-CN"/>
                    </w:rPr>
                  </w:pPr>
                  <w:r>
                    <w:rPr>
                      <w:rFonts w:hint="eastAsia"/>
                      <w:b w:val="0"/>
                      <w:bCs w:val="0"/>
                      <w:highlight w:val="none"/>
                      <w:u w:val="none"/>
                      <w:lang w:val="en-US" w:eastAsia="zh-CN"/>
                    </w:rPr>
                    <w:t>8</w:t>
                  </w:r>
                </w:p>
              </w:tc>
              <w:tc>
                <w:tcPr>
                  <w:tcW w:w="1706" w:type="pct"/>
                  <w:tcBorders>
                    <w:tl2br w:val="nil"/>
                    <w:tr2bl w:val="nil"/>
                  </w:tcBorders>
                </w:tcPr>
                <w:p>
                  <w:pPr>
                    <w:pStyle w:val="29"/>
                    <w:bidi w:val="0"/>
                    <w:rPr>
                      <w:rFonts w:hint="eastAsia"/>
                      <w:b w:val="0"/>
                      <w:bCs w:val="0"/>
                      <w:highlight w:val="none"/>
                      <w:u w:val="none"/>
                      <w:lang w:val="en-US" w:eastAsia="zh-CN"/>
                    </w:rPr>
                  </w:pPr>
                  <w:r>
                    <w:rPr>
                      <w:rFonts w:hint="eastAsia"/>
                      <w:b w:val="0"/>
                      <w:bCs w:val="0"/>
                      <w:highlight w:val="none"/>
                      <w:u w:val="none"/>
                      <w:lang w:val="en-US" w:eastAsia="zh-CN"/>
                    </w:rPr>
                    <w:t>碱中和塔</w:t>
                  </w:r>
                </w:p>
              </w:tc>
              <w:tc>
                <w:tcPr>
                  <w:tcW w:w="1250" w:type="pct"/>
                  <w:tcBorders>
                    <w:tl2br w:val="nil"/>
                    <w:tr2bl w:val="nil"/>
                  </w:tcBorders>
                </w:tcPr>
                <w:p>
                  <w:pPr>
                    <w:pStyle w:val="29"/>
                    <w:bidi w:val="0"/>
                    <w:rPr>
                      <w:rFonts w:hint="default"/>
                      <w:b w:val="0"/>
                      <w:bCs w:val="0"/>
                      <w:highlight w:val="none"/>
                      <w:u w:val="none"/>
                      <w:lang w:val="en-US" w:eastAsia="zh-CN"/>
                    </w:rPr>
                  </w:pPr>
                  <w:r>
                    <w:rPr>
                      <w:rFonts w:hint="eastAsia"/>
                      <w:b w:val="0"/>
                      <w:bCs w:val="0"/>
                      <w:highlight w:val="none"/>
                      <w:u w:val="none"/>
                      <w:lang w:val="en-US" w:eastAsia="zh-CN"/>
                    </w:rPr>
                    <w:t>/</w:t>
                  </w:r>
                </w:p>
              </w:tc>
              <w:tc>
                <w:tcPr>
                  <w:tcW w:w="1250" w:type="pct"/>
                  <w:tcBorders>
                    <w:tl2br w:val="nil"/>
                    <w:tr2bl w:val="nil"/>
                  </w:tcBorders>
                </w:tcPr>
                <w:p>
                  <w:pPr>
                    <w:pStyle w:val="29"/>
                    <w:bidi w:val="0"/>
                    <w:rPr>
                      <w:rFonts w:hint="default"/>
                      <w:b w:val="0"/>
                      <w:bCs w:val="0"/>
                      <w:highlight w:val="none"/>
                      <w:u w:val="none"/>
                      <w:lang w:val="en-US" w:eastAsia="zh-CN"/>
                    </w:rPr>
                  </w:pPr>
                  <w:r>
                    <w:rPr>
                      <w:rFonts w:hint="eastAsia"/>
                      <w:b w:val="0"/>
                      <w:bCs w:val="0"/>
                      <w:highlight w:val="none"/>
                      <w:u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793" w:type="pct"/>
                  <w:tcBorders>
                    <w:tl2br w:val="nil"/>
                    <w:tr2bl w:val="nil"/>
                  </w:tcBorders>
                </w:tcPr>
                <w:p>
                  <w:pPr>
                    <w:pStyle w:val="29"/>
                    <w:bidi w:val="0"/>
                    <w:rPr>
                      <w:rFonts w:hint="default"/>
                      <w:b w:val="0"/>
                      <w:bCs w:val="0"/>
                      <w:highlight w:val="none"/>
                      <w:u w:val="none"/>
                      <w:lang w:val="en-US" w:eastAsia="zh-CN"/>
                    </w:rPr>
                  </w:pPr>
                  <w:r>
                    <w:rPr>
                      <w:rFonts w:hint="eastAsia"/>
                      <w:b w:val="0"/>
                      <w:bCs w:val="0"/>
                      <w:highlight w:val="none"/>
                      <w:u w:val="none"/>
                      <w:lang w:val="en-US" w:eastAsia="zh-CN"/>
                    </w:rPr>
                    <w:t>9</w:t>
                  </w:r>
                </w:p>
              </w:tc>
              <w:tc>
                <w:tcPr>
                  <w:tcW w:w="1706" w:type="pct"/>
                  <w:tcBorders>
                    <w:tl2br w:val="nil"/>
                    <w:tr2bl w:val="nil"/>
                  </w:tcBorders>
                </w:tcPr>
                <w:p>
                  <w:pPr>
                    <w:pStyle w:val="29"/>
                    <w:bidi w:val="0"/>
                    <w:rPr>
                      <w:rFonts w:hint="default"/>
                      <w:b w:val="0"/>
                      <w:bCs w:val="0"/>
                      <w:highlight w:val="none"/>
                      <w:u w:val="none"/>
                      <w:lang w:val="en-US" w:eastAsia="zh-CN"/>
                    </w:rPr>
                  </w:pPr>
                  <w:r>
                    <w:rPr>
                      <w:rFonts w:hint="eastAsia"/>
                      <w:b w:val="0"/>
                      <w:bCs w:val="0"/>
                      <w:highlight w:val="none"/>
                      <w:u w:val="none"/>
                      <w:lang w:val="en-US" w:eastAsia="zh-CN"/>
                    </w:rPr>
                    <w:t>板框压滤机</w:t>
                  </w:r>
                </w:p>
              </w:tc>
              <w:tc>
                <w:tcPr>
                  <w:tcW w:w="1250" w:type="pct"/>
                  <w:tcBorders>
                    <w:tl2br w:val="nil"/>
                    <w:tr2bl w:val="nil"/>
                  </w:tcBorders>
                </w:tcPr>
                <w:p>
                  <w:pPr>
                    <w:pStyle w:val="29"/>
                    <w:bidi w:val="0"/>
                    <w:rPr>
                      <w:rFonts w:hint="default"/>
                      <w:b w:val="0"/>
                      <w:bCs w:val="0"/>
                      <w:highlight w:val="none"/>
                      <w:u w:val="none"/>
                      <w:lang w:val="en-US" w:eastAsia="zh-CN"/>
                    </w:rPr>
                  </w:pPr>
                  <w:r>
                    <w:rPr>
                      <w:rFonts w:hint="eastAsia"/>
                      <w:b w:val="0"/>
                      <w:bCs w:val="0"/>
                      <w:highlight w:val="none"/>
                      <w:u w:val="none"/>
                      <w:lang w:val="en-US" w:eastAsia="zh-CN"/>
                    </w:rPr>
                    <w:t>/</w:t>
                  </w:r>
                </w:p>
              </w:tc>
              <w:tc>
                <w:tcPr>
                  <w:tcW w:w="1250" w:type="pct"/>
                  <w:tcBorders>
                    <w:tl2br w:val="nil"/>
                    <w:tr2bl w:val="nil"/>
                  </w:tcBorders>
                </w:tcPr>
                <w:p>
                  <w:pPr>
                    <w:pStyle w:val="29"/>
                    <w:bidi w:val="0"/>
                    <w:rPr>
                      <w:rFonts w:hint="default"/>
                      <w:b w:val="0"/>
                      <w:bCs w:val="0"/>
                      <w:highlight w:val="none"/>
                      <w:u w:val="none"/>
                      <w:lang w:val="en-US" w:eastAsia="zh-CN"/>
                    </w:rPr>
                  </w:pPr>
                  <w:r>
                    <w:rPr>
                      <w:rFonts w:hint="eastAsia"/>
                      <w:b w:val="0"/>
                      <w:bCs w:val="0"/>
                      <w:highlight w:val="none"/>
                      <w:u w:val="none"/>
                      <w:lang w:val="en-US" w:eastAsia="zh-CN"/>
                    </w:rPr>
                    <w:t>1</w:t>
                  </w:r>
                </w:p>
              </w:tc>
            </w:tr>
          </w:tbl>
          <w:p>
            <w:pPr>
              <w:bidi w:val="0"/>
              <w:rPr>
                <w:rFonts w:hint="default"/>
                <w:b w:val="0"/>
                <w:bCs w:val="0"/>
                <w:highlight w:val="none"/>
                <w:u w:val="none"/>
                <w:lang w:val="en-US" w:eastAsia="zh-CN"/>
              </w:rPr>
            </w:pPr>
            <w:r>
              <w:rPr>
                <w:rFonts w:hint="eastAsia"/>
                <w:b w:val="0"/>
                <w:bCs w:val="0"/>
                <w:highlight w:val="none"/>
                <w:u w:val="none"/>
                <w:lang w:eastAsia="zh-CN"/>
              </w:rPr>
              <w:t>现有项目</w:t>
            </w:r>
            <w:r>
              <w:rPr>
                <w:rFonts w:hint="default"/>
                <w:b w:val="0"/>
                <w:bCs w:val="0"/>
                <w:highlight w:val="none"/>
                <w:u w:val="none"/>
              </w:rPr>
              <w:t>生产工艺说明如下：</w:t>
            </w:r>
          </w:p>
          <w:p>
            <w:pPr>
              <w:pStyle w:val="29"/>
              <w:bidi w:val="0"/>
              <w:jc w:val="both"/>
              <w:rPr>
                <w:rFonts w:hint="default"/>
                <w:b/>
                <w:bCs/>
                <w:sz w:val="24"/>
                <w:szCs w:val="24"/>
                <w:highlight w:val="yellow"/>
                <w:u w:val="single"/>
              </w:rPr>
            </w:pPr>
            <w:r>
              <w:drawing>
                <wp:anchor distT="0" distB="0" distL="114300" distR="114300" simplePos="0" relativeHeight="251663360" behindDoc="1" locked="0" layoutInCell="1" allowOverlap="1">
                  <wp:simplePos x="0" y="0"/>
                  <wp:positionH relativeFrom="column">
                    <wp:posOffset>-94615</wp:posOffset>
                  </wp:positionH>
                  <wp:positionV relativeFrom="paragraph">
                    <wp:posOffset>116205</wp:posOffset>
                  </wp:positionV>
                  <wp:extent cx="5678170" cy="2700020"/>
                  <wp:effectExtent l="0" t="0" r="17780" b="5080"/>
                  <wp:wrapNone/>
                  <wp:docPr id="1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
                          <pic:cNvPicPr>
                            <a:picLocks noChangeAspect="1"/>
                          </pic:cNvPicPr>
                        </pic:nvPicPr>
                        <pic:blipFill>
                          <a:blip r:embed="rId12"/>
                          <a:stretch>
                            <a:fillRect/>
                          </a:stretch>
                        </pic:blipFill>
                        <pic:spPr>
                          <a:xfrm>
                            <a:off x="0" y="0"/>
                            <a:ext cx="5678170" cy="2700020"/>
                          </a:xfrm>
                          <a:prstGeom prst="rect">
                            <a:avLst/>
                          </a:prstGeom>
                          <a:noFill/>
                          <a:ln>
                            <a:noFill/>
                          </a:ln>
                        </pic:spPr>
                      </pic:pic>
                    </a:graphicData>
                  </a:graphic>
                </wp:anchor>
              </w:drawing>
            </w:r>
          </w:p>
          <w:p>
            <w:pPr>
              <w:pStyle w:val="29"/>
              <w:bidi w:val="0"/>
              <w:jc w:val="both"/>
              <w:rPr>
                <w:rFonts w:hint="default"/>
                <w:b/>
                <w:bCs/>
                <w:sz w:val="24"/>
                <w:szCs w:val="24"/>
                <w:highlight w:val="none"/>
                <w:u w:val="single"/>
              </w:rPr>
            </w:pPr>
          </w:p>
          <w:p>
            <w:pPr>
              <w:pStyle w:val="29"/>
              <w:bidi w:val="0"/>
              <w:rPr>
                <w:rFonts w:hint="default"/>
                <w:b/>
                <w:bCs/>
                <w:sz w:val="24"/>
                <w:szCs w:val="24"/>
                <w:highlight w:val="none"/>
                <w:u w:val="single"/>
              </w:rPr>
            </w:pPr>
          </w:p>
          <w:p>
            <w:pPr>
              <w:pStyle w:val="29"/>
              <w:bidi w:val="0"/>
              <w:rPr>
                <w:rFonts w:hint="default"/>
                <w:b/>
                <w:bCs/>
                <w:sz w:val="24"/>
                <w:szCs w:val="24"/>
                <w:highlight w:val="none"/>
                <w:u w:val="single"/>
              </w:rPr>
            </w:pPr>
          </w:p>
          <w:p>
            <w:pPr>
              <w:pStyle w:val="29"/>
              <w:bidi w:val="0"/>
              <w:rPr>
                <w:rFonts w:hint="default"/>
                <w:b/>
                <w:bCs/>
                <w:sz w:val="24"/>
                <w:szCs w:val="24"/>
                <w:highlight w:val="none"/>
                <w:u w:val="single"/>
              </w:rPr>
            </w:pPr>
          </w:p>
          <w:p>
            <w:pPr>
              <w:pStyle w:val="29"/>
              <w:bidi w:val="0"/>
              <w:rPr>
                <w:rFonts w:hint="default"/>
                <w:b/>
                <w:bCs/>
                <w:sz w:val="24"/>
                <w:szCs w:val="24"/>
                <w:highlight w:val="none"/>
                <w:u w:val="single"/>
              </w:rPr>
            </w:pPr>
          </w:p>
          <w:p>
            <w:pPr>
              <w:pStyle w:val="29"/>
              <w:bidi w:val="0"/>
              <w:rPr>
                <w:rFonts w:hint="default"/>
                <w:b/>
                <w:bCs/>
                <w:sz w:val="24"/>
                <w:szCs w:val="24"/>
                <w:highlight w:val="none"/>
                <w:u w:val="single"/>
              </w:rPr>
            </w:pPr>
          </w:p>
          <w:p>
            <w:pPr>
              <w:pStyle w:val="29"/>
              <w:bidi w:val="0"/>
              <w:rPr>
                <w:rFonts w:hint="default"/>
                <w:b/>
                <w:bCs/>
                <w:sz w:val="24"/>
                <w:szCs w:val="24"/>
                <w:highlight w:val="none"/>
                <w:u w:val="single"/>
              </w:rPr>
            </w:pPr>
          </w:p>
          <w:p>
            <w:pPr>
              <w:pStyle w:val="29"/>
              <w:bidi w:val="0"/>
              <w:rPr>
                <w:rFonts w:hint="default"/>
                <w:b/>
                <w:bCs/>
                <w:sz w:val="24"/>
                <w:szCs w:val="24"/>
                <w:highlight w:val="none"/>
                <w:u w:val="single"/>
              </w:rPr>
            </w:pPr>
          </w:p>
          <w:p>
            <w:pPr>
              <w:pStyle w:val="29"/>
              <w:bidi w:val="0"/>
              <w:rPr>
                <w:rFonts w:hint="default"/>
                <w:b/>
                <w:bCs/>
                <w:sz w:val="24"/>
                <w:szCs w:val="24"/>
                <w:highlight w:val="none"/>
                <w:u w:val="single"/>
              </w:rPr>
            </w:pPr>
          </w:p>
          <w:p>
            <w:pPr>
              <w:pStyle w:val="29"/>
              <w:bidi w:val="0"/>
              <w:rPr>
                <w:rFonts w:hint="default"/>
                <w:b/>
                <w:bCs/>
                <w:sz w:val="24"/>
                <w:szCs w:val="24"/>
                <w:highlight w:val="none"/>
                <w:u w:val="single"/>
              </w:rPr>
            </w:pPr>
          </w:p>
          <w:p>
            <w:pPr>
              <w:pStyle w:val="29"/>
              <w:bidi w:val="0"/>
              <w:rPr>
                <w:rFonts w:hint="default"/>
                <w:b/>
                <w:bCs/>
                <w:sz w:val="24"/>
                <w:szCs w:val="24"/>
                <w:highlight w:val="none"/>
                <w:u w:val="single"/>
              </w:rPr>
            </w:pPr>
          </w:p>
          <w:p>
            <w:pPr>
              <w:pStyle w:val="29"/>
              <w:bidi w:val="0"/>
              <w:rPr>
                <w:rFonts w:hint="default"/>
                <w:b/>
                <w:bCs/>
                <w:sz w:val="24"/>
                <w:szCs w:val="24"/>
                <w:highlight w:val="none"/>
                <w:u w:val="single"/>
              </w:rPr>
            </w:pPr>
          </w:p>
          <w:p>
            <w:pPr>
              <w:pStyle w:val="29"/>
              <w:bidi w:val="0"/>
              <w:rPr>
                <w:rFonts w:hint="default"/>
                <w:b/>
                <w:bCs/>
                <w:sz w:val="24"/>
                <w:szCs w:val="24"/>
                <w:highlight w:val="none"/>
                <w:u w:val="single"/>
              </w:rPr>
            </w:pPr>
          </w:p>
          <w:p>
            <w:pPr>
              <w:pStyle w:val="29"/>
              <w:bidi w:val="0"/>
              <w:jc w:val="both"/>
              <w:rPr>
                <w:rFonts w:hint="default"/>
                <w:b/>
                <w:bCs/>
                <w:sz w:val="24"/>
                <w:szCs w:val="24"/>
                <w:highlight w:val="none"/>
                <w:u w:val="single"/>
              </w:rPr>
            </w:pPr>
          </w:p>
          <w:p>
            <w:pPr>
              <w:pStyle w:val="29"/>
              <w:bidi w:val="0"/>
              <w:rPr>
                <w:rFonts w:hint="default"/>
                <w:b w:val="0"/>
                <w:bCs w:val="0"/>
                <w:sz w:val="24"/>
                <w:szCs w:val="24"/>
                <w:highlight w:val="none"/>
                <w:u w:val="none"/>
              </w:rPr>
            </w:pPr>
            <w:r>
              <w:rPr>
                <w:rFonts w:hint="default"/>
                <w:b w:val="0"/>
                <w:bCs w:val="0"/>
                <w:sz w:val="24"/>
                <w:szCs w:val="24"/>
                <w:highlight w:val="none"/>
                <w:u w:val="none"/>
              </w:rPr>
              <w:t>图</w:t>
            </w:r>
            <w:r>
              <w:rPr>
                <w:rFonts w:hint="default"/>
                <w:b w:val="0"/>
                <w:bCs w:val="0"/>
                <w:sz w:val="24"/>
                <w:szCs w:val="24"/>
                <w:highlight w:val="none"/>
                <w:u w:val="none"/>
                <w:lang w:val="en-US" w:eastAsia="zh-CN"/>
              </w:rPr>
              <w:t>2</w:t>
            </w:r>
            <w:r>
              <w:rPr>
                <w:rFonts w:hint="eastAsia"/>
                <w:b w:val="0"/>
                <w:bCs w:val="0"/>
                <w:sz w:val="24"/>
                <w:szCs w:val="24"/>
                <w:highlight w:val="none"/>
                <w:u w:val="none"/>
                <w:lang w:val="en-US" w:eastAsia="zh-CN"/>
              </w:rPr>
              <w:t xml:space="preserve"> </w:t>
            </w:r>
            <w:r>
              <w:rPr>
                <w:rFonts w:hint="default"/>
                <w:b w:val="0"/>
                <w:bCs w:val="0"/>
                <w:sz w:val="24"/>
                <w:szCs w:val="24"/>
                <w:highlight w:val="none"/>
                <w:u w:val="none"/>
              </w:rPr>
              <w:t>项目工艺流程及产污环节示意图</w:t>
            </w:r>
          </w:p>
          <w:p>
            <w:pPr>
              <w:pStyle w:val="4"/>
              <w:bidi w:val="0"/>
              <w:rPr>
                <w:rFonts w:hint="default"/>
                <w:b w:val="0"/>
                <w:bCs w:val="0"/>
                <w:highlight w:val="none"/>
                <w:u w:val="none"/>
              </w:rPr>
            </w:pPr>
            <w:r>
              <w:rPr>
                <w:rFonts w:hint="default"/>
                <w:b w:val="0"/>
                <w:bCs w:val="0"/>
                <w:highlight w:val="none"/>
                <w:u w:val="none"/>
              </w:rPr>
              <w:t>工艺流程简述：</w:t>
            </w:r>
          </w:p>
          <w:p>
            <w:pPr>
              <w:pStyle w:val="59"/>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eastAsia"/>
                <w:b w:val="0"/>
                <w:bCs w:val="0"/>
                <w:highlight w:val="none"/>
                <w:u w:val="none"/>
              </w:rPr>
            </w:pPr>
            <w:r>
              <w:rPr>
                <w:rFonts w:hint="eastAsia"/>
                <w:b w:val="0"/>
                <w:bCs w:val="0"/>
                <w:highlight w:val="none"/>
                <w:u w:val="none"/>
              </w:rPr>
              <w:t>（1）发生工序</w:t>
            </w:r>
          </w:p>
          <w:p>
            <w:pPr>
              <w:pStyle w:val="59"/>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eastAsia"/>
                <w:b w:val="0"/>
                <w:bCs w:val="0"/>
                <w:highlight w:val="none"/>
                <w:u w:val="none"/>
              </w:rPr>
            </w:pPr>
            <w:r>
              <w:rPr>
                <w:rFonts w:hint="eastAsia"/>
                <w:b w:val="0"/>
                <w:bCs w:val="0"/>
                <w:highlight w:val="none"/>
                <w:u w:val="none"/>
              </w:rPr>
              <w:t>从电石库将粒度</w:t>
            </w:r>
            <w:r>
              <w:rPr>
                <w:rFonts w:hint="eastAsia"/>
                <w:b w:val="0"/>
                <w:bCs w:val="0"/>
                <w:highlight w:val="none"/>
                <w:u w:val="none"/>
                <w:lang w:val="en-US" w:eastAsia="zh-CN"/>
              </w:rPr>
              <w:t>200</w:t>
            </w:r>
            <w:r>
              <w:rPr>
                <w:rFonts w:hint="eastAsia"/>
                <w:b w:val="0"/>
                <w:bCs w:val="0"/>
                <w:highlight w:val="none"/>
                <w:u w:val="none"/>
              </w:rPr>
              <w:t>mm</w:t>
            </w:r>
            <w:r>
              <w:rPr>
                <w:rFonts w:hint="eastAsia"/>
                <w:b w:val="0"/>
                <w:bCs w:val="0"/>
                <w:highlight w:val="none"/>
                <w:u w:val="none"/>
                <w:lang w:val="en-US" w:eastAsia="zh-CN"/>
              </w:rPr>
              <w:t>以下</w:t>
            </w:r>
            <w:r>
              <w:rPr>
                <w:rFonts w:hint="eastAsia"/>
                <w:b w:val="0"/>
                <w:bCs w:val="0"/>
                <w:highlight w:val="none"/>
                <w:u w:val="none"/>
              </w:rPr>
              <w:t>的电石人工运至乙炔发生间，电石储存及运输过程中会产生粉尘。</w:t>
            </w:r>
          </w:p>
          <w:p>
            <w:pPr>
              <w:pStyle w:val="59"/>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eastAsia"/>
                <w:b w:val="0"/>
                <w:bCs w:val="0"/>
                <w:highlight w:val="none"/>
                <w:u w:val="none"/>
              </w:rPr>
            </w:pPr>
            <w:r>
              <w:rPr>
                <w:rFonts w:hint="eastAsia"/>
                <w:b w:val="0"/>
                <w:bCs w:val="0"/>
                <w:highlight w:val="none"/>
                <w:u w:val="none"/>
              </w:rPr>
              <w:t>用防爆电动葫芦将电石吊桶提升至加料平台，从导料筒上部经水封后进入乙炔发生器内与水接触，</w:t>
            </w:r>
            <w:r>
              <w:rPr>
                <w:rFonts w:hint="eastAsia"/>
                <w:b w:val="0"/>
                <w:bCs w:val="0"/>
                <w:sz w:val="24"/>
                <w:u w:val="none"/>
              </w:rPr>
              <w:t>由于发生器起初带有部分空气，因此为了得到纯净的乙炔产品，将吹入纯度不低于98%的氮气作为吹扫剂，除去剩余的空气分子</w:t>
            </w:r>
            <w:r>
              <w:rPr>
                <w:rFonts w:hint="eastAsia"/>
                <w:b w:val="0"/>
                <w:bCs w:val="0"/>
                <w:sz w:val="24"/>
                <w:u w:val="none"/>
                <w:lang w:eastAsia="zh-CN"/>
              </w:rPr>
              <w:t>。</w:t>
            </w:r>
            <w:r>
              <w:rPr>
                <w:rFonts w:hint="eastAsia"/>
                <w:b w:val="0"/>
                <w:bCs w:val="0"/>
                <w:highlight w:val="none"/>
                <w:u w:val="none"/>
              </w:rPr>
              <w:t>发生化学反应生成4~</w:t>
            </w:r>
            <w:r>
              <w:rPr>
                <w:rFonts w:hint="eastAsia"/>
                <w:b w:val="0"/>
                <w:bCs w:val="0"/>
                <w:highlight w:val="none"/>
                <w:u w:val="none"/>
                <w:lang w:val="en-US" w:eastAsia="zh-CN"/>
              </w:rPr>
              <w:t>4.5</w:t>
            </w:r>
            <w:r>
              <w:rPr>
                <w:rFonts w:hint="eastAsia"/>
                <w:b w:val="0"/>
                <w:bCs w:val="0"/>
                <w:highlight w:val="none"/>
                <w:u w:val="none"/>
              </w:rPr>
              <w:t>KPa低压乙炔气。该工序会有微量粗乙炔气体通过水封逸散。</w:t>
            </w:r>
          </w:p>
          <w:p>
            <w:pPr>
              <w:pStyle w:val="59"/>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eastAsia"/>
                <w:b w:val="0"/>
                <w:bCs w:val="0"/>
                <w:highlight w:val="none"/>
                <w:u w:val="none"/>
              </w:rPr>
            </w:pPr>
            <w:r>
              <w:rPr>
                <w:rFonts w:hint="eastAsia"/>
                <w:b w:val="0"/>
                <w:bCs w:val="0"/>
                <w:highlight w:val="none"/>
                <w:u w:val="none"/>
              </w:rPr>
              <w:t>乙炔发生器内粗乙炔气经安全水封后进入气柜，发生器底部沉积的电石渣浆，定期排入电石渣沉淀池。</w:t>
            </w:r>
          </w:p>
          <w:p>
            <w:pPr>
              <w:pStyle w:val="59"/>
              <w:adjustRightInd w:val="0"/>
              <w:snapToGrid w:val="0"/>
              <w:ind w:firstLine="480"/>
              <w:rPr>
                <w:rFonts w:hint="eastAsia"/>
                <w:b w:val="0"/>
                <w:bCs w:val="0"/>
                <w:highlight w:val="none"/>
                <w:u w:val="none"/>
              </w:rPr>
            </w:pPr>
            <w:r>
              <w:rPr>
                <w:rFonts w:hint="eastAsia"/>
                <w:b w:val="0"/>
                <w:bCs w:val="0"/>
                <w:highlight w:val="none"/>
                <w:u w:val="none"/>
              </w:rPr>
              <w:t>（3）净化工序</w:t>
            </w:r>
          </w:p>
          <w:p>
            <w:pPr>
              <w:pStyle w:val="59"/>
              <w:adjustRightInd w:val="0"/>
              <w:snapToGrid w:val="0"/>
              <w:ind w:firstLine="480"/>
              <w:rPr>
                <w:rFonts w:hint="eastAsia"/>
                <w:b w:val="0"/>
                <w:bCs w:val="0"/>
                <w:highlight w:val="none"/>
                <w:u w:val="none"/>
              </w:rPr>
            </w:pPr>
            <w:r>
              <w:rPr>
                <w:rFonts w:hint="eastAsia"/>
                <w:b w:val="0"/>
                <w:bCs w:val="0"/>
                <w:highlight w:val="none"/>
                <w:u w:val="none"/>
              </w:rPr>
              <w:t>气柜内的粗乙炔气因含有少量的硫化氢与磷化氢气体，需净化去除。粗乙炔气经气水分离器除去水份，再进入低压干燥器，采用无水氯化钙进行干燥。该工序气水分离器会产生废水，低压干燥器会产生饱和氯化钙。</w:t>
            </w:r>
          </w:p>
          <w:p>
            <w:pPr>
              <w:pStyle w:val="59"/>
              <w:adjustRightInd w:val="0"/>
              <w:snapToGrid w:val="0"/>
              <w:ind w:firstLine="480"/>
              <w:rPr>
                <w:rFonts w:hint="eastAsia"/>
                <w:b w:val="0"/>
                <w:bCs w:val="0"/>
                <w:highlight w:val="none"/>
                <w:u w:val="none"/>
              </w:rPr>
            </w:pPr>
            <w:r>
              <w:rPr>
                <w:rFonts w:hint="eastAsia"/>
                <w:b w:val="0"/>
                <w:bCs w:val="0"/>
                <w:highlight w:val="none"/>
                <w:u w:val="none"/>
              </w:rPr>
              <w:t>干燥后的乙炔气进入净化塔，与净化塔内</w:t>
            </w:r>
            <w:r>
              <w:rPr>
                <w:rFonts w:hint="eastAsia"/>
                <w:b w:val="0"/>
                <w:bCs w:val="0"/>
                <w:highlight w:val="none"/>
                <w:u w:val="none"/>
                <w:lang w:val="en-US" w:eastAsia="zh-CN"/>
              </w:rPr>
              <w:t>硫酸</w:t>
            </w:r>
            <w:r>
              <w:rPr>
                <w:rFonts w:hint="eastAsia"/>
                <w:b w:val="0"/>
                <w:bCs w:val="0"/>
                <w:highlight w:val="none"/>
                <w:u w:val="none"/>
              </w:rPr>
              <w:t>溶液直接接触反应，除去硫化氢、磷化氢等杂质。</w:t>
            </w:r>
            <w:r>
              <w:rPr>
                <w:rFonts w:hint="eastAsia"/>
                <w:b w:val="0"/>
                <w:bCs w:val="0"/>
                <w:highlight w:val="none"/>
                <w:u w:val="none"/>
                <w:lang w:val="en-US" w:eastAsia="zh-CN"/>
              </w:rPr>
              <w:t>硫酸</w:t>
            </w:r>
            <w:r>
              <w:rPr>
                <w:rFonts w:hint="eastAsia"/>
                <w:b w:val="0"/>
                <w:bCs w:val="0"/>
                <w:highlight w:val="none"/>
                <w:u w:val="none"/>
              </w:rPr>
              <w:t>溶液由</w:t>
            </w:r>
            <w:r>
              <w:rPr>
                <w:rFonts w:hint="eastAsia"/>
                <w:b w:val="0"/>
                <w:bCs w:val="0"/>
                <w:highlight w:val="none"/>
                <w:u w:val="none"/>
                <w:lang w:val="en-US" w:eastAsia="zh-CN"/>
              </w:rPr>
              <w:t>98%硫酸</w:t>
            </w:r>
            <w:r>
              <w:rPr>
                <w:rFonts w:hint="eastAsia"/>
                <w:b w:val="0"/>
                <w:bCs w:val="0"/>
                <w:highlight w:val="none"/>
                <w:u w:val="none"/>
              </w:rPr>
              <w:t>配液桶供给，循环使用，</w:t>
            </w:r>
            <w:r>
              <w:rPr>
                <w:rFonts w:hint="eastAsia"/>
                <w:b w:val="0"/>
                <w:bCs w:val="0"/>
                <w:highlight w:val="none"/>
                <w:u w:val="none"/>
                <w:lang w:val="en-US" w:eastAsia="zh-CN"/>
              </w:rPr>
              <w:t>定期补充更换</w:t>
            </w:r>
            <w:r>
              <w:rPr>
                <w:rFonts w:hint="eastAsia"/>
                <w:b w:val="0"/>
                <w:bCs w:val="0"/>
                <w:highlight w:val="none"/>
                <w:u w:val="none"/>
              </w:rPr>
              <w:t>。该工序会产生酸性废水，主要成分为硫酸、磷酸等。</w:t>
            </w:r>
          </w:p>
          <w:p>
            <w:pPr>
              <w:pStyle w:val="59"/>
              <w:adjustRightInd w:val="0"/>
              <w:snapToGrid w:val="0"/>
              <w:ind w:firstLine="480"/>
              <w:rPr>
                <w:rFonts w:hint="eastAsia"/>
                <w:b w:val="0"/>
                <w:bCs w:val="0"/>
                <w:highlight w:val="none"/>
                <w:u w:val="none"/>
              </w:rPr>
            </w:pPr>
            <w:r>
              <w:rPr>
                <w:rFonts w:hint="eastAsia"/>
                <w:b w:val="0"/>
                <w:bCs w:val="0"/>
                <w:highlight w:val="none"/>
                <w:u w:val="none"/>
              </w:rPr>
              <w:t>除杂后乙炔气进入中和塔与</w:t>
            </w:r>
            <w:r>
              <w:rPr>
                <w:rFonts w:hint="eastAsia"/>
                <w:b w:val="0"/>
                <w:bCs w:val="0"/>
                <w:highlight w:val="none"/>
                <w:u w:val="none"/>
                <w:lang w:val="en-US" w:eastAsia="zh-CN"/>
              </w:rPr>
              <w:t>10</w:t>
            </w:r>
            <w:r>
              <w:rPr>
                <w:rFonts w:hint="eastAsia"/>
                <w:b w:val="0"/>
                <w:bCs w:val="0"/>
                <w:highlight w:val="none"/>
                <w:u w:val="none"/>
              </w:rPr>
              <w:t>%的氢氧化钠溶液接触反应，除去乙炔气中夹带的酸雾。当中和塔内氢氧化钠溶液浓度低于5%或硫酸钠含量超过10%时，更换氢氧化钠溶液。该工序会产生碱性废水，主要成分为氢氧化钠、硫酸钠、磷酸钠等。</w:t>
            </w:r>
          </w:p>
          <w:p>
            <w:pPr>
              <w:pStyle w:val="59"/>
              <w:adjustRightInd w:val="0"/>
              <w:snapToGrid w:val="0"/>
              <w:ind w:firstLine="480"/>
              <w:rPr>
                <w:rFonts w:hint="eastAsia"/>
                <w:b w:val="0"/>
                <w:bCs w:val="0"/>
                <w:highlight w:val="none"/>
                <w:u w:val="none"/>
              </w:rPr>
            </w:pPr>
            <w:r>
              <w:rPr>
                <w:rFonts w:hint="eastAsia"/>
                <w:b w:val="0"/>
                <w:bCs w:val="0"/>
                <w:highlight w:val="none"/>
                <w:u w:val="none"/>
              </w:rPr>
              <w:t>（4）压缩、干燥</w:t>
            </w:r>
          </w:p>
          <w:p>
            <w:pPr>
              <w:pStyle w:val="59"/>
              <w:adjustRightInd w:val="0"/>
              <w:snapToGrid w:val="0"/>
              <w:ind w:firstLine="480"/>
              <w:rPr>
                <w:rFonts w:hint="eastAsia"/>
                <w:b w:val="0"/>
                <w:bCs w:val="0"/>
                <w:highlight w:val="none"/>
                <w:u w:val="none"/>
              </w:rPr>
            </w:pPr>
            <w:r>
              <w:rPr>
                <w:rFonts w:hint="eastAsia"/>
                <w:b w:val="0"/>
                <w:bCs w:val="0"/>
                <w:highlight w:val="none"/>
                <w:u w:val="none"/>
              </w:rPr>
              <w:t>从中和塔出来的乙炔气进入立式压缩机提压（压力≤2.5Mpa），</w:t>
            </w:r>
            <w:r>
              <w:rPr>
                <w:rFonts w:hint="eastAsia"/>
                <w:b w:val="0"/>
                <w:bCs w:val="0"/>
                <w:highlight w:val="none"/>
                <w:u w:val="none"/>
                <w:lang w:val="en-US" w:eastAsia="zh-CN"/>
              </w:rPr>
              <w:t>高</w:t>
            </w:r>
            <w:r>
              <w:rPr>
                <w:rFonts w:hint="eastAsia"/>
                <w:b w:val="0"/>
                <w:bCs w:val="0"/>
                <w:highlight w:val="none"/>
                <w:u w:val="none"/>
              </w:rPr>
              <w:t>压干燥器会产生饱和氯化钙。</w:t>
            </w:r>
          </w:p>
          <w:p>
            <w:pPr>
              <w:pStyle w:val="59"/>
              <w:adjustRightInd w:val="0"/>
              <w:snapToGrid w:val="0"/>
              <w:ind w:firstLine="480"/>
              <w:rPr>
                <w:rFonts w:hint="eastAsia"/>
                <w:b w:val="0"/>
                <w:bCs w:val="0"/>
                <w:highlight w:val="none"/>
                <w:u w:val="none"/>
              </w:rPr>
            </w:pPr>
            <w:r>
              <w:rPr>
                <w:rFonts w:hint="eastAsia"/>
                <w:b w:val="0"/>
                <w:bCs w:val="0"/>
                <w:highlight w:val="none"/>
                <w:u w:val="none"/>
              </w:rPr>
              <w:t>（5）充装</w:t>
            </w:r>
          </w:p>
          <w:p>
            <w:pPr>
              <w:pStyle w:val="59"/>
              <w:adjustRightInd w:val="0"/>
              <w:snapToGrid w:val="0"/>
              <w:ind w:firstLine="480"/>
              <w:rPr>
                <w:rFonts w:hint="eastAsia"/>
                <w:b w:val="0"/>
                <w:bCs w:val="0"/>
                <w:highlight w:val="none"/>
                <w:u w:val="none"/>
              </w:rPr>
            </w:pPr>
            <w:r>
              <w:rPr>
                <w:rFonts w:hint="eastAsia"/>
                <w:b w:val="0"/>
                <w:bCs w:val="0"/>
                <w:highlight w:val="none"/>
                <w:u w:val="none"/>
              </w:rPr>
              <w:t>乙炔瓶充装前，需进行气瓶剩余压力检测并称重，用氮气将丙酮压进乙炔瓶内，再送去充装区。净化干燥后的高压乙炔气，经阻火器由管道输送至充装台，再经进气阀、充气管充入已加好丙酮的乙炔瓶中，使乙炔气溶解在丙酮里，得到溶解乙炔。充装工段会逸散少量乙炔及丙酮。</w:t>
            </w:r>
          </w:p>
          <w:p>
            <w:pPr>
              <w:pStyle w:val="59"/>
              <w:adjustRightInd w:val="0"/>
              <w:snapToGrid w:val="0"/>
              <w:ind w:firstLine="480"/>
              <w:rPr>
                <w:rFonts w:hint="eastAsia"/>
                <w:b w:val="0"/>
                <w:bCs w:val="0"/>
                <w:highlight w:val="none"/>
                <w:u w:val="none"/>
              </w:rPr>
            </w:pPr>
            <w:r>
              <w:rPr>
                <w:rFonts w:hint="eastAsia"/>
                <w:b w:val="0"/>
                <w:bCs w:val="0"/>
                <w:highlight w:val="none"/>
                <w:u w:val="none"/>
              </w:rPr>
              <w:t>乙炔瓶充装完毕后，运至库房，经检验合格后出厂。</w:t>
            </w:r>
          </w:p>
          <w:p>
            <w:pPr>
              <w:pStyle w:val="59"/>
              <w:adjustRightInd w:val="0"/>
              <w:snapToGrid w:val="0"/>
              <w:ind w:firstLine="480"/>
              <w:rPr>
                <w:rFonts w:hint="eastAsia"/>
                <w:b w:val="0"/>
                <w:bCs w:val="0"/>
                <w:highlight w:val="none"/>
                <w:u w:val="none"/>
              </w:rPr>
            </w:pPr>
            <w:r>
              <w:rPr>
                <w:rFonts w:hint="eastAsia"/>
                <w:b w:val="0"/>
                <w:bCs w:val="0"/>
                <w:highlight w:val="none"/>
                <w:u w:val="none"/>
              </w:rPr>
              <w:t>（6）电石渣系统</w:t>
            </w:r>
          </w:p>
          <w:p>
            <w:pPr>
              <w:pStyle w:val="59"/>
              <w:adjustRightInd w:val="0"/>
              <w:snapToGrid w:val="0"/>
              <w:ind w:firstLine="480"/>
              <w:rPr>
                <w:rFonts w:hint="eastAsia"/>
                <w:b w:val="0"/>
                <w:bCs w:val="0"/>
                <w:highlight w:val="none"/>
                <w:u w:val="none"/>
              </w:rPr>
            </w:pPr>
            <w:r>
              <w:rPr>
                <w:rFonts w:hint="eastAsia"/>
                <w:b w:val="0"/>
                <w:bCs w:val="0"/>
                <w:highlight w:val="none"/>
                <w:u w:val="none"/>
              </w:rPr>
              <w:t>乙炔发生器底部沉积的电石渣浆进入电石渣沉淀池，经自然沉淀后渣水分离，上清液进入澄清池全部回用于乙炔发生器。沉淀池底部渣浆进入板框压滤机脱水，压滤废水进入澄清池，外售作防火建材原料。电石渣池会逸散少量含有H</w:t>
            </w:r>
            <w:r>
              <w:rPr>
                <w:rFonts w:hint="eastAsia"/>
                <w:b w:val="0"/>
                <w:bCs w:val="0"/>
                <w:highlight w:val="none"/>
                <w:u w:val="none"/>
                <w:vertAlign w:val="subscript"/>
              </w:rPr>
              <w:t>2</w:t>
            </w:r>
            <w:r>
              <w:rPr>
                <w:rFonts w:hint="eastAsia"/>
                <w:b w:val="0"/>
                <w:bCs w:val="0"/>
                <w:highlight w:val="none"/>
                <w:u w:val="none"/>
              </w:rPr>
              <w:t>S和PH</w:t>
            </w:r>
            <w:r>
              <w:rPr>
                <w:rFonts w:hint="eastAsia"/>
                <w:b w:val="0"/>
                <w:bCs w:val="0"/>
                <w:highlight w:val="none"/>
                <w:u w:val="none"/>
                <w:vertAlign w:val="subscript"/>
              </w:rPr>
              <w:t>3</w:t>
            </w:r>
            <w:r>
              <w:rPr>
                <w:rFonts w:hint="eastAsia"/>
                <w:b w:val="0"/>
                <w:bCs w:val="0"/>
                <w:highlight w:val="none"/>
                <w:u w:val="none"/>
              </w:rPr>
              <w:t>的粗乙炔气。</w:t>
            </w:r>
          </w:p>
          <w:p>
            <w:pPr>
              <w:pStyle w:val="4"/>
              <w:bidi w:val="0"/>
              <w:rPr>
                <w:rFonts w:hint="default"/>
                <w:b w:val="0"/>
                <w:bCs w:val="0"/>
                <w:highlight w:val="none"/>
                <w:u w:val="none"/>
                <w:lang w:val="en-US" w:eastAsia="zh-CN"/>
              </w:rPr>
            </w:pPr>
            <w:r>
              <w:rPr>
                <w:rFonts w:hint="eastAsia"/>
                <w:b w:val="0"/>
                <w:bCs w:val="0"/>
                <w:highlight w:val="none"/>
                <w:u w:val="none"/>
                <w:lang w:val="en-US" w:eastAsia="zh-CN"/>
              </w:rPr>
              <w:t>现有项目</w:t>
            </w:r>
            <w:r>
              <w:rPr>
                <w:rFonts w:hint="default"/>
                <w:b w:val="0"/>
                <w:bCs w:val="0"/>
                <w:highlight w:val="none"/>
                <w:u w:val="none"/>
                <w:lang w:val="en-US" w:eastAsia="zh-CN"/>
              </w:rPr>
              <w:t>污染物产生、治理及排放情况：</w:t>
            </w:r>
          </w:p>
          <w:p>
            <w:pPr>
              <w:pStyle w:val="4"/>
              <w:numPr>
                <w:ilvl w:val="0"/>
                <w:numId w:val="2"/>
              </w:numPr>
              <w:bidi w:val="0"/>
              <w:rPr>
                <w:rFonts w:hint="default"/>
                <w:b w:val="0"/>
                <w:bCs w:val="0"/>
                <w:highlight w:val="none"/>
                <w:u w:val="none"/>
              </w:rPr>
            </w:pPr>
            <w:r>
              <w:rPr>
                <w:rFonts w:hint="default"/>
                <w:b w:val="0"/>
                <w:bCs w:val="0"/>
                <w:highlight w:val="none"/>
                <w:u w:val="none"/>
              </w:rPr>
              <w:t>废</w:t>
            </w:r>
            <w:r>
              <w:rPr>
                <w:rFonts w:hint="eastAsia"/>
                <w:b w:val="0"/>
                <w:bCs w:val="0"/>
                <w:highlight w:val="none"/>
                <w:u w:val="none"/>
                <w:lang w:val="en-US" w:eastAsia="zh-CN"/>
              </w:rPr>
              <w:t>气</w:t>
            </w: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b w:val="0"/>
                <w:bCs w:val="0"/>
                <w:highlight w:val="none"/>
                <w:u w:val="none"/>
                <w:lang w:val="en-US" w:eastAsia="zh-CN"/>
              </w:rPr>
            </w:pPr>
            <w:r>
              <w:rPr>
                <w:rFonts w:hint="eastAsia"/>
                <w:b w:val="0"/>
                <w:bCs w:val="0"/>
                <w:highlight w:val="none"/>
                <w:u w:val="none"/>
                <w:lang w:val="en-US" w:eastAsia="zh-CN"/>
              </w:rPr>
              <w:t>现有项目废气主要为乙炔发生器逸出废气、电石渣池废气和充装废气。</w:t>
            </w: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b w:val="0"/>
                <w:bCs w:val="0"/>
                <w:highlight w:val="none"/>
                <w:u w:val="none"/>
                <w:lang w:val="en-US" w:eastAsia="zh-CN"/>
              </w:rPr>
            </w:pPr>
            <w:r>
              <w:rPr>
                <w:rFonts w:hint="eastAsia"/>
                <w:b w:val="0"/>
                <w:bCs w:val="0"/>
                <w:highlight w:val="none"/>
                <w:u w:val="none"/>
                <w:lang w:val="en-US" w:eastAsia="zh-CN"/>
              </w:rPr>
              <w:t>本项目废气污染物产生量极少，且不易收集，自由逸散仍可满足排放要求。</w:t>
            </w: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b w:val="0"/>
                <w:bCs w:val="0"/>
                <w:highlight w:val="none"/>
                <w:u w:val="none"/>
                <w:vertAlign w:val="baseline"/>
                <w:lang w:val="en-US" w:eastAsia="zh-CN"/>
              </w:rPr>
            </w:pPr>
            <w:r>
              <w:rPr>
                <w:rFonts w:hint="eastAsia"/>
                <w:b w:val="0"/>
                <w:bCs w:val="0"/>
                <w:highlight w:val="none"/>
                <w:u w:val="none"/>
                <w:lang w:val="en-US" w:eastAsia="zh-CN"/>
              </w:rPr>
              <w:t>为了更详细的了解厂区无组织废气排放情况，企业委托河南析源环境检测有限公司对企业污染物进行检测，2020年9年22日~23日，河南析源环境检测有限公司对该公司废气进行采样、检测分析。由检测报告可知，厂界外非甲烷总烃最大排放浓度为1.88mg/m</w:t>
            </w:r>
            <w:r>
              <w:rPr>
                <w:rFonts w:hint="eastAsia"/>
                <w:b w:val="0"/>
                <w:bCs w:val="0"/>
                <w:highlight w:val="none"/>
                <w:u w:val="none"/>
                <w:vertAlign w:val="superscript"/>
                <w:lang w:val="en-US" w:eastAsia="zh-CN"/>
              </w:rPr>
              <w:t>3</w:t>
            </w:r>
            <w:r>
              <w:rPr>
                <w:rFonts w:hint="eastAsia"/>
                <w:b w:val="0"/>
                <w:bCs w:val="0"/>
                <w:highlight w:val="none"/>
                <w:u w:val="none"/>
                <w:lang w:val="en-US" w:eastAsia="zh-CN"/>
              </w:rPr>
              <w:t>，满足《关于全省开展工业企业挥发性有机物专项治理工作中排放建议值的通知》豫环攻坚办【2017】162号文无组织排放2.0mg/m</w:t>
            </w:r>
            <w:r>
              <w:rPr>
                <w:rFonts w:hint="eastAsia"/>
                <w:b w:val="0"/>
                <w:bCs w:val="0"/>
                <w:highlight w:val="none"/>
                <w:u w:val="none"/>
                <w:vertAlign w:val="superscript"/>
                <w:lang w:val="en-US" w:eastAsia="zh-CN"/>
              </w:rPr>
              <w:t>3</w:t>
            </w:r>
            <w:r>
              <w:rPr>
                <w:rFonts w:hint="eastAsia"/>
                <w:b w:val="0"/>
                <w:bCs w:val="0"/>
                <w:highlight w:val="none"/>
                <w:u w:val="none"/>
                <w:vertAlign w:val="baseline"/>
                <w:lang w:val="en-US" w:eastAsia="zh-CN"/>
              </w:rPr>
              <w:t>限值要求，厂区内任意一点最大排放浓度为3.38</w:t>
            </w:r>
            <w:r>
              <w:rPr>
                <w:rFonts w:hint="eastAsia"/>
                <w:b w:val="0"/>
                <w:bCs w:val="0"/>
                <w:highlight w:val="none"/>
                <w:u w:val="none"/>
                <w:lang w:val="en-US" w:eastAsia="zh-CN"/>
              </w:rPr>
              <w:t>mg/m</w:t>
            </w:r>
            <w:r>
              <w:rPr>
                <w:rFonts w:hint="eastAsia"/>
                <w:b w:val="0"/>
                <w:bCs w:val="0"/>
                <w:highlight w:val="none"/>
                <w:u w:val="none"/>
                <w:vertAlign w:val="superscript"/>
                <w:lang w:val="en-US" w:eastAsia="zh-CN"/>
              </w:rPr>
              <w:t>3</w:t>
            </w:r>
            <w:r>
              <w:rPr>
                <w:rFonts w:hint="eastAsia"/>
                <w:b w:val="0"/>
                <w:bCs w:val="0"/>
                <w:highlight w:val="none"/>
                <w:u w:val="none"/>
                <w:lang w:val="en-US" w:eastAsia="zh-CN"/>
              </w:rPr>
              <w:t>，满足《挥发性有机物无组织排放标准》（GB37822-2016）附录A表A.1厂区内VOCs无组织排放限值6.0mg/m</w:t>
            </w:r>
            <w:r>
              <w:rPr>
                <w:rFonts w:hint="eastAsia"/>
                <w:b w:val="0"/>
                <w:bCs w:val="0"/>
                <w:highlight w:val="none"/>
                <w:u w:val="none"/>
                <w:vertAlign w:val="superscript"/>
                <w:lang w:val="en-US" w:eastAsia="zh-CN"/>
              </w:rPr>
              <w:t>3</w:t>
            </w:r>
            <w:r>
              <w:rPr>
                <w:rFonts w:hint="eastAsia"/>
                <w:b w:val="0"/>
                <w:bCs w:val="0"/>
                <w:highlight w:val="none"/>
                <w:u w:val="none"/>
                <w:vertAlign w:val="baseline"/>
                <w:lang w:val="en-US" w:eastAsia="zh-CN"/>
              </w:rPr>
              <w:t>限值要求。</w:t>
            </w: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b w:val="0"/>
                <w:bCs w:val="0"/>
                <w:highlight w:val="none"/>
                <w:u w:val="none"/>
              </w:rPr>
            </w:pPr>
            <w:r>
              <w:rPr>
                <w:rFonts w:hint="eastAsia"/>
                <w:b w:val="0"/>
                <w:bCs w:val="0"/>
                <w:highlight w:val="none"/>
                <w:u w:val="none"/>
                <w:lang w:val="en-US" w:eastAsia="zh-CN"/>
              </w:rPr>
              <w:t>二</w:t>
            </w:r>
            <w:r>
              <w:rPr>
                <w:rFonts w:hint="default"/>
                <w:b w:val="0"/>
                <w:bCs w:val="0"/>
                <w:highlight w:val="none"/>
                <w:u w:val="none"/>
              </w:rPr>
              <w:t>、废水</w:t>
            </w:r>
          </w:p>
          <w:p>
            <w:pPr>
              <w:bidi w:val="0"/>
              <w:rPr>
                <w:rFonts w:hint="eastAsia"/>
                <w:b/>
                <w:bCs/>
                <w:highlight w:val="none"/>
                <w:u w:val="single"/>
                <w:lang w:val="en-US" w:eastAsia="zh-CN"/>
              </w:rPr>
            </w:pPr>
            <w:r>
              <w:rPr>
                <w:rFonts w:hint="eastAsia"/>
                <w:b/>
                <w:bCs/>
                <w:highlight w:val="none"/>
                <w:u w:val="single"/>
                <w:lang w:val="en-US" w:eastAsia="zh-CN"/>
              </w:rPr>
              <w:t>根据现有项目环评报告，</w:t>
            </w:r>
            <w:r>
              <w:rPr>
                <w:rFonts w:hint="eastAsia"/>
                <w:b/>
                <w:bCs/>
                <w:highlight w:val="none"/>
                <w:u w:val="single"/>
                <w:lang w:eastAsia="zh-CN"/>
              </w:rPr>
              <w:t>废水为生活污水和生产废水。现有项目</w:t>
            </w:r>
            <w:r>
              <w:rPr>
                <w:rFonts w:hint="eastAsia"/>
                <w:b/>
                <w:bCs/>
                <w:highlight w:val="none"/>
                <w:u w:val="single"/>
                <w:lang w:val="en-US" w:eastAsia="zh-CN"/>
              </w:rPr>
              <w:t>环评中</w:t>
            </w:r>
            <w:r>
              <w:rPr>
                <w:rFonts w:hint="eastAsia"/>
                <w:b/>
                <w:bCs/>
                <w:highlight w:val="none"/>
                <w:u w:val="single"/>
                <w:lang w:eastAsia="zh-CN"/>
              </w:rPr>
              <w:t>总用水量为</w:t>
            </w:r>
            <w:r>
              <w:rPr>
                <w:rFonts w:hint="eastAsia"/>
                <w:b/>
                <w:bCs/>
                <w:highlight w:val="none"/>
                <w:u w:val="single"/>
                <w:lang w:val="en-US" w:eastAsia="zh-CN"/>
              </w:rPr>
              <w:t>24t/d，其中乙炔发生器反应用水为4t/d；循环冷却水量为18t/d；用于乙炔气洗涤1t/d，并入冷却水循环系统不外排；生活污水量为0.8t/d，用于厂区内的卫生清洁，不外排。电石渣沉淀产生的废水量为700t/a，全部用于与电石反应不外排。废酸产生量为9t/a，废碱液的产生量为0.4t/a，全部用容器贮存，作为化工原料出售给其它化工厂。</w:t>
            </w:r>
          </w:p>
          <w:p>
            <w:pPr>
              <w:bidi w:val="0"/>
              <w:rPr>
                <w:rFonts w:hint="default"/>
                <w:b w:val="0"/>
                <w:bCs w:val="0"/>
                <w:highlight w:val="none"/>
                <w:u w:val="none"/>
                <w:lang w:val="en-US" w:eastAsia="zh-CN"/>
              </w:rPr>
            </w:pPr>
            <w:r>
              <w:rPr>
                <w:rFonts w:hint="eastAsia"/>
                <w:b/>
                <w:bCs/>
                <w:highlight w:val="none"/>
                <w:u w:val="single"/>
                <w:lang w:val="en-US" w:eastAsia="zh-CN"/>
              </w:rPr>
              <w:t>现有项目实际废水包括电石渣浆废水、气水分离器废水、废酸、废碱液以及生活污水，其中气水分离器废水现有项目环评未作分析。</w:t>
            </w:r>
          </w:p>
          <w:p>
            <w:pPr>
              <w:bidi w:val="0"/>
              <w:rPr>
                <w:rFonts w:hint="eastAsia"/>
                <w:b/>
                <w:bCs/>
                <w:highlight w:val="none"/>
                <w:u w:val="single"/>
                <w:lang w:val="en-US" w:eastAsia="zh-CN"/>
              </w:rPr>
            </w:pPr>
            <w:r>
              <w:rPr>
                <w:rFonts w:hint="eastAsia"/>
                <w:b/>
                <w:bCs/>
                <w:highlight w:val="none"/>
                <w:u w:val="single"/>
                <w:lang w:val="en-US" w:eastAsia="zh-CN"/>
              </w:rPr>
              <w:t>现有项目冷却水循环使用，循环量为18m</w:t>
            </w:r>
            <w:r>
              <w:rPr>
                <w:rFonts w:hint="eastAsia"/>
                <w:b/>
                <w:bCs/>
                <w:highlight w:val="none"/>
                <w:u w:val="single"/>
                <w:vertAlign w:val="superscript"/>
                <w:lang w:val="en-US" w:eastAsia="zh-CN"/>
              </w:rPr>
              <w:t>3</w:t>
            </w:r>
            <w:r>
              <w:rPr>
                <w:rFonts w:hint="eastAsia"/>
                <w:b/>
                <w:bCs/>
                <w:highlight w:val="none"/>
                <w:u w:val="single"/>
                <w:lang w:val="en-US" w:eastAsia="zh-CN"/>
              </w:rPr>
              <w:t>/d，其中新鲜水补充量为10m</w:t>
            </w:r>
            <w:r>
              <w:rPr>
                <w:rFonts w:hint="eastAsia"/>
                <w:b/>
                <w:bCs/>
                <w:highlight w:val="none"/>
                <w:u w:val="single"/>
                <w:vertAlign w:val="superscript"/>
                <w:lang w:val="en-US" w:eastAsia="zh-CN"/>
              </w:rPr>
              <w:t>3</w:t>
            </w:r>
            <w:r>
              <w:rPr>
                <w:rFonts w:hint="eastAsia"/>
                <w:b/>
                <w:bCs/>
                <w:highlight w:val="none"/>
                <w:u w:val="single"/>
                <w:lang w:val="en-US" w:eastAsia="zh-CN"/>
              </w:rPr>
              <w:t>/d。电石渣浆废水产生量为600m</w:t>
            </w:r>
            <w:r>
              <w:rPr>
                <w:rFonts w:hint="eastAsia"/>
                <w:b/>
                <w:bCs/>
                <w:highlight w:val="none"/>
                <w:u w:val="single"/>
                <w:vertAlign w:val="superscript"/>
                <w:lang w:val="en-US" w:eastAsia="zh-CN"/>
              </w:rPr>
              <w:t>3</w:t>
            </w:r>
            <w:r>
              <w:rPr>
                <w:rFonts w:hint="eastAsia"/>
                <w:b/>
                <w:bCs/>
                <w:highlight w:val="none"/>
                <w:u w:val="single"/>
                <w:lang w:val="en-US" w:eastAsia="zh-CN"/>
              </w:rPr>
              <w:t>/a，主要为电石渣沉淀上清液和压滤机压滤电石渣浆脱水产生，水质清洁，回用于乙炔发生器，作为反应用水。气水分离器废水产生量为1.2m</w:t>
            </w:r>
            <w:r>
              <w:rPr>
                <w:rFonts w:hint="eastAsia"/>
                <w:b/>
                <w:bCs/>
                <w:highlight w:val="none"/>
                <w:u w:val="single"/>
                <w:vertAlign w:val="superscript"/>
                <w:lang w:val="en-US" w:eastAsia="zh-CN"/>
              </w:rPr>
              <w:t>3</w:t>
            </w:r>
            <w:r>
              <w:rPr>
                <w:rFonts w:hint="eastAsia"/>
                <w:b/>
                <w:bCs/>
                <w:highlight w:val="none"/>
                <w:u w:val="single"/>
                <w:lang w:val="en-US" w:eastAsia="zh-CN"/>
              </w:rPr>
              <w:t>/a，由于气水分离器废水主要为</w:t>
            </w:r>
            <w:r>
              <w:rPr>
                <w:rFonts w:hint="eastAsia" w:cs="宋体"/>
                <w:b/>
                <w:bCs/>
                <w:sz w:val="24"/>
                <w:szCs w:val="24"/>
                <w:highlight w:val="none"/>
                <w:u w:val="single"/>
              </w:rPr>
              <w:t>乙炔气中夹带的少量水蒸汽</w:t>
            </w:r>
            <w:r>
              <w:rPr>
                <w:rFonts w:hint="eastAsia"/>
                <w:b/>
                <w:bCs/>
                <w:highlight w:val="none"/>
                <w:u w:val="single"/>
                <w:lang w:val="en-US" w:eastAsia="zh-CN"/>
              </w:rPr>
              <w:t>，为清净水，经电石渣沉淀池沉淀后，回用于乙炔发生器，作为反应用水。废酸产生量为1.2m</w:t>
            </w:r>
            <w:r>
              <w:rPr>
                <w:rFonts w:hint="eastAsia"/>
                <w:b/>
                <w:bCs/>
                <w:highlight w:val="none"/>
                <w:u w:val="single"/>
                <w:vertAlign w:val="superscript"/>
                <w:lang w:val="en-US" w:eastAsia="zh-CN"/>
              </w:rPr>
              <w:t>3</w:t>
            </w:r>
            <w:r>
              <w:rPr>
                <w:rFonts w:hint="eastAsia"/>
                <w:b/>
                <w:bCs/>
                <w:highlight w:val="none"/>
                <w:u w:val="single"/>
                <w:lang w:val="en-US" w:eastAsia="zh-CN"/>
              </w:rPr>
              <w:t>/a，现状处理方式为外售综合利用，废碱液产生量为0.05m</w:t>
            </w:r>
            <w:r>
              <w:rPr>
                <w:rFonts w:hint="eastAsia"/>
                <w:b/>
                <w:bCs/>
                <w:highlight w:val="none"/>
                <w:u w:val="single"/>
                <w:vertAlign w:val="superscript"/>
                <w:lang w:val="en-US" w:eastAsia="zh-CN"/>
              </w:rPr>
              <w:t>3</w:t>
            </w:r>
            <w:r>
              <w:rPr>
                <w:rFonts w:hint="eastAsia"/>
                <w:b/>
                <w:bCs/>
                <w:highlight w:val="none"/>
                <w:u w:val="single"/>
                <w:lang w:val="en-US" w:eastAsia="zh-CN"/>
              </w:rPr>
              <w:t>/a，排入电石渣沉淀池，经沉淀后，废水中的硫酸钠可与电石渣中的游离钙结合生成硫酸钙进入电石渣。上清液及电石渣压滤产生的废水可回用于乙炔发生器，作为反应用水。</w:t>
            </w:r>
          </w:p>
          <w:p>
            <w:pPr>
              <w:bidi w:val="0"/>
              <w:rPr>
                <w:rFonts w:hint="eastAsia"/>
                <w:b w:val="0"/>
                <w:bCs w:val="0"/>
                <w:highlight w:val="none"/>
                <w:u w:val="none"/>
                <w:lang w:val="en-US" w:eastAsia="zh-CN"/>
              </w:rPr>
            </w:pPr>
            <w:r>
              <w:rPr>
                <w:rFonts w:hint="eastAsia"/>
                <w:b w:val="0"/>
                <w:bCs w:val="0"/>
                <w:highlight w:val="none"/>
                <w:u w:val="none"/>
                <w:lang w:val="en-US" w:eastAsia="zh-CN"/>
              </w:rPr>
              <w:t>现有项目乙炔生产过程中水质要求不高，所需水质标准为COD</w:t>
            </w:r>
            <w:r>
              <w:rPr>
                <w:rFonts w:hint="eastAsia"/>
                <w:b w:val="0"/>
                <w:bCs w:val="0"/>
                <w:highlight w:val="none"/>
                <w:u w:val="none"/>
                <w:vertAlign w:val="subscript"/>
                <w:lang w:val="en-US" w:eastAsia="zh-CN"/>
              </w:rPr>
              <w:t>cr</w:t>
            </w:r>
            <w:r>
              <w:rPr>
                <w:rFonts w:hint="eastAsia"/>
                <w:b w:val="0"/>
                <w:bCs w:val="0"/>
                <w:highlight w:val="none"/>
                <w:u w:val="none"/>
                <w:lang w:val="en-US" w:eastAsia="zh-CN"/>
              </w:rPr>
              <w:t>1000~2000mg/L，SS150~180mg/L，pH12~13，排入电石渣沉淀池的废水经反应沉淀处理后，水质为COD</w:t>
            </w:r>
            <w:r>
              <w:rPr>
                <w:rFonts w:hint="eastAsia"/>
                <w:b w:val="0"/>
                <w:bCs w:val="0"/>
                <w:highlight w:val="none"/>
                <w:u w:val="none"/>
                <w:vertAlign w:val="subscript"/>
                <w:lang w:val="en-US" w:eastAsia="zh-CN"/>
              </w:rPr>
              <w:t>cr</w:t>
            </w:r>
            <w:r>
              <w:rPr>
                <w:rFonts w:hint="eastAsia"/>
                <w:b w:val="0"/>
                <w:bCs w:val="0"/>
                <w:highlight w:val="none"/>
                <w:u w:val="none"/>
                <w:lang w:val="en-US" w:eastAsia="zh-CN"/>
              </w:rPr>
              <w:t>1000~2000mg/L，SS20~50mg/L，pH12~13。</w:t>
            </w:r>
          </w:p>
          <w:p>
            <w:pPr>
              <w:bidi w:val="0"/>
              <w:rPr>
                <w:rFonts w:hint="eastAsia"/>
                <w:b w:val="0"/>
                <w:bCs w:val="0"/>
                <w:highlight w:val="none"/>
                <w:u w:val="none"/>
                <w:lang w:val="en-US" w:eastAsia="zh-CN"/>
              </w:rPr>
            </w:pPr>
            <w:r>
              <w:rPr>
                <w:rFonts w:hint="eastAsia"/>
                <w:b w:val="0"/>
                <w:bCs w:val="0"/>
                <w:highlight w:val="none"/>
                <w:u w:val="none"/>
                <w:lang w:val="en-US" w:eastAsia="zh-CN"/>
              </w:rPr>
              <w:t>电石渣沉淀池废水回用可行性</w:t>
            </w:r>
          </w:p>
          <w:p>
            <w:pPr>
              <w:bidi w:val="0"/>
              <w:rPr>
                <w:rFonts w:hint="eastAsia"/>
                <w:b w:val="0"/>
                <w:bCs w:val="0"/>
                <w:highlight w:val="none"/>
                <w:u w:val="none"/>
                <w:lang w:val="en-US" w:eastAsia="zh-CN"/>
              </w:rPr>
            </w:pPr>
            <w:r>
              <w:rPr>
                <w:rFonts w:hint="eastAsia"/>
                <w:b w:val="0"/>
                <w:bCs w:val="0"/>
                <w:highlight w:val="none"/>
                <w:u w:val="none"/>
                <w:lang w:val="en-US" w:eastAsia="zh-CN"/>
              </w:rPr>
              <w:t>渣浆上清液能否长期循环回用的关键在于上清液中的H</w:t>
            </w:r>
            <w:r>
              <w:rPr>
                <w:rFonts w:hint="eastAsia"/>
                <w:b w:val="0"/>
                <w:bCs w:val="0"/>
                <w:highlight w:val="none"/>
                <w:u w:val="none"/>
                <w:vertAlign w:val="subscript"/>
                <w:lang w:val="en-US" w:eastAsia="zh-CN"/>
              </w:rPr>
              <w:t>2</w:t>
            </w:r>
            <w:r>
              <w:rPr>
                <w:rFonts w:hint="eastAsia"/>
                <w:b w:val="0"/>
                <w:bCs w:val="0"/>
                <w:highlight w:val="none"/>
                <w:u w:val="none"/>
                <w:lang w:val="en-US" w:eastAsia="zh-CN"/>
              </w:rPr>
              <w:t>S和PH</w:t>
            </w:r>
            <w:r>
              <w:rPr>
                <w:rFonts w:hint="eastAsia"/>
                <w:b w:val="0"/>
                <w:bCs w:val="0"/>
                <w:highlight w:val="none"/>
                <w:u w:val="none"/>
                <w:vertAlign w:val="subscript"/>
                <w:lang w:val="en-US" w:eastAsia="zh-CN"/>
              </w:rPr>
              <w:t>3</w:t>
            </w:r>
            <w:r>
              <w:rPr>
                <w:rFonts w:hint="eastAsia"/>
                <w:b w:val="0"/>
                <w:bCs w:val="0"/>
                <w:highlight w:val="none"/>
                <w:u w:val="none"/>
                <w:lang w:val="en-US" w:eastAsia="zh-CN"/>
              </w:rPr>
              <w:t>等杂质含量是否会在乙炔发生器系统中产生累积，从而给清净带来负荷，并影响乙炔气的质量。循环回用上清液到乙炔发生器中，使其与电石反应，由于生成的副产物Ca(OH)</w:t>
            </w:r>
            <w:r>
              <w:rPr>
                <w:rFonts w:hint="eastAsia"/>
                <w:b w:val="0"/>
                <w:bCs w:val="0"/>
                <w:highlight w:val="none"/>
                <w:u w:val="none"/>
                <w:vertAlign w:val="subscript"/>
                <w:lang w:val="en-US" w:eastAsia="zh-CN"/>
              </w:rPr>
              <w:t>2</w:t>
            </w:r>
            <w:r>
              <w:rPr>
                <w:rFonts w:hint="eastAsia"/>
                <w:b w:val="0"/>
                <w:bCs w:val="0"/>
                <w:highlight w:val="none"/>
                <w:u w:val="none"/>
                <w:lang w:val="en-US" w:eastAsia="zh-CN"/>
              </w:rPr>
              <w:t>的存在及排出乙炔气借鼓泡形成通过渣浆液层，绝大部分硫化物生成硫化钙沉淀而进入电石渣中，并通过压滤工序同电石渣一起被分离出来。因此，上清液循环后作为乙炔发生器用水，不会增加清净的负荷，也不会对乙炔气的质量产生影响。</w:t>
            </w:r>
          </w:p>
          <w:p>
            <w:pPr>
              <w:bidi w:val="0"/>
              <w:rPr>
                <w:rFonts w:hint="default"/>
                <w:b w:val="0"/>
                <w:bCs w:val="0"/>
                <w:highlight w:val="none"/>
                <w:u w:val="none"/>
                <w:lang w:val="en-US" w:eastAsia="zh-CN"/>
              </w:rPr>
            </w:pPr>
            <w:r>
              <w:rPr>
                <w:rFonts w:hint="eastAsia"/>
                <w:b w:val="0"/>
                <w:bCs w:val="0"/>
                <w:highlight w:val="none"/>
                <w:u w:val="none"/>
                <w:lang w:val="en-US" w:eastAsia="zh-CN"/>
              </w:rPr>
              <w:t>现有项目电石渣沉淀池废水经沉淀池处理后的水质能够达到COD</w:t>
            </w:r>
            <w:r>
              <w:rPr>
                <w:rFonts w:hint="eastAsia"/>
                <w:b w:val="0"/>
                <w:bCs w:val="0"/>
                <w:highlight w:val="none"/>
                <w:u w:val="none"/>
                <w:vertAlign w:val="subscript"/>
                <w:lang w:val="en-US" w:eastAsia="zh-CN"/>
              </w:rPr>
              <w:t>cr</w:t>
            </w:r>
            <w:r>
              <w:rPr>
                <w:rFonts w:hint="eastAsia"/>
                <w:b w:val="0"/>
                <w:bCs w:val="0"/>
                <w:highlight w:val="none"/>
                <w:u w:val="none"/>
                <w:lang w:val="en-US" w:eastAsia="zh-CN"/>
              </w:rPr>
              <w:t>1000~2000mg/L，SS20~50mg/L，pH12~13，满足回用要求，可回用于乙炔发生器，作为反应用水。</w:t>
            </w:r>
          </w:p>
          <w:p>
            <w:pPr>
              <w:snapToGrid w:val="0"/>
              <w:spacing w:line="360" w:lineRule="auto"/>
              <w:ind w:firstLine="482" w:firstLineChars="200"/>
              <w:rPr>
                <w:rFonts w:hint="default" w:eastAsia="宋体"/>
                <w:b w:val="0"/>
                <w:bCs w:val="0"/>
                <w:highlight w:val="none"/>
                <w:u w:val="none"/>
                <w:lang w:val="en-US" w:eastAsia="zh-CN"/>
              </w:rPr>
            </w:pPr>
            <w:r>
              <w:rPr>
                <w:rFonts w:hint="eastAsia"/>
                <w:b/>
                <w:bCs/>
                <w:highlight w:val="none"/>
                <w:u w:val="single"/>
                <w:lang w:val="en-US" w:eastAsia="zh-CN"/>
              </w:rPr>
              <w:t>现有项目劳动定员为15人，均不在厂区食宿，根据《建筑给排水规范》（GB50015-2003）（2009版），车间工人的用水量取30~50L/(人·d)，本项目年工作日300天，职工生活办公用水定额按30L/(人·d)计，则项目生活用水量为0.45m</w:t>
            </w:r>
            <w:r>
              <w:rPr>
                <w:rFonts w:hint="eastAsia"/>
                <w:b/>
                <w:bCs/>
                <w:highlight w:val="none"/>
                <w:u w:val="single"/>
                <w:vertAlign w:val="superscript"/>
                <w:lang w:val="en-US" w:eastAsia="zh-CN"/>
              </w:rPr>
              <w:t>3</w:t>
            </w:r>
            <w:r>
              <w:rPr>
                <w:rFonts w:hint="eastAsia"/>
                <w:b/>
                <w:bCs/>
                <w:highlight w:val="none"/>
                <w:u w:val="single"/>
                <w:lang w:val="en-US" w:eastAsia="zh-CN"/>
              </w:rPr>
              <w:t>/d（135m</w:t>
            </w:r>
            <w:r>
              <w:rPr>
                <w:rFonts w:hint="eastAsia"/>
                <w:b/>
                <w:bCs/>
                <w:highlight w:val="none"/>
                <w:u w:val="single"/>
                <w:vertAlign w:val="superscript"/>
                <w:lang w:val="en-US" w:eastAsia="zh-CN"/>
              </w:rPr>
              <w:t>3</w:t>
            </w:r>
            <w:r>
              <w:rPr>
                <w:rFonts w:hint="eastAsia"/>
                <w:b/>
                <w:bCs/>
                <w:highlight w:val="none"/>
                <w:u w:val="single"/>
                <w:lang w:val="en-US" w:eastAsia="zh-CN"/>
              </w:rPr>
              <w:t>/a）。</w:t>
            </w:r>
            <w:r>
              <w:rPr>
                <w:b/>
                <w:bCs/>
                <w:highlight w:val="none"/>
                <w:u w:val="single"/>
              </w:rPr>
              <w:t>职工生活污水产污系数按0.8计，则生活污水产生量为</w:t>
            </w:r>
            <w:r>
              <w:rPr>
                <w:rFonts w:hint="eastAsia"/>
                <w:b/>
                <w:bCs/>
                <w:highlight w:val="none"/>
                <w:u w:val="single"/>
                <w:lang w:val="en-US" w:eastAsia="zh-CN"/>
              </w:rPr>
              <w:t>0.36</w:t>
            </w:r>
            <w:r>
              <w:rPr>
                <w:b/>
                <w:bCs/>
                <w:highlight w:val="none"/>
                <w:u w:val="single"/>
              </w:rPr>
              <w:t>m</w:t>
            </w:r>
            <w:r>
              <w:rPr>
                <w:b/>
                <w:bCs/>
                <w:highlight w:val="none"/>
                <w:u w:val="single"/>
                <w:vertAlign w:val="superscript"/>
              </w:rPr>
              <w:t>3</w:t>
            </w:r>
            <w:r>
              <w:rPr>
                <w:b/>
                <w:bCs/>
                <w:highlight w:val="none"/>
                <w:u w:val="single"/>
              </w:rPr>
              <w:t>/d（</w:t>
            </w:r>
            <w:r>
              <w:rPr>
                <w:rFonts w:hint="eastAsia"/>
                <w:b/>
                <w:bCs/>
                <w:highlight w:val="none"/>
                <w:u w:val="single"/>
                <w:lang w:val="en-US" w:eastAsia="zh-CN"/>
              </w:rPr>
              <w:t>108</w:t>
            </w:r>
            <w:r>
              <w:rPr>
                <w:b/>
                <w:bCs/>
                <w:highlight w:val="none"/>
                <w:u w:val="single"/>
              </w:rPr>
              <w:t>m</w:t>
            </w:r>
            <w:r>
              <w:rPr>
                <w:b/>
                <w:bCs/>
                <w:highlight w:val="none"/>
                <w:u w:val="single"/>
                <w:vertAlign w:val="superscript"/>
              </w:rPr>
              <w:t>3</w:t>
            </w:r>
            <w:r>
              <w:rPr>
                <w:b/>
                <w:bCs/>
                <w:highlight w:val="none"/>
                <w:u w:val="single"/>
              </w:rPr>
              <w:t>/a）。</w:t>
            </w:r>
            <w:r>
              <w:rPr>
                <w:rFonts w:hint="eastAsia"/>
                <w:b/>
                <w:bCs/>
                <w:highlight w:val="none"/>
                <w:u w:val="single"/>
                <w:lang w:val="en-US" w:eastAsia="zh-CN"/>
              </w:rPr>
              <w:t>因为大召营镇管网及污水处理厂已建成，现有项目生活污水由定期清运改为进入大召营镇污水处理厂处理。</w:t>
            </w:r>
          </w:p>
          <w:p>
            <w:pPr>
              <w:pStyle w:val="4"/>
              <w:keepNext/>
              <w:keepLines/>
              <w:pageBreakBefore w:val="0"/>
              <w:widowControl w:val="0"/>
              <w:numPr>
                <w:ilvl w:val="0"/>
                <w:numId w:val="0"/>
              </w:numPr>
              <w:kinsoku/>
              <w:wordWrap/>
              <w:overflowPunct/>
              <w:topLinePunct w:val="0"/>
              <w:autoSpaceDE/>
              <w:autoSpaceDN/>
              <w:bidi w:val="0"/>
              <w:adjustRightInd/>
              <w:snapToGrid/>
              <w:ind w:firstLine="482" w:firstLineChars="200"/>
              <w:textAlignment w:val="auto"/>
              <w:rPr>
                <w:rFonts w:hint="eastAsia"/>
                <w:b w:val="0"/>
                <w:bCs w:val="0"/>
                <w:highlight w:val="none"/>
                <w:u w:val="none"/>
                <w:lang w:val="en-US" w:eastAsia="zh-CN"/>
              </w:rPr>
            </w:pPr>
            <w:r>
              <w:drawing>
                <wp:anchor distT="0" distB="0" distL="114300" distR="114300" simplePos="0" relativeHeight="251663360" behindDoc="1" locked="0" layoutInCell="1" allowOverlap="1">
                  <wp:simplePos x="0" y="0"/>
                  <wp:positionH relativeFrom="column">
                    <wp:posOffset>-113665</wp:posOffset>
                  </wp:positionH>
                  <wp:positionV relativeFrom="paragraph">
                    <wp:posOffset>288925</wp:posOffset>
                  </wp:positionV>
                  <wp:extent cx="5638800" cy="2866390"/>
                  <wp:effectExtent l="0" t="0" r="0" b="10160"/>
                  <wp:wrapNone/>
                  <wp:docPr id="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pic:cNvPicPr>
                            <a:picLocks noChangeAspect="1"/>
                          </pic:cNvPicPr>
                        </pic:nvPicPr>
                        <pic:blipFill>
                          <a:blip r:embed="rId13"/>
                          <a:stretch>
                            <a:fillRect/>
                          </a:stretch>
                        </pic:blipFill>
                        <pic:spPr>
                          <a:xfrm>
                            <a:off x="0" y="0"/>
                            <a:ext cx="5638800" cy="2866390"/>
                          </a:xfrm>
                          <a:prstGeom prst="rect">
                            <a:avLst/>
                          </a:prstGeom>
                          <a:noFill/>
                          <a:ln>
                            <a:noFill/>
                          </a:ln>
                        </pic:spPr>
                      </pic:pic>
                    </a:graphicData>
                  </a:graphic>
                </wp:anchor>
              </w:drawing>
            </w:r>
            <w:r>
              <w:rPr>
                <w:rFonts w:hint="eastAsia" w:eastAsia="宋体" w:cs="Times New Roman"/>
                <w:bCs/>
                <w:color w:val="auto"/>
                <w:sz w:val="24"/>
                <w:highlight w:val="none"/>
                <w:lang w:val="en-US" w:eastAsia="zh-CN"/>
              </w:rPr>
              <w:t>现有</w:t>
            </w:r>
            <w:r>
              <w:rPr>
                <w:rFonts w:hint="default" w:ascii="Times New Roman" w:hAnsi="Times New Roman" w:eastAsia="宋体" w:cs="Times New Roman"/>
                <w:bCs/>
                <w:color w:val="auto"/>
                <w:sz w:val="24"/>
                <w:highlight w:val="none"/>
                <w:lang w:val="en-US" w:eastAsia="zh-CN"/>
              </w:rPr>
              <w:t>项目水平衡图见图</w:t>
            </w:r>
            <w:r>
              <w:rPr>
                <w:rFonts w:hint="eastAsia" w:cs="Times New Roman"/>
                <w:bCs/>
                <w:color w:val="auto"/>
                <w:sz w:val="24"/>
                <w:highlight w:val="none"/>
                <w:lang w:val="en-US" w:eastAsia="zh-CN"/>
              </w:rPr>
              <w:t>3</w:t>
            </w:r>
            <w:r>
              <w:rPr>
                <w:rFonts w:hint="default" w:ascii="Times New Roman" w:hAnsi="Times New Roman" w:eastAsia="宋体" w:cs="Times New Roman"/>
                <w:bCs/>
                <w:color w:val="auto"/>
                <w:sz w:val="24"/>
                <w:highlight w:val="none"/>
                <w:lang w:val="en-US" w:eastAsia="zh-CN"/>
              </w:rPr>
              <w:t>。</w:t>
            </w: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b w:val="0"/>
                <w:bCs w:val="0"/>
                <w:highlight w:val="none"/>
                <w:u w:val="none"/>
                <w:lang w:val="en-US" w:eastAsia="zh-CN"/>
              </w:rPr>
            </w:pP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b w:val="0"/>
                <w:bCs w:val="0"/>
                <w:highlight w:val="none"/>
                <w:u w:val="none"/>
                <w:lang w:val="en-US" w:eastAsia="zh-CN"/>
              </w:rPr>
            </w:pP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b w:val="0"/>
                <w:bCs w:val="0"/>
                <w:highlight w:val="none"/>
                <w:u w:val="none"/>
                <w:lang w:val="en-US" w:eastAsia="zh-CN"/>
              </w:rPr>
            </w:pP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b w:val="0"/>
                <w:bCs w:val="0"/>
                <w:highlight w:val="none"/>
                <w:u w:val="none"/>
                <w:lang w:val="en-US" w:eastAsia="zh-CN"/>
              </w:rPr>
            </w:pP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b w:val="0"/>
                <w:bCs w:val="0"/>
                <w:highlight w:val="none"/>
                <w:u w:val="none"/>
                <w:lang w:val="en-US" w:eastAsia="zh-CN"/>
              </w:rPr>
            </w:pP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b w:val="0"/>
                <w:bCs w:val="0"/>
                <w:highlight w:val="none"/>
                <w:u w:val="none"/>
                <w:lang w:val="en-US" w:eastAsia="zh-CN"/>
              </w:rPr>
            </w:pP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b w:val="0"/>
                <w:bCs w:val="0"/>
                <w:highlight w:val="none"/>
                <w:u w:val="none"/>
                <w:lang w:val="en-US" w:eastAsia="zh-CN"/>
              </w:rPr>
            </w:pP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b w:val="0"/>
                <w:bCs w:val="0"/>
                <w:highlight w:val="none"/>
                <w:u w:val="none"/>
                <w:lang w:val="en-US" w:eastAsia="zh-CN"/>
              </w:rPr>
            </w:pP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b w:val="0"/>
                <w:bCs w:val="0"/>
                <w:highlight w:val="none"/>
                <w:u w:val="none"/>
                <w:lang w:val="en-US" w:eastAsia="zh-CN"/>
              </w:rPr>
            </w:pP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b w:val="0"/>
                <w:bCs w:val="0"/>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val="0"/>
                <w:highlight w:val="none"/>
                <w:u w:val="none"/>
                <w:lang w:val="en-US" w:eastAsia="zh-CN"/>
              </w:rPr>
            </w:pPr>
            <w:r>
              <w:rPr>
                <w:rFonts w:hint="default" w:ascii="Times New Roman" w:hAnsi="Times New Roman" w:eastAsia="宋体" w:cs="Times New Roman"/>
                <w:kern w:val="0"/>
                <w:sz w:val="24"/>
                <w:highlight w:val="none"/>
              </w:rPr>
              <w:t>图</w:t>
            </w:r>
            <w:r>
              <w:rPr>
                <w:rFonts w:hint="eastAsia" w:cs="Times New Roman"/>
                <w:kern w:val="0"/>
                <w:sz w:val="24"/>
                <w:highlight w:val="none"/>
                <w:lang w:val="en-US" w:eastAsia="zh-CN"/>
              </w:rPr>
              <w:t>3</w:t>
            </w:r>
            <w:r>
              <w:rPr>
                <w:rFonts w:hint="default" w:ascii="Times New Roman" w:hAnsi="Times New Roman" w:eastAsia="宋体" w:cs="Times New Roman"/>
                <w:kern w:val="0"/>
                <w:sz w:val="24"/>
                <w:highlight w:val="none"/>
              </w:rPr>
              <w:t xml:space="preserve">  </w:t>
            </w:r>
            <w:r>
              <w:rPr>
                <w:rFonts w:hint="eastAsia" w:eastAsia="宋体" w:cs="Times New Roman"/>
                <w:kern w:val="0"/>
                <w:sz w:val="24"/>
                <w:highlight w:val="none"/>
                <w:lang w:val="en-US" w:eastAsia="zh-CN"/>
              </w:rPr>
              <w:t>现有</w:t>
            </w:r>
            <w:r>
              <w:rPr>
                <w:rFonts w:hint="default" w:ascii="Times New Roman" w:hAnsi="Times New Roman" w:eastAsia="宋体" w:cs="Times New Roman"/>
                <w:kern w:val="0"/>
                <w:sz w:val="24"/>
                <w:highlight w:val="none"/>
              </w:rPr>
              <w:t>项目</w:t>
            </w:r>
            <w:r>
              <w:rPr>
                <w:rFonts w:hint="default" w:ascii="Times New Roman" w:hAnsi="Times New Roman" w:eastAsia="宋体" w:cs="Times New Roman"/>
                <w:kern w:val="0"/>
                <w:sz w:val="24"/>
                <w:highlight w:val="none"/>
                <w:lang w:val="en-US" w:eastAsia="zh-CN"/>
              </w:rPr>
              <w:t>营运</w:t>
            </w:r>
            <w:r>
              <w:rPr>
                <w:rFonts w:hint="default" w:ascii="Times New Roman" w:hAnsi="Times New Roman" w:eastAsia="宋体" w:cs="Times New Roman"/>
                <w:kern w:val="0"/>
                <w:sz w:val="24"/>
                <w:highlight w:val="none"/>
              </w:rPr>
              <w:t xml:space="preserve">期水平衡图  </w:t>
            </w:r>
            <w:r>
              <w:rPr>
                <w:rFonts w:hint="default" w:ascii="Times New Roman" w:hAnsi="Times New Roman" w:eastAsia="宋体" w:cs="Times New Roman"/>
                <w:kern w:val="0"/>
                <w:szCs w:val="21"/>
                <w:highlight w:val="none"/>
              </w:rPr>
              <w:t>单位：</w:t>
            </w:r>
            <w:r>
              <w:rPr>
                <w:rFonts w:hint="eastAsia" w:cs="Times New Roman"/>
                <w:kern w:val="0"/>
                <w:szCs w:val="21"/>
                <w:highlight w:val="none"/>
                <w:lang w:eastAsia="zh-CN"/>
              </w:rPr>
              <w:t>t/d</w:t>
            </w: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b w:val="0"/>
                <w:bCs w:val="0"/>
                <w:highlight w:val="none"/>
                <w:u w:val="none"/>
                <w:lang w:val="en-US" w:eastAsia="zh-CN"/>
              </w:rPr>
            </w:pPr>
            <w:r>
              <w:rPr>
                <w:rFonts w:hint="eastAsia"/>
                <w:b w:val="0"/>
                <w:bCs w:val="0"/>
                <w:highlight w:val="none"/>
                <w:u w:val="none"/>
                <w:lang w:val="en-US" w:eastAsia="zh-CN"/>
              </w:rPr>
              <w:t>三、噪声</w:t>
            </w:r>
          </w:p>
          <w:p>
            <w:pPr>
              <w:bidi w:val="0"/>
              <w:rPr>
                <w:rFonts w:hint="eastAsia"/>
                <w:b w:val="0"/>
                <w:bCs w:val="0"/>
                <w:highlight w:val="none"/>
                <w:u w:val="none"/>
                <w:lang w:val="en-US" w:eastAsia="zh-CN"/>
              </w:rPr>
            </w:pPr>
            <w:r>
              <w:rPr>
                <w:rFonts w:hint="eastAsia"/>
                <w:b w:val="0"/>
                <w:bCs w:val="0"/>
                <w:highlight w:val="none"/>
                <w:u w:val="none"/>
                <w:lang w:val="en-US" w:eastAsia="zh-CN"/>
              </w:rPr>
              <w:t>现有项目噪声主要为设备噪声。现有项目噪声主要是2台压缩机，源强约为85dB(A)，采用设备安装减振基础、厂房隔声及距离缩减等措施后，现有项目环评要求各厂界噪声满足《工业企业厂界环境噪声排放标准》（GB12348-2008）2类标准要求。根据新的规划要求，现有项目各厂界噪声实际应满足《工业企业厂界环境噪声排放标准》（GB12348-2008）3类标准要求。</w:t>
            </w:r>
          </w:p>
          <w:p>
            <w:pPr>
              <w:pStyle w:val="4"/>
              <w:bidi w:val="0"/>
              <w:rPr>
                <w:rFonts w:hint="default"/>
                <w:b w:val="0"/>
                <w:bCs w:val="0"/>
                <w:highlight w:val="none"/>
                <w:u w:val="none"/>
              </w:rPr>
            </w:pPr>
            <w:r>
              <w:rPr>
                <w:rFonts w:hint="eastAsia"/>
                <w:b w:val="0"/>
                <w:bCs w:val="0"/>
                <w:highlight w:val="none"/>
                <w:u w:val="none"/>
                <w:lang w:val="en-US" w:eastAsia="zh-CN"/>
              </w:rPr>
              <w:t>四</w:t>
            </w:r>
            <w:r>
              <w:rPr>
                <w:rFonts w:hint="default"/>
                <w:b w:val="0"/>
                <w:bCs w:val="0"/>
                <w:highlight w:val="none"/>
                <w:u w:val="none"/>
              </w:rPr>
              <w:t>、固废</w:t>
            </w:r>
          </w:p>
          <w:p>
            <w:pPr>
              <w:bidi w:val="0"/>
              <w:rPr>
                <w:rFonts w:hint="eastAsia"/>
                <w:b w:val="0"/>
                <w:bCs w:val="0"/>
                <w:highlight w:val="none"/>
                <w:u w:val="none"/>
                <w:lang w:val="en-US" w:eastAsia="zh-CN"/>
              </w:rPr>
            </w:pPr>
            <w:r>
              <w:rPr>
                <w:rFonts w:hint="eastAsia"/>
                <w:b w:val="0"/>
                <w:bCs w:val="0"/>
                <w:highlight w:val="none"/>
                <w:u w:val="none"/>
                <w:lang w:val="en-US" w:eastAsia="zh-CN"/>
              </w:rPr>
              <w:t>根据现有项目环评报告中，</w:t>
            </w:r>
            <w:r>
              <w:rPr>
                <w:rFonts w:hint="default"/>
                <w:b w:val="0"/>
                <w:bCs w:val="0"/>
                <w:highlight w:val="none"/>
                <w:u w:val="none"/>
              </w:rPr>
              <w:t>固废主要为</w:t>
            </w:r>
            <w:r>
              <w:rPr>
                <w:rFonts w:hint="eastAsia"/>
                <w:b w:val="0"/>
                <w:bCs w:val="0"/>
                <w:highlight w:val="none"/>
                <w:u w:val="none"/>
                <w:lang w:eastAsia="zh-CN"/>
              </w:rPr>
              <w:t>一般固体废物。现有项目固废主要是电石反应后的电石渣，产生量为</w:t>
            </w:r>
            <w:r>
              <w:rPr>
                <w:rFonts w:hint="eastAsia"/>
                <w:b w:val="0"/>
                <w:bCs w:val="0"/>
                <w:highlight w:val="none"/>
                <w:u w:val="none"/>
                <w:lang w:val="en-US" w:eastAsia="zh-CN"/>
              </w:rPr>
              <w:t>380t/a，该公司建有三个储存池，容积为50m</w:t>
            </w:r>
            <w:r>
              <w:rPr>
                <w:rFonts w:hint="eastAsia"/>
                <w:b w:val="0"/>
                <w:bCs w:val="0"/>
                <w:highlight w:val="none"/>
                <w:u w:val="none"/>
                <w:vertAlign w:val="superscript"/>
                <w:lang w:val="en-US" w:eastAsia="zh-CN"/>
              </w:rPr>
              <w:t>3</w:t>
            </w:r>
            <w:r>
              <w:rPr>
                <w:rFonts w:hint="eastAsia"/>
                <w:b w:val="0"/>
                <w:bCs w:val="0"/>
                <w:highlight w:val="none"/>
                <w:u w:val="none"/>
                <w:lang w:val="en-US" w:eastAsia="zh-CN"/>
              </w:rPr>
              <w:t>，经沉淀脱水后作为建材被附近农民拉走，对项目周围环境的影响较小。实际现有项目固体废物包括电石渣、废氯化钙和生活垃圾。电石渣是电石渣浆废水经沉淀池沉淀后的产物，主要成分为 Ca(OH)</w:t>
            </w:r>
            <w:r>
              <w:rPr>
                <w:rFonts w:hint="eastAsia"/>
                <w:b w:val="0"/>
                <w:bCs w:val="0"/>
                <w:highlight w:val="none"/>
                <w:u w:val="none"/>
                <w:vertAlign w:val="subscript"/>
                <w:lang w:val="en-US" w:eastAsia="zh-CN"/>
              </w:rPr>
              <w:t>2</w:t>
            </w:r>
            <w:r>
              <w:rPr>
                <w:rFonts w:hint="eastAsia"/>
                <w:b w:val="0"/>
                <w:bCs w:val="0"/>
                <w:highlight w:val="none"/>
                <w:u w:val="none"/>
                <w:lang w:val="en-US" w:eastAsia="zh-CN"/>
              </w:rPr>
              <w:t>，含有微量 SiO</w:t>
            </w:r>
            <w:r>
              <w:rPr>
                <w:rFonts w:hint="eastAsia"/>
                <w:b w:val="0"/>
                <w:bCs w:val="0"/>
                <w:highlight w:val="none"/>
                <w:u w:val="none"/>
                <w:vertAlign w:val="subscript"/>
                <w:lang w:val="en-US" w:eastAsia="zh-CN"/>
              </w:rPr>
              <w:t>2</w:t>
            </w:r>
            <w:r>
              <w:rPr>
                <w:rFonts w:hint="eastAsia"/>
                <w:b w:val="0"/>
                <w:bCs w:val="0"/>
                <w:highlight w:val="none"/>
                <w:u w:val="none"/>
                <w:lang w:val="en-US" w:eastAsia="zh-CN"/>
              </w:rPr>
              <w:t>、Al</w:t>
            </w:r>
            <w:r>
              <w:rPr>
                <w:rFonts w:hint="eastAsia"/>
                <w:b w:val="0"/>
                <w:bCs w:val="0"/>
                <w:highlight w:val="none"/>
                <w:u w:val="none"/>
                <w:vertAlign w:val="subscript"/>
                <w:lang w:val="en-US" w:eastAsia="zh-CN"/>
              </w:rPr>
              <w:t>2</w:t>
            </w:r>
            <w:r>
              <w:rPr>
                <w:rFonts w:hint="eastAsia"/>
                <w:b w:val="0"/>
                <w:bCs w:val="0"/>
                <w:highlight w:val="none"/>
                <w:u w:val="none"/>
                <w:lang w:val="en-US" w:eastAsia="zh-CN"/>
              </w:rPr>
              <w:t>O</w:t>
            </w:r>
            <w:r>
              <w:rPr>
                <w:rFonts w:hint="eastAsia"/>
                <w:b w:val="0"/>
                <w:bCs w:val="0"/>
                <w:highlight w:val="none"/>
                <w:u w:val="none"/>
                <w:vertAlign w:val="subscript"/>
                <w:lang w:val="en-US" w:eastAsia="zh-CN"/>
              </w:rPr>
              <w:t>3</w:t>
            </w:r>
            <w:r>
              <w:rPr>
                <w:rFonts w:hint="eastAsia"/>
                <w:b w:val="0"/>
                <w:bCs w:val="0"/>
                <w:highlight w:val="none"/>
                <w:u w:val="none"/>
                <w:lang w:val="en-US" w:eastAsia="zh-CN"/>
              </w:rPr>
              <w:t>、CaSO</w:t>
            </w:r>
            <w:r>
              <w:rPr>
                <w:rFonts w:hint="eastAsia"/>
                <w:b w:val="0"/>
                <w:bCs w:val="0"/>
                <w:highlight w:val="none"/>
                <w:u w:val="none"/>
                <w:vertAlign w:val="subscript"/>
                <w:lang w:val="en-US" w:eastAsia="zh-CN"/>
              </w:rPr>
              <w:t>4</w:t>
            </w:r>
            <w:r>
              <w:rPr>
                <w:rFonts w:hint="eastAsia"/>
                <w:b w:val="0"/>
                <w:bCs w:val="0"/>
                <w:highlight w:val="none"/>
                <w:u w:val="none"/>
                <w:lang w:val="en-US" w:eastAsia="zh-CN"/>
              </w:rPr>
              <w:t>、Fe</w:t>
            </w:r>
            <w:r>
              <w:rPr>
                <w:rFonts w:hint="eastAsia"/>
                <w:b w:val="0"/>
                <w:bCs w:val="0"/>
                <w:highlight w:val="none"/>
                <w:u w:val="none"/>
                <w:vertAlign w:val="subscript"/>
                <w:lang w:val="en-US" w:eastAsia="zh-CN"/>
              </w:rPr>
              <w:t>2</w:t>
            </w:r>
            <w:r>
              <w:rPr>
                <w:rFonts w:hint="eastAsia"/>
                <w:b w:val="0"/>
                <w:bCs w:val="0"/>
                <w:highlight w:val="none"/>
                <w:u w:val="none"/>
                <w:lang w:val="en-US" w:eastAsia="zh-CN"/>
              </w:rPr>
              <w:t>O</w:t>
            </w:r>
            <w:r>
              <w:rPr>
                <w:rFonts w:hint="eastAsia"/>
                <w:b w:val="0"/>
                <w:bCs w:val="0"/>
                <w:highlight w:val="none"/>
                <w:u w:val="none"/>
                <w:vertAlign w:val="subscript"/>
                <w:lang w:val="en-US" w:eastAsia="zh-CN"/>
              </w:rPr>
              <w:t>3</w:t>
            </w:r>
            <w:r>
              <w:rPr>
                <w:rFonts w:hint="eastAsia"/>
                <w:b w:val="0"/>
                <w:bCs w:val="0"/>
                <w:highlight w:val="none"/>
                <w:u w:val="none"/>
                <w:lang w:val="en-US" w:eastAsia="zh-CN"/>
              </w:rPr>
              <w:t>等。Ca(OH)</w:t>
            </w:r>
            <w:r>
              <w:rPr>
                <w:rFonts w:hint="eastAsia"/>
                <w:b w:val="0"/>
                <w:bCs w:val="0"/>
                <w:highlight w:val="none"/>
                <w:u w:val="none"/>
                <w:vertAlign w:val="subscript"/>
                <w:lang w:val="en-US" w:eastAsia="zh-CN"/>
              </w:rPr>
              <w:t>2</w:t>
            </w:r>
            <w:r>
              <w:rPr>
                <w:rFonts w:hint="eastAsia"/>
                <w:b w:val="0"/>
                <w:bCs w:val="0"/>
                <w:highlight w:val="none"/>
                <w:u w:val="none"/>
                <w:lang w:val="en-US" w:eastAsia="zh-CN"/>
              </w:rPr>
              <w:t>在水中溶解度小，固体 Ca(OH)</w:t>
            </w:r>
            <w:r>
              <w:rPr>
                <w:rFonts w:hint="eastAsia"/>
                <w:b w:val="0"/>
                <w:bCs w:val="0"/>
                <w:highlight w:val="none"/>
                <w:u w:val="none"/>
                <w:vertAlign w:val="subscript"/>
                <w:lang w:val="en-US" w:eastAsia="zh-CN"/>
              </w:rPr>
              <w:t>2</w:t>
            </w:r>
            <w:r>
              <w:rPr>
                <w:rFonts w:hint="eastAsia"/>
                <w:b w:val="0"/>
                <w:bCs w:val="0"/>
                <w:highlight w:val="none"/>
                <w:u w:val="none"/>
                <w:lang w:val="en-US" w:eastAsia="zh-CN"/>
              </w:rPr>
              <w:t>微粒逐步从溶液中析出。整个体系由真溶液向胶体溶液、粗分散体系过度，微粒子逐步合并、凝结、沉淀。在沉淀过程中又因粒子互相碰撞、挤压，促使颗粒进一步结聚、长大、失水，沉淀物逐渐变稠，俗称电石渣浆。此外，电石中不参加反应的固体杂质也混杂在渣浆中。</w:t>
            </w:r>
          </w:p>
          <w:p>
            <w:pPr>
              <w:bidi w:val="0"/>
              <w:rPr>
                <w:rFonts w:hint="default"/>
                <w:b w:val="0"/>
                <w:bCs w:val="0"/>
                <w:highlight w:val="yellow"/>
                <w:u w:val="none"/>
                <w:lang w:val="en-US" w:eastAsia="zh-CN"/>
              </w:rPr>
            </w:pPr>
            <w:r>
              <w:rPr>
                <w:rFonts w:hint="eastAsia"/>
                <w:b w:val="0"/>
                <w:bCs w:val="0"/>
                <w:highlight w:val="none"/>
                <w:u w:val="none"/>
                <w:lang w:val="en-US" w:eastAsia="zh-CN"/>
              </w:rPr>
              <w:t>电石渣浆为灰褐色浑浊液体，在静置后分成三部分：澄清液、固体沉积层及中间胶体过渡层。三者比例随静置时间及环境条件变化可呈可逆变换。固体沉积物即为电石渣，为一般工业固体废物。电石渣通过板框压滤机处理后，产生量为300t/a，电石渣由密封推迟转运至电石渣库，现有项目设置有专门的密封电石渣库，电石渣库</w:t>
            </w:r>
            <w:r>
              <w:rPr>
                <w:rFonts w:cs="宋体"/>
                <w:b w:val="0"/>
                <w:bCs w:val="0"/>
                <w:sz w:val="24"/>
                <w:szCs w:val="24"/>
                <w:u w:val="none"/>
              </w:rPr>
              <w:t>采取防风、防晒、防雨</w:t>
            </w:r>
            <w:r>
              <w:rPr>
                <w:rFonts w:hint="eastAsia" w:cs="宋体"/>
                <w:b w:val="0"/>
                <w:bCs w:val="0"/>
                <w:sz w:val="24"/>
                <w:szCs w:val="24"/>
                <w:u w:val="none"/>
                <w:lang w:val="en-US" w:eastAsia="zh-CN"/>
              </w:rPr>
              <w:t>措施，并</w:t>
            </w:r>
            <w:r>
              <w:rPr>
                <w:rFonts w:cs="宋体"/>
                <w:b w:val="0"/>
                <w:bCs w:val="0"/>
                <w:sz w:val="24"/>
                <w:szCs w:val="24"/>
                <w:u w:val="none"/>
              </w:rPr>
              <w:t>作防渗处理。建立完善的规章制度，以降低固体废物散落对周围环境的影响</w:t>
            </w:r>
            <w:r>
              <w:rPr>
                <w:rFonts w:hint="eastAsia" w:cs="宋体"/>
                <w:b w:val="0"/>
                <w:bCs w:val="0"/>
                <w:sz w:val="24"/>
                <w:szCs w:val="24"/>
                <w:u w:val="none"/>
                <w:lang w:eastAsia="zh-CN"/>
              </w:rPr>
              <w:t>，</w:t>
            </w:r>
            <w:r>
              <w:rPr>
                <w:rFonts w:cs="宋体"/>
                <w:b w:val="0"/>
                <w:bCs w:val="0"/>
                <w:sz w:val="24"/>
                <w:szCs w:val="24"/>
                <w:u w:val="none"/>
              </w:rPr>
              <w:t>避免</w:t>
            </w:r>
            <w:r>
              <w:rPr>
                <w:rFonts w:hint="eastAsia" w:cs="宋体"/>
                <w:b w:val="0"/>
                <w:bCs w:val="0"/>
                <w:sz w:val="24"/>
                <w:szCs w:val="24"/>
                <w:u w:val="none"/>
                <w:lang w:val="en-US" w:eastAsia="zh-CN"/>
              </w:rPr>
              <w:t>电石渣</w:t>
            </w:r>
            <w:r>
              <w:rPr>
                <w:rFonts w:cs="宋体"/>
                <w:b w:val="0"/>
                <w:bCs w:val="0"/>
                <w:sz w:val="24"/>
                <w:szCs w:val="24"/>
                <w:u w:val="none"/>
              </w:rPr>
              <w:t>对环境产生危害。</w:t>
            </w:r>
            <w:r>
              <w:rPr>
                <w:rFonts w:hint="eastAsia"/>
                <w:b w:val="0"/>
                <w:bCs w:val="0"/>
                <w:highlight w:val="none"/>
                <w:u w:val="none"/>
                <w:lang w:val="en-US" w:eastAsia="zh-CN"/>
              </w:rPr>
              <w:t>企业与新乡县恒基建材经营处签订协议，由其派密闭车辆转运，外售综合处理。现有项目使用无水氯化钙作为干燥剂，在吸收饱和水份后失效，需进行更换。废氯化钙产生量1 t/a，属于一般工业固体废物，集中收集后与电石渣一起作为建材原料外售。现有项目劳动定员15人，</w:t>
            </w:r>
            <w:r>
              <w:rPr>
                <w:b w:val="0"/>
                <w:bCs w:val="0"/>
                <w:highlight w:val="none"/>
                <w:u w:val="none"/>
              </w:rPr>
              <w:t>生活垃圾以0.5kg/（p.d）计，则生活垃圾产生量为</w:t>
            </w:r>
            <w:r>
              <w:rPr>
                <w:rFonts w:hint="eastAsia"/>
                <w:b w:val="0"/>
                <w:bCs w:val="0"/>
                <w:highlight w:val="none"/>
                <w:u w:val="none"/>
                <w:lang w:val="en-US" w:eastAsia="zh-CN"/>
              </w:rPr>
              <w:t>2.25</w:t>
            </w:r>
            <w:r>
              <w:rPr>
                <w:b w:val="0"/>
                <w:bCs w:val="0"/>
                <w:highlight w:val="none"/>
                <w:u w:val="none"/>
              </w:rPr>
              <w:t>t/a，厂内收集后运至垃圾中转站集中处理。</w:t>
            </w:r>
          </w:p>
          <w:p>
            <w:pPr>
              <w:pStyle w:val="4"/>
              <w:numPr>
                <w:ilvl w:val="0"/>
                <w:numId w:val="3"/>
              </w:numPr>
              <w:bidi w:val="0"/>
              <w:rPr>
                <w:rFonts w:hint="eastAsia"/>
                <w:b w:val="0"/>
                <w:bCs w:val="0"/>
                <w:u w:val="none"/>
                <w:lang w:val="en-US" w:eastAsia="zh-CN"/>
              </w:rPr>
            </w:pPr>
            <w:r>
              <w:rPr>
                <w:rFonts w:hint="eastAsia"/>
                <w:b w:val="0"/>
                <w:bCs w:val="0"/>
                <w:u w:val="none"/>
                <w:lang w:val="en-US" w:eastAsia="zh-CN"/>
              </w:rPr>
              <w:t>现有项目存在的问题</w:t>
            </w: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val="0"/>
                <w:sz w:val="24"/>
                <w:highlight w:val="none"/>
                <w:u w:val="none"/>
                <w:lang w:eastAsia="zh-CN"/>
              </w:rPr>
            </w:pPr>
            <w:r>
              <w:rPr>
                <w:rFonts w:hint="eastAsia" w:ascii="Times New Roman" w:hAnsi="Times New Roman" w:eastAsia="宋体" w:cs="Times New Roman"/>
                <w:b w:val="0"/>
                <w:bCs w:val="0"/>
                <w:color w:val="auto"/>
                <w:kern w:val="2"/>
                <w:sz w:val="24"/>
                <w:szCs w:val="20"/>
                <w:highlight w:val="none"/>
                <w:u w:val="none"/>
                <w:vertAlign w:val="baseline"/>
                <w:lang w:val="en-US" w:eastAsia="zh-CN" w:bidi="ar-SA"/>
              </w:rPr>
              <w:t>根据现场调查，</w:t>
            </w:r>
            <w:r>
              <w:rPr>
                <w:rFonts w:hint="eastAsia" w:eastAsia="宋体" w:cs="Times New Roman"/>
                <w:b w:val="0"/>
                <w:bCs w:val="0"/>
                <w:color w:val="auto"/>
                <w:kern w:val="2"/>
                <w:sz w:val="24"/>
                <w:szCs w:val="20"/>
                <w:highlight w:val="none"/>
                <w:u w:val="none"/>
                <w:vertAlign w:val="baseline"/>
                <w:lang w:val="en-US" w:eastAsia="zh-CN" w:bidi="ar-SA"/>
              </w:rPr>
              <w:t>项目</w:t>
            </w:r>
            <w:r>
              <w:rPr>
                <w:rFonts w:hint="eastAsia"/>
                <w:b w:val="0"/>
                <w:bCs w:val="0"/>
                <w:highlight w:val="none"/>
                <w:u w:val="none"/>
                <w:lang w:val="en-US" w:eastAsia="zh-CN"/>
              </w:rPr>
              <w:t>废酸液为含有硫酸的废液，产生量为1.2m</w:t>
            </w:r>
            <w:r>
              <w:rPr>
                <w:rFonts w:hint="eastAsia"/>
                <w:b w:val="0"/>
                <w:bCs w:val="0"/>
                <w:highlight w:val="none"/>
                <w:u w:val="none"/>
                <w:vertAlign w:val="superscript"/>
                <w:lang w:val="en-US" w:eastAsia="zh-CN"/>
              </w:rPr>
              <w:t>3</w:t>
            </w:r>
            <w:r>
              <w:rPr>
                <w:rFonts w:hint="eastAsia"/>
                <w:b w:val="0"/>
                <w:bCs w:val="0"/>
                <w:highlight w:val="none"/>
                <w:u w:val="none"/>
                <w:lang w:val="en-US" w:eastAsia="zh-CN"/>
              </w:rPr>
              <w:t>/a，经对照《国家危险废物名录》（部令第39号），</w:t>
            </w:r>
            <w:r>
              <w:rPr>
                <w:rFonts w:hint="default" w:ascii="Times New Roman" w:hAnsi="Times New Roman" w:eastAsia="宋体" w:cs="Times New Roman"/>
                <w:b w:val="0"/>
                <w:bCs w:val="0"/>
                <w:color w:val="auto"/>
                <w:sz w:val="24"/>
                <w:highlight w:val="none"/>
                <w:u w:val="none"/>
                <w:lang w:val="en-US" w:eastAsia="zh-CN"/>
              </w:rPr>
              <w:t>属于“HW</w:t>
            </w:r>
            <w:r>
              <w:rPr>
                <w:rFonts w:hint="eastAsia" w:cs="Times New Roman"/>
                <w:b w:val="0"/>
                <w:bCs w:val="0"/>
                <w:color w:val="auto"/>
                <w:sz w:val="24"/>
                <w:highlight w:val="none"/>
                <w:u w:val="none"/>
                <w:lang w:val="en-US" w:eastAsia="zh-CN"/>
              </w:rPr>
              <w:t>34废酸</w:t>
            </w:r>
            <w:r>
              <w:rPr>
                <w:rFonts w:hint="default" w:ascii="Times New Roman" w:hAnsi="Times New Roman" w:eastAsia="宋体" w:cs="Times New Roman"/>
                <w:b w:val="0"/>
                <w:bCs w:val="0"/>
                <w:color w:val="auto"/>
                <w:sz w:val="24"/>
                <w:highlight w:val="none"/>
                <w:u w:val="none"/>
                <w:lang w:val="en-US" w:eastAsia="zh-CN"/>
              </w:rPr>
              <w:t>（危废代码：900-</w:t>
            </w:r>
            <w:r>
              <w:rPr>
                <w:rFonts w:hint="eastAsia" w:cs="Times New Roman"/>
                <w:b w:val="0"/>
                <w:bCs w:val="0"/>
                <w:color w:val="auto"/>
                <w:sz w:val="24"/>
                <w:highlight w:val="none"/>
                <w:u w:val="none"/>
                <w:lang w:val="en-US" w:eastAsia="zh-CN"/>
              </w:rPr>
              <w:t>349</w:t>
            </w:r>
            <w:r>
              <w:rPr>
                <w:rFonts w:hint="default" w:ascii="Times New Roman" w:hAnsi="Times New Roman" w:eastAsia="宋体" w:cs="Times New Roman"/>
                <w:b w:val="0"/>
                <w:bCs w:val="0"/>
                <w:color w:val="auto"/>
                <w:sz w:val="24"/>
                <w:highlight w:val="none"/>
                <w:u w:val="none"/>
                <w:lang w:val="en-US" w:eastAsia="zh-CN"/>
              </w:rPr>
              <w:t>-</w:t>
            </w:r>
            <w:r>
              <w:rPr>
                <w:rFonts w:hint="eastAsia" w:cs="Times New Roman"/>
                <w:b w:val="0"/>
                <w:bCs w:val="0"/>
                <w:color w:val="auto"/>
                <w:sz w:val="24"/>
                <w:highlight w:val="none"/>
                <w:u w:val="none"/>
                <w:lang w:val="en-US" w:eastAsia="zh-CN"/>
              </w:rPr>
              <w:t>34</w:t>
            </w:r>
            <w:r>
              <w:rPr>
                <w:rFonts w:hint="default" w:ascii="Times New Roman" w:hAnsi="Times New Roman" w:eastAsia="宋体" w:cs="Times New Roman"/>
                <w:b w:val="0"/>
                <w:bCs w:val="0"/>
                <w:color w:val="auto"/>
                <w:sz w:val="24"/>
                <w:highlight w:val="none"/>
                <w:u w:val="none"/>
                <w:lang w:val="en-US" w:eastAsia="zh-CN"/>
              </w:rPr>
              <w:t xml:space="preserve"> 生产、销售及使用过程中产生的失效、变质、不合格、淘汰、伪劣的强酸性擦洗粉、清洁剂、污迹去除剂以及其他废酸液及酸渣）”危废类别</w:t>
            </w:r>
            <w:r>
              <w:rPr>
                <w:rFonts w:hint="eastAsia" w:cs="Times New Roman"/>
                <w:b w:val="0"/>
                <w:bCs w:val="0"/>
                <w:color w:val="auto"/>
                <w:sz w:val="24"/>
                <w:highlight w:val="none"/>
                <w:u w:val="none"/>
                <w:lang w:val="en-US" w:eastAsia="zh-CN"/>
              </w:rPr>
              <w:t>，应在厂区设置专用容器进行</w:t>
            </w:r>
            <w:r>
              <w:rPr>
                <w:rFonts w:hint="eastAsia" w:cs="Times New Roman"/>
                <w:b w:val="0"/>
                <w:bCs w:val="0"/>
                <w:sz w:val="24"/>
                <w:highlight w:val="none"/>
                <w:u w:val="none"/>
                <w:lang w:eastAsia="zh-CN"/>
              </w:rPr>
              <w:t>储存</w:t>
            </w:r>
            <w:r>
              <w:rPr>
                <w:rFonts w:hint="eastAsia" w:cs="Times New Roman"/>
                <w:b w:val="0"/>
                <w:bCs w:val="0"/>
                <w:color w:val="auto"/>
                <w:sz w:val="24"/>
                <w:highlight w:val="none"/>
                <w:u w:val="none"/>
                <w:lang w:val="en-US" w:eastAsia="zh-CN"/>
              </w:rPr>
              <w:t>，危废暂存间暂存后交由有资质单位进行处理</w:t>
            </w:r>
            <w:r>
              <w:rPr>
                <w:rFonts w:hint="default" w:ascii="Times New Roman" w:hAnsi="Times New Roman" w:cs="Times New Roman"/>
                <w:b w:val="0"/>
                <w:bCs w:val="0"/>
                <w:sz w:val="24"/>
                <w:highlight w:val="none"/>
                <w:u w:val="none"/>
                <w:lang w:eastAsia="zh-CN"/>
              </w:rPr>
              <w:t>。</w:t>
            </w: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cs="Times New Roman"/>
                <w:b w:val="0"/>
                <w:bCs w:val="0"/>
                <w:sz w:val="24"/>
                <w:highlight w:val="none"/>
                <w:u w:val="none"/>
                <w:lang w:eastAsia="zh-CN"/>
              </w:rPr>
            </w:pPr>
            <w:r>
              <w:rPr>
                <w:rFonts w:hint="eastAsia" w:cs="Times New Roman"/>
                <w:b w:val="0"/>
                <w:bCs w:val="0"/>
                <w:sz w:val="24"/>
                <w:highlight w:val="none"/>
                <w:u w:val="none"/>
                <w:lang w:val="en-US" w:eastAsia="zh-CN"/>
              </w:rPr>
              <w:t>现有项目危废暂存间</w:t>
            </w:r>
            <w:r>
              <w:rPr>
                <w:rFonts w:hint="eastAsia" w:cs="Times New Roman"/>
                <w:b w:val="0"/>
                <w:bCs w:val="0"/>
                <w:sz w:val="24"/>
                <w:highlight w:val="none"/>
                <w:u w:val="none"/>
                <w:lang w:eastAsia="zh-CN"/>
              </w:rPr>
              <w:t>（建筑面积</w:t>
            </w:r>
            <w:r>
              <w:rPr>
                <w:rFonts w:hint="eastAsia" w:cs="Times New Roman"/>
                <w:b w:val="0"/>
                <w:bCs w:val="0"/>
                <w:sz w:val="24"/>
                <w:highlight w:val="none"/>
                <w:u w:val="none"/>
                <w:lang w:val="en-US" w:eastAsia="zh-CN"/>
              </w:rPr>
              <w:t>5</w:t>
            </w:r>
            <w:r>
              <w:rPr>
                <w:rFonts w:hint="eastAsia" w:cs="Times New Roman"/>
                <w:b w:val="0"/>
                <w:bCs w:val="0"/>
                <w:sz w:val="24"/>
                <w:highlight w:val="none"/>
                <w:u w:val="none"/>
                <w:lang w:eastAsia="zh-CN"/>
              </w:rPr>
              <w:t>m</w:t>
            </w:r>
            <w:r>
              <w:rPr>
                <w:rFonts w:hint="eastAsia" w:cs="Times New Roman"/>
                <w:b w:val="0"/>
                <w:bCs w:val="0"/>
                <w:sz w:val="24"/>
                <w:highlight w:val="none"/>
                <w:u w:val="none"/>
                <w:vertAlign w:val="superscript"/>
                <w:lang w:eastAsia="zh-CN"/>
              </w:rPr>
              <w:t>2</w:t>
            </w:r>
            <w:r>
              <w:rPr>
                <w:rFonts w:hint="eastAsia" w:cs="Times New Roman"/>
                <w:b w:val="0"/>
                <w:bCs w:val="0"/>
                <w:sz w:val="24"/>
                <w:highlight w:val="none"/>
                <w:u w:val="none"/>
                <w:lang w:eastAsia="zh-CN"/>
              </w:rPr>
              <w:t>）设置按照《危险废物贮存污染控制标准》（GB18597-2001）（2013年修订）规定，做出如下要求：</w:t>
            </w: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cs="Times New Roman"/>
                <w:b w:val="0"/>
                <w:bCs w:val="0"/>
                <w:sz w:val="24"/>
                <w:highlight w:val="none"/>
                <w:u w:val="none"/>
                <w:lang w:eastAsia="zh-CN"/>
              </w:rPr>
            </w:pPr>
            <w:r>
              <w:rPr>
                <w:rFonts w:hint="eastAsia" w:cs="Times New Roman"/>
                <w:b w:val="0"/>
                <w:bCs w:val="0"/>
                <w:sz w:val="24"/>
                <w:highlight w:val="none"/>
                <w:u w:val="none"/>
                <w:lang w:eastAsia="zh-CN"/>
              </w:rPr>
              <w:t>A、危废暂存间必须按《环境保护图形标志》(GB15562－1995)的规定设置警示标志；</w:t>
            </w: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cs="Times New Roman"/>
                <w:b w:val="0"/>
                <w:bCs w:val="0"/>
                <w:sz w:val="24"/>
                <w:highlight w:val="none"/>
                <w:u w:val="none"/>
                <w:lang w:eastAsia="zh-CN"/>
              </w:rPr>
            </w:pPr>
            <w:r>
              <w:rPr>
                <w:rFonts w:hint="eastAsia" w:cs="Times New Roman"/>
                <w:b w:val="0"/>
                <w:bCs w:val="0"/>
                <w:sz w:val="24"/>
                <w:highlight w:val="none"/>
                <w:u w:val="none"/>
                <w:lang w:eastAsia="zh-CN"/>
              </w:rPr>
              <w:t>B、危废暂存间应配备通讯设备、照明设施、安全防护服装及工具，并设有应急防护设施；</w:t>
            </w: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cs="Times New Roman"/>
                <w:b w:val="0"/>
                <w:bCs w:val="0"/>
                <w:sz w:val="24"/>
                <w:highlight w:val="none"/>
                <w:u w:val="none"/>
                <w:lang w:eastAsia="zh-CN"/>
              </w:rPr>
            </w:pPr>
            <w:r>
              <w:rPr>
                <w:rFonts w:hint="eastAsia" w:cs="Times New Roman"/>
                <w:b w:val="0"/>
                <w:bCs w:val="0"/>
                <w:sz w:val="24"/>
                <w:highlight w:val="none"/>
                <w:u w:val="none"/>
                <w:lang w:eastAsia="zh-CN"/>
              </w:rPr>
              <w:t>C、为避免撒漏，</w:t>
            </w:r>
            <w:r>
              <w:rPr>
                <w:rFonts w:hint="eastAsia" w:cs="Times New Roman"/>
                <w:b w:val="0"/>
                <w:bCs w:val="0"/>
                <w:color w:val="auto"/>
                <w:sz w:val="24"/>
                <w:highlight w:val="none"/>
                <w:u w:val="none"/>
                <w:lang w:val="en-US" w:eastAsia="zh-CN"/>
              </w:rPr>
              <w:t>设置专用容器进行</w:t>
            </w:r>
            <w:r>
              <w:rPr>
                <w:rFonts w:hint="eastAsia" w:cs="Times New Roman"/>
                <w:b w:val="0"/>
                <w:bCs w:val="0"/>
                <w:sz w:val="24"/>
                <w:highlight w:val="none"/>
                <w:u w:val="none"/>
                <w:lang w:eastAsia="zh-CN"/>
              </w:rPr>
              <w:t>储存，加盖密封并保证开口朝上，避免桶内遗留少量</w:t>
            </w:r>
            <w:r>
              <w:rPr>
                <w:rFonts w:hint="eastAsia"/>
                <w:b w:val="0"/>
                <w:bCs w:val="0"/>
                <w:highlight w:val="none"/>
                <w:u w:val="none"/>
                <w:lang w:val="en-US" w:eastAsia="zh-CN"/>
              </w:rPr>
              <w:t>含有硫酸的废液</w:t>
            </w:r>
            <w:r>
              <w:rPr>
                <w:rFonts w:hint="eastAsia" w:cs="Times New Roman"/>
                <w:b w:val="0"/>
                <w:bCs w:val="0"/>
                <w:sz w:val="24"/>
                <w:highlight w:val="none"/>
                <w:u w:val="none"/>
                <w:lang w:eastAsia="zh-CN"/>
              </w:rPr>
              <w:t>；此外厂区应设施相应的清扫工具，若发生泄漏及时清扫收集。危废贮存设施内清理出来的泄漏物，一律按危险废物处理；</w:t>
            </w: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cs="Times New Roman"/>
                <w:b w:val="0"/>
                <w:bCs w:val="0"/>
                <w:sz w:val="24"/>
                <w:highlight w:val="none"/>
                <w:u w:val="none"/>
                <w:lang w:eastAsia="zh-CN"/>
              </w:rPr>
            </w:pPr>
            <w:r>
              <w:rPr>
                <w:rFonts w:hint="eastAsia" w:cs="Times New Roman"/>
                <w:b w:val="0"/>
                <w:bCs w:val="0"/>
                <w:sz w:val="24"/>
                <w:highlight w:val="none"/>
                <w:u w:val="none"/>
                <w:lang w:eastAsia="zh-CN"/>
              </w:rPr>
              <w:t>D、危险废物暂存场地应“四防”（防风、防雨、防晒、防渗漏）；</w:t>
            </w: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cs="Times New Roman"/>
                <w:b w:val="0"/>
                <w:bCs w:val="0"/>
                <w:sz w:val="24"/>
                <w:highlight w:val="none"/>
                <w:u w:val="none"/>
                <w:lang w:eastAsia="zh-CN"/>
              </w:rPr>
            </w:pPr>
            <w:r>
              <w:rPr>
                <w:rFonts w:hint="eastAsia" w:cs="Times New Roman"/>
                <w:b w:val="0"/>
                <w:bCs w:val="0"/>
                <w:sz w:val="24"/>
                <w:highlight w:val="none"/>
                <w:u w:val="none"/>
                <w:lang w:eastAsia="zh-CN"/>
              </w:rPr>
              <w:t>E、针对不同种类的危险废物应选择适用的贮存容器分类、分区存放；</w:t>
            </w: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cs="Times New Roman"/>
                <w:b w:val="0"/>
                <w:bCs w:val="0"/>
                <w:sz w:val="24"/>
                <w:highlight w:val="none"/>
                <w:u w:val="none"/>
                <w:lang w:eastAsia="zh-CN"/>
              </w:rPr>
            </w:pPr>
            <w:r>
              <w:rPr>
                <w:rFonts w:hint="eastAsia" w:cs="Times New Roman"/>
                <w:b w:val="0"/>
                <w:bCs w:val="0"/>
                <w:sz w:val="24"/>
                <w:highlight w:val="none"/>
                <w:u w:val="none"/>
                <w:lang w:eastAsia="zh-CN"/>
              </w:rPr>
              <w:t>F、基础必须防渗，防渗层为至少1m厚粘土层（渗透系数≤10</w:t>
            </w:r>
            <w:r>
              <w:rPr>
                <w:rFonts w:hint="eastAsia" w:cs="Times New Roman"/>
                <w:b w:val="0"/>
                <w:bCs w:val="0"/>
                <w:sz w:val="24"/>
                <w:highlight w:val="none"/>
                <w:u w:val="none"/>
                <w:vertAlign w:val="superscript"/>
                <w:lang w:eastAsia="zh-CN"/>
              </w:rPr>
              <w:t>-7</w:t>
            </w:r>
            <w:r>
              <w:rPr>
                <w:rFonts w:hint="eastAsia" w:cs="Times New Roman"/>
                <w:b w:val="0"/>
                <w:bCs w:val="0"/>
                <w:sz w:val="24"/>
                <w:highlight w:val="none"/>
                <w:u w:val="none"/>
                <w:lang w:eastAsia="zh-CN"/>
              </w:rPr>
              <w:t>cm/s），或2mm厚高密度聚乙烯，或至少2mm厚的其它人工材料，渗透系数≤10</w:t>
            </w:r>
            <w:r>
              <w:rPr>
                <w:rFonts w:hint="eastAsia" w:cs="Times New Roman"/>
                <w:b w:val="0"/>
                <w:bCs w:val="0"/>
                <w:sz w:val="24"/>
                <w:highlight w:val="none"/>
                <w:u w:val="none"/>
                <w:vertAlign w:val="superscript"/>
                <w:lang w:eastAsia="zh-CN"/>
              </w:rPr>
              <w:t>-10</w:t>
            </w:r>
            <w:r>
              <w:rPr>
                <w:rFonts w:hint="eastAsia" w:cs="Times New Roman"/>
                <w:b w:val="0"/>
                <w:bCs w:val="0"/>
                <w:sz w:val="24"/>
                <w:highlight w:val="none"/>
                <w:u w:val="none"/>
                <w:lang w:eastAsia="zh-CN"/>
              </w:rPr>
              <w:t>cm/s）；</w:t>
            </w: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cs="Times New Roman"/>
                <w:b w:val="0"/>
                <w:bCs w:val="0"/>
                <w:sz w:val="24"/>
                <w:highlight w:val="none"/>
                <w:u w:val="none"/>
                <w:lang w:eastAsia="zh-CN"/>
              </w:rPr>
            </w:pPr>
            <w:r>
              <w:rPr>
                <w:rFonts w:hint="eastAsia" w:cs="Times New Roman"/>
                <w:b w:val="0"/>
                <w:bCs w:val="0"/>
                <w:sz w:val="24"/>
                <w:highlight w:val="none"/>
                <w:u w:val="none"/>
                <w:lang w:eastAsia="zh-CN"/>
              </w:rPr>
              <w:t>G、危险废物的日常管理要求按照《危险废物收集 贮存 运输技术规范》（HJ2025-2012）的有关规定执行，定期外运至有资质单位安全处置；</w:t>
            </w: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cs="Times New Roman"/>
                <w:b w:val="0"/>
                <w:bCs w:val="0"/>
                <w:sz w:val="24"/>
                <w:highlight w:val="none"/>
                <w:u w:val="none"/>
                <w:lang w:eastAsia="zh-CN"/>
              </w:rPr>
            </w:pPr>
            <w:r>
              <w:rPr>
                <w:rFonts w:hint="eastAsia" w:cs="Times New Roman"/>
                <w:b w:val="0"/>
                <w:bCs w:val="0"/>
                <w:sz w:val="24"/>
                <w:highlight w:val="none"/>
                <w:u w:val="none"/>
                <w:lang w:eastAsia="zh-CN"/>
              </w:rPr>
              <w:t>H、制定危废管理制度、应急预案、培训计划、年度管理计划，定期进行应急演练、培训，并及时送环保局备案；</w:t>
            </w: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cs="Times New Roman"/>
                <w:b w:val="0"/>
                <w:bCs w:val="0"/>
                <w:sz w:val="24"/>
                <w:highlight w:val="none"/>
                <w:u w:val="none"/>
                <w:lang w:eastAsia="zh-CN"/>
              </w:rPr>
            </w:pPr>
            <w:r>
              <w:rPr>
                <w:rFonts w:hint="eastAsia" w:cs="Times New Roman"/>
                <w:b w:val="0"/>
                <w:bCs w:val="0"/>
                <w:sz w:val="24"/>
                <w:highlight w:val="none"/>
                <w:u w:val="none"/>
                <w:lang w:eastAsia="zh-CN"/>
              </w:rPr>
              <w:t>I、按照要求建立完善的危废管理台账，且危废管理台账至少保存10年。</w:t>
            </w: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cs="Times New Roman"/>
                <w:b w:val="0"/>
                <w:bCs w:val="0"/>
                <w:sz w:val="24"/>
                <w:highlight w:val="none"/>
                <w:u w:val="none"/>
                <w:lang w:eastAsia="zh-CN"/>
              </w:rPr>
            </w:pP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cs="Times New Roman"/>
                <w:b w:val="0"/>
                <w:bCs w:val="0"/>
                <w:sz w:val="24"/>
                <w:highlight w:val="none"/>
                <w:u w:val="none"/>
                <w:lang w:eastAsia="zh-CN"/>
              </w:rPr>
            </w:pPr>
          </w:p>
          <w:p>
            <w:pPr>
              <w:pStyle w:val="4"/>
              <w:keepNext/>
              <w:keepLines/>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cs="Times New Roman"/>
                <w:b w:val="0"/>
                <w:bCs w:val="0"/>
                <w:sz w:val="24"/>
                <w:highlight w:val="none"/>
                <w:u w:val="none"/>
                <w:lang w:eastAsia="zh-CN"/>
              </w:rPr>
            </w:pPr>
          </w:p>
          <w:p>
            <w:pPr>
              <w:pStyle w:val="4"/>
              <w:keepNext/>
              <w:keepLines/>
              <w:pageBreakBefore w:val="0"/>
              <w:widowControl w:val="0"/>
              <w:numPr>
                <w:ilvl w:val="0"/>
                <w:numId w:val="0"/>
              </w:numPr>
              <w:kinsoku/>
              <w:wordWrap/>
              <w:overflowPunct/>
              <w:topLinePunct w:val="0"/>
              <w:autoSpaceDE/>
              <w:autoSpaceDN/>
              <w:bidi w:val="0"/>
              <w:adjustRightInd/>
              <w:snapToGrid/>
              <w:textAlignment w:val="auto"/>
              <w:rPr>
                <w:rFonts w:hint="default"/>
                <w:lang w:val="en-US" w:eastAsia="zh-CN"/>
              </w:rPr>
            </w:pPr>
          </w:p>
        </w:tc>
      </w:tr>
    </w:tbl>
    <w:p>
      <w:pPr>
        <w:rPr>
          <w:rFonts w:hint="eastAsia"/>
        </w:rPr>
      </w:pPr>
      <w:r>
        <w:rPr>
          <w:rFonts w:hint="eastAsia"/>
        </w:rPr>
        <w:br w:type="page"/>
      </w:r>
    </w:p>
    <w:p>
      <w:pPr>
        <w:pStyle w:val="2"/>
        <w:bidi w:val="0"/>
        <w:rPr>
          <w:rFonts w:hint="eastAsia"/>
          <w:highlight w:val="none"/>
        </w:rPr>
      </w:pPr>
      <w:r>
        <w:rPr>
          <w:rFonts w:hint="eastAsia"/>
          <w:highlight w:val="none"/>
        </w:rPr>
        <w:t>建设项目所在地自然环境简况</w:t>
      </w:r>
    </w:p>
    <w:tbl>
      <w:tblPr>
        <w:tblStyle w:val="21"/>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4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388" w:hRule="atLeast"/>
          <w:jc w:val="center"/>
        </w:trPr>
        <w:tc>
          <w:tcPr>
            <w:tcW w:w="8946" w:type="dxa"/>
            <w:noWrap w:val="0"/>
            <w:vAlign w:val="top"/>
          </w:tcPr>
          <w:p>
            <w:pPr>
              <w:pStyle w:val="3"/>
              <w:bidi w:val="0"/>
              <w:rPr>
                <w:rFonts w:hint="eastAsia"/>
                <w:highlight w:val="none"/>
              </w:rPr>
            </w:pPr>
            <w:r>
              <w:rPr>
                <w:rFonts w:hint="eastAsia"/>
                <w:highlight w:val="none"/>
              </w:rPr>
              <w:t>自然环境简况(地形、地貌、气候、气象、水文、植被、生物多样性等)：</w:t>
            </w:r>
          </w:p>
          <w:p>
            <w:pPr>
              <w:pStyle w:val="4"/>
              <w:pageBreakBefore w:val="0"/>
              <w:widowControl w:val="0"/>
              <w:kinsoku/>
              <w:wordWrap/>
              <w:overflowPunct/>
              <w:topLinePunct w:val="0"/>
              <w:autoSpaceDE/>
              <w:autoSpaceDN/>
              <w:bidi w:val="0"/>
              <w:adjustRightInd/>
              <w:snapToGrid/>
              <w:textAlignment w:val="auto"/>
              <w:rPr>
                <w:highlight w:val="none"/>
              </w:rPr>
            </w:pPr>
            <w:r>
              <w:rPr>
                <w:rFonts w:hint="default"/>
                <w:highlight w:val="none"/>
              </w:rPr>
              <w:t>1、</w:t>
            </w:r>
            <w:r>
              <w:rPr>
                <w:highlight w:val="none"/>
              </w:rPr>
              <w:t>地理位置</w:t>
            </w:r>
          </w:p>
          <w:p>
            <w:pPr>
              <w:pageBreakBefore w:val="0"/>
              <w:widowControl w:val="0"/>
              <w:kinsoku/>
              <w:wordWrap/>
              <w:overflowPunct/>
              <w:topLinePunct w:val="0"/>
              <w:autoSpaceDE/>
              <w:autoSpaceDN/>
              <w:bidi w:val="0"/>
              <w:adjustRightInd/>
              <w:snapToGrid/>
              <w:textAlignment w:val="auto"/>
              <w:rPr>
                <w:rFonts w:hint="default"/>
                <w:highlight w:val="none"/>
              </w:rPr>
            </w:pPr>
            <w:r>
              <w:rPr>
                <w:highlight w:val="none"/>
              </w:rPr>
              <w:t>新乡县</w:t>
            </w:r>
            <w:r>
              <w:rPr>
                <w:rFonts w:hint="eastAsia"/>
                <w:highlight w:val="none"/>
              </w:rPr>
              <w:t>隶属于新乡市，</w:t>
            </w:r>
            <w:r>
              <w:rPr>
                <w:highlight w:val="none"/>
              </w:rPr>
              <w:t>位于</w:t>
            </w:r>
            <w:r>
              <w:rPr>
                <w:highlight w:val="none"/>
              </w:rPr>
              <w:fldChar w:fldCharType="begin"/>
            </w:r>
            <w:r>
              <w:rPr>
                <w:highlight w:val="none"/>
              </w:rPr>
              <w:instrText xml:space="preserve">HYPERLINK "http://baike.baidu.com/view/5488.htm" \t "_blank"</w:instrText>
            </w:r>
            <w:r>
              <w:rPr>
                <w:highlight w:val="none"/>
              </w:rPr>
              <w:fldChar w:fldCharType="separate"/>
            </w:r>
            <w:r>
              <w:rPr>
                <w:highlight w:val="none"/>
              </w:rPr>
              <w:t>河南省</w:t>
            </w:r>
            <w:r>
              <w:rPr>
                <w:highlight w:val="none"/>
              </w:rPr>
              <w:fldChar w:fldCharType="end"/>
            </w:r>
            <w:r>
              <w:rPr>
                <w:highlight w:val="none"/>
              </w:rPr>
              <w:t>北中部，太行山南麓，卫河上游。东与</w:t>
            </w:r>
            <w:r>
              <w:rPr>
                <w:highlight w:val="none"/>
              </w:rPr>
              <w:fldChar w:fldCharType="begin"/>
            </w:r>
            <w:r>
              <w:rPr>
                <w:highlight w:val="none"/>
              </w:rPr>
              <w:instrText xml:space="preserve">HYPERLINK "http://baike.baidu.com/view/88870.htm" \t "_blank"</w:instrText>
            </w:r>
            <w:r>
              <w:rPr>
                <w:highlight w:val="none"/>
              </w:rPr>
              <w:fldChar w:fldCharType="separate"/>
            </w:r>
            <w:r>
              <w:rPr>
                <w:highlight w:val="none"/>
              </w:rPr>
              <w:t>延津</w:t>
            </w:r>
            <w:r>
              <w:rPr>
                <w:highlight w:val="none"/>
              </w:rPr>
              <w:fldChar w:fldCharType="end"/>
            </w:r>
            <w:r>
              <w:rPr>
                <w:highlight w:val="none"/>
              </w:rPr>
              <w:t>相连，西</w:t>
            </w:r>
            <w:r>
              <w:rPr>
                <w:rFonts w:hint="default"/>
                <w:highlight w:val="none"/>
              </w:rPr>
              <w:t>毗获嘉，南接</w:t>
            </w:r>
            <w:r>
              <w:rPr>
                <w:rFonts w:hint="default"/>
                <w:highlight w:val="none"/>
              </w:rPr>
              <w:fldChar w:fldCharType="begin"/>
            </w:r>
            <w:r>
              <w:rPr>
                <w:rFonts w:hint="default"/>
                <w:highlight w:val="none"/>
              </w:rPr>
              <w:instrText xml:space="preserve">HYPERLINK "http://baike.baidu.com/view/703495.htm" \t "_blank"</w:instrText>
            </w:r>
            <w:r>
              <w:rPr>
                <w:rFonts w:hint="default"/>
                <w:highlight w:val="none"/>
              </w:rPr>
              <w:fldChar w:fldCharType="separate"/>
            </w:r>
            <w:r>
              <w:rPr>
                <w:rFonts w:hint="default"/>
                <w:highlight w:val="none"/>
              </w:rPr>
              <w:t>原阳</w:t>
            </w:r>
            <w:r>
              <w:rPr>
                <w:rFonts w:hint="default"/>
                <w:highlight w:val="none"/>
              </w:rPr>
              <w:fldChar w:fldCharType="end"/>
            </w:r>
            <w:r>
              <w:rPr>
                <w:rFonts w:hint="default"/>
                <w:highlight w:val="none"/>
              </w:rPr>
              <w:t>，北部与新乡市区的东、南、西三面相接。县境东西长32.7公里，南北宽29.1公里，总面积为364.6平方公里。</w:t>
            </w:r>
          </w:p>
          <w:p>
            <w:pPr>
              <w:pageBreakBefore w:val="0"/>
              <w:widowControl w:val="0"/>
              <w:kinsoku/>
              <w:wordWrap/>
              <w:overflowPunct/>
              <w:topLinePunct w:val="0"/>
              <w:autoSpaceDE/>
              <w:autoSpaceDN/>
              <w:bidi w:val="0"/>
              <w:adjustRightInd/>
              <w:snapToGrid/>
              <w:textAlignment w:val="auto"/>
              <w:rPr>
                <w:rFonts w:hint="default"/>
                <w:highlight w:val="none"/>
              </w:rPr>
            </w:pPr>
            <w:r>
              <w:rPr>
                <w:rFonts w:hint="default"/>
                <w:highlight w:val="none"/>
              </w:rPr>
              <w:t>本项目位于</w:t>
            </w:r>
            <w:r>
              <w:rPr>
                <w:rFonts w:hint="default"/>
                <w:highlight w:val="none"/>
                <w:lang w:eastAsia="zh-CN"/>
              </w:rPr>
              <w:t>新乡县大召营镇</w:t>
            </w:r>
            <w:r>
              <w:rPr>
                <w:rFonts w:hint="eastAsia"/>
                <w:highlight w:val="none"/>
                <w:lang w:eastAsia="zh-CN"/>
              </w:rPr>
              <w:t>（</w:t>
            </w:r>
            <w:r>
              <w:rPr>
                <w:rFonts w:hint="eastAsia"/>
                <w:color w:val="000000" w:themeColor="text1"/>
                <w:szCs w:val="21"/>
                <w:highlight w:val="none"/>
                <w14:textFill>
                  <w14:solidFill>
                    <w14:schemeClr w14:val="tx1"/>
                  </w14:solidFill>
                </w14:textFill>
              </w:rPr>
              <w:t>新焦公路八公里处</w:t>
            </w:r>
            <w:r>
              <w:rPr>
                <w:rFonts w:hint="eastAsia"/>
                <w:color w:val="000000" w:themeColor="text1"/>
                <w:szCs w:val="21"/>
                <w:highlight w:val="none"/>
                <w:lang w:eastAsia="zh-CN"/>
                <w14:textFill>
                  <w14:solidFill>
                    <w14:schemeClr w14:val="tx1"/>
                  </w14:solidFill>
                </w14:textFill>
              </w:rPr>
              <w:t>）</w:t>
            </w:r>
            <w:r>
              <w:rPr>
                <w:rFonts w:hint="default"/>
                <w:highlight w:val="none"/>
              </w:rPr>
              <w:t>，项目</w:t>
            </w:r>
            <w:r>
              <w:rPr>
                <w:rFonts w:hint="default"/>
                <w:highlight w:val="none"/>
                <w:lang w:eastAsia="zh-CN"/>
              </w:rPr>
              <w:t>地势平坦</w:t>
            </w:r>
            <w:r>
              <w:rPr>
                <w:rFonts w:hint="default"/>
                <w:highlight w:val="none"/>
              </w:rPr>
              <w:t>，交通便利。</w:t>
            </w:r>
          </w:p>
          <w:p>
            <w:pPr>
              <w:pStyle w:val="4"/>
              <w:pageBreakBefore w:val="0"/>
              <w:widowControl w:val="0"/>
              <w:kinsoku/>
              <w:wordWrap/>
              <w:overflowPunct/>
              <w:topLinePunct w:val="0"/>
              <w:autoSpaceDE/>
              <w:autoSpaceDN/>
              <w:bidi w:val="0"/>
              <w:adjustRightInd/>
              <w:snapToGrid/>
              <w:textAlignment w:val="auto"/>
              <w:rPr>
                <w:rFonts w:hint="default"/>
                <w:highlight w:val="none"/>
              </w:rPr>
            </w:pPr>
            <w:r>
              <w:rPr>
                <w:rFonts w:hint="default"/>
                <w:highlight w:val="none"/>
              </w:rPr>
              <w:t>2、地形地貌</w:t>
            </w:r>
          </w:p>
          <w:p>
            <w:pPr>
              <w:pageBreakBefore w:val="0"/>
              <w:widowControl w:val="0"/>
              <w:kinsoku/>
              <w:wordWrap/>
              <w:overflowPunct/>
              <w:topLinePunct w:val="0"/>
              <w:autoSpaceDE/>
              <w:autoSpaceDN/>
              <w:bidi w:val="0"/>
              <w:adjustRightInd/>
              <w:snapToGrid/>
              <w:textAlignment w:val="auto"/>
              <w:rPr>
                <w:rFonts w:hint="default"/>
                <w:highlight w:val="none"/>
              </w:rPr>
            </w:pPr>
            <w:r>
              <w:rPr>
                <w:rFonts w:hint="default"/>
                <w:highlight w:val="none"/>
              </w:rPr>
              <w:t>新乡县位于</w:t>
            </w:r>
            <w:r>
              <w:rPr>
                <w:rFonts w:hint="default"/>
                <w:highlight w:val="none"/>
              </w:rPr>
              <w:fldChar w:fldCharType="begin"/>
            </w:r>
            <w:r>
              <w:rPr>
                <w:rFonts w:hint="default"/>
                <w:highlight w:val="none"/>
              </w:rPr>
              <w:instrText xml:space="preserve">HYPERLINK "http://baike.baidu.com/view/5488.htm" \t "_blank"</w:instrText>
            </w:r>
            <w:r>
              <w:rPr>
                <w:rFonts w:hint="default"/>
                <w:highlight w:val="none"/>
              </w:rPr>
              <w:fldChar w:fldCharType="separate"/>
            </w:r>
            <w:r>
              <w:rPr>
                <w:rFonts w:hint="default"/>
                <w:highlight w:val="none"/>
              </w:rPr>
              <w:t>河南省</w:t>
            </w:r>
            <w:r>
              <w:rPr>
                <w:rFonts w:hint="default"/>
                <w:highlight w:val="none"/>
              </w:rPr>
              <w:fldChar w:fldCharType="end"/>
            </w:r>
            <w:r>
              <w:rPr>
                <w:rFonts w:hint="default"/>
                <w:highlight w:val="none"/>
              </w:rPr>
              <w:t>北中部，太行山南麓，</w:t>
            </w:r>
            <w:r>
              <w:rPr>
                <w:rFonts w:hint="default"/>
                <w:highlight w:val="none"/>
              </w:rPr>
              <w:fldChar w:fldCharType="begin"/>
            </w:r>
            <w:r>
              <w:rPr>
                <w:rFonts w:hint="default"/>
                <w:highlight w:val="none"/>
              </w:rPr>
              <w:instrText xml:space="preserve">HYPERLINK "http://baike.baidu.com/view/232851.htm" \t "_blank"</w:instrText>
            </w:r>
            <w:r>
              <w:rPr>
                <w:rFonts w:hint="default"/>
                <w:highlight w:val="none"/>
              </w:rPr>
              <w:fldChar w:fldCharType="separate"/>
            </w:r>
            <w:r>
              <w:rPr>
                <w:rFonts w:hint="default"/>
                <w:highlight w:val="none"/>
              </w:rPr>
              <w:t>卫河</w:t>
            </w:r>
            <w:r>
              <w:rPr>
                <w:rFonts w:hint="default"/>
                <w:highlight w:val="none"/>
              </w:rPr>
              <w:fldChar w:fldCharType="end"/>
            </w:r>
            <w:r>
              <w:rPr>
                <w:rFonts w:hint="default"/>
                <w:highlight w:val="none"/>
              </w:rPr>
              <w:t>上游。属黄河中下游故道冲积扇和太行山前卫河冲积扇的南缘洼地，是黄河与卫河复合冲积平原。地势自西南向东北呈微倾斜，坡降率为1/4000，西高东低，高程介于70-82米之间。全县地貌可分为四个单元：西北部卫河沿岸及北区为卫河冲积与扇前交接洼地；中部古阳堤以北至卫河区域是古黄河背河洼地；中南部古阳堤以南为高地平原，是黄河古河堤滩；东南部为沙丘沙地，是黄河古河床与溢流泛道冲击而成。</w:t>
            </w:r>
          </w:p>
          <w:p>
            <w:pPr>
              <w:pageBreakBefore w:val="0"/>
              <w:widowControl w:val="0"/>
              <w:kinsoku/>
              <w:wordWrap/>
              <w:overflowPunct/>
              <w:topLinePunct w:val="0"/>
              <w:autoSpaceDE/>
              <w:autoSpaceDN/>
              <w:bidi w:val="0"/>
              <w:adjustRightInd/>
              <w:snapToGrid/>
              <w:textAlignment w:val="auto"/>
              <w:rPr>
                <w:rFonts w:hint="default"/>
                <w:highlight w:val="none"/>
              </w:rPr>
            </w:pPr>
            <w:r>
              <w:rPr>
                <w:rFonts w:hint="default"/>
                <w:highlight w:val="none"/>
              </w:rPr>
              <w:t>本项目所在位置地势平坦，属于平原地区。</w:t>
            </w:r>
          </w:p>
          <w:p>
            <w:pPr>
              <w:pageBreakBefore w:val="0"/>
              <w:widowControl w:val="0"/>
              <w:kinsoku/>
              <w:wordWrap/>
              <w:overflowPunct/>
              <w:topLinePunct w:val="0"/>
              <w:autoSpaceDE/>
              <w:autoSpaceDN/>
              <w:bidi w:val="0"/>
              <w:adjustRightInd/>
              <w:snapToGrid/>
              <w:textAlignment w:val="auto"/>
              <w:rPr>
                <w:rFonts w:hint="default"/>
                <w:b/>
                <w:bCs/>
                <w:highlight w:val="none"/>
              </w:rPr>
            </w:pPr>
            <w:r>
              <w:rPr>
                <w:rStyle w:val="50"/>
                <w:rFonts w:hint="default"/>
                <w:highlight w:val="none"/>
              </w:rPr>
              <w:t>3、气候气象</w:t>
            </w:r>
            <w:r>
              <w:rPr>
                <w:rFonts w:hint="default"/>
                <w:b/>
                <w:bCs/>
                <w:highlight w:val="none"/>
              </w:rPr>
              <w:tab/>
            </w:r>
          </w:p>
          <w:p>
            <w:pPr>
              <w:pageBreakBefore w:val="0"/>
              <w:widowControl w:val="0"/>
              <w:kinsoku/>
              <w:wordWrap/>
              <w:overflowPunct/>
              <w:topLinePunct w:val="0"/>
              <w:autoSpaceDE/>
              <w:autoSpaceDN/>
              <w:bidi w:val="0"/>
              <w:adjustRightInd/>
              <w:snapToGrid/>
              <w:textAlignment w:val="auto"/>
              <w:rPr>
                <w:rFonts w:hint="default"/>
                <w:highlight w:val="none"/>
              </w:rPr>
            </w:pPr>
            <w:r>
              <w:rPr>
                <w:rFonts w:hint="default"/>
                <w:highlight w:val="none"/>
              </w:rPr>
              <w:t>新乡县全县境属</w:t>
            </w:r>
            <w:r>
              <w:rPr>
                <w:rFonts w:hint="default"/>
                <w:highlight w:val="none"/>
              </w:rPr>
              <w:fldChar w:fldCharType="begin"/>
            </w:r>
            <w:r>
              <w:rPr>
                <w:rFonts w:hint="default"/>
                <w:highlight w:val="none"/>
              </w:rPr>
              <w:instrText xml:space="preserve">HYPERLINK "http://baike.baidu.com/view/198788.htm" \t "_blank"</w:instrText>
            </w:r>
            <w:r>
              <w:rPr>
                <w:rFonts w:hint="default"/>
                <w:highlight w:val="none"/>
              </w:rPr>
              <w:fldChar w:fldCharType="separate"/>
            </w:r>
            <w:r>
              <w:rPr>
                <w:rFonts w:hint="default"/>
                <w:highlight w:val="none"/>
              </w:rPr>
              <w:t>温带大陆性气候</w:t>
            </w:r>
            <w:r>
              <w:rPr>
                <w:rFonts w:hint="default"/>
                <w:highlight w:val="none"/>
              </w:rPr>
              <w:fldChar w:fldCharType="end"/>
            </w:r>
            <w:r>
              <w:rPr>
                <w:rFonts w:hint="default"/>
                <w:highlight w:val="none"/>
              </w:rPr>
              <w:t>，四季分明。春季干旱多风，夏季多雨，秋季天高气爽，冬季寒冷少雪。年均气温14.1℃，1月最冷，平均气温0.7℃，7月最热，平均气温27.1℃。年均降水量548.3毫米，多集中在7、8月间。年均蒸发量1908.7毫米。年均</w:t>
            </w:r>
            <w:r>
              <w:rPr>
                <w:rFonts w:hint="default"/>
                <w:highlight w:val="none"/>
              </w:rPr>
              <w:fldChar w:fldCharType="begin"/>
            </w:r>
            <w:r>
              <w:rPr>
                <w:rFonts w:hint="default"/>
                <w:highlight w:val="none"/>
              </w:rPr>
              <w:instrText xml:space="preserve">HYPERLINK "http://baike.baidu.com/view/9196.htm" \t "_blank"</w:instrText>
            </w:r>
            <w:r>
              <w:rPr>
                <w:rFonts w:hint="default"/>
                <w:highlight w:val="none"/>
              </w:rPr>
              <w:fldChar w:fldCharType="separate"/>
            </w:r>
            <w:r>
              <w:rPr>
                <w:rFonts w:hint="default"/>
                <w:highlight w:val="none"/>
              </w:rPr>
              <w:t>日照</w:t>
            </w:r>
            <w:r>
              <w:rPr>
                <w:rFonts w:hint="default"/>
                <w:highlight w:val="none"/>
              </w:rPr>
              <w:fldChar w:fldCharType="end"/>
            </w:r>
            <w:r>
              <w:rPr>
                <w:rFonts w:hint="default"/>
                <w:highlight w:val="none"/>
              </w:rPr>
              <w:t>2407.7小时，年均无霜期200.5天，适于农作物生长。</w:t>
            </w:r>
          </w:p>
          <w:p>
            <w:pPr>
              <w:pStyle w:val="4"/>
              <w:pageBreakBefore w:val="0"/>
              <w:widowControl w:val="0"/>
              <w:kinsoku/>
              <w:wordWrap/>
              <w:overflowPunct/>
              <w:topLinePunct w:val="0"/>
              <w:autoSpaceDE/>
              <w:autoSpaceDN/>
              <w:bidi w:val="0"/>
              <w:adjustRightInd/>
              <w:snapToGrid/>
              <w:textAlignment w:val="auto"/>
              <w:rPr>
                <w:rFonts w:hint="default"/>
                <w:highlight w:val="none"/>
              </w:rPr>
            </w:pPr>
            <w:r>
              <w:rPr>
                <w:rFonts w:hint="default"/>
                <w:highlight w:val="none"/>
              </w:rPr>
              <w:t>4、水文</w:t>
            </w:r>
          </w:p>
          <w:p>
            <w:pPr>
              <w:pageBreakBefore w:val="0"/>
              <w:widowControl w:val="0"/>
              <w:kinsoku/>
              <w:wordWrap/>
              <w:overflowPunct/>
              <w:topLinePunct w:val="0"/>
              <w:autoSpaceDE/>
              <w:autoSpaceDN/>
              <w:bidi w:val="0"/>
              <w:adjustRightInd/>
              <w:snapToGrid/>
              <w:textAlignment w:val="auto"/>
              <w:rPr>
                <w:rFonts w:hint="default"/>
                <w:highlight w:val="none"/>
              </w:rPr>
            </w:pPr>
            <w:r>
              <w:rPr>
                <w:rFonts w:hint="default"/>
                <w:highlight w:val="none"/>
              </w:rPr>
              <w:t>新乡县境内河渠主要有</w:t>
            </w:r>
            <w:r>
              <w:rPr>
                <w:rFonts w:hint="default"/>
                <w:highlight w:val="none"/>
              </w:rPr>
              <w:fldChar w:fldCharType="begin"/>
            </w:r>
            <w:r>
              <w:rPr>
                <w:rFonts w:hint="default"/>
                <w:highlight w:val="none"/>
              </w:rPr>
              <w:instrText xml:space="preserve">HYPERLINK "http://baike.baidu.com/view/232851.htm" \t "_blank"</w:instrText>
            </w:r>
            <w:r>
              <w:rPr>
                <w:rFonts w:hint="default"/>
                <w:highlight w:val="none"/>
              </w:rPr>
              <w:fldChar w:fldCharType="separate"/>
            </w:r>
            <w:r>
              <w:rPr>
                <w:rFonts w:hint="default"/>
                <w:highlight w:val="none"/>
              </w:rPr>
              <w:t>卫河</w:t>
            </w:r>
            <w:r>
              <w:rPr>
                <w:rFonts w:hint="default"/>
                <w:highlight w:val="none"/>
              </w:rPr>
              <w:fldChar w:fldCharType="end"/>
            </w:r>
            <w:r>
              <w:rPr>
                <w:rFonts w:hint="default"/>
                <w:highlight w:val="none"/>
              </w:rPr>
              <w:t>、东孟姜女河、西孟姜女河、共产主义渠、</w:t>
            </w:r>
            <w:r>
              <w:rPr>
                <w:rFonts w:hint="default"/>
                <w:highlight w:val="none"/>
              </w:rPr>
              <w:fldChar w:fldCharType="begin"/>
            </w:r>
            <w:r>
              <w:rPr>
                <w:rFonts w:hint="default"/>
                <w:highlight w:val="none"/>
              </w:rPr>
              <w:instrText xml:space="preserve">HYPERLINK "http://baike.baidu.com/view/895167.htm" \t "_blank"</w:instrText>
            </w:r>
            <w:r>
              <w:rPr>
                <w:rFonts w:hint="default"/>
                <w:highlight w:val="none"/>
              </w:rPr>
              <w:fldChar w:fldCharType="separate"/>
            </w:r>
            <w:r>
              <w:rPr>
                <w:rFonts w:hint="default"/>
                <w:highlight w:val="none"/>
              </w:rPr>
              <w:t>人民胜利渠</w:t>
            </w:r>
            <w:r>
              <w:rPr>
                <w:rFonts w:hint="default"/>
                <w:highlight w:val="none"/>
              </w:rPr>
              <w:fldChar w:fldCharType="end"/>
            </w:r>
            <w:r>
              <w:rPr>
                <w:rFonts w:hint="default"/>
                <w:highlight w:val="none"/>
              </w:rPr>
              <w:t>等5条大的河渠和17条小河渠，除人民胜利渠定时引用</w:t>
            </w:r>
            <w:r>
              <w:rPr>
                <w:rFonts w:hint="default"/>
                <w:highlight w:val="none"/>
              </w:rPr>
              <w:fldChar w:fldCharType="begin"/>
            </w:r>
            <w:r>
              <w:rPr>
                <w:rFonts w:hint="default"/>
                <w:highlight w:val="none"/>
              </w:rPr>
              <w:instrText xml:space="preserve">HYPERLINK "http://baike.baidu.com/view/4479.htm" \t "_blank"</w:instrText>
            </w:r>
            <w:r>
              <w:rPr>
                <w:rFonts w:hint="default"/>
                <w:highlight w:val="none"/>
              </w:rPr>
              <w:fldChar w:fldCharType="separate"/>
            </w:r>
            <w:r>
              <w:rPr>
                <w:rFonts w:hint="default"/>
                <w:highlight w:val="none"/>
              </w:rPr>
              <w:t>黄河</w:t>
            </w:r>
            <w:r>
              <w:rPr>
                <w:rFonts w:hint="default"/>
                <w:highlight w:val="none"/>
              </w:rPr>
              <w:fldChar w:fldCharType="end"/>
            </w:r>
            <w:r>
              <w:rPr>
                <w:rFonts w:hint="default"/>
                <w:highlight w:val="none"/>
              </w:rPr>
              <w:t>水外，其他河流源头水枯，过境水多为季节性排放。</w:t>
            </w:r>
          </w:p>
          <w:p>
            <w:pPr>
              <w:bidi w:val="0"/>
              <w:rPr>
                <w:b w:val="0"/>
                <w:bCs w:val="0"/>
                <w:highlight w:val="yellow"/>
              </w:rPr>
            </w:pPr>
            <w:r>
              <w:rPr>
                <w:rFonts w:hint="default"/>
                <w:highlight w:val="none"/>
              </w:rPr>
              <w:t>本项目</w:t>
            </w:r>
            <w:r>
              <w:rPr>
                <w:rFonts w:hint="default"/>
                <w:highlight w:val="none"/>
                <w:lang w:eastAsia="zh-CN"/>
              </w:rPr>
              <w:t>地</w:t>
            </w:r>
            <w:r>
              <w:rPr>
                <w:rFonts w:hint="default"/>
                <w:highlight w:val="none"/>
              </w:rPr>
              <w:t>距离</w:t>
            </w:r>
            <w:r>
              <w:rPr>
                <w:rFonts w:hint="default"/>
                <w:highlight w:val="none"/>
                <w:lang w:eastAsia="zh-CN"/>
              </w:rPr>
              <w:t>西干</w:t>
            </w:r>
            <w:r>
              <w:rPr>
                <w:rFonts w:hint="eastAsia"/>
                <w:highlight w:val="none"/>
                <w:lang w:eastAsia="zh-CN"/>
              </w:rPr>
              <w:t>五</w:t>
            </w:r>
            <w:r>
              <w:rPr>
                <w:rFonts w:hint="default"/>
                <w:highlight w:val="none"/>
                <w:lang w:eastAsia="zh-CN"/>
              </w:rPr>
              <w:t>支排约</w:t>
            </w:r>
            <w:r>
              <w:rPr>
                <w:rFonts w:hint="eastAsia"/>
                <w:highlight w:val="none"/>
                <w:lang w:val="en-US" w:eastAsia="zh-CN"/>
              </w:rPr>
              <w:t>5</w:t>
            </w:r>
            <w:r>
              <w:rPr>
                <w:rFonts w:hint="default"/>
                <w:highlight w:val="none"/>
              </w:rPr>
              <w:t>m</w:t>
            </w:r>
            <w:r>
              <w:rPr>
                <w:rFonts w:hint="eastAsia"/>
                <w:highlight w:val="none"/>
              </w:rPr>
              <w:t>，</w:t>
            </w:r>
            <w:r>
              <w:rPr>
                <w:rFonts w:hint="eastAsia"/>
                <w:highlight w:val="none"/>
                <w:lang w:eastAsia="zh-CN"/>
              </w:rPr>
              <w:t>最终均汇于卫河。</w:t>
            </w:r>
            <w:r>
              <w:rPr>
                <w:rFonts w:hint="eastAsia"/>
                <w:highlight w:val="none"/>
              </w:rPr>
              <w:t>本项目无生产废水产生，项目依托现有员工，不新增劳动定员，无新增生活污水</w:t>
            </w:r>
            <w:r>
              <w:rPr>
                <w:rFonts w:hint="eastAsia"/>
                <w:highlight w:val="none"/>
                <w:lang w:eastAsia="zh-CN"/>
              </w:rPr>
              <w:t>。</w:t>
            </w:r>
          </w:p>
          <w:p>
            <w:pPr>
              <w:pStyle w:val="4"/>
              <w:pageBreakBefore w:val="0"/>
              <w:widowControl w:val="0"/>
              <w:kinsoku/>
              <w:wordWrap/>
              <w:overflowPunct/>
              <w:topLinePunct w:val="0"/>
              <w:autoSpaceDE/>
              <w:autoSpaceDN/>
              <w:bidi w:val="0"/>
              <w:adjustRightInd/>
              <w:snapToGrid/>
              <w:textAlignment w:val="auto"/>
              <w:rPr>
                <w:highlight w:val="none"/>
              </w:rPr>
            </w:pPr>
            <w:r>
              <w:rPr>
                <w:rFonts w:hint="default"/>
                <w:highlight w:val="none"/>
                <w:lang w:val="en-US" w:eastAsia="zh-CN"/>
              </w:rPr>
              <w:t>5</w:t>
            </w:r>
            <w:r>
              <w:rPr>
                <w:highlight w:val="none"/>
              </w:rPr>
              <w:t>、土壤状况</w:t>
            </w:r>
          </w:p>
          <w:p>
            <w:pPr>
              <w:pageBreakBefore w:val="0"/>
              <w:widowControl w:val="0"/>
              <w:kinsoku/>
              <w:wordWrap/>
              <w:overflowPunct/>
              <w:topLinePunct w:val="0"/>
              <w:autoSpaceDE/>
              <w:autoSpaceDN/>
              <w:bidi w:val="0"/>
              <w:adjustRightInd/>
              <w:snapToGrid/>
              <w:textAlignment w:val="auto"/>
              <w:rPr>
                <w:rFonts w:hint="default"/>
                <w:highlight w:val="none"/>
              </w:rPr>
            </w:pPr>
            <w:r>
              <w:rPr>
                <w:rFonts w:hint="eastAsia"/>
                <w:highlight w:val="none"/>
              </w:rPr>
              <w:t>新乡</w:t>
            </w:r>
            <w:r>
              <w:rPr>
                <w:highlight w:val="none"/>
              </w:rPr>
              <w:t>县境地处</w:t>
            </w:r>
            <w:r>
              <w:rPr>
                <w:highlight w:val="none"/>
              </w:rPr>
              <w:fldChar w:fldCharType="begin"/>
            </w:r>
            <w:r>
              <w:rPr>
                <w:highlight w:val="none"/>
              </w:rPr>
              <w:instrText xml:space="preserve">HYPERLINK "http://baike.baidu.com/view/29666.htm" \t "_blank"</w:instrText>
            </w:r>
            <w:r>
              <w:rPr>
                <w:highlight w:val="none"/>
              </w:rPr>
              <w:fldChar w:fldCharType="separate"/>
            </w:r>
            <w:r>
              <w:rPr>
                <w:highlight w:val="none"/>
              </w:rPr>
              <w:t>华北平原</w:t>
            </w:r>
            <w:r>
              <w:rPr>
                <w:highlight w:val="none"/>
              </w:rPr>
              <w:fldChar w:fldCharType="end"/>
            </w:r>
            <w:r>
              <w:rPr>
                <w:highlight w:val="none"/>
              </w:rPr>
              <w:t>，为燕山运动以后下沉的地区。土壤母质系</w:t>
            </w:r>
            <w:r>
              <w:rPr>
                <w:highlight w:val="none"/>
              </w:rPr>
              <w:fldChar w:fldCharType="begin"/>
            </w:r>
            <w:r>
              <w:rPr>
                <w:highlight w:val="none"/>
              </w:rPr>
              <w:instrText xml:space="preserve">HYPERLINK "http://baike.baidu.com/view/1542551.htm" \t "_blank"</w:instrText>
            </w:r>
            <w:r>
              <w:rPr>
                <w:highlight w:val="none"/>
              </w:rPr>
              <w:fldChar w:fldCharType="separate"/>
            </w:r>
            <w:r>
              <w:rPr>
                <w:highlight w:val="none"/>
              </w:rPr>
              <w:t>新生界</w:t>
            </w:r>
            <w:r>
              <w:rPr>
                <w:highlight w:val="none"/>
              </w:rPr>
              <w:fldChar w:fldCharType="end"/>
            </w:r>
            <w:r>
              <w:rPr>
                <w:highlight w:val="none"/>
              </w:rPr>
              <w:t>第四系，为</w:t>
            </w:r>
            <w:r>
              <w:rPr>
                <w:highlight w:val="none"/>
              </w:rPr>
              <w:fldChar w:fldCharType="begin"/>
            </w:r>
            <w:r>
              <w:rPr>
                <w:highlight w:val="none"/>
              </w:rPr>
              <w:instrText xml:space="preserve">HYPERLINK "http://baike.baidu.com/view/27555.htm" \t "_blank"</w:instrText>
            </w:r>
            <w:r>
              <w:rPr>
                <w:highlight w:val="none"/>
              </w:rPr>
              <w:fldChar w:fldCharType="separate"/>
            </w:r>
            <w:r>
              <w:rPr>
                <w:highlight w:val="none"/>
              </w:rPr>
              <w:t>太行山</w:t>
            </w:r>
            <w:r>
              <w:rPr>
                <w:highlight w:val="none"/>
              </w:rPr>
              <w:fldChar w:fldCharType="end"/>
            </w:r>
            <w:r>
              <w:rPr>
                <w:highlight w:val="none"/>
              </w:rPr>
              <w:t>前冲洪积物与黄河、沁河冲积物沉积而成。形成县境内砂质、壤质、粘质三级土壤，</w:t>
            </w:r>
            <w:r>
              <w:rPr>
                <w:rFonts w:hint="default"/>
                <w:highlight w:val="none"/>
              </w:rPr>
              <w:t>组成6个母质机械类型。境内</w:t>
            </w:r>
            <w:r>
              <w:rPr>
                <w:rFonts w:hint="default"/>
                <w:highlight w:val="none"/>
              </w:rPr>
              <w:fldChar w:fldCharType="begin"/>
            </w:r>
            <w:r>
              <w:rPr>
                <w:rFonts w:hint="default"/>
                <w:highlight w:val="none"/>
              </w:rPr>
              <w:instrText xml:space="preserve">HYPERLINK "http://baike.baidu.com/view/788990.htm" \t "_blank"</w:instrText>
            </w:r>
            <w:r>
              <w:rPr>
                <w:rFonts w:hint="default"/>
                <w:highlight w:val="none"/>
              </w:rPr>
              <w:fldChar w:fldCharType="separate"/>
            </w:r>
            <w:r>
              <w:rPr>
                <w:rFonts w:hint="default"/>
                <w:highlight w:val="none"/>
              </w:rPr>
              <w:t>黄河故道</w:t>
            </w:r>
            <w:r>
              <w:rPr>
                <w:rFonts w:hint="default"/>
                <w:highlight w:val="none"/>
              </w:rPr>
              <w:fldChar w:fldCharType="end"/>
            </w:r>
            <w:r>
              <w:rPr>
                <w:rFonts w:hint="default"/>
                <w:highlight w:val="none"/>
              </w:rPr>
              <w:t>为沉砂组成，系砂土和砂壤土。黄河故道以北系黄河滩地，土质为褐土化小两合、褐土化两合土，并间有不同的其他类型。古阳堤以北地势低洼，地下水渗入形成潮化，土壤为小两合、两合土，间有不同的其他类型。</w:t>
            </w:r>
          </w:p>
          <w:p>
            <w:pPr>
              <w:pageBreakBefore w:val="0"/>
              <w:widowControl w:val="0"/>
              <w:kinsoku/>
              <w:wordWrap/>
              <w:overflowPunct/>
              <w:topLinePunct w:val="0"/>
              <w:autoSpaceDE/>
              <w:autoSpaceDN/>
              <w:bidi w:val="0"/>
              <w:adjustRightInd/>
              <w:snapToGrid/>
              <w:textAlignment w:val="auto"/>
              <w:rPr>
                <w:rFonts w:hint="default"/>
                <w:highlight w:val="none"/>
              </w:rPr>
            </w:pPr>
            <w:r>
              <w:rPr>
                <w:rFonts w:hint="default"/>
                <w:highlight w:val="none"/>
              </w:rPr>
              <w:t>项目周边500m范围</w:t>
            </w:r>
            <w:r>
              <w:rPr>
                <w:highlight w:val="none"/>
              </w:rPr>
              <w:t>内无列入《国家重点保护野生植物名录》和《国家重点保护</w:t>
            </w:r>
            <w:r>
              <w:rPr>
                <w:rFonts w:hint="default"/>
                <w:highlight w:val="none"/>
              </w:rPr>
              <w:t>野生动物名录》的动植物。</w:t>
            </w:r>
          </w:p>
          <w:p>
            <w:pPr>
              <w:pStyle w:val="4"/>
              <w:pageBreakBefore w:val="0"/>
              <w:widowControl w:val="0"/>
              <w:kinsoku/>
              <w:wordWrap/>
              <w:overflowPunct/>
              <w:topLinePunct w:val="0"/>
              <w:autoSpaceDE/>
              <w:autoSpaceDN/>
              <w:bidi w:val="0"/>
              <w:adjustRightInd/>
              <w:snapToGrid/>
              <w:textAlignment w:val="auto"/>
              <w:rPr>
                <w:rFonts w:hint="eastAsia"/>
                <w:highlight w:val="none"/>
              </w:rPr>
            </w:pPr>
            <w:r>
              <w:rPr>
                <w:rFonts w:hint="default"/>
                <w:highlight w:val="none"/>
                <w:lang w:val="en-US" w:eastAsia="zh-CN"/>
              </w:rPr>
              <w:t>6、</w:t>
            </w:r>
            <w:r>
              <w:rPr>
                <w:rFonts w:hint="default"/>
                <w:highlight w:val="none"/>
              </w:rPr>
              <w:t>《</w:t>
            </w:r>
            <w:r>
              <w:rPr>
                <w:rFonts w:hint="eastAsia"/>
                <w:highlight w:val="none"/>
              </w:rPr>
              <w:t>河南省城市集中式饮用水源保护区划》</w:t>
            </w:r>
          </w:p>
          <w:p>
            <w:pPr>
              <w:pageBreakBefore w:val="0"/>
              <w:widowControl w:val="0"/>
              <w:kinsoku/>
              <w:wordWrap/>
              <w:overflowPunct/>
              <w:topLinePunct w:val="0"/>
              <w:autoSpaceDE/>
              <w:autoSpaceDN/>
              <w:bidi w:val="0"/>
              <w:adjustRightInd/>
              <w:snapToGrid/>
              <w:textAlignment w:val="auto"/>
              <w:rPr>
                <w:rFonts w:hint="eastAsia"/>
                <w:highlight w:val="none"/>
              </w:rPr>
            </w:pPr>
            <w:r>
              <w:rPr>
                <w:highlight w:val="none"/>
              </w:rPr>
              <w:t>根据《河南省城市集中式饮用水源保护区划》，</w:t>
            </w:r>
            <w:r>
              <w:rPr>
                <w:rFonts w:hint="eastAsia"/>
                <w:highlight w:val="none"/>
              </w:rPr>
              <w:t>新乡市地表水饮用水源保护区共有5个，分别为</w:t>
            </w:r>
            <w:r>
              <w:rPr>
                <w:highlight w:val="none"/>
              </w:rPr>
              <w:t>黄河贾太湖地表水饮用水源保护区</w:t>
            </w:r>
            <w:r>
              <w:rPr>
                <w:rFonts w:hint="eastAsia"/>
                <w:highlight w:val="none"/>
              </w:rPr>
              <w:t>、</w:t>
            </w:r>
            <w:r>
              <w:rPr>
                <w:highlight w:val="none"/>
              </w:rPr>
              <w:t>黄河原阳中岳地表水饮用水源保护区</w:t>
            </w:r>
            <w:r>
              <w:rPr>
                <w:rFonts w:hint="eastAsia"/>
                <w:highlight w:val="none"/>
              </w:rPr>
              <w:t>、</w:t>
            </w:r>
            <w:r>
              <w:rPr>
                <w:highlight w:val="none"/>
              </w:rPr>
              <w:t>三水厂地下水饮用水源保护区(共32眼井)</w:t>
            </w:r>
            <w:r>
              <w:rPr>
                <w:rFonts w:hint="eastAsia"/>
                <w:highlight w:val="none"/>
              </w:rPr>
              <w:t>、</w:t>
            </w:r>
            <w:r>
              <w:rPr>
                <w:highlight w:val="none"/>
              </w:rPr>
              <w:t>四水厂地下水饮用水源保护区(共21眼井)</w:t>
            </w:r>
            <w:r>
              <w:rPr>
                <w:rFonts w:hint="eastAsia"/>
                <w:highlight w:val="none"/>
              </w:rPr>
              <w:t>、</w:t>
            </w:r>
            <w:r>
              <w:rPr>
                <w:highlight w:val="none"/>
              </w:rPr>
              <w:t>凤泉水厂地下水饮用水源保护区(共8眼井)</w:t>
            </w:r>
            <w:r>
              <w:rPr>
                <w:rFonts w:hint="eastAsia"/>
                <w:highlight w:val="none"/>
              </w:rPr>
              <w:t>。</w:t>
            </w:r>
          </w:p>
          <w:p>
            <w:pPr>
              <w:pageBreakBefore w:val="0"/>
              <w:widowControl w:val="0"/>
              <w:kinsoku/>
              <w:wordWrap/>
              <w:overflowPunct/>
              <w:topLinePunct w:val="0"/>
              <w:autoSpaceDE/>
              <w:autoSpaceDN/>
              <w:bidi w:val="0"/>
              <w:adjustRightInd/>
              <w:snapToGrid/>
              <w:textAlignment w:val="auto"/>
              <w:rPr>
                <w:rFonts w:hint="eastAsia"/>
                <w:highlight w:val="none"/>
                <w:lang w:eastAsia="zh-CN"/>
              </w:rPr>
            </w:pPr>
            <w:r>
              <w:rPr>
                <w:rFonts w:hint="eastAsia"/>
                <w:highlight w:val="none"/>
              </w:rPr>
              <w:t>新乡市饮用水源保护区详细如下：</w:t>
            </w:r>
          </w:p>
          <w:p>
            <w:pPr>
              <w:pageBreakBefore w:val="0"/>
              <w:widowControl w:val="0"/>
              <w:kinsoku/>
              <w:wordWrap/>
              <w:overflowPunct/>
              <w:topLinePunct w:val="0"/>
              <w:autoSpaceDE/>
              <w:autoSpaceDN/>
              <w:bidi w:val="0"/>
              <w:adjustRightInd/>
              <w:snapToGrid/>
              <w:textAlignment w:val="auto"/>
              <w:rPr>
                <w:highlight w:val="none"/>
              </w:rPr>
            </w:pPr>
            <w:r>
              <w:rPr>
                <w:highlight w:val="none"/>
              </w:rPr>
              <w:t>1</w:t>
            </w:r>
            <w:r>
              <w:rPr>
                <w:rFonts w:hint="eastAsia"/>
                <w:highlight w:val="none"/>
              </w:rPr>
              <w:t>、</w:t>
            </w:r>
            <w:r>
              <w:rPr>
                <w:highlight w:val="none"/>
              </w:rPr>
              <w:t>黄河贾太湖地表水饮用水源保护区</w:t>
            </w:r>
          </w:p>
          <w:p>
            <w:pPr>
              <w:pageBreakBefore w:val="0"/>
              <w:widowControl w:val="0"/>
              <w:kinsoku/>
              <w:wordWrap/>
              <w:overflowPunct/>
              <w:topLinePunct w:val="0"/>
              <w:autoSpaceDE/>
              <w:autoSpaceDN/>
              <w:bidi w:val="0"/>
              <w:adjustRightInd/>
              <w:snapToGrid/>
              <w:textAlignment w:val="auto"/>
              <w:rPr>
                <w:highlight w:val="none"/>
              </w:rPr>
            </w:pPr>
            <w:r>
              <w:rPr>
                <w:highlight w:val="none"/>
              </w:rPr>
              <w:t>一级保护区</w:t>
            </w:r>
            <w:r>
              <w:rPr>
                <w:rFonts w:hint="eastAsia"/>
                <w:highlight w:val="none"/>
              </w:rPr>
              <w:t>：</w:t>
            </w:r>
            <w:r>
              <w:rPr>
                <w:highlight w:val="none"/>
              </w:rPr>
              <w:t>田庄至寺王东二干渠和四水厂引水渠道等输水渠道堤外50米沿岸的陆域</w:t>
            </w:r>
            <w:r>
              <w:rPr>
                <w:rFonts w:hint="eastAsia"/>
                <w:highlight w:val="none"/>
              </w:rPr>
              <w:t>；</w:t>
            </w:r>
            <w:r>
              <w:rPr>
                <w:highlight w:val="none"/>
              </w:rPr>
              <w:t>牧野区平原乡三支渠两侧30米的陆域</w:t>
            </w:r>
            <w:r>
              <w:rPr>
                <w:rFonts w:hint="eastAsia"/>
                <w:highlight w:val="none"/>
              </w:rPr>
              <w:t>；</w:t>
            </w:r>
            <w:r>
              <w:rPr>
                <w:highlight w:val="none"/>
              </w:rPr>
              <w:t>贾太湖蓄水池、沉沙池、西郊沉沙池水域及其截渗沟外10米范围的区域</w:t>
            </w:r>
            <w:r>
              <w:rPr>
                <w:rFonts w:hint="eastAsia"/>
                <w:highlight w:val="none"/>
              </w:rPr>
              <w:t>；</w:t>
            </w:r>
            <w:r>
              <w:rPr>
                <w:highlight w:val="none"/>
              </w:rPr>
              <w:t>贾太湖蓄水池、西郊沉沙池至四水厂和一水厂之间的输水暗管两侧10米的陆域。</w:t>
            </w:r>
          </w:p>
          <w:p>
            <w:pPr>
              <w:pageBreakBefore w:val="0"/>
              <w:widowControl w:val="0"/>
              <w:kinsoku/>
              <w:wordWrap/>
              <w:overflowPunct/>
              <w:topLinePunct w:val="0"/>
              <w:autoSpaceDE/>
              <w:autoSpaceDN/>
              <w:bidi w:val="0"/>
              <w:adjustRightInd/>
              <w:snapToGrid/>
              <w:textAlignment w:val="auto"/>
              <w:rPr>
                <w:rFonts w:hint="eastAsia"/>
                <w:highlight w:val="none"/>
              </w:rPr>
            </w:pPr>
            <w:r>
              <w:rPr>
                <w:highlight w:val="none"/>
              </w:rPr>
              <w:t>二级保护区</w:t>
            </w:r>
            <w:r>
              <w:rPr>
                <w:rFonts w:hint="eastAsia"/>
                <w:highlight w:val="none"/>
              </w:rPr>
              <w:t>：</w:t>
            </w:r>
            <w:r>
              <w:rPr>
                <w:highlight w:val="none"/>
              </w:rPr>
              <w:t>一级保护区外</w:t>
            </w:r>
            <w:r>
              <w:rPr>
                <w:rFonts w:hint="eastAsia"/>
                <w:highlight w:val="none"/>
              </w:rPr>
              <w:t>，</w:t>
            </w:r>
            <w:r>
              <w:rPr>
                <w:highlight w:val="none"/>
              </w:rPr>
              <w:t>京珠高速公路桥至桃花峪的黄河水域和黄河南岸大堤以内、黄河北岸生产堤以内的滩区</w:t>
            </w:r>
            <w:r>
              <w:rPr>
                <w:rFonts w:hint="eastAsia"/>
                <w:highlight w:val="none"/>
              </w:rPr>
              <w:t>；</w:t>
            </w:r>
            <w:r>
              <w:rPr>
                <w:highlight w:val="none"/>
              </w:rPr>
              <w:t>人民胜利渠渠首至田庄的水域及堤外50米沿岸的陆域。</w:t>
            </w:r>
          </w:p>
          <w:p>
            <w:pPr>
              <w:pageBreakBefore w:val="0"/>
              <w:widowControl w:val="0"/>
              <w:kinsoku/>
              <w:wordWrap/>
              <w:overflowPunct/>
              <w:topLinePunct w:val="0"/>
              <w:autoSpaceDE/>
              <w:autoSpaceDN/>
              <w:bidi w:val="0"/>
              <w:adjustRightInd/>
              <w:snapToGrid/>
              <w:textAlignment w:val="auto"/>
              <w:rPr>
                <w:highlight w:val="none"/>
              </w:rPr>
            </w:pPr>
            <w:r>
              <w:rPr>
                <w:highlight w:val="none"/>
              </w:rPr>
              <w:t>2</w:t>
            </w:r>
            <w:r>
              <w:rPr>
                <w:rFonts w:hint="eastAsia"/>
                <w:highlight w:val="none"/>
              </w:rPr>
              <w:t>、</w:t>
            </w:r>
            <w:r>
              <w:rPr>
                <w:highlight w:val="none"/>
              </w:rPr>
              <w:t>黄河原阳中岳地表水饮用水源保护区</w:t>
            </w:r>
          </w:p>
          <w:p>
            <w:pPr>
              <w:pageBreakBefore w:val="0"/>
              <w:widowControl w:val="0"/>
              <w:kinsoku/>
              <w:wordWrap/>
              <w:overflowPunct/>
              <w:topLinePunct w:val="0"/>
              <w:autoSpaceDE/>
              <w:autoSpaceDN/>
              <w:bidi w:val="0"/>
              <w:adjustRightInd/>
              <w:snapToGrid/>
              <w:textAlignment w:val="auto"/>
              <w:rPr>
                <w:highlight w:val="none"/>
              </w:rPr>
            </w:pPr>
            <w:r>
              <w:rPr>
                <w:highlight w:val="none"/>
              </w:rPr>
              <w:t>一级保护区</w:t>
            </w:r>
            <w:r>
              <w:rPr>
                <w:rFonts w:hint="eastAsia"/>
                <w:highlight w:val="none"/>
              </w:rPr>
              <w:t>：</w:t>
            </w:r>
            <w:r>
              <w:rPr>
                <w:highlight w:val="none"/>
              </w:rPr>
              <w:t>黄河干流原阳取水口(幸福闸、马庄闸、双井闸)上游1000米、下游100米的水域</w:t>
            </w:r>
            <w:r>
              <w:rPr>
                <w:rFonts w:hint="eastAsia"/>
                <w:highlight w:val="none"/>
              </w:rPr>
              <w:t>；</w:t>
            </w:r>
            <w:r>
              <w:rPr>
                <w:highlight w:val="none"/>
              </w:rPr>
              <w:t>原阳新一干渠两侧50米及四水厂专用饮水渠道和牧野区平原乡三支渠两侧30米的陆域</w:t>
            </w:r>
            <w:r>
              <w:rPr>
                <w:rFonts w:hint="eastAsia"/>
                <w:highlight w:val="none"/>
              </w:rPr>
              <w:t>；</w:t>
            </w:r>
            <w:r>
              <w:rPr>
                <w:highlight w:val="none"/>
              </w:rPr>
              <w:t>原阳中岳蓄水池、沉沙池截渗沟外10米的区域</w:t>
            </w:r>
            <w:r>
              <w:rPr>
                <w:rFonts w:hint="eastAsia"/>
                <w:highlight w:val="none"/>
              </w:rPr>
              <w:t>；</w:t>
            </w:r>
            <w:r>
              <w:rPr>
                <w:highlight w:val="none"/>
              </w:rPr>
              <w:t>原阳中岳蓄水池至四水厂、五水厂之间的输水暗管两侧10米的陆域。二级保护区</w:t>
            </w:r>
            <w:r>
              <w:rPr>
                <w:rFonts w:hint="eastAsia"/>
                <w:highlight w:val="none"/>
              </w:rPr>
              <w:t>：</w:t>
            </w:r>
            <w:r>
              <w:rPr>
                <w:highlight w:val="none"/>
              </w:rPr>
              <w:t>一级保护区外</w:t>
            </w:r>
            <w:r>
              <w:rPr>
                <w:rFonts w:hint="eastAsia"/>
                <w:highlight w:val="none"/>
              </w:rPr>
              <w:t>，</w:t>
            </w:r>
            <w:r>
              <w:rPr>
                <w:highlight w:val="none"/>
              </w:rPr>
              <w:t>京珠高速公路桥至桃花峪的黄河水域和黄河南岸大堤以内、黄河北岸生产堤以内的滩区。</w:t>
            </w:r>
          </w:p>
          <w:p>
            <w:pPr>
              <w:pageBreakBefore w:val="0"/>
              <w:widowControl w:val="0"/>
              <w:kinsoku/>
              <w:wordWrap/>
              <w:overflowPunct/>
              <w:topLinePunct w:val="0"/>
              <w:autoSpaceDE/>
              <w:autoSpaceDN/>
              <w:bidi w:val="0"/>
              <w:adjustRightInd/>
              <w:snapToGrid/>
              <w:textAlignment w:val="auto"/>
              <w:rPr>
                <w:highlight w:val="none"/>
              </w:rPr>
            </w:pPr>
            <w:r>
              <w:rPr>
                <w:highlight w:val="none"/>
              </w:rPr>
              <w:t>3</w:t>
            </w:r>
            <w:r>
              <w:rPr>
                <w:rFonts w:hint="eastAsia"/>
                <w:highlight w:val="none"/>
              </w:rPr>
              <w:t>、</w:t>
            </w:r>
            <w:r>
              <w:rPr>
                <w:highlight w:val="none"/>
              </w:rPr>
              <w:t>三水厂地下水饮用水源保护区(共32眼井)</w:t>
            </w:r>
          </w:p>
          <w:p>
            <w:pPr>
              <w:pageBreakBefore w:val="0"/>
              <w:widowControl w:val="0"/>
              <w:kinsoku/>
              <w:wordWrap/>
              <w:overflowPunct/>
              <w:topLinePunct w:val="0"/>
              <w:autoSpaceDE/>
              <w:autoSpaceDN/>
              <w:bidi w:val="0"/>
              <w:adjustRightInd/>
              <w:snapToGrid/>
              <w:textAlignment w:val="auto"/>
              <w:rPr>
                <w:highlight w:val="none"/>
              </w:rPr>
            </w:pPr>
            <w:r>
              <w:rPr>
                <w:highlight w:val="none"/>
              </w:rPr>
              <w:t>一级保护区</w:t>
            </w:r>
            <w:r>
              <w:rPr>
                <w:rFonts w:hint="eastAsia"/>
                <w:highlight w:val="none"/>
              </w:rPr>
              <w:t>：</w:t>
            </w:r>
            <w:r>
              <w:rPr>
                <w:highlight w:val="none"/>
              </w:rPr>
              <w:t>共产主义渠大堤外侧以北</w:t>
            </w:r>
            <w:r>
              <w:rPr>
                <w:rFonts w:hint="eastAsia"/>
                <w:highlight w:val="none"/>
              </w:rPr>
              <w:t>，</w:t>
            </w:r>
            <w:r>
              <w:rPr>
                <w:highlight w:val="none"/>
              </w:rPr>
              <w:t>东、西、北以外围井连线向外50米的区域及输水管线两侧10米的区域。</w:t>
            </w:r>
          </w:p>
          <w:p>
            <w:pPr>
              <w:pageBreakBefore w:val="0"/>
              <w:widowControl w:val="0"/>
              <w:kinsoku/>
              <w:wordWrap/>
              <w:overflowPunct/>
              <w:topLinePunct w:val="0"/>
              <w:autoSpaceDE/>
              <w:autoSpaceDN/>
              <w:bidi w:val="0"/>
              <w:adjustRightInd/>
              <w:snapToGrid/>
              <w:textAlignment w:val="auto"/>
              <w:rPr>
                <w:highlight w:val="none"/>
              </w:rPr>
            </w:pPr>
            <w:r>
              <w:rPr>
                <w:highlight w:val="none"/>
              </w:rPr>
              <w:t>二级保护区</w:t>
            </w:r>
            <w:r>
              <w:rPr>
                <w:rFonts w:hint="eastAsia"/>
                <w:highlight w:val="none"/>
              </w:rPr>
              <w:t>：</w:t>
            </w:r>
            <w:r>
              <w:rPr>
                <w:highlight w:val="none"/>
              </w:rPr>
              <w:t>北外环路北沿以北</w:t>
            </w:r>
            <w:r>
              <w:rPr>
                <w:rFonts w:hint="eastAsia"/>
                <w:highlight w:val="none"/>
              </w:rPr>
              <w:t>，</w:t>
            </w:r>
            <w:r>
              <w:rPr>
                <w:highlight w:val="none"/>
              </w:rPr>
              <w:t>周村、及马坊村南以南</w:t>
            </w:r>
            <w:r>
              <w:rPr>
                <w:rFonts w:hint="eastAsia"/>
                <w:highlight w:val="none"/>
              </w:rPr>
              <w:t>，</w:t>
            </w:r>
            <w:r>
              <w:rPr>
                <w:highlight w:val="none"/>
              </w:rPr>
              <w:t>京广铁路以西</w:t>
            </w:r>
            <w:r>
              <w:rPr>
                <w:rFonts w:hint="eastAsia"/>
                <w:highlight w:val="none"/>
              </w:rPr>
              <w:t>，</w:t>
            </w:r>
            <w:r>
              <w:rPr>
                <w:highlight w:val="none"/>
              </w:rPr>
              <w:t>一级保护区西界往西1300米以东的区域。</w:t>
            </w:r>
          </w:p>
          <w:p>
            <w:pPr>
              <w:pageBreakBefore w:val="0"/>
              <w:widowControl w:val="0"/>
              <w:kinsoku/>
              <w:wordWrap/>
              <w:overflowPunct/>
              <w:topLinePunct w:val="0"/>
              <w:autoSpaceDE/>
              <w:autoSpaceDN/>
              <w:bidi w:val="0"/>
              <w:adjustRightInd/>
              <w:snapToGrid/>
              <w:textAlignment w:val="auto"/>
              <w:rPr>
                <w:highlight w:val="none"/>
              </w:rPr>
            </w:pPr>
            <w:r>
              <w:rPr>
                <w:highlight w:val="none"/>
              </w:rPr>
              <w:t>4</w:t>
            </w:r>
            <w:r>
              <w:rPr>
                <w:rFonts w:hint="eastAsia"/>
                <w:highlight w:val="none"/>
              </w:rPr>
              <w:t>、</w:t>
            </w:r>
            <w:r>
              <w:rPr>
                <w:highlight w:val="none"/>
              </w:rPr>
              <w:t>四水厂地下水饮用水源保护区(共21眼井)</w:t>
            </w:r>
          </w:p>
          <w:p>
            <w:pPr>
              <w:pageBreakBefore w:val="0"/>
              <w:widowControl w:val="0"/>
              <w:kinsoku/>
              <w:wordWrap/>
              <w:overflowPunct/>
              <w:topLinePunct w:val="0"/>
              <w:autoSpaceDE/>
              <w:autoSpaceDN/>
              <w:bidi w:val="0"/>
              <w:adjustRightInd/>
              <w:snapToGrid/>
              <w:textAlignment w:val="auto"/>
              <w:rPr>
                <w:highlight w:val="none"/>
              </w:rPr>
            </w:pPr>
            <w:r>
              <w:rPr>
                <w:highlight w:val="none"/>
              </w:rPr>
              <w:t>一级保护区</w:t>
            </w:r>
            <w:r>
              <w:rPr>
                <w:rFonts w:hint="eastAsia"/>
                <w:highlight w:val="none"/>
              </w:rPr>
              <w:t>：</w:t>
            </w:r>
            <w:r>
              <w:rPr>
                <w:highlight w:val="none"/>
              </w:rPr>
              <w:t>西曹和东曹村北以北</w:t>
            </w:r>
            <w:r>
              <w:rPr>
                <w:rFonts w:hint="eastAsia"/>
                <w:highlight w:val="none"/>
              </w:rPr>
              <w:t>，</w:t>
            </w:r>
            <w:r>
              <w:rPr>
                <w:highlight w:val="none"/>
              </w:rPr>
              <w:t>2号井和11号井连线向北150米以南</w:t>
            </w:r>
            <w:r>
              <w:rPr>
                <w:rFonts w:hint="eastAsia"/>
                <w:highlight w:val="none"/>
              </w:rPr>
              <w:t>，</w:t>
            </w:r>
            <w:r>
              <w:rPr>
                <w:highlight w:val="none"/>
              </w:rPr>
              <w:t>22号井向东150米以西</w:t>
            </w:r>
            <w:r>
              <w:rPr>
                <w:rFonts w:hint="eastAsia"/>
                <w:highlight w:val="none"/>
              </w:rPr>
              <w:t>，</w:t>
            </w:r>
            <w:r>
              <w:rPr>
                <w:highlight w:val="none"/>
              </w:rPr>
              <w:t>12—1号井西150米以东以及输水管线两侧10米的区域。</w:t>
            </w:r>
          </w:p>
          <w:p>
            <w:pPr>
              <w:pageBreakBefore w:val="0"/>
              <w:widowControl w:val="0"/>
              <w:kinsoku/>
              <w:wordWrap/>
              <w:overflowPunct/>
              <w:topLinePunct w:val="0"/>
              <w:autoSpaceDE/>
              <w:autoSpaceDN/>
              <w:bidi w:val="0"/>
              <w:adjustRightInd/>
              <w:snapToGrid/>
              <w:textAlignment w:val="auto"/>
              <w:rPr>
                <w:highlight w:val="none"/>
              </w:rPr>
            </w:pPr>
            <w:r>
              <w:rPr>
                <w:highlight w:val="none"/>
              </w:rPr>
              <w:t>二级保护区</w:t>
            </w:r>
            <w:r>
              <w:rPr>
                <w:rFonts w:hint="eastAsia"/>
                <w:highlight w:val="none"/>
              </w:rPr>
              <w:t>：</w:t>
            </w:r>
            <w:r>
              <w:rPr>
                <w:highlight w:val="none"/>
              </w:rPr>
              <w:t>西曹、中曹村和余庄南及七里营村北以北</w:t>
            </w:r>
            <w:r>
              <w:rPr>
                <w:rFonts w:hint="eastAsia"/>
                <w:highlight w:val="none"/>
              </w:rPr>
              <w:t>，</w:t>
            </w:r>
            <w:r>
              <w:rPr>
                <w:highlight w:val="none"/>
              </w:rPr>
              <w:t>西石碑和董事碑村南及高村和西贾城村北以南</w:t>
            </w:r>
            <w:r>
              <w:rPr>
                <w:rFonts w:hint="eastAsia"/>
                <w:highlight w:val="none"/>
              </w:rPr>
              <w:t>，</w:t>
            </w:r>
            <w:r>
              <w:rPr>
                <w:highlight w:val="none"/>
              </w:rPr>
              <w:t>21号桥以西</w:t>
            </w:r>
            <w:r>
              <w:rPr>
                <w:rFonts w:hint="eastAsia"/>
                <w:highlight w:val="none"/>
              </w:rPr>
              <w:t>，</w:t>
            </w:r>
            <w:r>
              <w:rPr>
                <w:highlight w:val="none"/>
              </w:rPr>
              <w:t>敦留店村西以东的区域。</w:t>
            </w:r>
          </w:p>
          <w:p>
            <w:pPr>
              <w:pageBreakBefore w:val="0"/>
              <w:widowControl w:val="0"/>
              <w:kinsoku/>
              <w:wordWrap/>
              <w:overflowPunct/>
              <w:topLinePunct w:val="0"/>
              <w:autoSpaceDE/>
              <w:autoSpaceDN/>
              <w:bidi w:val="0"/>
              <w:adjustRightInd/>
              <w:snapToGrid/>
              <w:textAlignment w:val="auto"/>
              <w:rPr>
                <w:highlight w:val="none"/>
              </w:rPr>
            </w:pPr>
            <w:r>
              <w:rPr>
                <w:highlight w:val="none"/>
              </w:rPr>
              <w:t>5</w:t>
            </w:r>
            <w:r>
              <w:rPr>
                <w:rFonts w:hint="eastAsia"/>
                <w:highlight w:val="none"/>
              </w:rPr>
              <w:t>、</w:t>
            </w:r>
            <w:r>
              <w:rPr>
                <w:highlight w:val="none"/>
              </w:rPr>
              <w:t>凤泉水厂地下水饮用水源保护区(共8眼井)</w:t>
            </w:r>
          </w:p>
          <w:p>
            <w:pPr>
              <w:pageBreakBefore w:val="0"/>
              <w:widowControl w:val="0"/>
              <w:kinsoku/>
              <w:wordWrap/>
              <w:overflowPunct/>
              <w:topLinePunct w:val="0"/>
              <w:autoSpaceDE/>
              <w:autoSpaceDN/>
              <w:bidi w:val="0"/>
              <w:adjustRightInd/>
              <w:snapToGrid/>
              <w:textAlignment w:val="auto"/>
              <w:rPr>
                <w:highlight w:val="none"/>
              </w:rPr>
            </w:pPr>
            <w:r>
              <w:rPr>
                <w:highlight w:val="none"/>
              </w:rPr>
              <w:t>一级保护区</w:t>
            </w:r>
            <w:r>
              <w:rPr>
                <w:rFonts w:hint="eastAsia"/>
                <w:highlight w:val="none"/>
              </w:rPr>
              <w:t>：</w:t>
            </w:r>
            <w:r>
              <w:rPr>
                <w:highlight w:val="none"/>
              </w:rPr>
              <w:t>以水厂东、西两院的院墙为界向外10米以及输水管线两侧10米的区域。</w:t>
            </w:r>
          </w:p>
          <w:p>
            <w:pPr>
              <w:pageBreakBefore w:val="0"/>
              <w:widowControl w:val="0"/>
              <w:kinsoku/>
              <w:wordWrap/>
              <w:overflowPunct/>
              <w:topLinePunct w:val="0"/>
              <w:autoSpaceDE/>
              <w:autoSpaceDN/>
              <w:bidi w:val="0"/>
              <w:adjustRightInd/>
              <w:snapToGrid/>
              <w:textAlignment w:val="auto"/>
              <w:rPr>
                <w:highlight w:val="none"/>
              </w:rPr>
            </w:pPr>
            <w:r>
              <w:rPr>
                <w:highlight w:val="none"/>
              </w:rPr>
              <w:t>二级保护区</w:t>
            </w:r>
            <w:r>
              <w:rPr>
                <w:rFonts w:hint="eastAsia"/>
                <w:highlight w:val="none"/>
              </w:rPr>
              <w:t>：</w:t>
            </w:r>
            <w:r>
              <w:rPr>
                <w:highlight w:val="none"/>
              </w:rPr>
              <w:t>东以团结路为界</w:t>
            </w:r>
            <w:r>
              <w:rPr>
                <w:rFonts w:hint="eastAsia"/>
                <w:highlight w:val="none"/>
              </w:rPr>
              <w:t>，</w:t>
            </w:r>
            <w:r>
              <w:rPr>
                <w:highlight w:val="none"/>
              </w:rPr>
              <w:t>其他三面以水厂院墙为界</w:t>
            </w:r>
            <w:r>
              <w:rPr>
                <w:rFonts w:hint="eastAsia"/>
                <w:highlight w:val="none"/>
              </w:rPr>
              <w:t>，</w:t>
            </w:r>
            <w:r>
              <w:rPr>
                <w:highlight w:val="none"/>
              </w:rPr>
              <w:t>向外100米的区域。</w:t>
            </w:r>
          </w:p>
          <w:p>
            <w:pPr>
              <w:pStyle w:val="4"/>
              <w:pageBreakBefore w:val="0"/>
              <w:widowControl w:val="0"/>
              <w:kinsoku/>
              <w:wordWrap/>
              <w:overflowPunct/>
              <w:topLinePunct w:val="0"/>
              <w:autoSpaceDE/>
              <w:autoSpaceDN/>
              <w:bidi w:val="0"/>
              <w:adjustRightInd/>
              <w:snapToGrid/>
              <w:textAlignment w:val="auto"/>
              <w:rPr>
                <w:rFonts w:hint="eastAsia"/>
                <w:highlight w:val="none"/>
              </w:rPr>
            </w:pPr>
            <w:r>
              <w:rPr>
                <w:rFonts w:hint="eastAsia"/>
                <w:highlight w:val="none"/>
                <w:lang w:val="en-US" w:eastAsia="zh-CN"/>
              </w:rPr>
              <w:t>7</w:t>
            </w:r>
            <w:r>
              <w:rPr>
                <w:rFonts w:hint="default"/>
                <w:highlight w:val="none"/>
                <w:lang w:val="en-US" w:eastAsia="zh-CN"/>
              </w:rPr>
              <w:t>、</w:t>
            </w:r>
            <w:r>
              <w:rPr>
                <w:rFonts w:hint="default"/>
                <w:highlight w:val="none"/>
              </w:rPr>
              <w:t>《</w:t>
            </w:r>
            <w:r>
              <w:rPr>
                <w:rFonts w:hint="eastAsia"/>
                <w:highlight w:val="none"/>
              </w:rPr>
              <w:t>河南省</w:t>
            </w:r>
            <w:r>
              <w:rPr>
                <w:rFonts w:hint="eastAsia"/>
                <w:highlight w:val="none"/>
                <w:lang w:eastAsia="zh-CN"/>
              </w:rPr>
              <w:t>乡镇</w:t>
            </w:r>
            <w:r>
              <w:rPr>
                <w:rFonts w:hint="eastAsia"/>
                <w:highlight w:val="none"/>
              </w:rPr>
              <w:t>集中式饮用水源保护区划》</w:t>
            </w:r>
          </w:p>
          <w:p>
            <w:pPr>
              <w:pageBreakBefore w:val="0"/>
              <w:widowControl w:val="0"/>
              <w:kinsoku/>
              <w:wordWrap/>
              <w:overflowPunct/>
              <w:topLinePunct w:val="0"/>
              <w:autoSpaceDE/>
              <w:autoSpaceDN/>
              <w:bidi w:val="0"/>
              <w:adjustRightInd/>
              <w:snapToGrid/>
              <w:textAlignment w:val="auto"/>
              <w:rPr>
                <w:rFonts w:hint="eastAsia"/>
                <w:highlight w:val="none"/>
                <w:lang w:eastAsia="zh-CN"/>
              </w:rPr>
            </w:pPr>
            <w:r>
              <w:rPr>
                <w:highlight w:val="none"/>
              </w:rPr>
              <w:t>根据《</w:t>
            </w:r>
            <w:r>
              <w:rPr>
                <w:rFonts w:hint="eastAsia"/>
                <w:highlight w:val="none"/>
              </w:rPr>
              <w:t>河南省乡镇集中式饮用水源保护区划</w:t>
            </w:r>
            <w:r>
              <w:rPr>
                <w:highlight w:val="none"/>
              </w:rPr>
              <w:t>》，</w:t>
            </w:r>
            <w:r>
              <w:rPr>
                <w:rFonts w:hint="eastAsia"/>
                <w:highlight w:val="none"/>
              </w:rPr>
              <w:t>新乡</w:t>
            </w:r>
            <w:r>
              <w:rPr>
                <w:rFonts w:hint="eastAsia"/>
                <w:highlight w:val="none"/>
                <w:lang w:eastAsia="zh-CN"/>
              </w:rPr>
              <w:t>县地下水集中式饮用水水源地保护区</w:t>
            </w:r>
            <w:r>
              <w:rPr>
                <w:rFonts w:hint="eastAsia"/>
                <w:highlight w:val="none"/>
              </w:rPr>
              <w:t>共有</w:t>
            </w:r>
            <w:r>
              <w:rPr>
                <w:rFonts w:hint="eastAsia"/>
                <w:highlight w:val="none"/>
                <w:lang w:val="en-US" w:eastAsia="zh-CN"/>
              </w:rPr>
              <w:t>4</w:t>
            </w:r>
            <w:r>
              <w:rPr>
                <w:rFonts w:hint="eastAsia"/>
                <w:highlight w:val="none"/>
              </w:rPr>
              <w:t>个，分别为新乡县郎公庙镇水厂地下水井群(共3眼井)</w:t>
            </w:r>
            <w:r>
              <w:rPr>
                <w:rFonts w:hint="eastAsia"/>
                <w:highlight w:val="none"/>
                <w:lang w:eastAsia="zh-CN"/>
              </w:rPr>
              <w:t>、</w:t>
            </w:r>
            <w:r>
              <w:rPr>
                <w:rFonts w:hint="eastAsia"/>
                <w:highlight w:val="none"/>
              </w:rPr>
              <w:t>新乡县古固寨镇水厂地下水井群(共2眼井)</w:t>
            </w:r>
            <w:r>
              <w:rPr>
                <w:rFonts w:hint="eastAsia"/>
                <w:highlight w:val="none"/>
                <w:lang w:eastAsia="zh-CN"/>
              </w:rPr>
              <w:t>、</w:t>
            </w:r>
            <w:r>
              <w:rPr>
                <w:rFonts w:hint="eastAsia"/>
                <w:highlight w:val="none"/>
              </w:rPr>
              <w:t>新乡县大召营镇水厂地下水井群(共2眼井)</w:t>
            </w:r>
            <w:r>
              <w:rPr>
                <w:rFonts w:hint="eastAsia"/>
                <w:highlight w:val="none"/>
                <w:lang w:eastAsia="zh-CN"/>
              </w:rPr>
              <w:t>、</w:t>
            </w:r>
            <w:r>
              <w:rPr>
                <w:rFonts w:hint="eastAsia"/>
                <w:highlight w:val="none"/>
              </w:rPr>
              <w:t>新乡县翟坡镇水厂地下水井群(共3眼井)</w:t>
            </w:r>
            <w:r>
              <w:rPr>
                <w:rFonts w:hint="eastAsia"/>
                <w:highlight w:val="none"/>
                <w:lang w:eastAsia="zh-CN"/>
              </w:rPr>
              <w:t>。</w:t>
            </w:r>
          </w:p>
          <w:p>
            <w:pPr>
              <w:pageBreakBefore w:val="0"/>
              <w:widowControl w:val="0"/>
              <w:kinsoku/>
              <w:wordWrap/>
              <w:overflowPunct/>
              <w:topLinePunct w:val="0"/>
              <w:autoSpaceDE/>
              <w:autoSpaceDN/>
              <w:bidi w:val="0"/>
              <w:adjustRightInd/>
              <w:snapToGrid/>
              <w:textAlignment w:val="auto"/>
              <w:rPr>
                <w:rFonts w:hint="eastAsia"/>
                <w:highlight w:val="none"/>
                <w:lang w:eastAsia="zh-CN"/>
              </w:rPr>
            </w:pPr>
            <w:r>
              <w:rPr>
                <w:rFonts w:hint="eastAsia"/>
                <w:highlight w:val="none"/>
              </w:rPr>
              <w:t>新乡</w:t>
            </w:r>
            <w:r>
              <w:rPr>
                <w:rFonts w:hint="eastAsia"/>
                <w:highlight w:val="none"/>
                <w:lang w:eastAsia="zh-CN"/>
              </w:rPr>
              <w:t>县</w:t>
            </w:r>
            <w:r>
              <w:rPr>
                <w:rFonts w:hint="eastAsia"/>
                <w:highlight w:val="none"/>
              </w:rPr>
              <w:t>饮用水源保护区详细如下：</w:t>
            </w:r>
          </w:p>
          <w:p>
            <w:pPr>
              <w:pageBreakBefore w:val="0"/>
              <w:widowControl w:val="0"/>
              <w:kinsoku/>
              <w:wordWrap/>
              <w:overflowPunct/>
              <w:topLinePunct w:val="0"/>
              <w:autoSpaceDE/>
              <w:autoSpaceDN/>
              <w:bidi w:val="0"/>
              <w:adjustRightInd/>
              <w:snapToGrid/>
              <w:textAlignment w:val="auto"/>
              <w:rPr>
                <w:rFonts w:hint="eastAsia"/>
                <w:highlight w:val="none"/>
              </w:rPr>
            </w:pPr>
            <w:r>
              <w:rPr>
                <w:rFonts w:hint="eastAsia"/>
                <w:highlight w:val="none"/>
              </w:rPr>
              <w:t>(1)新乡县郎公庙镇水厂地下水井群(共3眼井)</w:t>
            </w:r>
          </w:p>
          <w:p>
            <w:pPr>
              <w:pageBreakBefore w:val="0"/>
              <w:widowControl w:val="0"/>
              <w:kinsoku/>
              <w:wordWrap/>
              <w:overflowPunct/>
              <w:topLinePunct w:val="0"/>
              <w:autoSpaceDE/>
              <w:autoSpaceDN/>
              <w:bidi w:val="0"/>
              <w:adjustRightInd/>
              <w:snapToGrid/>
              <w:textAlignment w:val="auto"/>
              <w:rPr>
                <w:rFonts w:hint="eastAsia"/>
                <w:highlight w:val="none"/>
              </w:rPr>
            </w:pPr>
            <w:r>
              <w:rPr>
                <w:rFonts w:hint="eastAsia"/>
                <w:highlight w:val="none"/>
              </w:rPr>
              <w:t>一级保护区范围:水厂厂区及外围东45米、西8米、南8米、北45米的区域(1号取水井),2、3号取水井外围50米至229省道的区域。</w:t>
            </w:r>
          </w:p>
          <w:p>
            <w:pPr>
              <w:pageBreakBefore w:val="0"/>
              <w:widowControl w:val="0"/>
              <w:kinsoku/>
              <w:wordWrap/>
              <w:overflowPunct/>
              <w:topLinePunct w:val="0"/>
              <w:autoSpaceDE/>
              <w:autoSpaceDN/>
              <w:bidi w:val="0"/>
              <w:adjustRightInd/>
              <w:snapToGrid/>
              <w:textAlignment w:val="auto"/>
              <w:rPr>
                <w:rFonts w:hint="eastAsia"/>
                <w:highlight w:val="none"/>
              </w:rPr>
            </w:pPr>
            <w:r>
              <w:rPr>
                <w:rFonts w:hint="eastAsia"/>
                <w:highlight w:val="none"/>
              </w:rPr>
              <w:t>(2)新乡县古固寨镇水厂地下水井群(共2眼井)</w:t>
            </w:r>
          </w:p>
          <w:p>
            <w:pPr>
              <w:pageBreakBefore w:val="0"/>
              <w:widowControl w:val="0"/>
              <w:kinsoku/>
              <w:wordWrap/>
              <w:overflowPunct/>
              <w:topLinePunct w:val="0"/>
              <w:autoSpaceDE/>
              <w:autoSpaceDN/>
              <w:bidi w:val="0"/>
              <w:adjustRightInd/>
              <w:snapToGrid/>
              <w:textAlignment w:val="auto"/>
              <w:rPr>
                <w:rFonts w:hint="eastAsia"/>
                <w:highlight w:val="none"/>
              </w:rPr>
            </w:pPr>
            <w:r>
              <w:rPr>
                <w:rFonts w:hint="eastAsia"/>
                <w:highlight w:val="none"/>
              </w:rPr>
              <w:t>一级保护区范围:水厂厂区及外围东15米、西45米、南35米、北10米的区域(1号取水井),2号取水井外围50米的区域。</w:t>
            </w:r>
          </w:p>
          <w:p>
            <w:pPr>
              <w:pageBreakBefore w:val="0"/>
              <w:widowControl w:val="0"/>
              <w:kinsoku/>
              <w:wordWrap/>
              <w:overflowPunct/>
              <w:topLinePunct w:val="0"/>
              <w:autoSpaceDE/>
              <w:autoSpaceDN/>
              <w:bidi w:val="0"/>
              <w:adjustRightInd/>
              <w:snapToGrid/>
              <w:textAlignment w:val="auto"/>
              <w:rPr>
                <w:rFonts w:hint="eastAsia"/>
                <w:highlight w:val="none"/>
              </w:rPr>
            </w:pPr>
            <w:r>
              <w:rPr>
                <w:rFonts w:hint="eastAsia"/>
                <w:highlight w:val="none"/>
              </w:rPr>
              <w:t>(3)新乡县大召营镇水厂地下水井群(共2眼井)</w:t>
            </w:r>
          </w:p>
          <w:p>
            <w:pPr>
              <w:pageBreakBefore w:val="0"/>
              <w:widowControl w:val="0"/>
              <w:kinsoku/>
              <w:wordWrap/>
              <w:overflowPunct/>
              <w:topLinePunct w:val="0"/>
              <w:autoSpaceDE/>
              <w:autoSpaceDN/>
              <w:bidi w:val="0"/>
              <w:adjustRightInd/>
              <w:snapToGrid/>
              <w:textAlignment w:val="auto"/>
              <w:rPr>
                <w:rFonts w:hint="eastAsia"/>
                <w:highlight w:val="none"/>
              </w:rPr>
            </w:pPr>
            <w:r>
              <w:rPr>
                <w:rFonts w:hint="eastAsia"/>
                <w:highlight w:val="none"/>
              </w:rPr>
              <w:t>一级保护区范围:水厂厂区及外围西45米、南30米、北20米、东25米的区域(1号取水井),2号取水井外围50米的区域。</w:t>
            </w:r>
          </w:p>
          <w:p>
            <w:pPr>
              <w:pageBreakBefore w:val="0"/>
              <w:widowControl w:val="0"/>
              <w:kinsoku/>
              <w:wordWrap/>
              <w:overflowPunct/>
              <w:topLinePunct w:val="0"/>
              <w:autoSpaceDE/>
              <w:autoSpaceDN/>
              <w:bidi w:val="0"/>
              <w:adjustRightInd/>
              <w:snapToGrid/>
              <w:textAlignment w:val="auto"/>
              <w:rPr>
                <w:rFonts w:hint="eastAsia"/>
                <w:highlight w:val="none"/>
              </w:rPr>
            </w:pPr>
            <w:r>
              <w:rPr>
                <w:rFonts w:hint="eastAsia"/>
                <w:highlight w:val="none"/>
              </w:rPr>
              <w:t>(4)新乡县翟坡镇水厂地下水井群(共3眼井)</w:t>
            </w:r>
          </w:p>
          <w:p>
            <w:pPr>
              <w:pageBreakBefore w:val="0"/>
              <w:widowControl w:val="0"/>
              <w:kinsoku/>
              <w:wordWrap/>
              <w:overflowPunct/>
              <w:topLinePunct w:val="0"/>
              <w:autoSpaceDE/>
              <w:autoSpaceDN/>
              <w:bidi w:val="0"/>
              <w:adjustRightInd/>
              <w:snapToGrid/>
              <w:textAlignment w:val="auto"/>
              <w:rPr>
                <w:rFonts w:hint="eastAsia"/>
                <w:highlight w:val="none"/>
              </w:rPr>
            </w:pPr>
            <w:r>
              <w:rPr>
                <w:rFonts w:hint="eastAsia"/>
                <w:highlight w:val="none"/>
              </w:rPr>
              <w:t>一级保护区范围:取水井外围50米的区域。</w:t>
            </w:r>
          </w:p>
          <w:p>
            <w:pPr>
              <w:pageBreakBefore w:val="0"/>
              <w:widowControl w:val="0"/>
              <w:kinsoku/>
              <w:wordWrap/>
              <w:overflowPunct/>
              <w:topLinePunct w:val="0"/>
              <w:autoSpaceDE/>
              <w:autoSpaceDN/>
              <w:bidi w:val="0"/>
              <w:adjustRightInd/>
              <w:snapToGrid/>
              <w:textAlignment w:val="auto"/>
              <w:rPr>
                <w:rFonts w:hint="eastAsia"/>
                <w:b w:val="0"/>
                <w:bCs w:val="0"/>
                <w:highlight w:val="none"/>
                <w:lang w:eastAsia="zh-CN"/>
              </w:rPr>
            </w:pPr>
            <w:r>
              <w:rPr>
                <w:rFonts w:hint="eastAsia"/>
                <w:b w:val="0"/>
                <w:bCs w:val="0"/>
                <w:highlight w:val="none"/>
                <w:lang w:eastAsia="zh-CN"/>
              </w:rPr>
              <w:t>本项目位于新乡县大召营镇（新焦公路八公里处），北侧约</w:t>
            </w:r>
            <w:r>
              <w:rPr>
                <w:rFonts w:hint="eastAsia"/>
                <w:b w:val="0"/>
                <w:bCs w:val="0"/>
                <w:highlight w:val="none"/>
                <w:lang w:val="en-US" w:eastAsia="zh-CN"/>
              </w:rPr>
              <w:t>5</w:t>
            </w:r>
            <w:r>
              <w:rPr>
                <w:rFonts w:hint="eastAsia"/>
                <w:b w:val="0"/>
                <w:bCs w:val="0"/>
                <w:highlight w:val="none"/>
                <w:lang w:eastAsia="zh-CN"/>
              </w:rPr>
              <w:t>m处为西干五支排，西干五支排最终汇入卫河，不在保护范围内，同新乡市城市饮用水水源地保护区分区示意图和新乡县乡镇饮用水水源地保护区对照，该项目不在新乡市城市饮用水水源地保护区分区示意图和新乡县乡镇饮用水水源地保护区内。</w:t>
            </w:r>
          </w:p>
          <w:p>
            <w:pPr>
              <w:bidi w:val="0"/>
              <w:rPr>
                <w:rFonts w:hint="eastAsia"/>
                <w:b w:val="0"/>
                <w:bCs w:val="0"/>
                <w:highlight w:val="none"/>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pStyle w:val="2"/>
              <w:rPr>
                <w:rFonts w:hint="eastAsia"/>
                <w:lang w:eastAsia="zh-CN"/>
              </w:rPr>
            </w:pPr>
          </w:p>
          <w:p>
            <w:pPr>
              <w:widowControl/>
              <w:numPr>
                <w:ilvl w:val="0"/>
                <w:numId w:val="0"/>
              </w:numPr>
              <w:adjustRightInd w:val="0"/>
              <w:snapToGrid w:val="0"/>
              <w:spacing w:line="360" w:lineRule="auto"/>
              <w:jc w:val="left"/>
              <w:rPr>
                <w:rFonts w:hint="eastAsia" w:eastAsia="宋体"/>
                <w:sz w:val="24"/>
                <w:szCs w:val="24"/>
                <w:highlight w:val="none"/>
                <w:lang w:eastAsia="zh-CN"/>
              </w:rPr>
            </w:pPr>
          </w:p>
        </w:tc>
      </w:tr>
    </w:tbl>
    <w:p>
      <w:r>
        <w:br w:type="page"/>
      </w:r>
    </w:p>
    <w:p>
      <w:pPr>
        <w:pStyle w:val="2"/>
        <w:keepNext/>
        <w:keepLines/>
        <w:pageBreakBefore w:val="0"/>
        <w:widowControl w:val="0"/>
        <w:kinsoku/>
        <w:wordWrap/>
        <w:overflowPunct/>
        <w:topLinePunct w:val="0"/>
        <w:autoSpaceDE/>
        <w:autoSpaceDN/>
        <w:bidi w:val="0"/>
        <w:adjustRightInd/>
        <w:snapToGrid/>
        <w:spacing w:line="240" w:lineRule="auto"/>
        <w:textAlignment w:val="auto"/>
        <w:rPr>
          <w:highlight w:val="none"/>
        </w:rPr>
      </w:pPr>
      <w:r>
        <w:rPr>
          <w:highlight w:val="none"/>
        </w:rPr>
        <w:t>环境质量状况</w:t>
      </w:r>
    </w:p>
    <w:tbl>
      <w:tblPr>
        <w:tblStyle w:val="21"/>
        <w:tblW w:w="895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5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1811" w:hRule="atLeast"/>
          <w:jc w:val="center"/>
        </w:trPr>
        <w:tc>
          <w:tcPr>
            <w:tcW w:w="8951" w:type="dxa"/>
            <w:vAlign w:val="top"/>
          </w:tcPr>
          <w:p>
            <w:pPr>
              <w:pStyle w:val="3"/>
              <w:bidi w:val="0"/>
              <w:rPr>
                <w:highlight w:val="none"/>
              </w:rPr>
            </w:pPr>
            <w:r>
              <w:rPr>
                <w:highlight w:val="none"/>
              </w:rPr>
              <w:t>建设项目所在地区域环境质量现状及主要环境问题(环境空气、地面水、声环境、生态环境等)</w:t>
            </w:r>
          </w:p>
          <w:p>
            <w:pPr>
              <w:pStyle w:val="4"/>
              <w:bidi w:val="0"/>
              <w:rPr>
                <w:highlight w:val="none"/>
              </w:rPr>
            </w:pPr>
            <w:r>
              <w:rPr>
                <w:highlight w:val="none"/>
              </w:rPr>
              <w:t>1、环境空气质量现状</w:t>
            </w:r>
          </w:p>
          <w:p>
            <w:pPr>
              <w:bidi w:val="0"/>
              <w:rPr>
                <w:rFonts w:hint="eastAsia"/>
                <w:highlight w:val="none"/>
              </w:rPr>
            </w:pPr>
            <w:r>
              <w:rPr>
                <w:rFonts w:hint="eastAsia"/>
                <w:highlight w:val="none"/>
              </w:rPr>
              <w:t>根据大气功能区划分原则，建设项目所在地为二类功能区，环境空气质量应执行《环境空气质量标准》（GB3095-2012）二级标准。</w:t>
            </w:r>
          </w:p>
          <w:p>
            <w:pPr>
              <w:bidi w:val="0"/>
              <w:rPr>
                <w:rFonts w:hint="default"/>
                <w:highlight w:val="none"/>
                <w:lang w:eastAsia="zh-CN"/>
              </w:rPr>
            </w:pPr>
            <w:r>
              <w:rPr>
                <w:rFonts w:hint="default"/>
                <w:highlight w:val="none"/>
                <w:lang w:eastAsia="zh-CN"/>
              </w:rPr>
              <w:t>为了解本项目所在区域的环境空气质量现状，本报告采用《201</w:t>
            </w:r>
            <w:r>
              <w:rPr>
                <w:rFonts w:hint="eastAsia"/>
                <w:highlight w:val="none"/>
                <w:lang w:val="en-US" w:eastAsia="zh-CN"/>
              </w:rPr>
              <w:t>9</w:t>
            </w:r>
            <w:r>
              <w:rPr>
                <w:rFonts w:hint="default"/>
                <w:highlight w:val="none"/>
                <w:lang w:eastAsia="zh-CN"/>
              </w:rPr>
              <w:t>年</w:t>
            </w:r>
            <w:r>
              <w:rPr>
                <w:rFonts w:hint="default"/>
                <w:highlight w:val="none"/>
                <w:lang w:val="en-US" w:eastAsia="zh-CN"/>
              </w:rPr>
              <w:t>新乡市</w:t>
            </w:r>
            <w:r>
              <w:rPr>
                <w:rFonts w:hint="default"/>
                <w:highlight w:val="none"/>
                <w:lang w:eastAsia="zh-CN"/>
              </w:rPr>
              <w:t>市环境空气质量状况》环境质量年报。201</w:t>
            </w:r>
            <w:r>
              <w:rPr>
                <w:rFonts w:hint="eastAsia"/>
                <w:highlight w:val="none"/>
                <w:lang w:val="en-US" w:eastAsia="zh-CN"/>
              </w:rPr>
              <w:t>9</w:t>
            </w:r>
            <w:r>
              <w:rPr>
                <w:rFonts w:hint="default"/>
                <w:highlight w:val="none"/>
                <w:lang w:eastAsia="zh-CN"/>
              </w:rPr>
              <w:t>年</w:t>
            </w:r>
            <w:r>
              <w:rPr>
                <w:rFonts w:hint="default"/>
                <w:highlight w:val="none"/>
                <w:lang w:val="en-US" w:eastAsia="zh-CN"/>
              </w:rPr>
              <w:t>新乡市</w:t>
            </w:r>
            <w:r>
              <w:rPr>
                <w:rFonts w:hint="default"/>
                <w:highlight w:val="none"/>
                <w:lang w:eastAsia="zh-CN"/>
              </w:rPr>
              <w:t>环境空气质量主要指标如下表所示：</w:t>
            </w:r>
          </w:p>
          <w:p>
            <w:pPr>
              <w:pStyle w:val="45"/>
              <w:bidi w:val="0"/>
              <w:rPr>
                <w:rFonts w:hint="default"/>
                <w:highlight w:val="none"/>
                <w:lang w:val="en-US" w:eastAsia="zh-CN"/>
              </w:rPr>
            </w:pPr>
            <w:r>
              <w:rPr>
                <w:rFonts w:hint="default"/>
                <w:highlight w:val="none"/>
                <w:lang w:val="en-US" w:eastAsia="zh-CN"/>
              </w:rPr>
              <w:t>表</w:t>
            </w:r>
            <w:r>
              <w:rPr>
                <w:rFonts w:hint="eastAsia"/>
                <w:highlight w:val="none"/>
                <w:lang w:val="en-US" w:eastAsia="zh-CN"/>
              </w:rPr>
              <w:t>21</w:t>
            </w:r>
            <w:r>
              <w:rPr>
                <w:rFonts w:hint="default"/>
                <w:highlight w:val="none"/>
                <w:lang w:val="en-US" w:eastAsia="zh-CN"/>
              </w:rPr>
              <w:t xml:space="preserve">  项目区域环境空气质量监测结果    单位：</w:t>
            </w:r>
            <w:r>
              <w:rPr>
                <w:rFonts w:hint="default"/>
                <w:highlight w:val="none"/>
              </w:rPr>
              <w:t>μg</w:t>
            </w:r>
            <w:r>
              <w:rPr>
                <w:rFonts w:hint="default"/>
                <w:highlight w:val="none"/>
                <w:lang w:eastAsia="zh-CN"/>
              </w:rPr>
              <w:t>/m</w:t>
            </w:r>
            <w:r>
              <w:rPr>
                <w:rFonts w:hint="default"/>
                <w:highlight w:val="none"/>
                <w:vertAlign w:val="superscript"/>
                <w:lang w:eastAsia="zh-CN"/>
              </w:rPr>
              <w:t>3</w:t>
            </w:r>
          </w:p>
          <w:tbl>
            <w:tblPr>
              <w:tblStyle w:val="22"/>
              <w:tblW w:w="8700"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239"/>
              <w:gridCol w:w="2180"/>
              <w:gridCol w:w="1192"/>
              <w:gridCol w:w="1196"/>
              <w:gridCol w:w="1656"/>
              <w:gridCol w:w="1237"/>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39"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监测项目</w:t>
                  </w:r>
                </w:p>
              </w:tc>
              <w:tc>
                <w:tcPr>
                  <w:tcW w:w="2180"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年评价指标</w:t>
                  </w:r>
                </w:p>
              </w:tc>
              <w:tc>
                <w:tcPr>
                  <w:tcW w:w="1192"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现状浓度</w:t>
                  </w:r>
                </w:p>
              </w:tc>
              <w:tc>
                <w:tcPr>
                  <w:tcW w:w="1196"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标准限值</w:t>
                  </w:r>
                </w:p>
              </w:tc>
              <w:tc>
                <w:tcPr>
                  <w:tcW w:w="1656"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占标率%</w:t>
                  </w:r>
                </w:p>
              </w:tc>
              <w:tc>
                <w:tcPr>
                  <w:tcW w:w="1237"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达标情况</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39" w:type="dxa"/>
                  <w:tcBorders>
                    <w:tl2br w:val="nil"/>
                    <w:tr2bl w:val="nil"/>
                  </w:tcBorders>
                  <w:noWrap w:val="0"/>
                  <w:vAlign w:val="center"/>
                </w:tcPr>
                <w:p>
                  <w:pPr>
                    <w:pStyle w:val="29"/>
                    <w:bidi w:val="0"/>
                    <w:rPr>
                      <w:rFonts w:hint="default"/>
                      <w:highlight w:val="none"/>
                      <w:lang w:val="en-US" w:eastAsia="zh-CN"/>
                    </w:rPr>
                  </w:pPr>
                  <w:r>
                    <w:rPr>
                      <w:rFonts w:hint="default"/>
                      <w:highlight w:val="none"/>
                      <w:lang w:eastAsia="zh-CN"/>
                    </w:rPr>
                    <w:t>SO</w:t>
                  </w:r>
                  <w:r>
                    <w:rPr>
                      <w:rFonts w:hint="default"/>
                      <w:highlight w:val="none"/>
                      <w:vertAlign w:val="subscript"/>
                      <w:lang w:eastAsia="zh-CN"/>
                    </w:rPr>
                    <w:t>2</w:t>
                  </w:r>
                </w:p>
              </w:tc>
              <w:tc>
                <w:tcPr>
                  <w:tcW w:w="2180"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年平均质量浓度</w:t>
                  </w:r>
                </w:p>
              </w:tc>
              <w:tc>
                <w:tcPr>
                  <w:tcW w:w="1192" w:type="dxa"/>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16</w:t>
                  </w:r>
                </w:p>
              </w:tc>
              <w:tc>
                <w:tcPr>
                  <w:tcW w:w="1196"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60</w:t>
                  </w:r>
                </w:p>
              </w:tc>
              <w:tc>
                <w:tcPr>
                  <w:tcW w:w="1656"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0.</w:t>
                  </w:r>
                  <w:r>
                    <w:rPr>
                      <w:rFonts w:hint="eastAsia"/>
                      <w:highlight w:val="none"/>
                      <w:lang w:val="en-US" w:eastAsia="zh-CN"/>
                    </w:rPr>
                    <w:t>26</w:t>
                  </w:r>
                </w:p>
              </w:tc>
              <w:tc>
                <w:tcPr>
                  <w:tcW w:w="1237"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39" w:type="dxa"/>
                  <w:tcBorders>
                    <w:tl2br w:val="nil"/>
                    <w:tr2bl w:val="nil"/>
                  </w:tcBorders>
                  <w:noWrap w:val="0"/>
                  <w:vAlign w:val="center"/>
                </w:tcPr>
                <w:p>
                  <w:pPr>
                    <w:pStyle w:val="29"/>
                    <w:bidi w:val="0"/>
                    <w:rPr>
                      <w:rFonts w:hint="default"/>
                      <w:highlight w:val="none"/>
                      <w:lang w:val="en-US" w:eastAsia="zh-CN"/>
                    </w:rPr>
                  </w:pPr>
                  <w:r>
                    <w:rPr>
                      <w:rFonts w:hint="default"/>
                      <w:highlight w:val="none"/>
                      <w:lang w:eastAsia="zh-CN"/>
                    </w:rPr>
                    <w:t>NO</w:t>
                  </w:r>
                  <w:r>
                    <w:rPr>
                      <w:rFonts w:hint="default"/>
                      <w:highlight w:val="none"/>
                      <w:vertAlign w:val="subscript"/>
                      <w:lang w:eastAsia="zh-CN"/>
                    </w:rPr>
                    <w:t>2</w:t>
                  </w:r>
                </w:p>
              </w:tc>
              <w:tc>
                <w:tcPr>
                  <w:tcW w:w="2180"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年平均质量浓度</w:t>
                  </w:r>
                </w:p>
              </w:tc>
              <w:tc>
                <w:tcPr>
                  <w:tcW w:w="1192" w:type="dxa"/>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44</w:t>
                  </w:r>
                </w:p>
              </w:tc>
              <w:tc>
                <w:tcPr>
                  <w:tcW w:w="1196"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40</w:t>
                  </w:r>
                </w:p>
              </w:tc>
              <w:tc>
                <w:tcPr>
                  <w:tcW w:w="1656" w:type="dxa"/>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1.1</w:t>
                  </w:r>
                </w:p>
              </w:tc>
              <w:tc>
                <w:tcPr>
                  <w:tcW w:w="1237"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超标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39" w:type="dxa"/>
                  <w:tcBorders>
                    <w:tl2br w:val="nil"/>
                    <w:tr2bl w:val="nil"/>
                  </w:tcBorders>
                  <w:noWrap w:val="0"/>
                  <w:vAlign w:val="center"/>
                </w:tcPr>
                <w:p>
                  <w:pPr>
                    <w:pStyle w:val="29"/>
                    <w:bidi w:val="0"/>
                    <w:rPr>
                      <w:rFonts w:hint="default"/>
                      <w:highlight w:val="none"/>
                      <w:lang w:val="en-US" w:eastAsia="zh-CN"/>
                    </w:rPr>
                  </w:pPr>
                  <w:r>
                    <w:rPr>
                      <w:rFonts w:hint="default"/>
                      <w:highlight w:val="none"/>
                      <w:lang w:eastAsia="zh-CN"/>
                    </w:rPr>
                    <w:t>PM</w:t>
                  </w:r>
                  <w:r>
                    <w:rPr>
                      <w:rFonts w:hint="default"/>
                      <w:highlight w:val="none"/>
                      <w:vertAlign w:val="subscript"/>
                      <w:lang w:eastAsia="zh-CN"/>
                    </w:rPr>
                    <w:t>10</w:t>
                  </w:r>
                </w:p>
              </w:tc>
              <w:tc>
                <w:tcPr>
                  <w:tcW w:w="2180"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年平均质量浓度</w:t>
                  </w:r>
                </w:p>
              </w:tc>
              <w:tc>
                <w:tcPr>
                  <w:tcW w:w="1192"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10</w:t>
                  </w:r>
                  <w:r>
                    <w:rPr>
                      <w:rFonts w:hint="eastAsia"/>
                      <w:highlight w:val="none"/>
                      <w:lang w:val="en-US" w:eastAsia="zh-CN"/>
                    </w:rPr>
                    <w:t>1</w:t>
                  </w:r>
                </w:p>
              </w:tc>
              <w:tc>
                <w:tcPr>
                  <w:tcW w:w="1196"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70</w:t>
                  </w:r>
                </w:p>
              </w:tc>
              <w:tc>
                <w:tcPr>
                  <w:tcW w:w="1656" w:type="dxa"/>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1.44</w:t>
                  </w:r>
                </w:p>
              </w:tc>
              <w:tc>
                <w:tcPr>
                  <w:tcW w:w="1237"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超标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39" w:type="dxa"/>
                  <w:tcBorders>
                    <w:tl2br w:val="nil"/>
                    <w:tr2bl w:val="nil"/>
                  </w:tcBorders>
                  <w:noWrap w:val="0"/>
                  <w:vAlign w:val="center"/>
                </w:tcPr>
                <w:p>
                  <w:pPr>
                    <w:pStyle w:val="29"/>
                    <w:bidi w:val="0"/>
                    <w:rPr>
                      <w:rFonts w:hint="default"/>
                      <w:highlight w:val="none"/>
                      <w:lang w:val="en-US" w:eastAsia="zh-CN"/>
                    </w:rPr>
                  </w:pPr>
                  <w:r>
                    <w:rPr>
                      <w:rFonts w:hint="default"/>
                      <w:highlight w:val="none"/>
                      <w:lang w:eastAsia="zh-CN"/>
                    </w:rPr>
                    <w:t>PM</w:t>
                  </w:r>
                  <w:r>
                    <w:rPr>
                      <w:rFonts w:hint="default"/>
                      <w:highlight w:val="none"/>
                      <w:vertAlign w:val="subscript"/>
                      <w:lang w:eastAsia="zh-CN"/>
                    </w:rPr>
                    <w:t>2.5</w:t>
                  </w:r>
                </w:p>
              </w:tc>
              <w:tc>
                <w:tcPr>
                  <w:tcW w:w="2180"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年平均质量浓度</w:t>
                  </w:r>
                </w:p>
              </w:tc>
              <w:tc>
                <w:tcPr>
                  <w:tcW w:w="1192" w:type="dxa"/>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56</w:t>
                  </w:r>
                </w:p>
              </w:tc>
              <w:tc>
                <w:tcPr>
                  <w:tcW w:w="1196"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35</w:t>
                  </w:r>
                </w:p>
              </w:tc>
              <w:tc>
                <w:tcPr>
                  <w:tcW w:w="1656" w:type="dxa"/>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1.6</w:t>
                  </w:r>
                </w:p>
              </w:tc>
              <w:tc>
                <w:tcPr>
                  <w:tcW w:w="1237"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超标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39"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CO</w:t>
                  </w:r>
                </w:p>
              </w:tc>
              <w:tc>
                <w:tcPr>
                  <w:tcW w:w="2180"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第95百分位浓度</w:t>
                  </w:r>
                </w:p>
              </w:tc>
              <w:tc>
                <w:tcPr>
                  <w:tcW w:w="1192" w:type="dxa"/>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2080</w:t>
                  </w:r>
                </w:p>
              </w:tc>
              <w:tc>
                <w:tcPr>
                  <w:tcW w:w="1196"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4000</w:t>
                  </w:r>
                </w:p>
              </w:tc>
              <w:tc>
                <w:tcPr>
                  <w:tcW w:w="1656" w:type="dxa"/>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0.52</w:t>
                  </w:r>
                </w:p>
              </w:tc>
              <w:tc>
                <w:tcPr>
                  <w:tcW w:w="1237"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39"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O</w:t>
                  </w:r>
                  <w:r>
                    <w:rPr>
                      <w:rFonts w:hint="default"/>
                      <w:highlight w:val="none"/>
                      <w:vertAlign w:val="subscript"/>
                      <w:lang w:val="en-US" w:eastAsia="zh-CN"/>
                    </w:rPr>
                    <w:t>3</w:t>
                  </w:r>
                </w:p>
              </w:tc>
              <w:tc>
                <w:tcPr>
                  <w:tcW w:w="2180"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第90百分位浓度</w:t>
                  </w:r>
                </w:p>
              </w:tc>
              <w:tc>
                <w:tcPr>
                  <w:tcW w:w="1192" w:type="dxa"/>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178</w:t>
                  </w:r>
                </w:p>
              </w:tc>
              <w:tc>
                <w:tcPr>
                  <w:tcW w:w="1196"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160</w:t>
                  </w:r>
                </w:p>
              </w:tc>
              <w:tc>
                <w:tcPr>
                  <w:tcW w:w="1656" w:type="dxa"/>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1.11</w:t>
                  </w:r>
                </w:p>
              </w:tc>
              <w:tc>
                <w:tcPr>
                  <w:tcW w:w="1237" w:type="dxa"/>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超标</w:t>
                  </w:r>
                </w:p>
              </w:tc>
            </w:tr>
          </w:tbl>
          <w:p>
            <w:pPr>
              <w:bidi w:val="0"/>
              <w:rPr>
                <w:rFonts w:hint="default"/>
                <w:highlight w:val="none"/>
                <w:lang w:val="en-US" w:eastAsia="zh-CN"/>
              </w:rPr>
            </w:pPr>
            <w:r>
              <w:rPr>
                <w:rFonts w:hint="default"/>
                <w:highlight w:val="none"/>
                <w:lang w:val="en-US" w:eastAsia="zh-CN"/>
              </w:rPr>
              <w:t>根据《环境影响评价技术导则 大气环境》（HJ2.2-2018），城市环境空气质量达标情况评价指标为：SO</w:t>
            </w:r>
            <w:r>
              <w:rPr>
                <w:rFonts w:hint="default"/>
                <w:highlight w:val="none"/>
                <w:vertAlign w:val="subscript"/>
                <w:lang w:val="en-US" w:eastAsia="zh-CN"/>
              </w:rPr>
              <w:t>2</w:t>
            </w:r>
            <w:r>
              <w:rPr>
                <w:rFonts w:hint="default"/>
                <w:highlight w:val="none"/>
                <w:lang w:val="en-US" w:eastAsia="zh-CN"/>
              </w:rPr>
              <w:t>、NO</w:t>
            </w:r>
            <w:r>
              <w:rPr>
                <w:rFonts w:hint="default"/>
                <w:highlight w:val="none"/>
                <w:vertAlign w:val="subscript"/>
                <w:lang w:val="en-US" w:eastAsia="zh-CN"/>
              </w:rPr>
              <w:t>2</w:t>
            </w:r>
            <w:r>
              <w:rPr>
                <w:rFonts w:hint="default"/>
                <w:highlight w:val="none"/>
                <w:lang w:val="en-US" w:eastAsia="zh-CN"/>
              </w:rPr>
              <w:t>、PM</w:t>
            </w:r>
            <w:r>
              <w:rPr>
                <w:rFonts w:hint="default"/>
                <w:highlight w:val="none"/>
                <w:vertAlign w:val="subscript"/>
                <w:lang w:val="en-US" w:eastAsia="zh-CN"/>
              </w:rPr>
              <w:t>10</w:t>
            </w:r>
            <w:r>
              <w:rPr>
                <w:rFonts w:hint="default"/>
                <w:highlight w:val="none"/>
                <w:lang w:val="en-US" w:eastAsia="zh-CN"/>
              </w:rPr>
              <w:t>、PM</w:t>
            </w:r>
            <w:r>
              <w:rPr>
                <w:rFonts w:hint="default"/>
                <w:highlight w:val="none"/>
                <w:vertAlign w:val="subscript"/>
                <w:lang w:val="en-US" w:eastAsia="zh-CN"/>
              </w:rPr>
              <w:t>2.5</w:t>
            </w:r>
            <w:r>
              <w:rPr>
                <w:rFonts w:hint="default"/>
                <w:highlight w:val="none"/>
                <w:lang w:val="en-US" w:eastAsia="zh-CN"/>
              </w:rPr>
              <w:t>、CO、O</w:t>
            </w:r>
            <w:r>
              <w:rPr>
                <w:rFonts w:hint="default"/>
                <w:highlight w:val="none"/>
                <w:vertAlign w:val="subscript"/>
                <w:lang w:val="en-US" w:eastAsia="zh-CN"/>
              </w:rPr>
              <w:t>3</w:t>
            </w:r>
            <w:r>
              <w:rPr>
                <w:rFonts w:hint="default"/>
                <w:highlight w:val="none"/>
                <w:lang w:val="en-US" w:eastAsia="zh-CN"/>
              </w:rPr>
              <w:t>，六项污染物全部达标即为城市环境质量达标。根据监测结果，监测项目中 NO</w:t>
            </w:r>
            <w:r>
              <w:rPr>
                <w:rFonts w:hint="default"/>
                <w:highlight w:val="none"/>
                <w:vertAlign w:val="subscript"/>
                <w:lang w:val="en-US" w:eastAsia="zh-CN"/>
              </w:rPr>
              <w:t>2</w:t>
            </w:r>
            <w:r>
              <w:rPr>
                <w:rFonts w:hint="default"/>
                <w:highlight w:val="none"/>
                <w:lang w:val="en-US" w:eastAsia="zh-CN"/>
              </w:rPr>
              <w:t>、PM</w:t>
            </w:r>
            <w:r>
              <w:rPr>
                <w:rFonts w:hint="default"/>
                <w:highlight w:val="none"/>
                <w:vertAlign w:val="subscript"/>
                <w:lang w:val="en-US" w:eastAsia="zh-CN"/>
              </w:rPr>
              <w:t>10</w:t>
            </w:r>
            <w:r>
              <w:rPr>
                <w:rFonts w:hint="default"/>
                <w:highlight w:val="none"/>
                <w:lang w:val="en-US" w:eastAsia="zh-CN"/>
              </w:rPr>
              <w:t>、PM</w:t>
            </w:r>
            <w:r>
              <w:rPr>
                <w:rFonts w:hint="default"/>
                <w:highlight w:val="none"/>
                <w:vertAlign w:val="subscript"/>
                <w:lang w:val="en-US" w:eastAsia="zh-CN"/>
              </w:rPr>
              <w:t>2.5</w:t>
            </w:r>
            <w:r>
              <w:rPr>
                <w:rFonts w:hint="eastAsia"/>
                <w:highlight w:val="none"/>
                <w:lang w:val="en-US" w:eastAsia="zh-CN"/>
              </w:rPr>
              <w:t>、</w:t>
            </w:r>
            <w:r>
              <w:rPr>
                <w:rFonts w:hint="default"/>
                <w:highlight w:val="none"/>
                <w:lang w:val="en-US" w:eastAsia="zh-CN"/>
              </w:rPr>
              <w:t>O</w:t>
            </w:r>
            <w:r>
              <w:rPr>
                <w:rFonts w:hint="default"/>
                <w:highlight w:val="none"/>
                <w:vertAlign w:val="subscript"/>
                <w:lang w:val="en-US" w:eastAsia="zh-CN"/>
              </w:rPr>
              <w:t>3</w:t>
            </w:r>
            <w:r>
              <w:rPr>
                <w:rFonts w:hint="default"/>
                <w:highlight w:val="none"/>
                <w:lang w:val="en-US" w:eastAsia="zh-CN"/>
              </w:rPr>
              <w:t>的年均浓度值不符合《环境空气质量标准》(GB3095-2012) 及其修改单（2018年）中的二级标准，因此，项目所在区域为不达标区域。</w:t>
            </w:r>
          </w:p>
          <w:p>
            <w:pPr>
              <w:bidi w:val="0"/>
              <w:rPr>
                <w:rFonts w:hint="default"/>
                <w:highlight w:val="none"/>
                <w:lang w:val="en-US" w:eastAsia="zh-CN"/>
              </w:rPr>
            </w:pPr>
            <w:r>
              <w:rPr>
                <w:rFonts w:hint="default"/>
                <w:highlight w:val="none"/>
                <w:lang w:val="en-US" w:eastAsia="zh-CN"/>
              </w:rPr>
              <w:t>201</w:t>
            </w:r>
            <w:r>
              <w:rPr>
                <w:rFonts w:hint="eastAsia"/>
                <w:highlight w:val="none"/>
                <w:lang w:val="en-US" w:eastAsia="zh-CN"/>
              </w:rPr>
              <w:t>9</w:t>
            </w:r>
            <w:r>
              <w:rPr>
                <w:rFonts w:hint="default"/>
                <w:highlight w:val="none"/>
                <w:lang w:val="en-US" w:eastAsia="zh-CN"/>
              </w:rPr>
              <w:t>年，新乡市城市环境空气颗粒物PM</w:t>
            </w:r>
            <w:r>
              <w:rPr>
                <w:rFonts w:hint="default"/>
                <w:highlight w:val="none"/>
                <w:vertAlign w:val="subscript"/>
                <w:lang w:val="en-US" w:eastAsia="zh-CN"/>
              </w:rPr>
              <w:t>10</w:t>
            </w:r>
            <w:r>
              <w:rPr>
                <w:rFonts w:hint="default"/>
                <w:highlight w:val="none"/>
                <w:lang w:val="en-US" w:eastAsia="zh-CN"/>
              </w:rPr>
              <w:t>平均浓度101微克/立方米，同比下降4微克/立方米，降幅3.8%；PM</w:t>
            </w:r>
            <w:r>
              <w:rPr>
                <w:rFonts w:hint="default"/>
                <w:highlight w:val="none"/>
                <w:vertAlign w:val="subscript"/>
                <w:lang w:val="en-US" w:eastAsia="zh-CN"/>
              </w:rPr>
              <w:t>2.5</w:t>
            </w:r>
            <w:r>
              <w:rPr>
                <w:rFonts w:hint="default"/>
                <w:highlight w:val="none"/>
                <w:lang w:val="en-US" w:eastAsia="zh-CN"/>
              </w:rPr>
              <w:t>平均浓度56微克/立方米，同比下降5微克/立方米，降幅8.2%。</w:t>
            </w:r>
          </w:p>
          <w:p>
            <w:pPr>
              <w:bidi w:val="0"/>
              <w:rPr>
                <w:highlight w:val="none"/>
              </w:rPr>
            </w:pPr>
            <w:r>
              <w:rPr>
                <w:rFonts w:hint="default"/>
                <w:highlight w:val="none"/>
                <w:lang w:val="en-US" w:eastAsia="zh-CN"/>
              </w:rPr>
              <w:t>气态污染物SO</w:t>
            </w:r>
            <w:r>
              <w:rPr>
                <w:rFonts w:hint="default"/>
                <w:highlight w:val="none"/>
                <w:vertAlign w:val="subscript"/>
                <w:lang w:val="en-US" w:eastAsia="zh-CN"/>
              </w:rPr>
              <w:t>2</w:t>
            </w:r>
            <w:r>
              <w:rPr>
                <w:rFonts w:hint="default"/>
                <w:highlight w:val="none"/>
                <w:lang w:val="en-US" w:eastAsia="zh-CN"/>
              </w:rPr>
              <w:t>平均浓度16微克/立方米，同比下降3微克/立方米，降幅15.8%；NO</w:t>
            </w:r>
            <w:r>
              <w:rPr>
                <w:rFonts w:hint="default"/>
                <w:highlight w:val="none"/>
                <w:vertAlign w:val="subscript"/>
                <w:lang w:val="en-US" w:eastAsia="zh-CN"/>
              </w:rPr>
              <w:t>2</w:t>
            </w:r>
            <w:r>
              <w:rPr>
                <w:rFonts w:hint="default"/>
                <w:highlight w:val="none"/>
                <w:lang w:val="en-US" w:eastAsia="zh-CN"/>
              </w:rPr>
              <w:t>平均浓度44微克/立方米，同比下降5微克/立方米，降幅10.2%；O</w:t>
            </w:r>
            <w:r>
              <w:rPr>
                <w:rFonts w:hint="default"/>
                <w:highlight w:val="none"/>
                <w:vertAlign w:val="subscript"/>
                <w:lang w:val="en-US" w:eastAsia="zh-CN"/>
              </w:rPr>
              <w:t>3</w:t>
            </w:r>
            <w:r>
              <w:rPr>
                <w:rFonts w:hint="default"/>
                <w:highlight w:val="none"/>
                <w:lang w:val="en-US" w:eastAsia="zh-CN"/>
              </w:rPr>
              <w:t>第90百分位浓度为178微克/立方米，同比下降24微克/立方米，降幅11.9%，CO第95百分位浓度2.08毫克/立方米，同比下降0.22毫克/立方米，降幅9.6%。2019年，新乡市环境空气优、良天数204天，优、良天数比例55.9%；去年同期，优、良天数177天，优、良天数比例51.8%；同比优、良天数增加27天，上升4.1个百分点。</w:t>
            </w:r>
          </w:p>
          <w:p>
            <w:pPr>
              <w:bidi w:val="0"/>
              <w:rPr>
                <w:rFonts w:hint="eastAsia"/>
                <w:highlight w:val="none"/>
              </w:rPr>
            </w:pPr>
            <w:r>
              <w:rPr>
                <w:rFonts w:hint="eastAsia"/>
                <w:highlight w:val="none"/>
              </w:rPr>
              <w:t>目前新乡市正在实施《新乡市蓝天工程行动计划》、《新乡市2020年大气污染防治攻坚战实施方案》、《“十三五”挥发性有机物污染物防治工作方案》、《新乡市环境污染防治攻坚战三年行动实施方案（2018-2020年）》等一系列措施，将不断改善区域大气环境质量。预计2020年可以达到《新乡市环境污染防治攻坚战三年行动实施方案（2018-2020年）》中：“全市</w:t>
            </w:r>
            <w:r>
              <w:rPr>
                <w:highlight w:val="none"/>
              </w:rPr>
              <w:t>PM</w:t>
            </w:r>
            <w:r>
              <w:rPr>
                <w:highlight w:val="none"/>
                <w:vertAlign w:val="subscript"/>
              </w:rPr>
              <w:t>2.5</w:t>
            </w:r>
            <w:r>
              <w:rPr>
                <w:rFonts w:hint="eastAsia"/>
                <w:highlight w:val="none"/>
              </w:rPr>
              <w:t>年均浓度达到55微克/立方米以下，</w:t>
            </w:r>
            <w:r>
              <w:rPr>
                <w:highlight w:val="none"/>
              </w:rPr>
              <w:t>PM</w:t>
            </w:r>
            <w:r>
              <w:rPr>
                <w:highlight w:val="none"/>
                <w:vertAlign w:val="subscript"/>
              </w:rPr>
              <w:t>10</w:t>
            </w:r>
            <w:r>
              <w:rPr>
                <w:rFonts w:hint="eastAsia"/>
                <w:highlight w:val="none"/>
              </w:rPr>
              <w:t>年均浓度达到101微克/立方米以下，全年优良天数比例达到66%以上”的目标要求。</w:t>
            </w:r>
          </w:p>
          <w:p>
            <w:pPr>
              <w:bidi w:val="0"/>
              <w:rPr>
                <w:rFonts w:hint="eastAsia"/>
                <w:highlight w:val="none"/>
                <w:lang w:val="en-US" w:eastAsia="zh-CN"/>
              </w:rPr>
            </w:pPr>
            <w:r>
              <w:rPr>
                <w:rFonts w:hint="eastAsia"/>
                <w:highlight w:val="none"/>
                <w:lang w:val="en-US" w:eastAsia="zh-CN"/>
              </w:rPr>
              <w:t>本项目预测因子涉及丙烷（以非甲烷总烃计），需对当地环境质量监测数据进行补充监测，用于评价项目所在区域污染物环境质量现状。新乡市兴豫气体有限责任公司于2020年7月29委托河南析源环境检测有限公司对项目厂区及敏感点的环境空气进行了现场采样并检测。检测数据如下表：</w:t>
            </w:r>
          </w:p>
          <w:p>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center"/>
              <w:textAlignment w:val="auto"/>
              <w:outlineLvl w:val="9"/>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t>表</w:t>
            </w:r>
            <w:r>
              <w:rPr>
                <w:rFonts w:hint="eastAsia" w:cs="Times New Roman"/>
                <w:b w:val="0"/>
                <w:bCs w:val="0"/>
                <w:color w:val="000000" w:themeColor="text1"/>
                <w:sz w:val="24"/>
                <w:highlight w:val="none"/>
                <w:u w:val="none"/>
                <w:lang w:val="en-US" w:eastAsia="zh-CN"/>
                <w14:textFill>
                  <w14:solidFill>
                    <w14:schemeClr w14:val="tx1"/>
                  </w14:solidFill>
                </w14:textFill>
              </w:rPr>
              <w:t>22</w:t>
            </w:r>
            <w:r>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t xml:space="preserve">  项目环境空气质量监测结果</w:t>
            </w:r>
          </w:p>
          <w:tbl>
            <w:tblPr>
              <w:tblStyle w:val="21"/>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23"/>
              <w:gridCol w:w="1956"/>
              <w:gridCol w:w="1464"/>
              <w:gridCol w:w="33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1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采样日期</w:t>
                  </w:r>
                </w:p>
              </w:tc>
              <w:tc>
                <w:tcPr>
                  <w:tcW w:w="11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采样点位</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非甲烷总烃(mg/m</w:t>
                  </w:r>
                  <w:r>
                    <w:rPr>
                      <w:rFonts w:hint="default"/>
                      <w:sz w:val="21"/>
                      <w:szCs w:val="21"/>
                      <w:highlight w:val="none"/>
                      <w:vertAlign w:val="superscript"/>
                      <w:lang w:val="en-US" w:eastAsia="zh-CN"/>
                    </w:rPr>
                    <w:t>3</w:t>
                  </w:r>
                  <w:r>
                    <w:rPr>
                      <w:rFonts w:hint="default"/>
                      <w:sz w:val="21"/>
                      <w:szCs w:val="21"/>
                      <w:highlight w:val="none"/>
                      <w:lang w:val="en-US" w:eastAsia="zh-CN"/>
                    </w:rPr>
                    <w:t>)</w:t>
                  </w:r>
                </w:p>
              </w:tc>
              <w:tc>
                <w:tcPr>
                  <w:tcW w:w="19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2020.0</w:t>
                  </w:r>
                  <w:r>
                    <w:rPr>
                      <w:rFonts w:hint="eastAsia"/>
                      <w:sz w:val="21"/>
                      <w:szCs w:val="21"/>
                      <w:highlight w:val="none"/>
                      <w:lang w:val="en-US" w:eastAsia="zh-CN"/>
                    </w:rPr>
                    <w:t>7</w:t>
                  </w:r>
                  <w:r>
                    <w:rPr>
                      <w:rFonts w:hint="default"/>
                      <w:sz w:val="21"/>
                      <w:szCs w:val="21"/>
                      <w:highlight w:val="none"/>
                      <w:lang w:val="en-US" w:eastAsia="zh-CN"/>
                    </w:rPr>
                    <w:t>.29</w:t>
                  </w:r>
                </w:p>
              </w:tc>
              <w:tc>
                <w:tcPr>
                  <w:tcW w:w="112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1.53</w:t>
                  </w:r>
                </w:p>
              </w:tc>
              <w:tc>
                <w:tcPr>
                  <w:tcW w:w="192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r>
                    <w:rPr>
                      <w:rFonts w:hint="eastAsia"/>
                      <w:sz w:val="21"/>
                      <w:szCs w:val="21"/>
                      <w:highlight w:val="none"/>
                      <w:lang w:val="en-US" w:eastAsia="zh-CN"/>
                    </w:rPr>
                    <w:t>检测时平均温度：32</w:t>
                  </w:r>
                  <w:r>
                    <w:rPr>
                      <w:rFonts w:hint="default"/>
                      <w:sz w:val="21"/>
                      <w:szCs w:val="21"/>
                      <w:highlight w:val="none"/>
                      <w:lang w:val="en-US" w:eastAsia="zh-CN"/>
                    </w:rPr>
                    <w:t>℃</w:t>
                  </w:r>
                  <w:r>
                    <w:rPr>
                      <w:rFonts w:hint="eastAsia"/>
                      <w:sz w:val="21"/>
                      <w:szCs w:val="21"/>
                      <w:highlight w:val="none"/>
                      <w:lang w:val="en-US" w:eastAsia="zh-CN"/>
                    </w:rPr>
                    <w:t>，平均气压：1002h</w:t>
                  </w:r>
                  <w:r>
                    <w:rPr>
                      <w:rFonts w:hint="default"/>
                      <w:sz w:val="21"/>
                      <w:szCs w:val="21"/>
                      <w:highlight w:val="none"/>
                      <w:lang w:val="en-US" w:eastAsia="zh-CN"/>
                    </w:rPr>
                    <w:t>Pa</w:t>
                  </w:r>
                  <w:r>
                    <w:rPr>
                      <w:rFonts w:hint="eastAsia"/>
                      <w:sz w:val="21"/>
                      <w:szCs w:val="21"/>
                      <w:highlight w:val="none"/>
                      <w:lang w:val="en-US" w:eastAsia="zh-CN"/>
                    </w:rPr>
                    <w:t>，平均风速：1</w:t>
                  </w:r>
                  <w:r>
                    <w:rPr>
                      <w:rFonts w:hint="default"/>
                      <w:sz w:val="21"/>
                      <w:szCs w:val="21"/>
                      <w:highlight w:val="none"/>
                      <w:lang w:val="en-US" w:eastAsia="zh-CN"/>
                    </w:rPr>
                    <w:t>m/s</w:t>
                  </w:r>
                  <w:r>
                    <w:rPr>
                      <w:rFonts w:hint="eastAsia"/>
                      <w:sz w:val="21"/>
                      <w:szCs w:val="21"/>
                      <w:highlight w:val="none"/>
                      <w:lang w:val="en-US" w:eastAsia="zh-CN"/>
                    </w:rPr>
                    <w:t>，风向南风，天气状况晴</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1.48</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1.48</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1.52</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2#</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1.73</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1.76</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1.72</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1.66</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3#</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1.67</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1.69</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1.75</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1.66</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4#</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1.71</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1.71</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1.67</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1.66</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2020.0</w:t>
                  </w:r>
                  <w:r>
                    <w:rPr>
                      <w:rFonts w:hint="eastAsia"/>
                      <w:sz w:val="21"/>
                      <w:szCs w:val="21"/>
                      <w:highlight w:val="none"/>
                      <w:lang w:val="en-US" w:eastAsia="zh-CN"/>
                    </w:rPr>
                    <w:t>7</w:t>
                  </w:r>
                  <w:r>
                    <w:rPr>
                      <w:rFonts w:hint="default"/>
                      <w:sz w:val="21"/>
                      <w:szCs w:val="21"/>
                      <w:highlight w:val="none"/>
                      <w:lang w:val="en-US" w:eastAsia="zh-CN"/>
                    </w:rPr>
                    <w:t>.30</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sz w:val="21"/>
                      <w:szCs w:val="21"/>
                      <w:highlight w:val="none"/>
                      <w:lang w:val="en-US" w:eastAsia="zh-CN"/>
                    </w:rPr>
                  </w:pPr>
                </w:p>
              </w:tc>
              <w:tc>
                <w:tcPr>
                  <w:tcW w:w="112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1.34</w:t>
                  </w:r>
                </w:p>
              </w:tc>
              <w:tc>
                <w:tcPr>
                  <w:tcW w:w="192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r>
                    <w:rPr>
                      <w:rFonts w:hint="eastAsia"/>
                      <w:sz w:val="21"/>
                      <w:szCs w:val="21"/>
                      <w:highlight w:val="none"/>
                      <w:lang w:val="en-US" w:eastAsia="zh-CN"/>
                    </w:rPr>
                    <w:t>检测时平均温度：30</w:t>
                  </w:r>
                  <w:r>
                    <w:rPr>
                      <w:rFonts w:hint="default"/>
                      <w:sz w:val="21"/>
                      <w:szCs w:val="21"/>
                      <w:highlight w:val="none"/>
                      <w:lang w:val="en-US" w:eastAsia="zh-CN"/>
                    </w:rPr>
                    <w:t>℃</w:t>
                  </w:r>
                  <w:r>
                    <w:rPr>
                      <w:rFonts w:hint="eastAsia"/>
                      <w:sz w:val="21"/>
                      <w:szCs w:val="21"/>
                      <w:highlight w:val="none"/>
                      <w:lang w:val="en-US" w:eastAsia="zh-CN"/>
                    </w:rPr>
                    <w:t>，平均气压：999h</w:t>
                  </w:r>
                  <w:r>
                    <w:rPr>
                      <w:rFonts w:hint="default"/>
                      <w:sz w:val="21"/>
                      <w:szCs w:val="21"/>
                      <w:highlight w:val="none"/>
                      <w:lang w:val="en-US" w:eastAsia="zh-CN"/>
                    </w:rPr>
                    <w:t>Pa</w:t>
                  </w:r>
                  <w:r>
                    <w:rPr>
                      <w:rFonts w:hint="eastAsia"/>
                      <w:sz w:val="21"/>
                      <w:szCs w:val="21"/>
                      <w:highlight w:val="none"/>
                      <w:lang w:val="en-US" w:eastAsia="zh-CN"/>
                    </w:rPr>
                    <w:t>，平均风速：1</w:t>
                  </w:r>
                  <w:r>
                    <w:rPr>
                      <w:rFonts w:hint="default"/>
                      <w:sz w:val="21"/>
                      <w:szCs w:val="21"/>
                      <w:highlight w:val="none"/>
                      <w:lang w:val="en-US" w:eastAsia="zh-CN"/>
                    </w:rPr>
                    <w:t>m/s</w:t>
                  </w:r>
                  <w:r>
                    <w:rPr>
                      <w:rFonts w:hint="eastAsia"/>
                      <w:sz w:val="21"/>
                      <w:szCs w:val="21"/>
                      <w:highlight w:val="none"/>
                      <w:lang w:val="en-US" w:eastAsia="zh-CN"/>
                    </w:rPr>
                    <w:t>，风向西南风，天气状况晴</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1.29</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1.33</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1.32</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2#</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1.51</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1.48</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1.49</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1.53</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3#</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1.43</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1.52</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1.52</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1.44</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4#</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1.40</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1.54</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1.54</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1.44</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2020.0</w:t>
                  </w:r>
                  <w:r>
                    <w:rPr>
                      <w:rFonts w:hint="eastAsia"/>
                      <w:sz w:val="21"/>
                      <w:szCs w:val="21"/>
                      <w:highlight w:val="none"/>
                      <w:lang w:val="en-US" w:eastAsia="zh-CN"/>
                    </w:rPr>
                    <w:t>7</w:t>
                  </w:r>
                  <w:r>
                    <w:rPr>
                      <w:rFonts w:hint="default"/>
                      <w:sz w:val="21"/>
                      <w:szCs w:val="21"/>
                      <w:highlight w:val="none"/>
                      <w:lang w:val="en-US" w:eastAsia="zh-CN"/>
                    </w:rPr>
                    <w:t>.</w:t>
                  </w:r>
                  <w:r>
                    <w:rPr>
                      <w:rFonts w:hint="eastAsia"/>
                      <w:sz w:val="21"/>
                      <w:szCs w:val="21"/>
                      <w:highlight w:val="none"/>
                      <w:lang w:val="en-US" w:eastAsia="zh-CN"/>
                    </w:rPr>
                    <w:t>31</w:t>
                  </w:r>
                </w:p>
              </w:tc>
              <w:tc>
                <w:tcPr>
                  <w:tcW w:w="112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1.21</w:t>
                  </w:r>
                </w:p>
              </w:tc>
              <w:tc>
                <w:tcPr>
                  <w:tcW w:w="192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r>
                    <w:rPr>
                      <w:rFonts w:hint="eastAsia"/>
                      <w:sz w:val="21"/>
                      <w:szCs w:val="21"/>
                      <w:highlight w:val="none"/>
                      <w:lang w:val="en-US" w:eastAsia="zh-CN"/>
                    </w:rPr>
                    <w:t>检测时平均温度：31</w:t>
                  </w:r>
                  <w:r>
                    <w:rPr>
                      <w:rFonts w:hint="default"/>
                      <w:sz w:val="21"/>
                      <w:szCs w:val="21"/>
                      <w:highlight w:val="none"/>
                      <w:lang w:val="en-US" w:eastAsia="zh-CN"/>
                    </w:rPr>
                    <w:t>℃</w:t>
                  </w:r>
                  <w:r>
                    <w:rPr>
                      <w:rFonts w:hint="eastAsia"/>
                      <w:sz w:val="21"/>
                      <w:szCs w:val="21"/>
                      <w:highlight w:val="none"/>
                      <w:lang w:val="en-US" w:eastAsia="zh-CN"/>
                    </w:rPr>
                    <w:t>，平均气压：995h</w:t>
                  </w:r>
                  <w:r>
                    <w:rPr>
                      <w:rFonts w:hint="default"/>
                      <w:sz w:val="21"/>
                      <w:szCs w:val="21"/>
                      <w:highlight w:val="none"/>
                      <w:lang w:val="en-US" w:eastAsia="zh-CN"/>
                    </w:rPr>
                    <w:t>Pa</w:t>
                  </w:r>
                  <w:r>
                    <w:rPr>
                      <w:rFonts w:hint="eastAsia"/>
                      <w:sz w:val="21"/>
                      <w:szCs w:val="21"/>
                      <w:highlight w:val="none"/>
                      <w:lang w:val="en-US" w:eastAsia="zh-CN"/>
                    </w:rPr>
                    <w:t>，平均风速：1</w:t>
                  </w:r>
                  <w:r>
                    <w:rPr>
                      <w:rFonts w:hint="default"/>
                      <w:sz w:val="21"/>
                      <w:szCs w:val="21"/>
                      <w:highlight w:val="none"/>
                      <w:lang w:val="en-US" w:eastAsia="zh-CN"/>
                    </w:rPr>
                    <w:t>m/s</w:t>
                  </w:r>
                  <w:r>
                    <w:rPr>
                      <w:rFonts w:hint="eastAsia"/>
                      <w:sz w:val="21"/>
                      <w:szCs w:val="21"/>
                      <w:highlight w:val="none"/>
                      <w:lang w:val="en-US" w:eastAsia="zh-CN"/>
                    </w:rPr>
                    <w:t>，风向西南风，天气状况晴</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1.22</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1.20</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1.24</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2#</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1.42</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1.42</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1.40</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1.42</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3#</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1.46</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1.36</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1.41</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1.44</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4#</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1.48</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1.36</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1.42</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1.36</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2020.0</w:t>
                  </w:r>
                  <w:r>
                    <w:rPr>
                      <w:rFonts w:hint="eastAsia"/>
                      <w:sz w:val="21"/>
                      <w:szCs w:val="21"/>
                      <w:highlight w:val="none"/>
                      <w:lang w:val="en-US" w:eastAsia="zh-CN"/>
                    </w:rPr>
                    <w:t>8</w:t>
                  </w:r>
                  <w:r>
                    <w:rPr>
                      <w:rFonts w:hint="default"/>
                      <w:sz w:val="21"/>
                      <w:szCs w:val="21"/>
                      <w:highlight w:val="none"/>
                      <w:lang w:val="en-US" w:eastAsia="zh-CN"/>
                    </w:rPr>
                    <w:t>.0</w:t>
                  </w:r>
                  <w:r>
                    <w:rPr>
                      <w:rFonts w:hint="eastAsia"/>
                      <w:sz w:val="21"/>
                      <w:szCs w:val="21"/>
                      <w:highlight w:val="none"/>
                      <w:lang w:val="en-US" w:eastAsia="zh-CN"/>
                    </w:rPr>
                    <w:t>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p>
              </w:tc>
              <w:tc>
                <w:tcPr>
                  <w:tcW w:w="112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1.22</w:t>
                  </w:r>
                </w:p>
              </w:tc>
              <w:tc>
                <w:tcPr>
                  <w:tcW w:w="192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 xml:space="preserve">    检测时平均温度：30</w:t>
                  </w:r>
                  <w:r>
                    <w:rPr>
                      <w:rFonts w:hint="default"/>
                      <w:sz w:val="21"/>
                      <w:szCs w:val="21"/>
                      <w:highlight w:val="none"/>
                      <w:lang w:val="en-US" w:eastAsia="zh-CN"/>
                    </w:rPr>
                    <w:t>℃</w:t>
                  </w:r>
                  <w:r>
                    <w:rPr>
                      <w:rFonts w:hint="eastAsia"/>
                      <w:sz w:val="21"/>
                      <w:szCs w:val="21"/>
                      <w:highlight w:val="none"/>
                      <w:lang w:val="en-US" w:eastAsia="zh-CN"/>
                    </w:rPr>
                    <w:t>，平均气压：999h</w:t>
                  </w:r>
                  <w:r>
                    <w:rPr>
                      <w:rFonts w:hint="default"/>
                      <w:sz w:val="21"/>
                      <w:szCs w:val="21"/>
                      <w:highlight w:val="none"/>
                      <w:lang w:val="en-US" w:eastAsia="zh-CN"/>
                    </w:rPr>
                    <w:t>Pa</w:t>
                  </w:r>
                  <w:r>
                    <w:rPr>
                      <w:rFonts w:hint="eastAsia"/>
                      <w:sz w:val="21"/>
                      <w:szCs w:val="21"/>
                      <w:highlight w:val="none"/>
                      <w:lang w:val="en-US" w:eastAsia="zh-CN"/>
                    </w:rPr>
                    <w:t>，平均风速：1</w:t>
                  </w:r>
                  <w:r>
                    <w:rPr>
                      <w:rFonts w:hint="default"/>
                      <w:sz w:val="21"/>
                      <w:szCs w:val="21"/>
                      <w:highlight w:val="none"/>
                      <w:lang w:val="en-US" w:eastAsia="zh-CN"/>
                    </w:rPr>
                    <w:t>m/s</w:t>
                  </w:r>
                  <w:r>
                    <w:rPr>
                      <w:rFonts w:hint="eastAsia"/>
                      <w:sz w:val="21"/>
                      <w:szCs w:val="21"/>
                      <w:highlight w:val="none"/>
                      <w:lang w:val="en-US" w:eastAsia="zh-CN"/>
                    </w:rPr>
                    <w:t>，风向北风，天气状况晴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1.24</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1.24</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1.18</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2#</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1.43</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1.40</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1.44</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1.42</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3#</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1.42</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1.41</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1.44</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1.42</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4#</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1.43</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1.44</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1.42</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1.38</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2020.0</w:t>
                  </w:r>
                  <w:r>
                    <w:rPr>
                      <w:rFonts w:hint="eastAsia"/>
                      <w:sz w:val="21"/>
                      <w:szCs w:val="21"/>
                      <w:highlight w:val="none"/>
                      <w:lang w:val="en-US" w:eastAsia="zh-CN"/>
                    </w:rPr>
                    <w:t>8</w:t>
                  </w:r>
                  <w:r>
                    <w:rPr>
                      <w:rFonts w:hint="default"/>
                      <w:sz w:val="21"/>
                      <w:szCs w:val="21"/>
                      <w:highlight w:val="none"/>
                      <w:lang w:val="en-US" w:eastAsia="zh-CN"/>
                    </w:rPr>
                    <w:t>.0</w:t>
                  </w:r>
                  <w:r>
                    <w:rPr>
                      <w:rFonts w:hint="eastAsia"/>
                      <w:sz w:val="21"/>
                      <w:szCs w:val="21"/>
                      <w:highlight w:val="none"/>
                      <w:lang w:val="en-US" w:eastAsia="zh-CN"/>
                    </w:rPr>
                    <w:t>2</w:t>
                  </w:r>
                </w:p>
              </w:tc>
              <w:tc>
                <w:tcPr>
                  <w:tcW w:w="112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1.24</w:t>
                  </w:r>
                </w:p>
              </w:tc>
              <w:tc>
                <w:tcPr>
                  <w:tcW w:w="192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r>
                    <w:rPr>
                      <w:rFonts w:hint="eastAsia"/>
                      <w:sz w:val="21"/>
                      <w:szCs w:val="21"/>
                      <w:highlight w:val="none"/>
                      <w:lang w:val="en-US" w:eastAsia="zh-CN"/>
                    </w:rPr>
                    <w:t>检测时平均温度：30</w:t>
                  </w:r>
                  <w:r>
                    <w:rPr>
                      <w:rFonts w:hint="default"/>
                      <w:sz w:val="21"/>
                      <w:szCs w:val="21"/>
                      <w:highlight w:val="none"/>
                      <w:lang w:val="en-US" w:eastAsia="zh-CN"/>
                    </w:rPr>
                    <w:t>℃</w:t>
                  </w:r>
                  <w:r>
                    <w:rPr>
                      <w:rFonts w:hint="eastAsia"/>
                      <w:sz w:val="21"/>
                      <w:szCs w:val="21"/>
                      <w:highlight w:val="none"/>
                      <w:lang w:val="en-US" w:eastAsia="zh-CN"/>
                    </w:rPr>
                    <w:t>，平均气压：996h</w:t>
                  </w:r>
                  <w:r>
                    <w:rPr>
                      <w:rFonts w:hint="default"/>
                      <w:sz w:val="21"/>
                      <w:szCs w:val="21"/>
                      <w:highlight w:val="none"/>
                      <w:lang w:val="en-US" w:eastAsia="zh-CN"/>
                    </w:rPr>
                    <w:t>Pa</w:t>
                  </w:r>
                  <w:r>
                    <w:rPr>
                      <w:rFonts w:hint="eastAsia"/>
                      <w:sz w:val="21"/>
                      <w:szCs w:val="21"/>
                      <w:highlight w:val="none"/>
                      <w:lang w:val="en-US" w:eastAsia="zh-CN"/>
                    </w:rPr>
                    <w:t>，平均风速：1</w:t>
                  </w:r>
                  <w:r>
                    <w:rPr>
                      <w:rFonts w:hint="default"/>
                      <w:sz w:val="21"/>
                      <w:szCs w:val="21"/>
                      <w:highlight w:val="none"/>
                      <w:lang w:val="en-US" w:eastAsia="zh-CN"/>
                    </w:rPr>
                    <w:t>m/s</w:t>
                  </w:r>
                  <w:r>
                    <w:rPr>
                      <w:rFonts w:hint="eastAsia"/>
                      <w:sz w:val="21"/>
                      <w:szCs w:val="21"/>
                      <w:highlight w:val="none"/>
                      <w:lang w:val="en-US" w:eastAsia="zh-CN"/>
                    </w:rPr>
                    <w:t>，风向西风，天气状况晴</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1.29</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1.28</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1.24</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2#</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1.42</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1.42</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1.44</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1.52</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3#</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1.38</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1.47</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1.47</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1.49</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4#</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1.34</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1.40</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1.48</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1.37</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2020.0</w:t>
                  </w:r>
                  <w:r>
                    <w:rPr>
                      <w:rFonts w:hint="eastAsia"/>
                      <w:sz w:val="21"/>
                      <w:szCs w:val="21"/>
                      <w:highlight w:val="none"/>
                      <w:lang w:val="en-US" w:eastAsia="zh-CN"/>
                    </w:rPr>
                    <w:t>8</w:t>
                  </w:r>
                  <w:r>
                    <w:rPr>
                      <w:rFonts w:hint="default"/>
                      <w:sz w:val="21"/>
                      <w:szCs w:val="21"/>
                      <w:highlight w:val="none"/>
                      <w:lang w:val="en-US" w:eastAsia="zh-CN"/>
                    </w:rPr>
                    <w:t>.0</w:t>
                  </w:r>
                  <w:r>
                    <w:rPr>
                      <w:rFonts w:hint="eastAsia"/>
                      <w:sz w:val="21"/>
                      <w:szCs w:val="21"/>
                      <w:highlight w:val="none"/>
                      <w:lang w:val="en-US" w:eastAsia="zh-CN"/>
                    </w:rPr>
                    <w:t>3</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sz w:val="21"/>
                      <w:szCs w:val="21"/>
                      <w:highlight w:val="none"/>
                      <w:lang w:val="en-US" w:eastAsia="zh-CN"/>
                    </w:rPr>
                  </w:pPr>
                </w:p>
              </w:tc>
              <w:tc>
                <w:tcPr>
                  <w:tcW w:w="112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1.26</w:t>
                  </w:r>
                </w:p>
              </w:tc>
              <w:tc>
                <w:tcPr>
                  <w:tcW w:w="192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r>
                    <w:rPr>
                      <w:rFonts w:hint="eastAsia"/>
                      <w:sz w:val="21"/>
                      <w:szCs w:val="21"/>
                      <w:highlight w:val="none"/>
                      <w:lang w:val="en-US" w:eastAsia="zh-CN"/>
                    </w:rPr>
                    <w:t>检测时平均温度：32</w:t>
                  </w:r>
                  <w:r>
                    <w:rPr>
                      <w:rFonts w:hint="default"/>
                      <w:sz w:val="21"/>
                      <w:szCs w:val="21"/>
                      <w:highlight w:val="none"/>
                      <w:lang w:val="en-US" w:eastAsia="zh-CN"/>
                    </w:rPr>
                    <w:t>℃</w:t>
                  </w:r>
                  <w:r>
                    <w:rPr>
                      <w:rFonts w:hint="eastAsia"/>
                      <w:sz w:val="21"/>
                      <w:szCs w:val="21"/>
                      <w:highlight w:val="none"/>
                      <w:lang w:val="en-US" w:eastAsia="zh-CN"/>
                    </w:rPr>
                    <w:t>，平均气压：995h</w:t>
                  </w:r>
                  <w:r>
                    <w:rPr>
                      <w:rFonts w:hint="default"/>
                      <w:sz w:val="21"/>
                      <w:szCs w:val="21"/>
                      <w:highlight w:val="none"/>
                      <w:lang w:val="en-US" w:eastAsia="zh-CN"/>
                    </w:rPr>
                    <w:t>Pa</w:t>
                  </w:r>
                  <w:r>
                    <w:rPr>
                      <w:rFonts w:hint="eastAsia"/>
                      <w:sz w:val="21"/>
                      <w:szCs w:val="21"/>
                      <w:highlight w:val="none"/>
                      <w:lang w:val="en-US" w:eastAsia="zh-CN"/>
                    </w:rPr>
                    <w:t>，平均风速：1</w:t>
                  </w:r>
                  <w:r>
                    <w:rPr>
                      <w:rFonts w:hint="default"/>
                      <w:sz w:val="21"/>
                      <w:szCs w:val="21"/>
                      <w:highlight w:val="none"/>
                      <w:lang w:val="en-US" w:eastAsia="zh-CN"/>
                    </w:rPr>
                    <w:t>m/s</w:t>
                  </w:r>
                  <w:r>
                    <w:rPr>
                      <w:rFonts w:hint="eastAsia"/>
                      <w:sz w:val="21"/>
                      <w:szCs w:val="21"/>
                      <w:highlight w:val="none"/>
                      <w:lang w:val="en-US" w:eastAsia="zh-CN"/>
                    </w:rPr>
                    <w:t>，风向西南风，天气状况晴</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1.25</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1.25</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1.21</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2#</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1.51</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1.46</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1.46</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1.51</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3#</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1.52</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1.46</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1.46</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1.54</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4#</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1.46</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1.50</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1.52</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1.46</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2020.0</w:t>
                  </w:r>
                  <w:r>
                    <w:rPr>
                      <w:rFonts w:hint="eastAsia"/>
                      <w:sz w:val="21"/>
                      <w:szCs w:val="21"/>
                      <w:highlight w:val="none"/>
                      <w:lang w:val="en-US" w:eastAsia="zh-CN"/>
                    </w:rPr>
                    <w:t>8</w:t>
                  </w:r>
                  <w:r>
                    <w:rPr>
                      <w:rFonts w:hint="default"/>
                      <w:sz w:val="21"/>
                      <w:szCs w:val="21"/>
                      <w:highlight w:val="none"/>
                      <w:lang w:val="en-US" w:eastAsia="zh-CN"/>
                    </w:rPr>
                    <w:t>.0</w:t>
                  </w:r>
                  <w:r>
                    <w:rPr>
                      <w:rFonts w:hint="eastAsia"/>
                      <w:sz w:val="21"/>
                      <w:szCs w:val="21"/>
                      <w:highlight w:val="none"/>
                      <w:lang w:val="en-US" w:eastAsia="zh-CN"/>
                    </w:rPr>
                    <w:t>4</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sz w:val="21"/>
                      <w:szCs w:val="21"/>
                      <w:highlight w:val="none"/>
                      <w:lang w:val="en-US" w:eastAsia="zh-CN"/>
                    </w:rPr>
                  </w:pPr>
                </w:p>
              </w:tc>
              <w:tc>
                <w:tcPr>
                  <w:tcW w:w="1969"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1.29</w:t>
                  </w:r>
                </w:p>
              </w:tc>
              <w:tc>
                <w:tcPr>
                  <w:tcW w:w="192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r>
                    <w:rPr>
                      <w:rFonts w:hint="eastAsia"/>
                      <w:sz w:val="21"/>
                      <w:szCs w:val="21"/>
                      <w:highlight w:val="none"/>
                      <w:lang w:val="en-US" w:eastAsia="zh-CN"/>
                    </w:rPr>
                    <w:t>检测时平均温度：29</w:t>
                  </w:r>
                  <w:r>
                    <w:rPr>
                      <w:rFonts w:hint="default"/>
                      <w:sz w:val="21"/>
                      <w:szCs w:val="21"/>
                      <w:highlight w:val="none"/>
                      <w:lang w:val="en-US" w:eastAsia="zh-CN"/>
                    </w:rPr>
                    <w:t>℃</w:t>
                  </w:r>
                  <w:r>
                    <w:rPr>
                      <w:rFonts w:hint="eastAsia"/>
                      <w:sz w:val="21"/>
                      <w:szCs w:val="21"/>
                      <w:highlight w:val="none"/>
                      <w:lang w:val="en-US" w:eastAsia="zh-CN"/>
                    </w:rPr>
                    <w:t>，平均气压：992h</w:t>
                  </w:r>
                  <w:r>
                    <w:rPr>
                      <w:rFonts w:hint="default"/>
                      <w:sz w:val="21"/>
                      <w:szCs w:val="21"/>
                      <w:highlight w:val="none"/>
                      <w:lang w:val="en-US" w:eastAsia="zh-CN"/>
                    </w:rPr>
                    <w:t>Pa</w:t>
                  </w:r>
                  <w:r>
                    <w:rPr>
                      <w:rFonts w:hint="eastAsia"/>
                      <w:sz w:val="21"/>
                      <w:szCs w:val="21"/>
                      <w:highlight w:val="none"/>
                      <w:lang w:val="en-US" w:eastAsia="zh-CN"/>
                    </w:rPr>
                    <w:t>，平均风速：1</w:t>
                  </w:r>
                  <w:r>
                    <w:rPr>
                      <w:rFonts w:hint="default"/>
                      <w:sz w:val="21"/>
                      <w:szCs w:val="21"/>
                      <w:highlight w:val="none"/>
                      <w:lang w:val="en-US" w:eastAsia="zh-CN"/>
                    </w:rPr>
                    <w:t>m/s</w:t>
                  </w:r>
                  <w:r>
                    <w:rPr>
                      <w:rFonts w:hint="eastAsia"/>
                      <w:sz w:val="21"/>
                      <w:szCs w:val="21"/>
                      <w:highlight w:val="none"/>
                      <w:lang w:val="en-US" w:eastAsia="zh-CN"/>
                    </w:rPr>
                    <w:t>，风向南风，天气状况多云</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1.31</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1.30</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1.29</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969"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2#</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1.47</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1.38</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1.46</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1.49</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969"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3#</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1.46</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1.44</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1.46</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1.40</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c>
                <w:tcPr>
                  <w:tcW w:w="1969"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4#</w:t>
                  </w: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1.37</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cyan"/>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cyan"/>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1.46</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cyan"/>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cyan"/>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cyan"/>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1.48</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cyan"/>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cyan"/>
                      <w:lang w:val="en-US" w:eastAsia="zh-CN"/>
                    </w:rPr>
                  </w:pPr>
                </w:p>
              </w:tc>
              <w:tc>
                <w:tcPr>
                  <w:tcW w:w="112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cyan"/>
                      <w:lang w:val="en-US" w:eastAsia="zh-CN"/>
                    </w:rPr>
                  </w:pPr>
                </w:p>
              </w:tc>
              <w:tc>
                <w:tcPr>
                  <w:tcW w:w="8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1.48</w:t>
                  </w:r>
                </w:p>
              </w:tc>
              <w:tc>
                <w:tcPr>
                  <w:tcW w:w="192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cyan"/>
                      <w:lang w:val="en-US" w:eastAsia="zh-CN"/>
                    </w:rPr>
                  </w:pPr>
                </w:p>
              </w:tc>
            </w:tr>
          </w:tbl>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b/>
                <w:color w:val="000000"/>
                <w:sz w:val="24"/>
                <w:highlight w:val="none"/>
              </w:rPr>
            </w:pPr>
            <w:r>
              <w:rPr>
                <w:b/>
                <w:color w:val="000000"/>
                <w:sz w:val="24"/>
                <w:highlight w:val="none"/>
              </w:rPr>
              <w:t>2、地表水环境质量现状</w:t>
            </w:r>
          </w:p>
          <w:p>
            <w:pPr>
              <w:bidi w:val="0"/>
              <w:rPr>
                <w:highlight w:val="none"/>
              </w:rPr>
            </w:pPr>
            <w:r>
              <w:rPr>
                <w:rFonts w:hint="eastAsia"/>
                <w:highlight w:val="none"/>
              </w:rPr>
              <w:t>距离本项目最近的地表水体为北侧</w:t>
            </w:r>
            <w:r>
              <w:rPr>
                <w:rFonts w:hint="eastAsia"/>
                <w:highlight w:val="none"/>
                <w:lang w:val="en-US" w:eastAsia="zh-CN"/>
              </w:rPr>
              <w:t>5</w:t>
            </w:r>
            <w:r>
              <w:rPr>
                <w:rFonts w:hint="eastAsia"/>
                <w:highlight w:val="none"/>
              </w:rPr>
              <w:t>m处的</w:t>
            </w:r>
            <w:r>
              <w:rPr>
                <w:rFonts w:hint="eastAsia"/>
                <w:highlight w:val="none"/>
                <w:lang w:val="en-US" w:eastAsia="zh-CN"/>
              </w:rPr>
              <w:t>西干五支排，最终汇入卫河。</w:t>
            </w:r>
            <w:r>
              <w:rPr>
                <w:highlight w:val="none"/>
              </w:rPr>
              <w:t>由于</w:t>
            </w:r>
            <w:r>
              <w:rPr>
                <w:rFonts w:hint="eastAsia"/>
                <w:highlight w:val="none"/>
                <w:lang w:eastAsia="zh-CN"/>
              </w:rPr>
              <w:t>西干五支排</w:t>
            </w:r>
            <w:r>
              <w:rPr>
                <w:highlight w:val="none"/>
              </w:rPr>
              <w:t>无断面进行监测地表水水质状况，故可引用</w:t>
            </w:r>
            <w:r>
              <w:rPr>
                <w:rFonts w:hint="eastAsia"/>
                <w:highlight w:val="none"/>
                <w:lang w:eastAsia="zh-CN"/>
              </w:rPr>
              <w:t>西干五支排</w:t>
            </w:r>
            <w:r>
              <w:rPr>
                <w:rFonts w:hint="eastAsia"/>
                <w:highlight w:val="none"/>
              </w:rPr>
              <w:t>汇入卫河</w:t>
            </w:r>
            <w:r>
              <w:rPr>
                <w:highlight w:val="none"/>
              </w:rPr>
              <w:t>后的卫辉皇甫断面监测数据，根据河南省水环境功能区划，卫河在</w:t>
            </w:r>
            <w:r>
              <w:rPr>
                <w:rFonts w:hint="eastAsia"/>
                <w:highlight w:val="none"/>
                <w:lang w:eastAsia="zh-CN"/>
              </w:rPr>
              <w:t>合河</w:t>
            </w:r>
            <w:r>
              <w:rPr>
                <w:rFonts w:hint="eastAsia"/>
                <w:highlight w:val="none"/>
                <w:lang w:val="en-US" w:eastAsia="zh-CN"/>
              </w:rPr>
              <w:t>-</w:t>
            </w:r>
            <w:r>
              <w:rPr>
                <w:rFonts w:hint="eastAsia"/>
                <w:highlight w:val="none"/>
                <w:lang w:eastAsia="zh-CN"/>
              </w:rPr>
              <w:t>师大前</w:t>
            </w:r>
            <w:r>
              <w:rPr>
                <w:highlight w:val="none"/>
              </w:rPr>
              <w:t>应执行《地表水环境质量标准》（GB383</w:t>
            </w:r>
            <w:r>
              <w:rPr>
                <w:rFonts w:hint="eastAsia"/>
                <w:highlight w:val="none"/>
                <w:lang w:val="en-US" w:eastAsia="zh-CN"/>
              </w:rPr>
              <w:t>8</w:t>
            </w:r>
            <w:r>
              <w:rPr>
                <w:highlight w:val="none"/>
              </w:rPr>
              <w:t>-2002）V类标准。</w:t>
            </w:r>
          </w:p>
          <w:p>
            <w:pPr>
              <w:adjustRightInd w:val="0"/>
              <w:snapToGrid w:val="0"/>
              <w:spacing w:line="360" w:lineRule="auto"/>
              <w:ind w:firstLine="480" w:firstLineChars="200"/>
              <w:rPr>
                <w:sz w:val="24"/>
                <w:highlight w:val="none"/>
              </w:rPr>
            </w:pPr>
            <w:r>
              <w:rPr>
                <w:sz w:val="24"/>
                <w:highlight w:val="none"/>
              </w:rPr>
              <w:t>本项目</w:t>
            </w:r>
            <w:r>
              <w:rPr>
                <w:rFonts w:eastAsia="Calibri"/>
                <w:sz w:val="24"/>
                <w:highlight w:val="none"/>
              </w:rPr>
              <w:t>评价引用</w:t>
            </w:r>
            <w:r>
              <w:rPr>
                <w:rFonts w:hint="eastAsia" w:eastAsia="Calibri"/>
                <w:sz w:val="24"/>
                <w:highlight w:val="none"/>
              </w:rPr>
              <w:t>新乡市环境监测站对卫河皇甫责任断面的监测2020年</w:t>
            </w:r>
            <w:r>
              <w:rPr>
                <w:rFonts w:hint="eastAsia" w:eastAsia="宋体"/>
                <w:sz w:val="24"/>
                <w:highlight w:val="none"/>
                <w:lang w:val="en-US" w:eastAsia="zh-CN"/>
              </w:rPr>
              <w:t>9</w:t>
            </w:r>
            <w:r>
              <w:rPr>
                <w:rFonts w:hint="eastAsia" w:eastAsia="Calibri"/>
                <w:sz w:val="24"/>
                <w:highlight w:val="none"/>
              </w:rPr>
              <w:t>月份</w:t>
            </w:r>
            <w:r>
              <w:rPr>
                <w:rFonts w:hint="eastAsia" w:eastAsia="宋体"/>
                <w:sz w:val="24"/>
                <w:highlight w:val="none"/>
                <w:lang w:val="en-US" w:eastAsia="zh-CN"/>
              </w:rPr>
              <w:t>月</w:t>
            </w:r>
            <w:r>
              <w:rPr>
                <w:rFonts w:hint="eastAsia" w:eastAsia="Calibri"/>
                <w:sz w:val="24"/>
                <w:highlight w:val="none"/>
              </w:rPr>
              <w:t>报数据</w:t>
            </w:r>
            <w:r>
              <w:rPr>
                <w:rFonts w:eastAsia="Calibri"/>
                <w:sz w:val="24"/>
                <w:highlight w:val="none"/>
              </w:rPr>
              <w:t>，数据见表。</w:t>
            </w:r>
          </w:p>
          <w:p>
            <w:pPr>
              <w:jc w:val="center"/>
              <w:rPr>
                <w:sz w:val="24"/>
                <w:highlight w:val="none"/>
              </w:rPr>
            </w:pPr>
            <w:r>
              <w:rPr>
                <w:rFonts w:hint="eastAsia"/>
                <w:sz w:val="24"/>
                <w:highlight w:val="none"/>
              </w:rPr>
              <w:t>表</w:t>
            </w:r>
            <w:r>
              <w:rPr>
                <w:rFonts w:hint="eastAsia"/>
                <w:sz w:val="24"/>
                <w:highlight w:val="none"/>
                <w:lang w:val="en-US" w:eastAsia="zh-CN"/>
              </w:rPr>
              <w:t>23</w:t>
            </w:r>
            <w:r>
              <w:rPr>
                <w:rFonts w:hint="eastAsia"/>
                <w:sz w:val="24"/>
                <w:highlight w:val="none"/>
              </w:rPr>
              <w:t xml:space="preserve">  卫河卫辉皇甫断面监测数据（2020年</w:t>
            </w:r>
            <w:r>
              <w:rPr>
                <w:rFonts w:hint="eastAsia"/>
                <w:sz w:val="24"/>
                <w:highlight w:val="none"/>
                <w:lang w:val="en-US" w:eastAsia="zh-CN"/>
              </w:rPr>
              <w:t>9</w:t>
            </w:r>
            <w:r>
              <w:rPr>
                <w:rFonts w:hint="eastAsia"/>
                <w:sz w:val="24"/>
                <w:highlight w:val="none"/>
              </w:rPr>
              <w:t>月份） 单位：mg/L</w:t>
            </w:r>
          </w:p>
          <w:tbl>
            <w:tblPr>
              <w:tblStyle w:val="21"/>
              <w:tblW w:w="8616"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2154"/>
              <w:gridCol w:w="2154"/>
              <w:gridCol w:w="2154"/>
              <w:gridCol w:w="215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2154" w:type="dxa"/>
                  <w:tcBorders>
                    <w:tl2br w:val="nil"/>
                    <w:tr2bl w:val="nil"/>
                  </w:tcBorders>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监测因子</w:t>
                  </w:r>
                </w:p>
              </w:tc>
              <w:tc>
                <w:tcPr>
                  <w:tcW w:w="2154" w:type="dxa"/>
                  <w:tcBorders>
                    <w:tl2br w:val="nil"/>
                    <w:tr2bl w:val="nil"/>
                  </w:tcBorders>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COD</w:t>
                  </w:r>
                </w:p>
              </w:tc>
              <w:tc>
                <w:tcPr>
                  <w:tcW w:w="2154" w:type="dxa"/>
                  <w:tcBorders>
                    <w:tl2br w:val="nil"/>
                    <w:tr2bl w:val="nil"/>
                  </w:tcBorders>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NH</w:t>
                  </w:r>
                  <w:r>
                    <w:rPr>
                      <w:rFonts w:hint="default" w:ascii="Times New Roman" w:hAnsi="Times New Roman" w:cs="Times New Roman" w:eastAsiaTheme="minorEastAsia"/>
                      <w:sz w:val="21"/>
                      <w:szCs w:val="21"/>
                      <w:highlight w:val="none"/>
                      <w:vertAlign w:val="subscript"/>
                      <w:lang w:val="en-US" w:eastAsia="zh-CN"/>
                    </w:rPr>
                    <w:t>3</w:t>
                  </w:r>
                  <w:r>
                    <w:rPr>
                      <w:rFonts w:hint="default" w:ascii="Times New Roman" w:hAnsi="Times New Roman" w:cs="Times New Roman" w:eastAsiaTheme="minorEastAsia"/>
                      <w:sz w:val="21"/>
                      <w:szCs w:val="21"/>
                      <w:highlight w:val="none"/>
                    </w:rPr>
                    <w:t>-N</w:t>
                  </w:r>
                </w:p>
              </w:tc>
              <w:tc>
                <w:tcPr>
                  <w:tcW w:w="2154" w:type="dxa"/>
                  <w:tcBorders>
                    <w:tl2br w:val="nil"/>
                    <w:tr2bl w:val="nil"/>
                  </w:tcBorders>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TP</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2154" w:type="dxa"/>
                  <w:tcBorders>
                    <w:tl2br w:val="nil"/>
                    <w:tr2bl w:val="nil"/>
                  </w:tcBorders>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监测数据</w:t>
                  </w:r>
                </w:p>
              </w:tc>
              <w:tc>
                <w:tcPr>
                  <w:tcW w:w="2154" w:type="dxa"/>
                  <w:tcBorders>
                    <w:tl2br w:val="nil"/>
                    <w:tr2bl w:val="nil"/>
                  </w:tcBorders>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sz w:val="21"/>
                      <w:szCs w:val="21"/>
                      <w:highlight w:val="none"/>
                      <w:lang w:val="en-US" w:eastAsia="zh-CN"/>
                    </w:rPr>
                  </w:pPr>
                  <w:r>
                    <w:rPr>
                      <w:rFonts w:hint="eastAsia" w:cs="Times New Roman" w:eastAsiaTheme="minorEastAsia"/>
                      <w:sz w:val="21"/>
                      <w:szCs w:val="21"/>
                      <w:highlight w:val="none"/>
                      <w:lang w:val="en-US" w:eastAsia="zh-CN"/>
                    </w:rPr>
                    <w:t>21</w:t>
                  </w:r>
                </w:p>
              </w:tc>
              <w:tc>
                <w:tcPr>
                  <w:tcW w:w="2154" w:type="dxa"/>
                  <w:tcBorders>
                    <w:tl2br w:val="nil"/>
                    <w:tr2bl w:val="nil"/>
                  </w:tcBorders>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sz w:val="21"/>
                      <w:szCs w:val="21"/>
                      <w:highlight w:val="none"/>
                      <w:lang w:val="en-US" w:eastAsia="zh-CN"/>
                    </w:rPr>
                  </w:pPr>
                  <w:r>
                    <w:rPr>
                      <w:rFonts w:hint="eastAsia" w:cs="Times New Roman" w:eastAsiaTheme="minorEastAsia"/>
                      <w:sz w:val="21"/>
                      <w:szCs w:val="21"/>
                      <w:highlight w:val="none"/>
                      <w:lang w:val="en-US" w:eastAsia="zh-CN"/>
                    </w:rPr>
                    <w:t>0.26</w:t>
                  </w:r>
                </w:p>
              </w:tc>
              <w:tc>
                <w:tcPr>
                  <w:tcW w:w="2154" w:type="dxa"/>
                  <w:tcBorders>
                    <w:tl2br w:val="nil"/>
                    <w:tr2bl w:val="nil"/>
                  </w:tcBorders>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sz w:val="21"/>
                      <w:szCs w:val="21"/>
                      <w:highlight w:val="none"/>
                      <w:lang w:val="en-US" w:eastAsia="zh-CN"/>
                    </w:rPr>
                  </w:pPr>
                  <w:r>
                    <w:rPr>
                      <w:rFonts w:hint="eastAsia" w:cs="Times New Roman" w:eastAsiaTheme="minorEastAsia"/>
                      <w:sz w:val="21"/>
                      <w:szCs w:val="21"/>
                      <w:highlight w:val="none"/>
                      <w:lang w:val="en-US" w:eastAsia="zh-CN"/>
                    </w:rPr>
                    <w:t>0.15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2154" w:type="dxa"/>
                  <w:tcBorders>
                    <w:tl2br w:val="nil"/>
                    <w:tr2bl w:val="nil"/>
                  </w:tcBorders>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执行标准</w:t>
                  </w:r>
                </w:p>
              </w:tc>
              <w:tc>
                <w:tcPr>
                  <w:tcW w:w="2154" w:type="dxa"/>
                  <w:tcBorders>
                    <w:tl2br w:val="nil"/>
                    <w:tr2bl w:val="nil"/>
                  </w:tcBorders>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40</w:t>
                  </w:r>
                </w:p>
              </w:tc>
              <w:tc>
                <w:tcPr>
                  <w:tcW w:w="2154" w:type="dxa"/>
                  <w:tcBorders>
                    <w:tl2br w:val="nil"/>
                    <w:tr2bl w:val="nil"/>
                  </w:tcBorders>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2.0</w:t>
                  </w:r>
                </w:p>
              </w:tc>
              <w:tc>
                <w:tcPr>
                  <w:tcW w:w="2154" w:type="dxa"/>
                  <w:tcBorders>
                    <w:tl2br w:val="nil"/>
                    <w:tr2bl w:val="nil"/>
                  </w:tcBorders>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2154" w:type="dxa"/>
                  <w:tcBorders>
                    <w:tl2br w:val="nil"/>
                    <w:tr2bl w:val="nil"/>
                  </w:tcBorders>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达标情况</w:t>
                  </w:r>
                </w:p>
              </w:tc>
              <w:tc>
                <w:tcPr>
                  <w:tcW w:w="2154" w:type="dxa"/>
                  <w:tcBorders>
                    <w:tl2br w:val="nil"/>
                    <w:tr2bl w:val="nil"/>
                  </w:tcBorders>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达标</w:t>
                  </w:r>
                </w:p>
              </w:tc>
              <w:tc>
                <w:tcPr>
                  <w:tcW w:w="2154" w:type="dxa"/>
                  <w:tcBorders>
                    <w:tl2br w:val="nil"/>
                    <w:tr2bl w:val="nil"/>
                  </w:tcBorders>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达标</w:t>
                  </w:r>
                </w:p>
              </w:tc>
              <w:tc>
                <w:tcPr>
                  <w:tcW w:w="2154" w:type="dxa"/>
                  <w:tcBorders>
                    <w:tl2br w:val="nil"/>
                    <w:tr2bl w:val="nil"/>
                  </w:tcBorders>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达标</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cs="宋体"/>
                <w:bCs/>
                <w:sz w:val="24"/>
                <w:highlight w:val="none"/>
              </w:rPr>
            </w:pPr>
            <w:r>
              <w:rPr>
                <w:rFonts w:hint="eastAsia" w:cs="宋体"/>
                <w:bCs/>
                <w:sz w:val="24"/>
                <w:highlight w:val="none"/>
              </w:rPr>
              <w:t>由上表可知，地表水质量现状能满足断面标准要求。目前新乡市正在推进实施《2016年新乡市碧水工程实施方案》（新政办（2016）55号）、《新乡市碧水工程行动计划（水污染防治工作方案）》（新政文（2016）122号）、《新乡市人民政府关于打赢水污染防治攻坚战的意见》（新政文[2017]28号）、《新乡市卫河流域水污染防治攻坚战实施方案等11个专项方案》（新环攻坚办（2017）20号）和《新乡市污水处理厂及配套管网建设与城市黑臭水体整治实施方案》（新环攻坚办（2017）13号），将继续改善新乡市水环境质量。</w:t>
            </w:r>
          </w:p>
          <w:p>
            <w:pPr>
              <w:pStyle w:val="4"/>
              <w:bidi w:val="0"/>
              <w:rPr>
                <w:highlight w:val="none"/>
              </w:rPr>
            </w:pPr>
            <w:r>
              <w:rPr>
                <w:highlight w:val="none"/>
              </w:rPr>
              <w:t>3、声环境质量现状</w:t>
            </w:r>
          </w:p>
          <w:p>
            <w:pPr>
              <w:bidi w:val="0"/>
              <w:rPr>
                <w:highlight w:val="none"/>
              </w:rPr>
            </w:pPr>
            <w:r>
              <w:rPr>
                <w:highlight w:val="none"/>
              </w:rPr>
              <w:t>根据声环境功能区域划分规定，建设项目所在区域应属</w:t>
            </w:r>
            <w:r>
              <w:rPr>
                <w:rFonts w:hint="eastAsia"/>
                <w:highlight w:val="none"/>
                <w:lang w:val="en-US" w:eastAsia="zh-CN"/>
              </w:rPr>
              <w:t>3</w:t>
            </w:r>
            <w:r>
              <w:rPr>
                <w:highlight w:val="none"/>
              </w:rPr>
              <w:t>类区，应执行《声环境质量标准》（GB3096-2008）</w:t>
            </w:r>
            <w:r>
              <w:rPr>
                <w:rFonts w:hint="eastAsia"/>
                <w:highlight w:val="none"/>
                <w:lang w:val="en-US" w:eastAsia="zh-CN"/>
              </w:rPr>
              <w:t>3</w:t>
            </w:r>
            <w:r>
              <w:rPr>
                <w:highlight w:val="none"/>
              </w:rPr>
              <w:t>类标准。为了解项目所在地声环境现状，对该项目厂界和敏感点进行了现场调查。现场调查结果见</w:t>
            </w:r>
            <w:r>
              <w:rPr>
                <w:rFonts w:hint="eastAsia"/>
                <w:highlight w:val="none"/>
                <w:lang w:eastAsia="zh-CN"/>
              </w:rPr>
              <w:t>下表</w:t>
            </w:r>
            <w:r>
              <w:rPr>
                <w:highlight w:val="none"/>
              </w:rPr>
              <w:t>。</w:t>
            </w:r>
          </w:p>
          <w:p>
            <w:pPr>
              <w:ind w:firstLine="1440" w:firstLineChars="600"/>
              <w:rPr>
                <w:sz w:val="24"/>
                <w:highlight w:val="none"/>
              </w:rPr>
            </w:pPr>
            <w:r>
              <w:rPr>
                <w:sz w:val="24"/>
                <w:highlight w:val="none"/>
              </w:rPr>
              <w:t>表</w:t>
            </w:r>
            <w:r>
              <w:rPr>
                <w:rFonts w:hint="eastAsia"/>
                <w:sz w:val="24"/>
                <w:highlight w:val="none"/>
                <w:lang w:val="en-US" w:eastAsia="zh-CN"/>
              </w:rPr>
              <w:t>24</w:t>
            </w:r>
            <w:r>
              <w:rPr>
                <w:sz w:val="24"/>
                <w:highlight w:val="none"/>
              </w:rPr>
              <w:t xml:space="preserve">   项目区及敏感点声环境检测结果一览表</w:t>
            </w:r>
          </w:p>
          <w:tbl>
            <w:tblPr>
              <w:tblStyle w:val="21"/>
              <w:tblW w:w="875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59"/>
              <w:gridCol w:w="1689"/>
              <w:gridCol w:w="850"/>
              <w:gridCol w:w="1689"/>
              <w:gridCol w:w="850"/>
              <w:gridCol w:w="262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59" w:type="dxa"/>
                  <w:vAlign w:val="center"/>
                </w:tcPr>
                <w:p>
                  <w:pPr>
                    <w:pStyle w:val="29"/>
                    <w:bidi w:val="0"/>
                    <w:rPr>
                      <w:highlight w:val="none"/>
                    </w:rPr>
                  </w:pPr>
                  <w:r>
                    <w:rPr>
                      <w:highlight w:val="none"/>
                    </w:rPr>
                    <w:t>调查点位</w:t>
                  </w:r>
                </w:p>
              </w:tc>
              <w:tc>
                <w:tcPr>
                  <w:tcW w:w="1689" w:type="dxa"/>
                  <w:vAlign w:val="center"/>
                </w:tcPr>
                <w:p>
                  <w:pPr>
                    <w:pStyle w:val="29"/>
                    <w:bidi w:val="0"/>
                    <w:rPr>
                      <w:highlight w:val="none"/>
                    </w:rPr>
                  </w:pPr>
                  <w:r>
                    <w:rPr>
                      <w:highlight w:val="none"/>
                    </w:rPr>
                    <w:t>调查结果（昼间）</w:t>
                  </w:r>
                </w:p>
              </w:tc>
              <w:tc>
                <w:tcPr>
                  <w:tcW w:w="850" w:type="dxa"/>
                  <w:vAlign w:val="center"/>
                </w:tcPr>
                <w:p>
                  <w:pPr>
                    <w:pStyle w:val="29"/>
                    <w:bidi w:val="0"/>
                    <w:rPr>
                      <w:highlight w:val="none"/>
                    </w:rPr>
                  </w:pPr>
                  <w:r>
                    <w:rPr>
                      <w:highlight w:val="none"/>
                    </w:rPr>
                    <w:t>标准值</w:t>
                  </w:r>
                </w:p>
              </w:tc>
              <w:tc>
                <w:tcPr>
                  <w:tcW w:w="1689" w:type="dxa"/>
                  <w:vAlign w:val="center"/>
                </w:tcPr>
                <w:p>
                  <w:pPr>
                    <w:pStyle w:val="29"/>
                    <w:bidi w:val="0"/>
                    <w:rPr>
                      <w:highlight w:val="none"/>
                    </w:rPr>
                  </w:pPr>
                  <w:r>
                    <w:rPr>
                      <w:highlight w:val="none"/>
                    </w:rPr>
                    <w:t>调查结果（夜间）</w:t>
                  </w:r>
                </w:p>
              </w:tc>
              <w:tc>
                <w:tcPr>
                  <w:tcW w:w="850" w:type="dxa"/>
                  <w:vAlign w:val="center"/>
                </w:tcPr>
                <w:p>
                  <w:pPr>
                    <w:pStyle w:val="29"/>
                    <w:bidi w:val="0"/>
                    <w:rPr>
                      <w:highlight w:val="none"/>
                    </w:rPr>
                  </w:pPr>
                  <w:r>
                    <w:rPr>
                      <w:highlight w:val="none"/>
                    </w:rPr>
                    <w:t>标准值</w:t>
                  </w:r>
                </w:p>
              </w:tc>
              <w:tc>
                <w:tcPr>
                  <w:tcW w:w="2622" w:type="dxa"/>
                  <w:vAlign w:val="center"/>
                </w:tcPr>
                <w:p>
                  <w:pPr>
                    <w:pStyle w:val="29"/>
                    <w:bidi w:val="0"/>
                    <w:rPr>
                      <w:highlight w:val="none"/>
                    </w:rPr>
                  </w:pPr>
                  <w:r>
                    <w:rPr>
                      <w:highlight w:val="none"/>
                    </w:rPr>
                    <w:t>执行标准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59" w:type="dxa"/>
                  <w:vAlign w:val="center"/>
                </w:tcPr>
                <w:p>
                  <w:pPr>
                    <w:pStyle w:val="29"/>
                    <w:bidi w:val="0"/>
                    <w:rPr>
                      <w:highlight w:val="none"/>
                    </w:rPr>
                  </w:pPr>
                  <w:r>
                    <w:rPr>
                      <w:highlight w:val="none"/>
                    </w:rPr>
                    <w:t>东厂界</w:t>
                  </w:r>
                </w:p>
              </w:tc>
              <w:tc>
                <w:tcPr>
                  <w:tcW w:w="1689" w:type="dxa"/>
                  <w:vAlign w:val="center"/>
                </w:tcPr>
                <w:p>
                  <w:pPr>
                    <w:pStyle w:val="29"/>
                    <w:bidi w:val="0"/>
                    <w:rPr>
                      <w:highlight w:val="none"/>
                    </w:rPr>
                  </w:pPr>
                  <w:r>
                    <w:rPr>
                      <w:highlight w:val="none"/>
                    </w:rPr>
                    <w:t>51.8~52.2</w:t>
                  </w:r>
                </w:p>
              </w:tc>
              <w:tc>
                <w:tcPr>
                  <w:tcW w:w="850" w:type="dxa"/>
                  <w:vMerge w:val="restart"/>
                  <w:vAlign w:val="center"/>
                </w:tcPr>
                <w:p>
                  <w:pPr>
                    <w:pStyle w:val="29"/>
                    <w:bidi w:val="0"/>
                    <w:rPr>
                      <w:rFonts w:hint="eastAsia" w:eastAsia="宋体"/>
                      <w:highlight w:val="none"/>
                      <w:lang w:eastAsia="zh-CN"/>
                    </w:rPr>
                  </w:pPr>
                  <w:r>
                    <w:rPr>
                      <w:highlight w:val="none"/>
                    </w:rPr>
                    <w:t>≤6</w:t>
                  </w:r>
                  <w:r>
                    <w:rPr>
                      <w:rFonts w:hint="eastAsia"/>
                      <w:highlight w:val="none"/>
                      <w:lang w:val="en-US" w:eastAsia="zh-CN"/>
                    </w:rPr>
                    <w:t>5</w:t>
                  </w:r>
                </w:p>
              </w:tc>
              <w:tc>
                <w:tcPr>
                  <w:tcW w:w="1689" w:type="dxa"/>
                  <w:vAlign w:val="center"/>
                </w:tcPr>
                <w:p>
                  <w:pPr>
                    <w:pStyle w:val="29"/>
                    <w:bidi w:val="0"/>
                    <w:rPr>
                      <w:highlight w:val="none"/>
                    </w:rPr>
                  </w:pPr>
                  <w:r>
                    <w:rPr>
                      <w:highlight w:val="none"/>
                    </w:rPr>
                    <w:t>43.4~45.9</w:t>
                  </w:r>
                </w:p>
              </w:tc>
              <w:tc>
                <w:tcPr>
                  <w:tcW w:w="850" w:type="dxa"/>
                  <w:vMerge w:val="restart"/>
                  <w:vAlign w:val="center"/>
                </w:tcPr>
                <w:p>
                  <w:pPr>
                    <w:pStyle w:val="29"/>
                    <w:bidi w:val="0"/>
                    <w:rPr>
                      <w:rFonts w:hint="eastAsia" w:eastAsia="宋体"/>
                      <w:highlight w:val="none"/>
                      <w:lang w:eastAsia="zh-CN"/>
                    </w:rPr>
                  </w:pPr>
                  <w:r>
                    <w:rPr>
                      <w:highlight w:val="none"/>
                    </w:rPr>
                    <w:t>≤5</w:t>
                  </w:r>
                  <w:r>
                    <w:rPr>
                      <w:rFonts w:hint="eastAsia"/>
                      <w:highlight w:val="none"/>
                      <w:lang w:val="en-US" w:eastAsia="zh-CN"/>
                    </w:rPr>
                    <w:t>5</w:t>
                  </w:r>
                </w:p>
              </w:tc>
              <w:tc>
                <w:tcPr>
                  <w:tcW w:w="2622" w:type="dxa"/>
                  <w:vMerge w:val="restart"/>
                  <w:vAlign w:val="center"/>
                </w:tcPr>
                <w:p>
                  <w:pPr>
                    <w:pStyle w:val="29"/>
                    <w:bidi w:val="0"/>
                    <w:rPr>
                      <w:highlight w:val="none"/>
                    </w:rPr>
                  </w:pPr>
                  <w:r>
                    <w:rPr>
                      <w:highlight w:val="none"/>
                    </w:rPr>
                    <w:t>《声环境质量标准》（GB3096-2008）</w:t>
                  </w:r>
                  <w:r>
                    <w:rPr>
                      <w:rFonts w:hint="eastAsia"/>
                      <w:highlight w:val="none"/>
                      <w:lang w:val="en-US" w:eastAsia="zh-CN"/>
                    </w:rPr>
                    <w:t>3</w:t>
                  </w:r>
                  <w:r>
                    <w:rPr>
                      <w:highlight w:val="none"/>
                    </w:rPr>
                    <w:t>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59" w:type="dxa"/>
                  <w:vAlign w:val="center"/>
                </w:tcPr>
                <w:p>
                  <w:pPr>
                    <w:pStyle w:val="29"/>
                    <w:bidi w:val="0"/>
                    <w:rPr>
                      <w:highlight w:val="none"/>
                    </w:rPr>
                  </w:pPr>
                  <w:r>
                    <w:rPr>
                      <w:highlight w:val="none"/>
                    </w:rPr>
                    <w:t>西厂界</w:t>
                  </w:r>
                </w:p>
              </w:tc>
              <w:tc>
                <w:tcPr>
                  <w:tcW w:w="1689" w:type="dxa"/>
                  <w:vAlign w:val="center"/>
                </w:tcPr>
                <w:p>
                  <w:pPr>
                    <w:pStyle w:val="29"/>
                    <w:bidi w:val="0"/>
                    <w:rPr>
                      <w:highlight w:val="none"/>
                    </w:rPr>
                  </w:pPr>
                  <w:r>
                    <w:rPr>
                      <w:highlight w:val="none"/>
                    </w:rPr>
                    <w:t>54.4~54.6</w:t>
                  </w:r>
                </w:p>
              </w:tc>
              <w:tc>
                <w:tcPr>
                  <w:tcW w:w="850" w:type="dxa"/>
                  <w:vMerge w:val="continue"/>
                  <w:vAlign w:val="center"/>
                </w:tcPr>
                <w:p>
                  <w:pPr>
                    <w:pStyle w:val="29"/>
                    <w:bidi w:val="0"/>
                    <w:rPr>
                      <w:highlight w:val="none"/>
                    </w:rPr>
                  </w:pPr>
                </w:p>
              </w:tc>
              <w:tc>
                <w:tcPr>
                  <w:tcW w:w="1689" w:type="dxa"/>
                  <w:vAlign w:val="center"/>
                </w:tcPr>
                <w:p>
                  <w:pPr>
                    <w:pStyle w:val="29"/>
                    <w:bidi w:val="0"/>
                    <w:rPr>
                      <w:highlight w:val="none"/>
                    </w:rPr>
                  </w:pPr>
                  <w:r>
                    <w:rPr>
                      <w:highlight w:val="none"/>
                    </w:rPr>
                    <w:t>42.3~44.1</w:t>
                  </w:r>
                </w:p>
              </w:tc>
              <w:tc>
                <w:tcPr>
                  <w:tcW w:w="850" w:type="dxa"/>
                  <w:vMerge w:val="continue"/>
                  <w:vAlign w:val="center"/>
                </w:tcPr>
                <w:p>
                  <w:pPr>
                    <w:pStyle w:val="29"/>
                    <w:bidi w:val="0"/>
                    <w:rPr>
                      <w:highlight w:val="none"/>
                    </w:rPr>
                  </w:pPr>
                </w:p>
              </w:tc>
              <w:tc>
                <w:tcPr>
                  <w:tcW w:w="2622" w:type="dxa"/>
                  <w:vMerge w:val="continue"/>
                  <w:vAlign w:val="center"/>
                </w:tcPr>
                <w:p>
                  <w:pPr>
                    <w:pStyle w:val="29"/>
                    <w:bidi w:val="0"/>
                    <w:rPr>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59" w:type="dxa"/>
                  <w:vAlign w:val="center"/>
                </w:tcPr>
                <w:p>
                  <w:pPr>
                    <w:pStyle w:val="29"/>
                    <w:bidi w:val="0"/>
                    <w:rPr>
                      <w:highlight w:val="none"/>
                    </w:rPr>
                  </w:pPr>
                  <w:r>
                    <w:rPr>
                      <w:rFonts w:hint="eastAsia"/>
                      <w:highlight w:val="none"/>
                    </w:rPr>
                    <w:t>南</w:t>
                  </w:r>
                  <w:r>
                    <w:rPr>
                      <w:highlight w:val="none"/>
                    </w:rPr>
                    <w:t>厂界</w:t>
                  </w:r>
                </w:p>
              </w:tc>
              <w:tc>
                <w:tcPr>
                  <w:tcW w:w="1689" w:type="dxa"/>
                  <w:vAlign w:val="center"/>
                </w:tcPr>
                <w:p>
                  <w:pPr>
                    <w:pStyle w:val="29"/>
                    <w:bidi w:val="0"/>
                    <w:rPr>
                      <w:highlight w:val="none"/>
                    </w:rPr>
                  </w:pPr>
                  <w:r>
                    <w:rPr>
                      <w:highlight w:val="none"/>
                    </w:rPr>
                    <w:t>53.1~53.5</w:t>
                  </w:r>
                </w:p>
              </w:tc>
              <w:tc>
                <w:tcPr>
                  <w:tcW w:w="850" w:type="dxa"/>
                  <w:vMerge w:val="continue"/>
                  <w:vAlign w:val="center"/>
                </w:tcPr>
                <w:p>
                  <w:pPr>
                    <w:pStyle w:val="29"/>
                    <w:bidi w:val="0"/>
                    <w:rPr>
                      <w:highlight w:val="none"/>
                    </w:rPr>
                  </w:pPr>
                </w:p>
              </w:tc>
              <w:tc>
                <w:tcPr>
                  <w:tcW w:w="1689" w:type="dxa"/>
                  <w:vAlign w:val="center"/>
                </w:tcPr>
                <w:p>
                  <w:pPr>
                    <w:pStyle w:val="29"/>
                    <w:bidi w:val="0"/>
                    <w:rPr>
                      <w:highlight w:val="none"/>
                    </w:rPr>
                  </w:pPr>
                  <w:r>
                    <w:rPr>
                      <w:highlight w:val="none"/>
                    </w:rPr>
                    <w:t>44.4~45.8</w:t>
                  </w:r>
                </w:p>
              </w:tc>
              <w:tc>
                <w:tcPr>
                  <w:tcW w:w="850" w:type="dxa"/>
                  <w:vMerge w:val="continue"/>
                  <w:vAlign w:val="center"/>
                </w:tcPr>
                <w:p>
                  <w:pPr>
                    <w:pStyle w:val="29"/>
                    <w:bidi w:val="0"/>
                    <w:rPr>
                      <w:highlight w:val="none"/>
                    </w:rPr>
                  </w:pPr>
                </w:p>
              </w:tc>
              <w:tc>
                <w:tcPr>
                  <w:tcW w:w="2622" w:type="dxa"/>
                  <w:vMerge w:val="continue"/>
                  <w:vAlign w:val="center"/>
                </w:tcPr>
                <w:p>
                  <w:pPr>
                    <w:pStyle w:val="29"/>
                    <w:bidi w:val="0"/>
                    <w:rPr>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59" w:type="dxa"/>
                  <w:vAlign w:val="center"/>
                </w:tcPr>
                <w:p>
                  <w:pPr>
                    <w:pStyle w:val="29"/>
                    <w:bidi w:val="0"/>
                    <w:rPr>
                      <w:highlight w:val="none"/>
                    </w:rPr>
                  </w:pPr>
                  <w:r>
                    <w:rPr>
                      <w:rFonts w:hint="eastAsia"/>
                      <w:highlight w:val="none"/>
                    </w:rPr>
                    <w:t>北厂界</w:t>
                  </w:r>
                </w:p>
              </w:tc>
              <w:tc>
                <w:tcPr>
                  <w:tcW w:w="1689" w:type="dxa"/>
                  <w:vAlign w:val="center"/>
                </w:tcPr>
                <w:p>
                  <w:pPr>
                    <w:pStyle w:val="29"/>
                    <w:bidi w:val="0"/>
                    <w:rPr>
                      <w:highlight w:val="none"/>
                    </w:rPr>
                  </w:pPr>
                  <w:r>
                    <w:rPr>
                      <w:highlight w:val="none"/>
                    </w:rPr>
                    <w:t>51.2~52.3</w:t>
                  </w:r>
                </w:p>
              </w:tc>
              <w:tc>
                <w:tcPr>
                  <w:tcW w:w="850" w:type="dxa"/>
                  <w:vMerge w:val="continue"/>
                  <w:vAlign w:val="center"/>
                </w:tcPr>
                <w:p>
                  <w:pPr>
                    <w:pStyle w:val="29"/>
                    <w:bidi w:val="0"/>
                    <w:rPr>
                      <w:highlight w:val="none"/>
                    </w:rPr>
                  </w:pPr>
                </w:p>
              </w:tc>
              <w:tc>
                <w:tcPr>
                  <w:tcW w:w="1689" w:type="dxa"/>
                  <w:vAlign w:val="center"/>
                </w:tcPr>
                <w:p>
                  <w:pPr>
                    <w:pStyle w:val="29"/>
                    <w:bidi w:val="0"/>
                    <w:rPr>
                      <w:highlight w:val="none"/>
                    </w:rPr>
                  </w:pPr>
                  <w:r>
                    <w:rPr>
                      <w:highlight w:val="none"/>
                    </w:rPr>
                    <w:t>42.4~43.6</w:t>
                  </w:r>
                </w:p>
              </w:tc>
              <w:tc>
                <w:tcPr>
                  <w:tcW w:w="850" w:type="dxa"/>
                  <w:vMerge w:val="continue"/>
                  <w:vAlign w:val="center"/>
                </w:tcPr>
                <w:p>
                  <w:pPr>
                    <w:pStyle w:val="29"/>
                    <w:bidi w:val="0"/>
                    <w:rPr>
                      <w:highlight w:val="none"/>
                    </w:rPr>
                  </w:pPr>
                </w:p>
              </w:tc>
              <w:tc>
                <w:tcPr>
                  <w:tcW w:w="2622" w:type="dxa"/>
                  <w:vMerge w:val="continue"/>
                  <w:vAlign w:val="center"/>
                </w:tcPr>
                <w:p>
                  <w:pPr>
                    <w:pStyle w:val="29"/>
                    <w:bidi w:val="0"/>
                    <w:rPr>
                      <w:highlight w:val="none"/>
                    </w:rPr>
                  </w:pPr>
                </w:p>
              </w:tc>
            </w:tr>
          </w:tbl>
          <w:p>
            <w:pPr>
              <w:bidi w:val="0"/>
              <w:rPr>
                <w:highlight w:val="none"/>
              </w:rPr>
            </w:pPr>
            <w:r>
              <w:rPr>
                <w:highlight w:val="none"/>
              </w:rPr>
              <w:t>由调查结果，厂界</w:t>
            </w:r>
            <w:r>
              <w:rPr>
                <w:rFonts w:hint="eastAsia"/>
                <w:highlight w:val="none"/>
              </w:rPr>
              <w:t>声</w:t>
            </w:r>
            <w:r>
              <w:rPr>
                <w:highlight w:val="none"/>
              </w:rPr>
              <w:t>环境</w:t>
            </w:r>
            <w:r>
              <w:rPr>
                <w:rFonts w:hint="eastAsia"/>
                <w:highlight w:val="none"/>
              </w:rPr>
              <w:t>质量</w:t>
            </w:r>
            <w:r>
              <w:rPr>
                <w:highlight w:val="none"/>
              </w:rPr>
              <w:t>昼、夜监测均可满足《声环境质量标准》（GB3096-2008）</w:t>
            </w:r>
            <w:r>
              <w:rPr>
                <w:rFonts w:hint="eastAsia"/>
                <w:highlight w:val="none"/>
                <w:lang w:val="en-US" w:eastAsia="zh-CN"/>
              </w:rPr>
              <w:t>3</w:t>
            </w:r>
            <w:r>
              <w:rPr>
                <w:highlight w:val="none"/>
              </w:rPr>
              <w:t>类标准。声环境质量良好。</w:t>
            </w:r>
          </w:p>
          <w:p>
            <w:pPr>
              <w:adjustRightInd w:val="0"/>
              <w:snapToGrid w:val="0"/>
              <w:spacing w:line="360" w:lineRule="auto"/>
              <w:ind w:firstLine="482" w:firstLineChars="200"/>
              <w:rPr>
                <w:b/>
                <w:color w:val="000000" w:themeColor="text1"/>
                <w:sz w:val="24"/>
                <w:highlight w:val="none"/>
                <w14:textFill>
                  <w14:solidFill>
                    <w14:schemeClr w14:val="tx1"/>
                  </w14:solidFill>
                </w14:textFill>
              </w:rPr>
            </w:pPr>
            <w:r>
              <w:rPr>
                <w:b/>
                <w:sz w:val="24"/>
                <w:highlight w:val="none"/>
              </w:rPr>
              <w:t>4、</w:t>
            </w:r>
            <w:r>
              <w:rPr>
                <w:rFonts w:hint="eastAsia"/>
                <w:b/>
                <w:color w:val="000000" w:themeColor="text1"/>
                <w:sz w:val="24"/>
                <w:highlight w:val="none"/>
                <w14:textFill>
                  <w14:solidFill>
                    <w14:schemeClr w14:val="tx1"/>
                  </w14:solidFill>
                </w14:textFill>
              </w:rPr>
              <w:t>土壤</w:t>
            </w:r>
            <w:r>
              <w:rPr>
                <w:b/>
                <w:color w:val="000000" w:themeColor="text1"/>
                <w:sz w:val="24"/>
                <w:highlight w:val="none"/>
                <w14:textFill>
                  <w14:solidFill>
                    <w14:schemeClr w14:val="tx1"/>
                  </w14:solidFill>
                </w14:textFill>
              </w:rPr>
              <w:t>环境质量现状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s="Times New Roman"/>
                <w:b w:val="0"/>
                <w:bCs/>
                <w:color w:val="auto"/>
                <w:sz w:val="24"/>
                <w:highlight w:val="none"/>
                <w:lang w:val="en-US" w:eastAsia="zh-CN"/>
              </w:rPr>
            </w:pPr>
            <w:r>
              <w:rPr>
                <w:rFonts w:hint="eastAsia" w:cs="Times New Roman"/>
                <w:b w:val="0"/>
                <w:bCs/>
                <w:color w:val="auto"/>
                <w:sz w:val="24"/>
                <w:highlight w:val="none"/>
                <w:lang w:val="en-US" w:eastAsia="zh-CN"/>
              </w:rPr>
              <w:t>为了解项目所在地附近的土壤环境现状质量，建设单位委托河南析源环境检测有限公司对项目所在地及周边环境进行了现状监测，具体分析如下。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color w:val="auto"/>
                <w:sz w:val="24"/>
                <w:highlight w:val="none"/>
                <w:lang w:val="en-US" w:eastAsia="zh-CN"/>
              </w:rPr>
            </w:pPr>
            <w:r>
              <w:rPr>
                <w:rFonts w:hint="default" w:ascii="Times New Roman" w:hAnsi="Times New Roman" w:cs="Times New Roman"/>
                <w:b w:val="0"/>
                <w:bCs/>
                <w:color w:val="auto"/>
                <w:sz w:val="24"/>
                <w:highlight w:val="none"/>
                <w:lang w:val="en-US" w:eastAsia="zh-CN"/>
              </w:rPr>
              <w:t>(1)取样点：根据《环境影响评价技术导则 土壤环境》（HJ964-2018）中的相关要求，本项目共设置3个表层样点。具体坐标情况详见检测报告。</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color w:val="auto"/>
                <w:sz w:val="24"/>
                <w:highlight w:val="none"/>
                <w:lang w:val="en-US" w:eastAsia="zh-CN"/>
              </w:rPr>
            </w:pPr>
            <w:r>
              <w:rPr>
                <w:rFonts w:hint="default" w:ascii="Times New Roman" w:hAnsi="Times New Roman" w:cs="Times New Roman"/>
                <w:b w:val="0"/>
                <w:bCs/>
                <w:color w:val="auto"/>
                <w:sz w:val="24"/>
                <w:highlight w:val="none"/>
                <w:lang w:val="en-US" w:eastAsia="zh-CN"/>
              </w:rPr>
              <w:t>(2)采样时间：20</w:t>
            </w:r>
            <w:r>
              <w:rPr>
                <w:rFonts w:hint="eastAsia" w:cs="Times New Roman"/>
                <w:b w:val="0"/>
                <w:bCs/>
                <w:color w:val="auto"/>
                <w:sz w:val="24"/>
                <w:highlight w:val="none"/>
                <w:lang w:val="en-US" w:eastAsia="zh-CN"/>
              </w:rPr>
              <w:t>20</w:t>
            </w:r>
            <w:r>
              <w:rPr>
                <w:rFonts w:hint="default" w:ascii="Times New Roman" w:hAnsi="Times New Roman" w:cs="Times New Roman"/>
                <w:b w:val="0"/>
                <w:bCs/>
                <w:color w:val="auto"/>
                <w:sz w:val="24"/>
                <w:highlight w:val="none"/>
                <w:lang w:val="en-US" w:eastAsia="zh-CN"/>
              </w:rPr>
              <w:t>年</w:t>
            </w:r>
            <w:r>
              <w:rPr>
                <w:rFonts w:hint="eastAsia" w:cs="Times New Roman"/>
                <w:b w:val="0"/>
                <w:bCs/>
                <w:color w:val="auto"/>
                <w:sz w:val="24"/>
                <w:highlight w:val="none"/>
                <w:lang w:val="en-US" w:eastAsia="zh-CN"/>
              </w:rPr>
              <w:t>7</w:t>
            </w:r>
            <w:r>
              <w:rPr>
                <w:rFonts w:hint="default" w:ascii="Times New Roman" w:hAnsi="Times New Roman" w:cs="Times New Roman"/>
                <w:b w:val="0"/>
                <w:bCs/>
                <w:color w:val="auto"/>
                <w:sz w:val="24"/>
                <w:highlight w:val="none"/>
                <w:lang w:val="en-US" w:eastAsia="zh-CN"/>
              </w:rPr>
              <w:t>月</w:t>
            </w:r>
            <w:r>
              <w:rPr>
                <w:rFonts w:hint="eastAsia" w:cs="Times New Roman"/>
                <w:b w:val="0"/>
                <w:bCs/>
                <w:color w:val="auto"/>
                <w:sz w:val="24"/>
                <w:highlight w:val="none"/>
                <w:lang w:val="en-US" w:eastAsia="zh-CN"/>
              </w:rPr>
              <w:t>29</w:t>
            </w:r>
            <w:r>
              <w:rPr>
                <w:rFonts w:hint="default" w:ascii="Times New Roman" w:hAnsi="Times New Roman" w:cs="Times New Roman"/>
                <w:b w:val="0"/>
                <w:bCs/>
                <w:color w:val="auto"/>
                <w:sz w:val="24"/>
                <w:highlight w:val="none"/>
                <w:lang w:val="en-US" w:eastAsia="zh-CN"/>
              </w:rPr>
              <w:t>日</w:t>
            </w:r>
            <w:r>
              <w:rPr>
                <w:rFonts w:hint="eastAsia" w:cs="Times New Roman"/>
                <w:b w:val="0"/>
                <w:bCs/>
                <w:color w:val="auto"/>
                <w:sz w:val="24"/>
                <w:highlight w:val="none"/>
                <w:lang w:val="en-US" w:eastAsia="zh-CN"/>
              </w:rPr>
              <w:t>-8月4日</w:t>
            </w:r>
            <w:r>
              <w:rPr>
                <w:rFonts w:hint="default" w:ascii="Times New Roman" w:hAnsi="Times New Roman" w:cs="Times New Roman"/>
                <w:b w:val="0"/>
                <w:bCs/>
                <w:color w:val="auto"/>
                <w:sz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color w:val="auto"/>
                <w:sz w:val="24"/>
                <w:highlight w:val="none"/>
                <w:lang w:val="en-US" w:eastAsia="zh-CN"/>
              </w:rPr>
            </w:pPr>
            <w:r>
              <w:rPr>
                <w:rFonts w:hint="default" w:ascii="Times New Roman" w:hAnsi="Times New Roman" w:cs="Times New Roman"/>
                <w:b w:val="0"/>
                <w:bCs/>
                <w:color w:val="auto"/>
                <w:sz w:val="24"/>
                <w:highlight w:val="none"/>
                <w:lang w:val="en-US" w:eastAsia="zh-CN"/>
              </w:rPr>
              <w:t>(3)监测内容：</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color w:val="auto"/>
                <w:sz w:val="24"/>
                <w:highlight w:val="none"/>
                <w:lang w:val="en-US" w:eastAsia="zh-CN"/>
              </w:rPr>
            </w:pPr>
            <w:r>
              <w:rPr>
                <w:rFonts w:hint="default" w:ascii="Times New Roman" w:hAnsi="Times New Roman" w:cs="Times New Roman"/>
                <w:b w:val="0"/>
                <w:bCs/>
                <w:color w:val="auto"/>
                <w:sz w:val="24"/>
                <w:highlight w:val="none"/>
                <w:lang w:val="en-US" w:eastAsia="zh-CN"/>
              </w:rPr>
              <w:t>①基本因子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color w:val="auto"/>
                <w:sz w:val="24"/>
                <w:highlight w:val="none"/>
                <w:lang w:val="en-US" w:eastAsia="zh-CN"/>
              </w:rPr>
            </w:pPr>
            <w:r>
              <w:rPr>
                <w:rFonts w:hint="default" w:ascii="Times New Roman" w:hAnsi="Times New Roman" w:cs="Times New Roman"/>
                <w:b w:val="0"/>
                <w:bCs/>
                <w:color w:val="auto"/>
                <w:sz w:val="24"/>
                <w:highlight w:val="none"/>
                <w:lang w:val="en-US" w:eastAsia="zh-CN"/>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酚、2-氯酚、苯并[a]蒽、苯并[a]芘、苯并[b]荧蒽、苯并[k]荧蒽、䓛、二苯并[a,h]蒽、茚并[1,2,3-cd]芘、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color w:val="auto"/>
                <w:sz w:val="24"/>
                <w:highlight w:val="none"/>
                <w:lang w:val="en-US" w:eastAsia="zh-CN"/>
              </w:rPr>
            </w:pPr>
            <w:r>
              <w:rPr>
                <w:rFonts w:hint="default" w:ascii="Times New Roman" w:hAnsi="Times New Roman" w:cs="Times New Roman"/>
                <w:b w:val="0"/>
                <w:bCs/>
                <w:color w:val="auto"/>
                <w:sz w:val="24"/>
                <w:highlight w:val="none"/>
                <w:lang w:val="en-US" w:eastAsia="zh-CN"/>
              </w:rPr>
              <w:t>②特征因子</w:t>
            </w:r>
          </w:p>
          <w:p>
            <w:pPr>
              <w:bidi w:val="0"/>
              <w:rPr>
                <w:rFonts w:hint="eastAsia" w:cs="Times New Roman"/>
                <w:b w:val="0"/>
                <w:bCs/>
                <w:color w:val="auto"/>
                <w:sz w:val="24"/>
                <w:highlight w:val="none"/>
                <w:lang w:val="en-US" w:eastAsia="zh-CN"/>
              </w:rPr>
            </w:pPr>
            <w:r>
              <w:rPr>
                <w:rFonts w:hint="eastAsia" w:cs="Times New Roman"/>
                <w:b w:val="0"/>
                <w:bCs/>
                <w:color w:val="auto"/>
                <w:sz w:val="24"/>
                <w:highlight w:val="none"/>
                <w:lang w:val="en-US" w:eastAsia="zh-CN"/>
              </w:rPr>
              <w:t>无。</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color w:val="auto"/>
                <w:sz w:val="24"/>
                <w:highlight w:val="none"/>
                <w:lang w:val="en-US" w:eastAsia="zh-CN"/>
              </w:rPr>
            </w:pPr>
            <w:r>
              <w:rPr>
                <w:rFonts w:hint="default" w:ascii="Times New Roman" w:hAnsi="Times New Roman" w:cs="Times New Roman"/>
                <w:b w:val="0"/>
                <w:bCs/>
                <w:color w:val="auto"/>
                <w:sz w:val="24"/>
                <w:highlight w:val="none"/>
                <w:lang w:val="en-US" w:eastAsia="zh-CN"/>
              </w:rPr>
              <w:t>(4)分析方法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color w:val="auto"/>
                <w:sz w:val="24"/>
                <w:highlight w:val="none"/>
                <w:lang w:val="en-US" w:eastAsia="zh-CN"/>
              </w:rPr>
            </w:pPr>
            <w:r>
              <w:rPr>
                <w:rFonts w:hint="default" w:ascii="Times New Roman" w:hAnsi="Times New Roman" w:cs="Times New Roman"/>
                <w:b w:val="0"/>
                <w:bCs/>
                <w:color w:val="auto"/>
                <w:sz w:val="24"/>
                <w:highlight w:val="none"/>
                <w:lang w:val="en-US" w:eastAsia="zh-CN"/>
              </w:rPr>
              <w:t>按照国家环保局颁布的环境污染物标准分析方法进行。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color w:val="auto"/>
                <w:sz w:val="24"/>
                <w:highlight w:val="none"/>
                <w:lang w:val="en-US" w:eastAsia="zh-CN"/>
              </w:rPr>
            </w:pPr>
            <w:r>
              <w:rPr>
                <w:rFonts w:hint="default" w:ascii="Times New Roman" w:hAnsi="Times New Roman" w:cs="Times New Roman"/>
                <w:b w:val="0"/>
                <w:bCs/>
                <w:color w:val="auto"/>
                <w:sz w:val="24"/>
                <w:highlight w:val="none"/>
                <w:lang w:val="en-US" w:eastAsia="zh-CN"/>
              </w:rPr>
              <w:t>(5)评价结果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cs="Times New Roman"/>
                <w:b w:val="0"/>
                <w:bCs/>
                <w:color w:val="auto"/>
                <w:sz w:val="24"/>
                <w:highlight w:val="none"/>
                <w:lang w:val="en-US" w:eastAsia="zh-CN"/>
              </w:rPr>
              <w:t>采用土壤环境监测数据与相应的《土壤环境质量 建设用地土壤污染风险管控标准</w:t>
            </w:r>
            <w:r>
              <w:rPr>
                <w:rFonts w:hint="eastAsia" w:cs="Times New Roman"/>
                <w:b w:val="0"/>
                <w:bCs/>
                <w:color w:val="auto"/>
                <w:sz w:val="24"/>
                <w:highlight w:val="none"/>
                <w:lang w:val="en-US" w:eastAsia="zh-CN"/>
              </w:rPr>
              <w:t>（试行）</w:t>
            </w:r>
            <w:r>
              <w:rPr>
                <w:rFonts w:hint="default" w:ascii="Times New Roman" w:hAnsi="Times New Roman" w:cs="Times New Roman"/>
                <w:b w:val="0"/>
                <w:bCs/>
                <w:color w:val="auto"/>
                <w:sz w:val="24"/>
                <w:highlight w:val="none"/>
                <w:lang w:val="en-US" w:eastAsia="zh-CN"/>
              </w:rPr>
              <w:t>》（GB36600-2018）中第二类用地的筛选值相比较，见</w:t>
            </w:r>
            <w:r>
              <w:rPr>
                <w:rFonts w:hint="eastAsia" w:ascii="Times New Roman" w:hAnsi="Times New Roman" w:cs="Times New Roman"/>
                <w:b w:val="0"/>
                <w:bCs/>
                <w:color w:val="auto"/>
                <w:sz w:val="24"/>
                <w:highlight w:val="none"/>
                <w:lang w:val="en-US" w:eastAsia="zh-CN"/>
              </w:rPr>
              <w:t>下表</w:t>
            </w:r>
            <w:r>
              <w:rPr>
                <w:rFonts w:hint="default" w:ascii="Times New Roman" w:hAnsi="Times New Roman" w:cs="Times New Roman"/>
                <w:b w:val="0"/>
                <w:bCs/>
                <w:color w:val="auto"/>
                <w:sz w:val="24"/>
                <w:highlight w:val="none"/>
                <w:lang w:val="en-US" w:eastAsia="zh-CN"/>
              </w:rPr>
              <w:t>。</w:t>
            </w:r>
          </w:p>
          <w:p>
            <w:pPr>
              <w:pStyle w:val="45"/>
              <w:bidi w:val="0"/>
              <w:rPr>
                <w:rFonts w:hint="default"/>
                <w:highlight w:val="none"/>
              </w:rPr>
            </w:pPr>
            <w:r>
              <w:rPr>
                <w:rFonts w:hint="default"/>
                <w:highlight w:val="none"/>
              </w:rPr>
              <w:t>表</w:t>
            </w:r>
            <w:r>
              <w:rPr>
                <w:rFonts w:hint="eastAsia"/>
                <w:highlight w:val="none"/>
                <w:lang w:val="en-US" w:eastAsia="zh-CN"/>
              </w:rPr>
              <w:t>25</w:t>
            </w:r>
            <w:r>
              <w:rPr>
                <w:rFonts w:hint="default"/>
                <w:highlight w:val="none"/>
                <w:lang w:val="en-US" w:eastAsia="zh-CN"/>
              </w:rPr>
              <w:t xml:space="preserve"> </w:t>
            </w:r>
            <w:r>
              <w:rPr>
                <w:rFonts w:hint="eastAsia"/>
                <w:highlight w:val="none"/>
                <w:lang w:val="en-US" w:eastAsia="zh-CN"/>
              </w:rPr>
              <w:t xml:space="preserve"> </w:t>
            </w:r>
            <w:r>
              <w:rPr>
                <w:rFonts w:hint="default"/>
                <w:highlight w:val="none"/>
              </w:rPr>
              <w:t>土壤监测结果统计表</w:t>
            </w:r>
          </w:p>
          <w:tbl>
            <w:tblPr>
              <w:tblStyle w:val="21"/>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82"/>
              <w:gridCol w:w="532"/>
              <w:gridCol w:w="575"/>
              <w:gridCol w:w="1609"/>
              <w:gridCol w:w="1153"/>
              <w:gridCol w:w="1348"/>
              <w:gridCol w:w="1348"/>
              <w:gridCol w:w="13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序号</w:t>
                  </w:r>
                </w:p>
              </w:tc>
              <w:tc>
                <w:tcPr>
                  <w:tcW w:w="1560" w:type="pct"/>
                  <w:gridSpan w:val="3"/>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检测因子</w:t>
                  </w:r>
                </w:p>
              </w:tc>
              <w:tc>
                <w:tcPr>
                  <w:tcW w:w="662" w:type="pct"/>
                  <w:tcBorders>
                    <w:tl2br w:val="nil"/>
                    <w:tr2bl w:val="nil"/>
                  </w:tcBorders>
                  <w:noWrap w:val="0"/>
                  <w:vAlign w:val="center"/>
                </w:tcPr>
                <w:p>
                  <w:pPr>
                    <w:pStyle w:val="29"/>
                    <w:bidi w:val="0"/>
                    <w:rPr>
                      <w:rFonts w:hint="eastAsia"/>
                      <w:highlight w:val="none"/>
                      <w:lang w:val="en-US" w:eastAsia="zh-CN"/>
                    </w:rPr>
                  </w:pPr>
                  <w:r>
                    <w:rPr>
                      <w:rFonts w:hint="eastAsia"/>
                      <w:highlight w:val="none"/>
                      <w:lang w:val="en-US" w:eastAsia="zh-CN"/>
                    </w:rPr>
                    <w:t>单位</w:t>
                  </w:r>
                </w:p>
              </w:tc>
              <w:tc>
                <w:tcPr>
                  <w:tcW w:w="77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厂内</w:t>
                  </w:r>
                </w:p>
              </w:tc>
              <w:tc>
                <w:tcPr>
                  <w:tcW w:w="774"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大门东北</w:t>
                  </w:r>
                </w:p>
              </w:tc>
              <w:tc>
                <w:tcPr>
                  <w:tcW w:w="777"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大门西南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1</w:t>
                  </w:r>
                </w:p>
              </w:tc>
              <w:tc>
                <w:tcPr>
                  <w:tcW w:w="1560" w:type="pct"/>
                  <w:gridSpan w:val="3"/>
                  <w:tcBorders>
                    <w:tl2br w:val="nil"/>
                    <w:tr2bl w:val="nil"/>
                  </w:tcBorders>
                  <w:noWrap w:val="0"/>
                  <w:vAlign w:val="center"/>
                </w:tcPr>
                <w:p>
                  <w:pPr>
                    <w:pStyle w:val="29"/>
                    <w:bidi w:val="0"/>
                    <w:rPr>
                      <w:rFonts w:hint="default"/>
                      <w:highlight w:val="none"/>
                      <w:lang w:val="en-US" w:eastAsia="zh-CN"/>
                    </w:rPr>
                  </w:pPr>
                  <w:r>
                    <w:rPr>
                      <w:rFonts w:hint="default"/>
                      <w:highlight w:val="none"/>
                    </w:rPr>
                    <w:t>砷</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774"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17.1</w:t>
                  </w:r>
                </w:p>
              </w:tc>
              <w:tc>
                <w:tcPr>
                  <w:tcW w:w="774"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15.2</w:t>
                  </w:r>
                </w:p>
              </w:tc>
              <w:tc>
                <w:tcPr>
                  <w:tcW w:w="777"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14.7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2</w:t>
                  </w:r>
                </w:p>
              </w:tc>
              <w:tc>
                <w:tcPr>
                  <w:tcW w:w="1560" w:type="pct"/>
                  <w:gridSpan w:val="3"/>
                  <w:tcBorders>
                    <w:tl2br w:val="nil"/>
                    <w:tr2bl w:val="nil"/>
                  </w:tcBorders>
                  <w:noWrap w:val="0"/>
                  <w:vAlign w:val="center"/>
                </w:tcPr>
                <w:p>
                  <w:pPr>
                    <w:pStyle w:val="29"/>
                    <w:bidi w:val="0"/>
                    <w:rPr>
                      <w:rFonts w:hint="default"/>
                      <w:highlight w:val="none"/>
                      <w:lang w:val="en-US" w:eastAsia="zh-CN"/>
                    </w:rPr>
                  </w:pPr>
                  <w:r>
                    <w:rPr>
                      <w:rFonts w:hint="default"/>
                      <w:highlight w:val="none"/>
                    </w:rPr>
                    <w:t>镉</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774"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1.79</w:t>
                  </w:r>
                </w:p>
              </w:tc>
              <w:tc>
                <w:tcPr>
                  <w:tcW w:w="774"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1.51</w:t>
                  </w:r>
                </w:p>
              </w:tc>
              <w:tc>
                <w:tcPr>
                  <w:tcW w:w="777"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3</w:t>
                  </w:r>
                </w:p>
              </w:tc>
              <w:tc>
                <w:tcPr>
                  <w:tcW w:w="1560" w:type="pct"/>
                  <w:gridSpan w:val="3"/>
                  <w:tcBorders>
                    <w:tl2br w:val="nil"/>
                    <w:tr2bl w:val="nil"/>
                  </w:tcBorders>
                  <w:noWrap w:val="0"/>
                  <w:vAlign w:val="center"/>
                </w:tcPr>
                <w:p>
                  <w:pPr>
                    <w:pStyle w:val="29"/>
                    <w:bidi w:val="0"/>
                    <w:rPr>
                      <w:rFonts w:hint="default"/>
                      <w:highlight w:val="none"/>
                      <w:lang w:val="en-US" w:eastAsia="zh-CN"/>
                    </w:rPr>
                  </w:pPr>
                  <w:r>
                    <w:rPr>
                      <w:rFonts w:hint="default"/>
                      <w:highlight w:val="none"/>
                    </w:rPr>
                    <w:t>铬（六价）</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774"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ND</w:t>
                  </w:r>
                </w:p>
              </w:tc>
              <w:tc>
                <w:tcPr>
                  <w:tcW w:w="774"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ND</w:t>
                  </w:r>
                </w:p>
              </w:tc>
              <w:tc>
                <w:tcPr>
                  <w:tcW w:w="777"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4</w:t>
                  </w:r>
                </w:p>
              </w:tc>
              <w:tc>
                <w:tcPr>
                  <w:tcW w:w="1560" w:type="pct"/>
                  <w:gridSpan w:val="3"/>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铜</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774"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34</w:t>
                  </w:r>
                </w:p>
              </w:tc>
              <w:tc>
                <w:tcPr>
                  <w:tcW w:w="774"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24</w:t>
                  </w:r>
                </w:p>
              </w:tc>
              <w:tc>
                <w:tcPr>
                  <w:tcW w:w="777"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5</w:t>
                  </w:r>
                </w:p>
              </w:tc>
              <w:tc>
                <w:tcPr>
                  <w:tcW w:w="1560" w:type="pct"/>
                  <w:gridSpan w:val="3"/>
                  <w:tcBorders>
                    <w:tl2br w:val="nil"/>
                    <w:tr2bl w:val="nil"/>
                  </w:tcBorders>
                  <w:noWrap w:val="0"/>
                  <w:vAlign w:val="center"/>
                </w:tcPr>
                <w:p>
                  <w:pPr>
                    <w:pStyle w:val="29"/>
                    <w:bidi w:val="0"/>
                    <w:rPr>
                      <w:rFonts w:hint="default"/>
                      <w:highlight w:val="none"/>
                      <w:lang w:val="en-US" w:eastAsia="zh-CN"/>
                    </w:rPr>
                  </w:pPr>
                  <w:r>
                    <w:rPr>
                      <w:rFonts w:hint="default"/>
                      <w:highlight w:val="none"/>
                    </w:rPr>
                    <w:t>铅</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774"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21.1</w:t>
                  </w:r>
                </w:p>
              </w:tc>
              <w:tc>
                <w:tcPr>
                  <w:tcW w:w="774"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21.7</w:t>
                  </w:r>
                </w:p>
              </w:tc>
              <w:tc>
                <w:tcPr>
                  <w:tcW w:w="777"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19.3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6</w:t>
                  </w:r>
                </w:p>
              </w:tc>
              <w:tc>
                <w:tcPr>
                  <w:tcW w:w="1560" w:type="pct"/>
                  <w:gridSpan w:val="3"/>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汞</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774"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0.175</w:t>
                  </w:r>
                </w:p>
              </w:tc>
              <w:tc>
                <w:tcPr>
                  <w:tcW w:w="774"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0.092</w:t>
                  </w:r>
                </w:p>
              </w:tc>
              <w:tc>
                <w:tcPr>
                  <w:tcW w:w="777"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0.073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7</w:t>
                  </w:r>
                </w:p>
              </w:tc>
              <w:tc>
                <w:tcPr>
                  <w:tcW w:w="1560" w:type="pct"/>
                  <w:gridSpan w:val="3"/>
                  <w:tcBorders>
                    <w:tl2br w:val="nil"/>
                    <w:tr2bl w:val="nil"/>
                  </w:tcBorders>
                  <w:noWrap w:val="0"/>
                  <w:vAlign w:val="center"/>
                </w:tcPr>
                <w:p>
                  <w:pPr>
                    <w:pStyle w:val="29"/>
                    <w:bidi w:val="0"/>
                    <w:rPr>
                      <w:rFonts w:hint="default"/>
                      <w:highlight w:val="none"/>
                      <w:lang w:val="en-US" w:eastAsia="zh-CN"/>
                    </w:rPr>
                  </w:pPr>
                  <w:r>
                    <w:rPr>
                      <w:rFonts w:hint="default"/>
                      <w:highlight w:val="none"/>
                    </w:rPr>
                    <w:t>镍</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774"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22</w:t>
                  </w:r>
                </w:p>
              </w:tc>
              <w:tc>
                <w:tcPr>
                  <w:tcW w:w="774"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22</w:t>
                  </w:r>
                </w:p>
              </w:tc>
              <w:tc>
                <w:tcPr>
                  <w:tcW w:w="777"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8</w:t>
                  </w:r>
                </w:p>
              </w:tc>
              <w:tc>
                <w:tcPr>
                  <w:tcW w:w="306" w:type="pct"/>
                  <w:vMerge w:val="restar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挥发性有机物</w:t>
                  </w: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四氯化碳</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9</w:t>
                  </w:r>
                </w:p>
              </w:tc>
              <w:tc>
                <w:tcPr>
                  <w:tcW w:w="306" w:type="pct"/>
                  <w:vMerge w:val="continue"/>
                  <w:tcBorders>
                    <w:tl2br w:val="nil"/>
                    <w:tr2bl w:val="nil"/>
                  </w:tcBorders>
                  <w:noWrap w:val="0"/>
                  <w:vAlign w:val="center"/>
                </w:tcPr>
                <w:p>
                  <w:pPr>
                    <w:pStyle w:val="29"/>
                    <w:bidi w:val="0"/>
                    <w:rPr>
                      <w:rFonts w:hint="default"/>
                      <w:highlight w:val="none"/>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氯仿</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774"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0.0437</w:t>
                  </w:r>
                </w:p>
              </w:tc>
              <w:tc>
                <w:tcPr>
                  <w:tcW w:w="774"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0.0307</w:t>
                  </w:r>
                </w:p>
              </w:tc>
              <w:tc>
                <w:tcPr>
                  <w:tcW w:w="777"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0.0473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10</w:t>
                  </w:r>
                </w:p>
              </w:tc>
              <w:tc>
                <w:tcPr>
                  <w:tcW w:w="306" w:type="pct"/>
                  <w:vMerge w:val="continue"/>
                  <w:tcBorders>
                    <w:tl2br w:val="nil"/>
                    <w:tr2bl w:val="nil"/>
                  </w:tcBorders>
                  <w:noWrap w:val="0"/>
                  <w:vAlign w:val="center"/>
                </w:tcPr>
                <w:p>
                  <w:pPr>
                    <w:pStyle w:val="29"/>
                    <w:bidi w:val="0"/>
                    <w:rPr>
                      <w:rFonts w:hint="default"/>
                      <w:highlight w:val="none"/>
                      <w:lang w:val="en-US" w:eastAsia="zh-CN"/>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氯甲烷</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11</w:t>
                  </w:r>
                </w:p>
              </w:tc>
              <w:tc>
                <w:tcPr>
                  <w:tcW w:w="306" w:type="pct"/>
                  <w:vMerge w:val="continue"/>
                  <w:tcBorders>
                    <w:tl2br w:val="nil"/>
                    <w:tr2bl w:val="nil"/>
                  </w:tcBorders>
                  <w:noWrap w:val="0"/>
                  <w:vAlign w:val="center"/>
                </w:tcPr>
                <w:p>
                  <w:pPr>
                    <w:pStyle w:val="29"/>
                    <w:bidi w:val="0"/>
                    <w:rPr>
                      <w:rFonts w:hint="default"/>
                      <w:highlight w:val="none"/>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1,1-二氯乙烷</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12</w:t>
                  </w:r>
                </w:p>
              </w:tc>
              <w:tc>
                <w:tcPr>
                  <w:tcW w:w="306" w:type="pct"/>
                  <w:vMerge w:val="continue"/>
                  <w:tcBorders>
                    <w:tl2br w:val="nil"/>
                    <w:tr2bl w:val="nil"/>
                  </w:tcBorders>
                  <w:noWrap w:val="0"/>
                  <w:vAlign w:val="center"/>
                </w:tcPr>
                <w:p>
                  <w:pPr>
                    <w:pStyle w:val="29"/>
                    <w:bidi w:val="0"/>
                    <w:rPr>
                      <w:rFonts w:hint="default"/>
                      <w:highlight w:val="none"/>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1,2-二氯乙烷</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13</w:t>
                  </w:r>
                </w:p>
              </w:tc>
              <w:tc>
                <w:tcPr>
                  <w:tcW w:w="306" w:type="pct"/>
                  <w:vMerge w:val="continue"/>
                  <w:tcBorders>
                    <w:tl2br w:val="nil"/>
                    <w:tr2bl w:val="nil"/>
                  </w:tcBorders>
                  <w:noWrap w:val="0"/>
                  <w:vAlign w:val="center"/>
                </w:tcPr>
                <w:p>
                  <w:pPr>
                    <w:pStyle w:val="29"/>
                    <w:bidi w:val="0"/>
                    <w:rPr>
                      <w:rFonts w:hint="default"/>
                      <w:highlight w:val="none"/>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1,1-二氯乙烯</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14</w:t>
                  </w:r>
                </w:p>
              </w:tc>
              <w:tc>
                <w:tcPr>
                  <w:tcW w:w="306" w:type="pct"/>
                  <w:vMerge w:val="continue"/>
                  <w:tcBorders>
                    <w:tl2br w:val="nil"/>
                    <w:tr2bl w:val="nil"/>
                  </w:tcBorders>
                  <w:noWrap w:val="0"/>
                  <w:vAlign w:val="center"/>
                </w:tcPr>
                <w:p>
                  <w:pPr>
                    <w:pStyle w:val="29"/>
                    <w:bidi w:val="0"/>
                    <w:rPr>
                      <w:rFonts w:hint="default"/>
                      <w:highlight w:val="none"/>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顺-1,2-二氯乙烯</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15</w:t>
                  </w:r>
                </w:p>
              </w:tc>
              <w:tc>
                <w:tcPr>
                  <w:tcW w:w="306" w:type="pct"/>
                  <w:vMerge w:val="continue"/>
                  <w:tcBorders>
                    <w:tl2br w:val="nil"/>
                    <w:tr2bl w:val="nil"/>
                  </w:tcBorders>
                  <w:noWrap w:val="0"/>
                  <w:vAlign w:val="center"/>
                </w:tcPr>
                <w:p>
                  <w:pPr>
                    <w:pStyle w:val="29"/>
                    <w:bidi w:val="0"/>
                    <w:rPr>
                      <w:rFonts w:hint="default"/>
                      <w:highlight w:val="none"/>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反-1,2-二氯乙烯</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16</w:t>
                  </w:r>
                </w:p>
              </w:tc>
              <w:tc>
                <w:tcPr>
                  <w:tcW w:w="306" w:type="pct"/>
                  <w:vMerge w:val="continue"/>
                  <w:tcBorders>
                    <w:tl2br w:val="nil"/>
                    <w:tr2bl w:val="nil"/>
                  </w:tcBorders>
                  <w:noWrap w:val="0"/>
                  <w:vAlign w:val="center"/>
                </w:tcPr>
                <w:p>
                  <w:pPr>
                    <w:pStyle w:val="29"/>
                    <w:bidi w:val="0"/>
                    <w:rPr>
                      <w:rFonts w:hint="default"/>
                      <w:highlight w:val="none"/>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二氯甲烷</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17</w:t>
                  </w:r>
                </w:p>
              </w:tc>
              <w:tc>
                <w:tcPr>
                  <w:tcW w:w="306" w:type="pct"/>
                  <w:vMerge w:val="continue"/>
                  <w:tcBorders>
                    <w:tl2br w:val="nil"/>
                    <w:tr2bl w:val="nil"/>
                  </w:tcBorders>
                  <w:noWrap w:val="0"/>
                  <w:vAlign w:val="center"/>
                </w:tcPr>
                <w:p>
                  <w:pPr>
                    <w:pStyle w:val="29"/>
                    <w:bidi w:val="0"/>
                    <w:rPr>
                      <w:rFonts w:hint="default"/>
                      <w:highlight w:val="none"/>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1,2-二氯丙烷</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18</w:t>
                  </w:r>
                </w:p>
              </w:tc>
              <w:tc>
                <w:tcPr>
                  <w:tcW w:w="306" w:type="pct"/>
                  <w:vMerge w:val="continue"/>
                  <w:tcBorders>
                    <w:tl2br w:val="nil"/>
                    <w:tr2bl w:val="nil"/>
                  </w:tcBorders>
                  <w:noWrap w:val="0"/>
                  <w:vAlign w:val="center"/>
                </w:tcPr>
                <w:p>
                  <w:pPr>
                    <w:pStyle w:val="29"/>
                    <w:bidi w:val="0"/>
                    <w:rPr>
                      <w:rFonts w:hint="default"/>
                      <w:highlight w:val="none"/>
                      <w:lang w:val="en-US" w:eastAsia="zh-CN"/>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1,1,1,2-四氯乙烷</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19</w:t>
                  </w:r>
                </w:p>
              </w:tc>
              <w:tc>
                <w:tcPr>
                  <w:tcW w:w="306" w:type="pct"/>
                  <w:vMerge w:val="continue"/>
                  <w:tcBorders>
                    <w:tl2br w:val="nil"/>
                    <w:tr2bl w:val="nil"/>
                  </w:tcBorders>
                  <w:noWrap w:val="0"/>
                  <w:vAlign w:val="center"/>
                </w:tcPr>
                <w:p>
                  <w:pPr>
                    <w:pStyle w:val="29"/>
                    <w:bidi w:val="0"/>
                    <w:rPr>
                      <w:rFonts w:hint="default"/>
                      <w:highlight w:val="none"/>
                      <w:lang w:val="en-US" w:eastAsia="zh-CN"/>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1,1,2,2-四氯乙烷</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20</w:t>
                  </w:r>
                </w:p>
              </w:tc>
              <w:tc>
                <w:tcPr>
                  <w:tcW w:w="306" w:type="pct"/>
                  <w:vMerge w:val="continue"/>
                  <w:tcBorders>
                    <w:tl2br w:val="nil"/>
                    <w:tr2bl w:val="nil"/>
                  </w:tcBorders>
                  <w:noWrap w:val="0"/>
                  <w:vAlign w:val="center"/>
                </w:tcPr>
                <w:p>
                  <w:pPr>
                    <w:pStyle w:val="29"/>
                    <w:bidi w:val="0"/>
                    <w:rPr>
                      <w:rFonts w:hint="default"/>
                      <w:highlight w:val="none"/>
                      <w:lang w:val="en-US" w:eastAsia="zh-CN"/>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四氯乙烯</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21</w:t>
                  </w:r>
                </w:p>
              </w:tc>
              <w:tc>
                <w:tcPr>
                  <w:tcW w:w="306" w:type="pct"/>
                  <w:vMerge w:val="continue"/>
                  <w:tcBorders>
                    <w:tl2br w:val="nil"/>
                    <w:tr2bl w:val="nil"/>
                  </w:tcBorders>
                  <w:noWrap w:val="0"/>
                  <w:vAlign w:val="center"/>
                </w:tcPr>
                <w:p>
                  <w:pPr>
                    <w:pStyle w:val="29"/>
                    <w:bidi w:val="0"/>
                    <w:rPr>
                      <w:rFonts w:hint="default"/>
                      <w:highlight w:val="none"/>
                      <w:lang w:val="en-US" w:eastAsia="zh-CN"/>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1,1,1-三氯乙烷</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22</w:t>
                  </w:r>
                </w:p>
              </w:tc>
              <w:tc>
                <w:tcPr>
                  <w:tcW w:w="306" w:type="pct"/>
                  <w:vMerge w:val="continue"/>
                  <w:tcBorders>
                    <w:tl2br w:val="nil"/>
                    <w:tr2bl w:val="nil"/>
                  </w:tcBorders>
                  <w:noWrap w:val="0"/>
                  <w:vAlign w:val="center"/>
                </w:tcPr>
                <w:p>
                  <w:pPr>
                    <w:pStyle w:val="29"/>
                    <w:bidi w:val="0"/>
                    <w:rPr>
                      <w:rFonts w:hint="default"/>
                      <w:highlight w:val="none"/>
                      <w:lang w:val="en-US" w:eastAsia="zh-CN"/>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1,1,2-三氯乙烷</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23</w:t>
                  </w:r>
                </w:p>
              </w:tc>
              <w:tc>
                <w:tcPr>
                  <w:tcW w:w="306" w:type="pct"/>
                  <w:vMerge w:val="continue"/>
                  <w:tcBorders>
                    <w:tl2br w:val="nil"/>
                    <w:tr2bl w:val="nil"/>
                  </w:tcBorders>
                  <w:noWrap w:val="0"/>
                  <w:vAlign w:val="center"/>
                </w:tcPr>
                <w:p>
                  <w:pPr>
                    <w:pStyle w:val="29"/>
                    <w:bidi w:val="0"/>
                    <w:rPr>
                      <w:rFonts w:hint="default"/>
                      <w:highlight w:val="none"/>
                      <w:lang w:val="en-US" w:eastAsia="zh-CN"/>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三氯乙烯</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24</w:t>
                  </w:r>
                </w:p>
              </w:tc>
              <w:tc>
                <w:tcPr>
                  <w:tcW w:w="306" w:type="pct"/>
                  <w:vMerge w:val="continue"/>
                  <w:tcBorders>
                    <w:tl2br w:val="nil"/>
                    <w:tr2bl w:val="nil"/>
                  </w:tcBorders>
                  <w:noWrap w:val="0"/>
                  <w:vAlign w:val="center"/>
                </w:tcPr>
                <w:p>
                  <w:pPr>
                    <w:pStyle w:val="29"/>
                    <w:bidi w:val="0"/>
                    <w:rPr>
                      <w:rFonts w:hint="default"/>
                      <w:highlight w:val="none"/>
                      <w:lang w:val="en-US" w:eastAsia="zh-CN"/>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1 ,2,3-三氯丙烷</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25</w:t>
                  </w:r>
                </w:p>
              </w:tc>
              <w:tc>
                <w:tcPr>
                  <w:tcW w:w="306" w:type="pct"/>
                  <w:vMerge w:val="continue"/>
                  <w:tcBorders>
                    <w:tl2br w:val="nil"/>
                    <w:tr2bl w:val="nil"/>
                  </w:tcBorders>
                  <w:noWrap w:val="0"/>
                  <w:vAlign w:val="center"/>
                </w:tcPr>
                <w:p>
                  <w:pPr>
                    <w:pStyle w:val="29"/>
                    <w:bidi w:val="0"/>
                    <w:rPr>
                      <w:rFonts w:hint="default"/>
                      <w:highlight w:val="none"/>
                      <w:lang w:val="en-US" w:eastAsia="zh-CN"/>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氯乙烯</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26</w:t>
                  </w:r>
                </w:p>
              </w:tc>
              <w:tc>
                <w:tcPr>
                  <w:tcW w:w="306" w:type="pct"/>
                  <w:vMerge w:val="continue"/>
                  <w:tcBorders>
                    <w:tl2br w:val="nil"/>
                    <w:tr2bl w:val="nil"/>
                  </w:tcBorders>
                  <w:noWrap w:val="0"/>
                  <w:vAlign w:val="center"/>
                </w:tcPr>
                <w:p>
                  <w:pPr>
                    <w:pStyle w:val="29"/>
                    <w:bidi w:val="0"/>
                    <w:rPr>
                      <w:rFonts w:hint="default"/>
                      <w:highlight w:val="none"/>
                      <w:lang w:val="en-US" w:eastAsia="zh-CN"/>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苯</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27</w:t>
                  </w:r>
                </w:p>
              </w:tc>
              <w:tc>
                <w:tcPr>
                  <w:tcW w:w="306" w:type="pct"/>
                  <w:vMerge w:val="continue"/>
                  <w:tcBorders>
                    <w:tl2br w:val="nil"/>
                    <w:tr2bl w:val="nil"/>
                  </w:tcBorders>
                  <w:noWrap w:val="0"/>
                  <w:vAlign w:val="center"/>
                </w:tcPr>
                <w:p>
                  <w:pPr>
                    <w:pStyle w:val="29"/>
                    <w:bidi w:val="0"/>
                    <w:rPr>
                      <w:rFonts w:hint="default"/>
                      <w:highlight w:val="none"/>
                      <w:lang w:val="en-US" w:eastAsia="zh-CN"/>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氯苯</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28</w:t>
                  </w:r>
                </w:p>
              </w:tc>
              <w:tc>
                <w:tcPr>
                  <w:tcW w:w="306" w:type="pct"/>
                  <w:vMerge w:val="continue"/>
                  <w:tcBorders>
                    <w:tl2br w:val="nil"/>
                    <w:tr2bl w:val="nil"/>
                  </w:tcBorders>
                  <w:noWrap w:val="0"/>
                  <w:vAlign w:val="center"/>
                </w:tcPr>
                <w:p>
                  <w:pPr>
                    <w:pStyle w:val="29"/>
                    <w:bidi w:val="0"/>
                    <w:rPr>
                      <w:rFonts w:hint="default"/>
                      <w:highlight w:val="none"/>
                      <w:lang w:val="en-US" w:eastAsia="zh-CN"/>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1，2-二氯苯</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29</w:t>
                  </w:r>
                </w:p>
              </w:tc>
              <w:tc>
                <w:tcPr>
                  <w:tcW w:w="306" w:type="pct"/>
                  <w:vMerge w:val="continue"/>
                  <w:tcBorders>
                    <w:tl2br w:val="nil"/>
                    <w:tr2bl w:val="nil"/>
                  </w:tcBorders>
                  <w:noWrap w:val="0"/>
                  <w:vAlign w:val="center"/>
                </w:tcPr>
                <w:p>
                  <w:pPr>
                    <w:pStyle w:val="29"/>
                    <w:bidi w:val="0"/>
                    <w:rPr>
                      <w:rFonts w:hint="default"/>
                      <w:highlight w:val="none"/>
                      <w:lang w:val="en-US" w:eastAsia="zh-CN"/>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1,4-二氯苯</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30</w:t>
                  </w:r>
                </w:p>
              </w:tc>
              <w:tc>
                <w:tcPr>
                  <w:tcW w:w="306" w:type="pct"/>
                  <w:vMerge w:val="continue"/>
                  <w:tcBorders>
                    <w:tl2br w:val="nil"/>
                    <w:tr2bl w:val="nil"/>
                  </w:tcBorders>
                  <w:noWrap w:val="0"/>
                  <w:vAlign w:val="center"/>
                </w:tcPr>
                <w:p>
                  <w:pPr>
                    <w:pStyle w:val="29"/>
                    <w:bidi w:val="0"/>
                    <w:rPr>
                      <w:rFonts w:hint="default"/>
                      <w:highlight w:val="none"/>
                      <w:lang w:val="en-US" w:eastAsia="zh-CN"/>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乙苯</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31</w:t>
                  </w:r>
                </w:p>
              </w:tc>
              <w:tc>
                <w:tcPr>
                  <w:tcW w:w="306" w:type="pct"/>
                  <w:vMerge w:val="continue"/>
                  <w:tcBorders>
                    <w:tl2br w:val="nil"/>
                    <w:tr2bl w:val="nil"/>
                  </w:tcBorders>
                  <w:noWrap w:val="0"/>
                  <w:vAlign w:val="center"/>
                </w:tcPr>
                <w:p>
                  <w:pPr>
                    <w:pStyle w:val="29"/>
                    <w:bidi w:val="0"/>
                    <w:rPr>
                      <w:rFonts w:hint="default"/>
                      <w:highlight w:val="none"/>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苯乙烯</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32</w:t>
                  </w:r>
                </w:p>
              </w:tc>
              <w:tc>
                <w:tcPr>
                  <w:tcW w:w="306" w:type="pct"/>
                  <w:vMerge w:val="continue"/>
                  <w:tcBorders>
                    <w:tl2br w:val="nil"/>
                    <w:tr2bl w:val="nil"/>
                  </w:tcBorders>
                  <w:noWrap w:val="0"/>
                  <w:vAlign w:val="center"/>
                </w:tcPr>
                <w:p>
                  <w:pPr>
                    <w:pStyle w:val="29"/>
                    <w:bidi w:val="0"/>
                    <w:rPr>
                      <w:rFonts w:hint="default"/>
                      <w:highlight w:val="none"/>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甲苯</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33</w:t>
                  </w:r>
                </w:p>
              </w:tc>
              <w:tc>
                <w:tcPr>
                  <w:tcW w:w="306" w:type="pct"/>
                  <w:vMerge w:val="continue"/>
                  <w:tcBorders>
                    <w:tl2br w:val="nil"/>
                    <w:tr2bl w:val="nil"/>
                  </w:tcBorders>
                  <w:noWrap w:val="0"/>
                  <w:vAlign w:val="center"/>
                </w:tcPr>
                <w:p>
                  <w:pPr>
                    <w:pStyle w:val="29"/>
                    <w:bidi w:val="0"/>
                    <w:rPr>
                      <w:rFonts w:hint="default"/>
                      <w:highlight w:val="none"/>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间二甲苯</w:t>
                  </w:r>
                  <w:r>
                    <w:rPr>
                      <w:rFonts w:hint="default"/>
                      <w:highlight w:val="none"/>
                      <w:lang w:val="en-US" w:eastAsia="zh-CN"/>
                    </w:rPr>
                    <w:t>+</w:t>
                  </w:r>
                  <w:r>
                    <w:rPr>
                      <w:rFonts w:hint="default"/>
                      <w:highlight w:val="none"/>
                    </w:rPr>
                    <w:t>对二甲苯</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34</w:t>
                  </w:r>
                </w:p>
              </w:tc>
              <w:tc>
                <w:tcPr>
                  <w:tcW w:w="306" w:type="pct"/>
                  <w:vMerge w:val="continue"/>
                  <w:tcBorders>
                    <w:tl2br w:val="nil"/>
                    <w:tr2bl w:val="nil"/>
                  </w:tcBorders>
                  <w:noWrap w:val="0"/>
                  <w:vAlign w:val="center"/>
                </w:tcPr>
                <w:p>
                  <w:pPr>
                    <w:pStyle w:val="29"/>
                    <w:bidi w:val="0"/>
                    <w:rPr>
                      <w:rFonts w:hint="default"/>
                      <w:highlight w:val="none"/>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邻二甲苯</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μg/kg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35</w:t>
                  </w:r>
                </w:p>
              </w:tc>
              <w:tc>
                <w:tcPr>
                  <w:tcW w:w="306" w:type="pct"/>
                  <w:vMerge w:val="restart"/>
                  <w:tcBorders>
                    <w:tl2br w:val="nil"/>
                    <w:tr2bl w:val="nil"/>
                  </w:tcBorders>
                  <w:noWrap w:val="0"/>
                  <w:vAlign w:val="center"/>
                </w:tcPr>
                <w:p>
                  <w:pPr>
                    <w:pStyle w:val="29"/>
                    <w:bidi w:val="0"/>
                    <w:rPr>
                      <w:rFonts w:hint="default"/>
                      <w:highlight w:val="none"/>
                      <w:lang w:val="en-US" w:eastAsia="zh-CN"/>
                    </w:rPr>
                  </w:pPr>
                </w:p>
                <w:p>
                  <w:pPr>
                    <w:pStyle w:val="29"/>
                    <w:bidi w:val="0"/>
                    <w:rPr>
                      <w:rFonts w:hint="default"/>
                      <w:highlight w:val="none"/>
                      <w:lang w:val="en-US" w:eastAsia="zh-CN"/>
                    </w:rPr>
                  </w:pPr>
                </w:p>
                <w:p>
                  <w:pPr>
                    <w:pStyle w:val="29"/>
                    <w:bidi w:val="0"/>
                    <w:rPr>
                      <w:rFonts w:hint="default"/>
                      <w:highlight w:val="none"/>
                      <w:lang w:val="en-US"/>
                    </w:rPr>
                  </w:pPr>
                  <w:r>
                    <w:rPr>
                      <w:rFonts w:hint="default"/>
                      <w:highlight w:val="none"/>
                      <w:lang w:val="en-US" w:eastAsia="zh-CN"/>
                    </w:rPr>
                    <w:t>半挥发性有机</w:t>
                  </w:r>
                  <w:r>
                    <w:rPr>
                      <w:rFonts w:hint="eastAsia"/>
                      <w:highlight w:val="none"/>
                      <w:lang w:val="en-US" w:eastAsia="zh-CN"/>
                    </w:rPr>
                    <w:t>物</w:t>
                  </w: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硝基苯</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vMerge w:val="restar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36</w:t>
                  </w:r>
                </w:p>
              </w:tc>
              <w:tc>
                <w:tcPr>
                  <w:tcW w:w="306" w:type="pct"/>
                  <w:vMerge w:val="continue"/>
                  <w:tcBorders>
                    <w:tl2br w:val="nil"/>
                    <w:tr2bl w:val="nil"/>
                  </w:tcBorders>
                  <w:noWrap w:val="0"/>
                  <w:vAlign w:val="center"/>
                </w:tcPr>
                <w:p>
                  <w:pPr>
                    <w:pStyle w:val="29"/>
                    <w:bidi w:val="0"/>
                    <w:rPr>
                      <w:rFonts w:hint="default"/>
                      <w:highlight w:val="none"/>
                    </w:rPr>
                  </w:pPr>
                </w:p>
              </w:tc>
              <w:tc>
                <w:tcPr>
                  <w:tcW w:w="330" w:type="pct"/>
                  <w:vMerge w:val="restart"/>
                  <w:tcBorders>
                    <w:tl2br w:val="nil"/>
                    <w:tr2bl w:val="nil"/>
                  </w:tcBorders>
                  <w:noWrap w:val="0"/>
                  <w:vAlign w:val="center"/>
                </w:tcPr>
                <w:p>
                  <w:pPr>
                    <w:pStyle w:val="29"/>
                    <w:bidi w:val="0"/>
                    <w:rPr>
                      <w:rFonts w:hint="default"/>
                      <w:highlight w:val="none"/>
                      <w:lang w:val="en-US" w:eastAsia="zh-CN"/>
                    </w:rPr>
                  </w:pPr>
                  <w:r>
                    <w:rPr>
                      <w:rFonts w:hint="default"/>
                      <w:highlight w:val="none"/>
                    </w:rPr>
                    <w:t>苯胺</w:t>
                  </w:r>
                </w:p>
              </w:tc>
              <w:tc>
                <w:tcPr>
                  <w:tcW w:w="92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4-氯苯胺</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vMerge w:val="continue"/>
                  <w:tcBorders>
                    <w:tl2br w:val="nil"/>
                    <w:tr2bl w:val="nil"/>
                  </w:tcBorders>
                  <w:noWrap w:val="0"/>
                  <w:vAlign w:val="center"/>
                </w:tcPr>
                <w:p>
                  <w:pPr>
                    <w:pStyle w:val="29"/>
                    <w:bidi w:val="0"/>
                    <w:rPr>
                      <w:highlight w:val="none"/>
                    </w:rPr>
                  </w:pPr>
                </w:p>
              </w:tc>
              <w:tc>
                <w:tcPr>
                  <w:tcW w:w="306" w:type="pct"/>
                  <w:vMerge w:val="continue"/>
                  <w:tcBorders>
                    <w:tl2br w:val="nil"/>
                    <w:tr2bl w:val="nil"/>
                  </w:tcBorders>
                  <w:noWrap w:val="0"/>
                  <w:vAlign w:val="center"/>
                </w:tcPr>
                <w:p>
                  <w:pPr>
                    <w:pStyle w:val="29"/>
                    <w:bidi w:val="0"/>
                    <w:rPr>
                      <w:highlight w:val="none"/>
                    </w:rPr>
                  </w:pPr>
                </w:p>
              </w:tc>
              <w:tc>
                <w:tcPr>
                  <w:tcW w:w="330" w:type="pct"/>
                  <w:vMerge w:val="continue"/>
                  <w:tcBorders>
                    <w:tl2br w:val="nil"/>
                    <w:tr2bl w:val="nil"/>
                  </w:tcBorders>
                  <w:noWrap w:val="0"/>
                  <w:vAlign w:val="center"/>
                </w:tcPr>
                <w:p>
                  <w:pPr>
                    <w:pStyle w:val="29"/>
                    <w:bidi w:val="0"/>
                    <w:rPr>
                      <w:highlight w:val="none"/>
                    </w:rPr>
                  </w:pPr>
                </w:p>
              </w:tc>
              <w:tc>
                <w:tcPr>
                  <w:tcW w:w="92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2-硝基苯胺</w:t>
                  </w:r>
                </w:p>
              </w:tc>
              <w:tc>
                <w:tcPr>
                  <w:tcW w:w="662" w:type="pct"/>
                  <w:tcBorders>
                    <w:tl2br w:val="nil"/>
                    <w:tr2bl w:val="nil"/>
                  </w:tcBorders>
                  <w:noWrap w:val="0"/>
                  <w:vAlign w:val="center"/>
                </w:tcPr>
                <w:p>
                  <w:pPr>
                    <w:pStyle w:val="29"/>
                    <w:bidi w:val="0"/>
                    <w:rPr>
                      <w:highlight w:val="none"/>
                    </w:rPr>
                  </w:pPr>
                  <w:r>
                    <w:rPr>
                      <w:rFonts w:hint="default"/>
                      <w:highlight w:val="none"/>
                      <w:lang w:val="en-US" w:eastAsia="zh-CN"/>
                    </w:rPr>
                    <w:t>mg/kg</w:t>
                  </w:r>
                </w:p>
              </w:tc>
              <w:tc>
                <w:tcPr>
                  <w:tcW w:w="1356" w:type="dxa"/>
                  <w:tcBorders>
                    <w:tl2br w:val="nil"/>
                    <w:tr2bl w:val="nil"/>
                  </w:tcBorders>
                  <w:noWrap w:val="0"/>
                  <w:vAlign w:val="center"/>
                </w:tcPr>
                <w:p>
                  <w:pPr>
                    <w:pStyle w:val="29"/>
                    <w:bidi w:val="0"/>
                    <w:ind w:firstLine="0" w:firstLineChars="0"/>
                    <w:rPr>
                      <w:highlight w:val="none"/>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highlight w:val="none"/>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highlight w:val="none"/>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vMerge w:val="continue"/>
                  <w:tcBorders>
                    <w:tl2br w:val="nil"/>
                    <w:tr2bl w:val="nil"/>
                  </w:tcBorders>
                  <w:noWrap w:val="0"/>
                  <w:vAlign w:val="center"/>
                </w:tcPr>
                <w:p>
                  <w:pPr>
                    <w:pStyle w:val="29"/>
                    <w:bidi w:val="0"/>
                    <w:rPr>
                      <w:highlight w:val="none"/>
                    </w:rPr>
                  </w:pPr>
                </w:p>
              </w:tc>
              <w:tc>
                <w:tcPr>
                  <w:tcW w:w="306" w:type="pct"/>
                  <w:vMerge w:val="continue"/>
                  <w:tcBorders>
                    <w:tl2br w:val="nil"/>
                    <w:tr2bl w:val="nil"/>
                  </w:tcBorders>
                  <w:noWrap w:val="0"/>
                  <w:vAlign w:val="center"/>
                </w:tcPr>
                <w:p>
                  <w:pPr>
                    <w:pStyle w:val="29"/>
                    <w:bidi w:val="0"/>
                    <w:rPr>
                      <w:highlight w:val="none"/>
                    </w:rPr>
                  </w:pPr>
                </w:p>
              </w:tc>
              <w:tc>
                <w:tcPr>
                  <w:tcW w:w="330" w:type="pct"/>
                  <w:vMerge w:val="continue"/>
                  <w:tcBorders>
                    <w:tl2br w:val="nil"/>
                    <w:tr2bl w:val="nil"/>
                  </w:tcBorders>
                  <w:noWrap w:val="0"/>
                  <w:vAlign w:val="center"/>
                </w:tcPr>
                <w:p>
                  <w:pPr>
                    <w:pStyle w:val="29"/>
                    <w:bidi w:val="0"/>
                    <w:rPr>
                      <w:highlight w:val="none"/>
                    </w:rPr>
                  </w:pPr>
                </w:p>
              </w:tc>
              <w:tc>
                <w:tcPr>
                  <w:tcW w:w="92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3-硝基苯胺</w:t>
                  </w:r>
                </w:p>
              </w:tc>
              <w:tc>
                <w:tcPr>
                  <w:tcW w:w="662" w:type="pct"/>
                  <w:tcBorders>
                    <w:tl2br w:val="nil"/>
                    <w:tr2bl w:val="nil"/>
                  </w:tcBorders>
                  <w:noWrap w:val="0"/>
                  <w:vAlign w:val="center"/>
                </w:tcPr>
                <w:p>
                  <w:pPr>
                    <w:pStyle w:val="29"/>
                    <w:bidi w:val="0"/>
                    <w:rPr>
                      <w:highlight w:val="none"/>
                    </w:rPr>
                  </w:pPr>
                  <w:r>
                    <w:rPr>
                      <w:rFonts w:hint="default"/>
                      <w:highlight w:val="none"/>
                      <w:lang w:val="en-US" w:eastAsia="zh-CN"/>
                    </w:rPr>
                    <w:t>mg/kg</w:t>
                  </w:r>
                </w:p>
              </w:tc>
              <w:tc>
                <w:tcPr>
                  <w:tcW w:w="1356" w:type="dxa"/>
                  <w:tcBorders>
                    <w:tl2br w:val="nil"/>
                    <w:tr2bl w:val="nil"/>
                  </w:tcBorders>
                  <w:noWrap w:val="0"/>
                  <w:vAlign w:val="center"/>
                </w:tcPr>
                <w:p>
                  <w:pPr>
                    <w:pStyle w:val="29"/>
                    <w:bidi w:val="0"/>
                    <w:ind w:firstLine="0" w:firstLineChars="0"/>
                    <w:rPr>
                      <w:highlight w:val="none"/>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highlight w:val="none"/>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highlight w:val="none"/>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vMerge w:val="continue"/>
                  <w:tcBorders>
                    <w:tl2br w:val="nil"/>
                    <w:tr2bl w:val="nil"/>
                  </w:tcBorders>
                  <w:noWrap w:val="0"/>
                  <w:vAlign w:val="center"/>
                </w:tcPr>
                <w:p>
                  <w:pPr>
                    <w:pStyle w:val="29"/>
                    <w:bidi w:val="0"/>
                    <w:rPr>
                      <w:highlight w:val="none"/>
                    </w:rPr>
                  </w:pPr>
                </w:p>
              </w:tc>
              <w:tc>
                <w:tcPr>
                  <w:tcW w:w="306" w:type="pct"/>
                  <w:vMerge w:val="continue"/>
                  <w:tcBorders>
                    <w:tl2br w:val="nil"/>
                    <w:tr2bl w:val="nil"/>
                  </w:tcBorders>
                  <w:noWrap w:val="0"/>
                  <w:vAlign w:val="center"/>
                </w:tcPr>
                <w:p>
                  <w:pPr>
                    <w:pStyle w:val="29"/>
                    <w:bidi w:val="0"/>
                    <w:rPr>
                      <w:highlight w:val="none"/>
                    </w:rPr>
                  </w:pPr>
                </w:p>
              </w:tc>
              <w:tc>
                <w:tcPr>
                  <w:tcW w:w="330" w:type="pct"/>
                  <w:vMerge w:val="continue"/>
                  <w:tcBorders>
                    <w:tl2br w:val="nil"/>
                    <w:tr2bl w:val="nil"/>
                  </w:tcBorders>
                  <w:noWrap w:val="0"/>
                  <w:vAlign w:val="center"/>
                </w:tcPr>
                <w:p>
                  <w:pPr>
                    <w:pStyle w:val="29"/>
                    <w:bidi w:val="0"/>
                    <w:rPr>
                      <w:highlight w:val="none"/>
                    </w:rPr>
                  </w:pPr>
                </w:p>
              </w:tc>
              <w:tc>
                <w:tcPr>
                  <w:tcW w:w="924"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4-硝基苯胺</w:t>
                  </w:r>
                </w:p>
              </w:tc>
              <w:tc>
                <w:tcPr>
                  <w:tcW w:w="662" w:type="pct"/>
                  <w:tcBorders>
                    <w:tl2br w:val="nil"/>
                    <w:tr2bl w:val="nil"/>
                  </w:tcBorders>
                  <w:noWrap w:val="0"/>
                  <w:vAlign w:val="center"/>
                </w:tcPr>
                <w:p>
                  <w:pPr>
                    <w:pStyle w:val="29"/>
                    <w:bidi w:val="0"/>
                    <w:rPr>
                      <w:highlight w:val="none"/>
                    </w:rPr>
                  </w:pPr>
                  <w:r>
                    <w:rPr>
                      <w:rFonts w:hint="default"/>
                      <w:highlight w:val="none"/>
                      <w:lang w:val="en-US" w:eastAsia="zh-CN"/>
                    </w:rPr>
                    <w:t>mg/kg</w:t>
                  </w:r>
                </w:p>
              </w:tc>
              <w:tc>
                <w:tcPr>
                  <w:tcW w:w="1356" w:type="dxa"/>
                  <w:tcBorders>
                    <w:tl2br w:val="nil"/>
                    <w:tr2bl w:val="nil"/>
                  </w:tcBorders>
                  <w:noWrap w:val="0"/>
                  <w:vAlign w:val="center"/>
                </w:tcPr>
                <w:p>
                  <w:pPr>
                    <w:pStyle w:val="29"/>
                    <w:bidi w:val="0"/>
                    <w:ind w:firstLine="0" w:firstLineChars="0"/>
                    <w:rPr>
                      <w:highlight w:val="none"/>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highlight w:val="none"/>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highlight w:val="none"/>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37</w:t>
                  </w:r>
                </w:p>
              </w:tc>
              <w:tc>
                <w:tcPr>
                  <w:tcW w:w="306" w:type="pct"/>
                  <w:vMerge w:val="continue"/>
                  <w:tcBorders>
                    <w:tl2br w:val="nil"/>
                    <w:tr2bl w:val="nil"/>
                  </w:tcBorders>
                  <w:noWrap w:val="0"/>
                  <w:vAlign w:val="center"/>
                </w:tcPr>
                <w:p>
                  <w:pPr>
                    <w:pStyle w:val="29"/>
                    <w:bidi w:val="0"/>
                    <w:rPr>
                      <w:rFonts w:hint="default"/>
                      <w:highlight w:val="none"/>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2-氯酚</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38</w:t>
                  </w:r>
                </w:p>
              </w:tc>
              <w:tc>
                <w:tcPr>
                  <w:tcW w:w="306" w:type="pct"/>
                  <w:vMerge w:val="continue"/>
                  <w:tcBorders>
                    <w:tl2br w:val="nil"/>
                    <w:tr2bl w:val="nil"/>
                  </w:tcBorders>
                  <w:noWrap w:val="0"/>
                  <w:vAlign w:val="center"/>
                </w:tcPr>
                <w:p>
                  <w:pPr>
                    <w:pStyle w:val="29"/>
                    <w:bidi w:val="0"/>
                    <w:rPr>
                      <w:rFonts w:hint="default"/>
                      <w:highlight w:val="none"/>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苯并[a]蒽</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39</w:t>
                  </w:r>
                </w:p>
              </w:tc>
              <w:tc>
                <w:tcPr>
                  <w:tcW w:w="306" w:type="pct"/>
                  <w:vMerge w:val="continue"/>
                  <w:tcBorders>
                    <w:tl2br w:val="nil"/>
                    <w:tr2bl w:val="nil"/>
                  </w:tcBorders>
                  <w:noWrap w:val="0"/>
                  <w:vAlign w:val="center"/>
                </w:tcPr>
                <w:p>
                  <w:pPr>
                    <w:pStyle w:val="29"/>
                    <w:bidi w:val="0"/>
                    <w:rPr>
                      <w:rFonts w:hint="default"/>
                      <w:highlight w:val="none"/>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苯并[a]芘</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40</w:t>
                  </w:r>
                </w:p>
              </w:tc>
              <w:tc>
                <w:tcPr>
                  <w:tcW w:w="306" w:type="pct"/>
                  <w:vMerge w:val="continue"/>
                  <w:tcBorders>
                    <w:tl2br w:val="nil"/>
                    <w:tr2bl w:val="nil"/>
                  </w:tcBorders>
                  <w:noWrap w:val="0"/>
                  <w:vAlign w:val="center"/>
                </w:tcPr>
                <w:p>
                  <w:pPr>
                    <w:pStyle w:val="29"/>
                    <w:bidi w:val="0"/>
                    <w:rPr>
                      <w:rFonts w:hint="default"/>
                      <w:highlight w:val="none"/>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苯并[b]荧蒽</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41</w:t>
                  </w:r>
                </w:p>
              </w:tc>
              <w:tc>
                <w:tcPr>
                  <w:tcW w:w="306" w:type="pct"/>
                  <w:vMerge w:val="continue"/>
                  <w:tcBorders>
                    <w:tl2br w:val="nil"/>
                    <w:tr2bl w:val="nil"/>
                  </w:tcBorders>
                  <w:noWrap w:val="0"/>
                  <w:vAlign w:val="center"/>
                </w:tcPr>
                <w:p>
                  <w:pPr>
                    <w:pStyle w:val="29"/>
                    <w:bidi w:val="0"/>
                    <w:rPr>
                      <w:rFonts w:hint="default"/>
                      <w:highlight w:val="none"/>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苯并[k]荧蒽</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42</w:t>
                  </w:r>
                </w:p>
              </w:tc>
              <w:tc>
                <w:tcPr>
                  <w:tcW w:w="306" w:type="pct"/>
                  <w:vMerge w:val="continue"/>
                  <w:tcBorders>
                    <w:tl2br w:val="nil"/>
                    <w:tr2bl w:val="nil"/>
                  </w:tcBorders>
                  <w:noWrap w:val="0"/>
                  <w:vAlign w:val="center"/>
                </w:tcPr>
                <w:p>
                  <w:pPr>
                    <w:pStyle w:val="29"/>
                    <w:bidi w:val="0"/>
                    <w:rPr>
                      <w:rFonts w:hint="default"/>
                      <w:highlight w:val="none"/>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䓛</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43</w:t>
                  </w:r>
                </w:p>
              </w:tc>
              <w:tc>
                <w:tcPr>
                  <w:tcW w:w="306" w:type="pct"/>
                  <w:vMerge w:val="continue"/>
                  <w:tcBorders>
                    <w:tl2br w:val="nil"/>
                    <w:tr2bl w:val="nil"/>
                  </w:tcBorders>
                  <w:noWrap w:val="0"/>
                  <w:vAlign w:val="center"/>
                </w:tcPr>
                <w:p>
                  <w:pPr>
                    <w:pStyle w:val="29"/>
                    <w:bidi w:val="0"/>
                    <w:rPr>
                      <w:rFonts w:hint="default"/>
                      <w:highlight w:val="none"/>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二苯并[a,h]蒽</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44</w:t>
                  </w:r>
                </w:p>
              </w:tc>
              <w:tc>
                <w:tcPr>
                  <w:tcW w:w="306" w:type="pct"/>
                  <w:vMerge w:val="continue"/>
                  <w:tcBorders>
                    <w:tl2br w:val="nil"/>
                    <w:tr2bl w:val="nil"/>
                  </w:tcBorders>
                  <w:noWrap w:val="0"/>
                  <w:vAlign w:val="center"/>
                </w:tcPr>
                <w:p>
                  <w:pPr>
                    <w:pStyle w:val="29"/>
                    <w:bidi w:val="0"/>
                    <w:rPr>
                      <w:rFonts w:hint="default"/>
                      <w:highlight w:val="none"/>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茚并[1,2,3-cd]芘</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tcBorders>
                    <w:tl2br w:val="nil"/>
                    <w:tr2bl w:val="nil"/>
                  </w:tcBorders>
                  <w:noWrap w:val="0"/>
                  <w:vAlign w:val="center"/>
                </w:tcPr>
                <w:p>
                  <w:pPr>
                    <w:pStyle w:val="29"/>
                    <w:bidi w:val="0"/>
                    <w:rPr>
                      <w:rFonts w:hint="default"/>
                      <w:highlight w:val="none"/>
                      <w:lang w:val="en-US" w:eastAsia="zh-CN"/>
                    </w:rPr>
                  </w:pPr>
                  <w:r>
                    <w:rPr>
                      <w:rFonts w:hint="eastAsia"/>
                      <w:highlight w:val="none"/>
                      <w:lang w:val="en-US" w:eastAsia="zh-CN"/>
                    </w:rPr>
                    <w:t>45</w:t>
                  </w:r>
                </w:p>
              </w:tc>
              <w:tc>
                <w:tcPr>
                  <w:tcW w:w="306" w:type="pct"/>
                  <w:vMerge w:val="continue"/>
                  <w:tcBorders>
                    <w:tl2br w:val="nil"/>
                    <w:tr2bl w:val="nil"/>
                  </w:tcBorders>
                  <w:noWrap w:val="0"/>
                  <w:vAlign w:val="center"/>
                </w:tcPr>
                <w:p>
                  <w:pPr>
                    <w:pStyle w:val="29"/>
                    <w:bidi w:val="0"/>
                    <w:rPr>
                      <w:rFonts w:hint="default"/>
                      <w:highlight w:val="none"/>
                    </w:rPr>
                  </w:pPr>
                </w:p>
              </w:tc>
              <w:tc>
                <w:tcPr>
                  <w:tcW w:w="1254" w:type="pct"/>
                  <w:gridSpan w:val="2"/>
                  <w:tcBorders>
                    <w:tl2br w:val="nil"/>
                    <w:tr2bl w:val="nil"/>
                  </w:tcBorders>
                  <w:noWrap w:val="0"/>
                  <w:vAlign w:val="center"/>
                </w:tcPr>
                <w:p>
                  <w:pPr>
                    <w:pStyle w:val="29"/>
                    <w:bidi w:val="0"/>
                    <w:rPr>
                      <w:rFonts w:hint="default"/>
                      <w:highlight w:val="none"/>
                      <w:lang w:val="en-US" w:eastAsia="zh-CN"/>
                    </w:rPr>
                  </w:pPr>
                  <w:r>
                    <w:rPr>
                      <w:rFonts w:hint="default"/>
                      <w:highlight w:val="none"/>
                    </w:rPr>
                    <w:t>萘</w:t>
                  </w:r>
                </w:p>
              </w:tc>
              <w:tc>
                <w:tcPr>
                  <w:tcW w:w="662" w:type="pct"/>
                  <w:tcBorders>
                    <w:tl2br w:val="nil"/>
                    <w:tr2bl w:val="nil"/>
                  </w:tcBorders>
                  <w:noWrap w:val="0"/>
                  <w:vAlign w:val="center"/>
                </w:tcPr>
                <w:p>
                  <w:pPr>
                    <w:pStyle w:val="29"/>
                    <w:bidi w:val="0"/>
                    <w:rPr>
                      <w:rFonts w:hint="default"/>
                      <w:highlight w:val="none"/>
                      <w:lang w:val="en-US" w:eastAsia="zh-CN"/>
                    </w:rPr>
                  </w:pPr>
                  <w:r>
                    <w:rPr>
                      <w:rFonts w:hint="default"/>
                      <w:highlight w:val="none"/>
                      <w:lang w:val="en-US" w:eastAsia="zh-CN"/>
                    </w:rPr>
                    <w:t>mg/kg</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56"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c>
                <w:tcPr>
                  <w:tcW w:w="1361" w:type="dxa"/>
                  <w:tcBorders>
                    <w:tl2br w:val="nil"/>
                    <w:tr2bl w:val="nil"/>
                  </w:tcBorders>
                  <w:noWrap w:val="0"/>
                  <w:vAlign w:val="center"/>
                </w:tcPr>
                <w:p>
                  <w:pPr>
                    <w:pStyle w:val="29"/>
                    <w:bidi w:val="0"/>
                    <w:ind w:firstLine="0" w:firstLineChars="0"/>
                    <w:rPr>
                      <w:rFonts w:hint="default"/>
                      <w:highlight w:val="none"/>
                      <w:lang w:val="en-US" w:eastAsia="zh-CN"/>
                    </w:rPr>
                  </w:pPr>
                  <w:r>
                    <w:rPr>
                      <w:rFonts w:hint="eastAsia"/>
                      <w:highlight w:val="none"/>
                      <w:lang w:val="en-US" w:eastAsia="zh-CN"/>
                    </w:rPr>
                    <w:t>ND</w:t>
                  </w:r>
                </w:p>
              </w:tc>
            </w:tr>
          </w:tbl>
          <w:p>
            <w:pPr>
              <w:pStyle w:val="48"/>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Times New Roman" w:hAnsi="Times New Roman" w:cs="Times New Roman"/>
                <w:b/>
                <w:sz w:val="24"/>
                <w:highlight w:val="none"/>
                <w:lang w:val="en-US" w:eastAsia="zh-CN"/>
              </w:rPr>
            </w:pPr>
            <w:r>
              <w:rPr>
                <w:rFonts w:hint="default" w:ascii="Times New Roman" w:hAnsi="Times New Roman" w:cs="Times New Roman"/>
                <w:b w:val="0"/>
                <w:bCs/>
                <w:color w:val="auto"/>
                <w:sz w:val="24"/>
                <w:szCs w:val="24"/>
                <w:highlight w:val="none"/>
              </w:rPr>
              <w:t>由上表分析可知，项目所在地土壤各项指标均满足《土壤环境质量 建设用地土壤污染风险管控标准</w:t>
            </w:r>
            <w:r>
              <w:rPr>
                <w:rFonts w:hint="eastAsia" w:cs="Times New Roman"/>
                <w:b w:val="0"/>
                <w:bCs/>
                <w:color w:val="auto"/>
                <w:sz w:val="24"/>
                <w:highlight w:val="none"/>
                <w:lang w:val="en-US" w:eastAsia="zh-CN"/>
              </w:rPr>
              <w:t>（试行）</w:t>
            </w:r>
            <w:r>
              <w:rPr>
                <w:rFonts w:hint="default" w:ascii="Times New Roman" w:hAnsi="Times New Roman" w:cs="Times New Roman"/>
                <w:b w:val="0"/>
                <w:bCs/>
                <w:color w:val="auto"/>
                <w:sz w:val="24"/>
                <w:szCs w:val="24"/>
                <w:highlight w:val="none"/>
              </w:rPr>
              <w:t>》（GB36600-2018）中第二类用地中筛选值的要求。</w:t>
            </w:r>
          </w:p>
          <w:p>
            <w:pPr>
              <w:adjustRightInd w:val="0"/>
              <w:snapToGrid w:val="0"/>
              <w:spacing w:line="360" w:lineRule="auto"/>
              <w:ind w:firstLine="482" w:firstLineChars="200"/>
              <w:rPr>
                <w:b/>
                <w:bCs/>
                <w:sz w:val="24"/>
                <w:highlight w:val="none"/>
              </w:rPr>
            </w:pPr>
            <w:r>
              <w:rPr>
                <w:rFonts w:hint="eastAsia"/>
                <w:b/>
                <w:sz w:val="24"/>
                <w:highlight w:val="none"/>
              </w:rPr>
              <w:t>5、</w:t>
            </w:r>
            <w:r>
              <w:rPr>
                <w:b/>
                <w:sz w:val="24"/>
                <w:highlight w:val="none"/>
              </w:rPr>
              <w:t>生态环境现状</w:t>
            </w:r>
          </w:p>
          <w:p>
            <w:pPr>
              <w:adjustRightInd w:val="0"/>
              <w:snapToGrid w:val="0"/>
              <w:spacing w:line="360" w:lineRule="auto"/>
              <w:ind w:firstLine="480" w:firstLineChars="200"/>
              <w:rPr>
                <w:sz w:val="24"/>
                <w:highlight w:val="none"/>
              </w:rPr>
            </w:pPr>
            <w:r>
              <w:rPr>
                <w:sz w:val="24"/>
                <w:highlight w:val="none"/>
              </w:rPr>
              <w:t>项目区域生态环境以人工生态环境为主，周边500m范围内无重点保护的野生动植物、风景名胜区、自然保护区及文化遗产等特殊保护目标。</w:t>
            </w: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rFonts w:hint="eastAsia" w:eastAsia="宋体"/>
                <w:sz w:val="24"/>
                <w:lang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454" w:hRule="atLeast"/>
          <w:jc w:val="center"/>
        </w:trPr>
        <w:tc>
          <w:tcPr>
            <w:tcW w:w="8951" w:type="dxa"/>
            <w:vAlign w:val="top"/>
          </w:tcPr>
          <w:p>
            <w:pPr>
              <w:pStyle w:val="4"/>
              <w:bidi w:val="0"/>
              <w:ind w:left="0" w:leftChars="0" w:firstLine="0" w:firstLineChars="0"/>
              <w:rPr>
                <w:highlight w:val="none"/>
              </w:rPr>
            </w:pPr>
            <w:r>
              <w:rPr>
                <w:highlight w:val="none"/>
              </w:rPr>
              <w:t>主要环境保护目标(列出名单及保护级别)：</w:t>
            </w:r>
          </w:p>
          <w:p>
            <w:pPr>
              <w:bidi w:val="0"/>
              <w:rPr>
                <w:highlight w:val="none"/>
              </w:rPr>
            </w:pPr>
            <w:r>
              <w:rPr>
                <w:highlight w:val="none"/>
              </w:rPr>
              <w:t>根据现场调查情况，本项目周围环境保护目标和保护级别见下表</w:t>
            </w:r>
            <w:r>
              <w:rPr>
                <w:rFonts w:hint="eastAsia"/>
                <w:highlight w:val="none"/>
                <w:lang w:val="en-US" w:eastAsia="zh-CN"/>
              </w:rPr>
              <w:t>26</w:t>
            </w:r>
            <w:r>
              <w:rPr>
                <w:highlight w:val="none"/>
              </w:rPr>
              <w:t>。</w:t>
            </w:r>
          </w:p>
          <w:p>
            <w:pPr>
              <w:pStyle w:val="45"/>
              <w:bidi w:val="0"/>
              <w:rPr>
                <w:highlight w:val="none"/>
              </w:rPr>
            </w:pPr>
            <w:r>
              <w:rPr>
                <w:highlight w:val="none"/>
              </w:rPr>
              <w:t>表</w:t>
            </w:r>
            <w:r>
              <w:rPr>
                <w:rFonts w:hint="eastAsia"/>
                <w:highlight w:val="none"/>
                <w:lang w:val="en-US" w:eastAsia="zh-CN"/>
              </w:rPr>
              <w:t>26</w:t>
            </w:r>
            <w:r>
              <w:rPr>
                <w:highlight w:val="none"/>
              </w:rPr>
              <w:t xml:space="preserve">            主要环境保护目标一览表</w:t>
            </w:r>
          </w:p>
          <w:tbl>
            <w:tblPr>
              <w:tblStyle w:val="22"/>
              <w:tblW w:w="8754" w:type="dxa"/>
              <w:tblInd w:w="-11"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433"/>
              <w:gridCol w:w="856"/>
              <w:gridCol w:w="1233"/>
              <w:gridCol w:w="1155"/>
              <w:gridCol w:w="886"/>
              <w:gridCol w:w="918"/>
              <w:gridCol w:w="1838"/>
              <w:gridCol w:w="660"/>
              <w:gridCol w:w="775"/>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433" w:type="dxa"/>
                  <w:vMerge w:val="restart"/>
                  <w:tcBorders>
                    <w:right w:val="single" w:color="auto" w:sz="4" w:space="0"/>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eastAsia"/>
                      <w:highlight w:val="none"/>
                      <w:lang w:val="en-US" w:eastAsia="zh-CN"/>
                    </w:rPr>
                    <w:t>类别</w:t>
                  </w:r>
                </w:p>
              </w:tc>
              <w:tc>
                <w:tcPr>
                  <w:tcW w:w="856" w:type="dxa"/>
                  <w:vMerge w:val="restart"/>
                  <w:tcBorders>
                    <w:right w:val="single" w:color="auto" w:sz="4" w:space="0"/>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highlight w:val="none"/>
                    </w:rPr>
                  </w:pPr>
                  <w:r>
                    <w:rPr>
                      <w:rFonts w:hint="default"/>
                      <w:highlight w:val="none"/>
                      <w:lang w:val="en-US" w:eastAsia="zh-CN"/>
                    </w:rPr>
                    <w:t>名称</w:t>
                  </w:r>
                </w:p>
              </w:tc>
              <w:tc>
                <w:tcPr>
                  <w:tcW w:w="2388" w:type="dxa"/>
                  <w:gridSpan w:val="2"/>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default"/>
                      <w:highlight w:val="none"/>
                      <w:lang w:val="en-US" w:eastAsia="zh-CN"/>
                    </w:rPr>
                    <w:t>坐标</w:t>
                  </w:r>
                  <w:r>
                    <w:rPr>
                      <w:rFonts w:hint="eastAsia"/>
                      <w:highlight w:val="none"/>
                      <w:lang w:val="en-US" w:eastAsia="zh-CN"/>
                    </w:rPr>
                    <w:t>/m</w:t>
                  </w:r>
                </w:p>
              </w:tc>
              <w:tc>
                <w:tcPr>
                  <w:tcW w:w="886" w:type="dxa"/>
                  <w:vMerge w:val="restar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r>
                    <w:rPr>
                      <w:rFonts w:hint="eastAsia"/>
                      <w:highlight w:val="none"/>
                      <w:lang w:val="en-US" w:eastAsia="zh-CN"/>
                    </w:rPr>
                    <w:t>保护</w:t>
                  </w:r>
                </w:p>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eastAsia"/>
                      <w:highlight w:val="none"/>
                      <w:lang w:val="en-US" w:eastAsia="zh-CN"/>
                    </w:rPr>
                    <w:t>对象</w:t>
                  </w:r>
                </w:p>
              </w:tc>
              <w:tc>
                <w:tcPr>
                  <w:tcW w:w="918" w:type="dxa"/>
                  <w:vMerge w:val="restar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r>
                    <w:rPr>
                      <w:rFonts w:hint="eastAsia"/>
                      <w:highlight w:val="none"/>
                      <w:lang w:val="en-US" w:eastAsia="zh-CN"/>
                    </w:rPr>
                    <w:t>保护</w:t>
                  </w:r>
                </w:p>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eastAsia"/>
                      <w:highlight w:val="none"/>
                      <w:lang w:val="en-US" w:eastAsia="zh-CN"/>
                    </w:rPr>
                    <w:t>内容</w:t>
                  </w:r>
                </w:p>
              </w:tc>
              <w:tc>
                <w:tcPr>
                  <w:tcW w:w="1838" w:type="dxa"/>
                  <w:vMerge w:val="restar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eastAsia"/>
                      <w:highlight w:val="none"/>
                      <w:lang w:val="en-US" w:eastAsia="zh-CN"/>
                    </w:rPr>
                    <w:t>环境功能区</w:t>
                  </w:r>
                </w:p>
              </w:tc>
              <w:tc>
                <w:tcPr>
                  <w:tcW w:w="660" w:type="dxa"/>
                  <w:vMerge w:val="restar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eastAsia"/>
                      <w:highlight w:val="none"/>
                      <w:lang w:val="en-US" w:eastAsia="zh-CN"/>
                    </w:rPr>
                    <w:t>相对厂址方位</w:t>
                  </w:r>
                </w:p>
              </w:tc>
              <w:tc>
                <w:tcPr>
                  <w:tcW w:w="775" w:type="dxa"/>
                  <w:vMerge w:val="restar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eastAsia"/>
                      <w:highlight w:val="none"/>
                      <w:lang w:val="en-US" w:eastAsia="zh-CN"/>
                    </w:rPr>
                    <w:t>相对厂界距离/m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433" w:type="dxa"/>
                  <w:vMerge w:val="continue"/>
                  <w:tcBorders>
                    <w:right w:val="single" w:color="auto" w:sz="4" w:space="0"/>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p>
              </w:tc>
              <w:tc>
                <w:tcPr>
                  <w:tcW w:w="856" w:type="dxa"/>
                  <w:vMerge w:val="continue"/>
                  <w:tcBorders>
                    <w:right w:val="single" w:color="auto" w:sz="4" w:space="0"/>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highlight w:val="none"/>
                    </w:rPr>
                  </w:pPr>
                </w:p>
              </w:tc>
              <w:tc>
                <w:tcPr>
                  <w:tcW w:w="1233"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default"/>
                      <w:highlight w:val="none"/>
                      <w:lang w:val="en-US" w:eastAsia="zh-CN"/>
                    </w:rPr>
                    <w:t>X</w:t>
                  </w:r>
                </w:p>
              </w:tc>
              <w:tc>
                <w:tcPr>
                  <w:tcW w:w="1155"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default"/>
                      <w:highlight w:val="none"/>
                      <w:lang w:val="en-US" w:eastAsia="zh-CN"/>
                    </w:rPr>
                    <w:t>Y</w:t>
                  </w:r>
                </w:p>
              </w:tc>
              <w:tc>
                <w:tcPr>
                  <w:tcW w:w="886" w:type="dxa"/>
                  <w:vMerge w:val="continue"/>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p>
              </w:tc>
              <w:tc>
                <w:tcPr>
                  <w:tcW w:w="918" w:type="dxa"/>
                  <w:vMerge w:val="continue"/>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p>
              </w:tc>
              <w:tc>
                <w:tcPr>
                  <w:tcW w:w="1838" w:type="dxa"/>
                  <w:vMerge w:val="continue"/>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p>
              </w:tc>
              <w:tc>
                <w:tcPr>
                  <w:tcW w:w="660" w:type="dxa"/>
                  <w:vMerge w:val="continue"/>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p>
              </w:tc>
              <w:tc>
                <w:tcPr>
                  <w:tcW w:w="775" w:type="dxa"/>
                  <w:vMerge w:val="continue"/>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433" w:type="dxa"/>
                  <w:vMerge w:val="restart"/>
                  <w:tcBorders>
                    <w:right w:val="single" w:color="auto" w:sz="4" w:space="0"/>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r>
                    <w:rPr>
                      <w:rFonts w:hint="default"/>
                      <w:highlight w:val="none"/>
                    </w:rPr>
                    <w:t>大气环境</w:t>
                  </w:r>
                </w:p>
              </w:tc>
              <w:tc>
                <w:tcPr>
                  <w:tcW w:w="856" w:type="dxa"/>
                  <w:tcBorders>
                    <w:right w:val="single" w:color="auto" w:sz="4" w:space="0"/>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rPr>
                  </w:pPr>
                  <w:r>
                    <w:rPr>
                      <w:rFonts w:hint="eastAsia"/>
                      <w:color w:val="000000" w:themeColor="text1"/>
                      <w:highlight w:val="none"/>
                      <w:lang w:val="en-US" w:eastAsia="zh-CN"/>
                      <w14:textFill>
                        <w14:solidFill>
                          <w14:schemeClr w14:val="tx1"/>
                        </w14:solidFill>
                      </w14:textFill>
                    </w:rPr>
                    <w:t>代店村</w:t>
                  </w:r>
                </w:p>
              </w:tc>
              <w:tc>
                <w:tcPr>
                  <w:tcW w:w="1233"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default"/>
                      <w:highlight w:val="none"/>
                      <w:lang w:val="en-US" w:eastAsia="zh-CN"/>
                    </w:rPr>
                    <w:t>113.766958</w:t>
                  </w:r>
                </w:p>
              </w:tc>
              <w:tc>
                <w:tcPr>
                  <w:tcW w:w="1155"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default"/>
                      <w:highlight w:val="none"/>
                      <w:lang w:val="en-US" w:eastAsia="zh-CN"/>
                    </w:rPr>
                    <w:t>35.282814</w:t>
                  </w:r>
                </w:p>
              </w:tc>
              <w:tc>
                <w:tcPr>
                  <w:tcW w:w="886"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r>
                    <w:rPr>
                      <w:rFonts w:hint="eastAsia"/>
                      <w:highlight w:val="none"/>
                      <w:lang w:val="en-US" w:eastAsia="zh-CN"/>
                    </w:rPr>
                    <w:t>居民区</w:t>
                  </w:r>
                </w:p>
              </w:tc>
              <w:tc>
                <w:tcPr>
                  <w:tcW w:w="918"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eastAsia"/>
                      <w:highlight w:val="none"/>
                      <w:lang w:val="en-US" w:eastAsia="zh-CN"/>
                    </w:rPr>
                    <w:t>1600人</w:t>
                  </w:r>
                </w:p>
              </w:tc>
              <w:tc>
                <w:tcPr>
                  <w:tcW w:w="1838" w:type="dxa"/>
                  <w:vMerge w:val="restar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default"/>
                      <w:highlight w:val="none"/>
                      <w:lang w:val="en-US" w:eastAsia="zh-CN"/>
                    </w:rPr>
                    <w:t>大气环境</w:t>
                  </w:r>
                </w:p>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default"/>
                      <w:highlight w:val="none"/>
                      <w:lang w:val="en-US" w:eastAsia="zh-CN"/>
                    </w:rPr>
                    <w:t>二类区</w:t>
                  </w:r>
                </w:p>
              </w:tc>
              <w:tc>
                <w:tcPr>
                  <w:tcW w:w="660"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eastAsia"/>
                      <w:highlight w:val="none"/>
                      <w:lang w:val="en-US" w:eastAsia="zh-CN"/>
                    </w:rPr>
                    <w:t>西</w:t>
                  </w:r>
                </w:p>
              </w:tc>
              <w:tc>
                <w:tcPr>
                  <w:tcW w:w="775"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eastAsia"/>
                      <w:highlight w:val="none"/>
                      <w:lang w:val="en-US" w:eastAsia="zh-CN"/>
                    </w:rPr>
                    <w:t>487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433" w:type="dxa"/>
                  <w:vMerge w:val="continue"/>
                  <w:tcBorders>
                    <w:right w:val="single" w:color="auto" w:sz="4" w:space="0"/>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p>
              </w:tc>
              <w:tc>
                <w:tcPr>
                  <w:tcW w:w="856" w:type="dxa"/>
                  <w:tcBorders>
                    <w:right w:val="single" w:color="auto" w:sz="4" w:space="0"/>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rPr>
                  </w:pPr>
                  <w:r>
                    <w:rPr>
                      <w:rFonts w:hint="eastAsia"/>
                      <w:color w:val="000000" w:themeColor="text1"/>
                      <w:highlight w:val="none"/>
                      <w:lang w:val="en-US" w:eastAsia="zh-CN"/>
                      <w14:textFill>
                        <w14:solidFill>
                          <w14:schemeClr w14:val="tx1"/>
                        </w14:solidFill>
                      </w14:textFill>
                    </w:rPr>
                    <w:t>店后营村</w:t>
                  </w:r>
                </w:p>
              </w:tc>
              <w:tc>
                <w:tcPr>
                  <w:tcW w:w="1233"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default"/>
                      <w:highlight w:val="none"/>
                      <w:lang w:val="en-US" w:eastAsia="zh-CN"/>
                    </w:rPr>
                    <w:t>113.763272</w:t>
                  </w:r>
                </w:p>
              </w:tc>
              <w:tc>
                <w:tcPr>
                  <w:tcW w:w="1155"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default"/>
                      <w:highlight w:val="none"/>
                      <w:lang w:val="en-US" w:eastAsia="zh-CN"/>
                    </w:rPr>
                    <w:t>35.284851</w:t>
                  </w:r>
                </w:p>
              </w:tc>
              <w:tc>
                <w:tcPr>
                  <w:tcW w:w="886"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r>
                    <w:rPr>
                      <w:rFonts w:hint="eastAsia"/>
                      <w:highlight w:val="none"/>
                      <w:lang w:val="en-US" w:eastAsia="zh-CN"/>
                    </w:rPr>
                    <w:t>居民区</w:t>
                  </w:r>
                </w:p>
              </w:tc>
              <w:tc>
                <w:tcPr>
                  <w:tcW w:w="918"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eastAsia"/>
                      <w:highlight w:val="none"/>
                      <w:lang w:val="en-US" w:eastAsia="zh-CN"/>
                    </w:rPr>
                    <w:t>3200人</w:t>
                  </w:r>
                </w:p>
              </w:tc>
              <w:tc>
                <w:tcPr>
                  <w:tcW w:w="1838" w:type="dxa"/>
                  <w:vMerge w:val="continue"/>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p>
              </w:tc>
              <w:tc>
                <w:tcPr>
                  <w:tcW w:w="660"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r>
                    <w:rPr>
                      <w:rFonts w:hint="eastAsia"/>
                      <w:highlight w:val="none"/>
                      <w:lang w:val="en-US" w:eastAsia="zh-CN"/>
                    </w:rPr>
                    <w:t>西北</w:t>
                  </w:r>
                </w:p>
              </w:tc>
              <w:tc>
                <w:tcPr>
                  <w:tcW w:w="775"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eastAsia"/>
                      <w:highlight w:val="none"/>
                      <w:lang w:val="en-US" w:eastAsia="zh-CN"/>
                    </w:rPr>
                    <w:t>817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433" w:type="dxa"/>
                  <w:vMerge w:val="continue"/>
                  <w:tcBorders>
                    <w:right w:val="single" w:color="auto" w:sz="4" w:space="0"/>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p>
              </w:tc>
              <w:tc>
                <w:tcPr>
                  <w:tcW w:w="856" w:type="dxa"/>
                  <w:tcBorders>
                    <w:right w:val="single" w:color="auto" w:sz="4" w:space="0"/>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r>
                    <w:rPr>
                      <w:rFonts w:hint="eastAsia"/>
                      <w:color w:val="000000" w:themeColor="text1"/>
                      <w:highlight w:val="none"/>
                      <w:lang w:val="en-US" w:eastAsia="zh-CN"/>
                      <w14:textFill>
                        <w14:solidFill>
                          <w14:schemeClr w14:val="tx1"/>
                        </w14:solidFill>
                      </w14:textFill>
                    </w:rPr>
                    <w:t>前高庄村</w:t>
                  </w:r>
                </w:p>
              </w:tc>
              <w:tc>
                <w:tcPr>
                  <w:tcW w:w="1233"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r>
                    <w:rPr>
                      <w:rFonts w:hint="eastAsia"/>
                      <w:highlight w:val="none"/>
                      <w:lang w:val="en-US" w:eastAsia="zh-CN"/>
                    </w:rPr>
                    <w:t>113.770890</w:t>
                  </w:r>
                </w:p>
              </w:tc>
              <w:tc>
                <w:tcPr>
                  <w:tcW w:w="1155"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r>
                    <w:rPr>
                      <w:rFonts w:hint="eastAsia"/>
                      <w:highlight w:val="none"/>
                      <w:lang w:val="en-US" w:eastAsia="zh-CN"/>
                    </w:rPr>
                    <w:t>35.286335</w:t>
                  </w:r>
                </w:p>
              </w:tc>
              <w:tc>
                <w:tcPr>
                  <w:tcW w:w="886"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r>
                    <w:rPr>
                      <w:rFonts w:hint="eastAsia"/>
                      <w:highlight w:val="none"/>
                      <w:lang w:val="en-US" w:eastAsia="zh-CN"/>
                    </w:rPr>
                    <w:t>居民区</w:t>
                  </w:r>
                </w:p>
              </w:tc>
              <w:tc>
                <w:tcPr>
                  <w:tcW w:w="918"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eastAsia"/>
                      <w:highlight w:val="none"/>
                      <w:lang w:val="en-US" w:eastAsia="zh-CN"/>
                    </w:rPr>
                    <w:t>1500人</w:t>
                  </w:r>
                </w:p>
              </w:tc>
              <w:tc>
                <w:tcPr>
                  <w:tcW w:w="1838" w:type="dxa"/>
                  <w:vMerge w:val="continue"/>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p>
              </w:tc>
              <w:tc>
                <w:tcPr>
                  <w:tcW w:w="660"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r>
                    <w:rPr>
                      <w:rFonts w:hint="eastAsia"/>
                      <w:highlight w:val="none"/>
                      <w:lang w:val="en-US" w:eastAsia="zh-CN"/>
                    </w:rPr>
                    <w:t>北</w:t>
                  </w:r>
                </w:p>
              </w:tc>
              <w:tc>
                <w:tcPr>
                  <w:tcW w:w="775"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eastAsia"/>
                      <w:highlight w:val="none"/>
                      <w:lang w:val="en-US" w:eastAsia="zh-CN"/>
                    </w:rPr>
                    <w:t>317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433" w:type="dxa"/>
                  <w:vMerge w:val="continue"/>
                  <w:tcBorders>
                    <w:right w:val="single" w:color="auto" w:sz="4" w:space="0"/>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p>
              </w:tc>
              <w:tc>
                <w:tcPr>
                  <w:tcW w:w="856" w:type="dxa"/>
                  <w:tcBorders>
                    <w:right w:val="single" w:color="auto" w:sz="4" w:space="0"/>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r>
                    <w:rPr>
                      <w:rFonts w:hint="eastAsia"/>
                      <w:color w:val="000000" w:themeColor="text1"/>
                      <w:highlight w:val="none"/>
                      <w:lang w:val="en-US" w:eastAsia="zh-CN"/>
                      <w14:textFill>
                        <w14:solidFill>
                          <w14:schemeClr w14:val="tx1"/>
                        </w14:solidFill>
                      </w14:textFill>
                    </w:rPr>
                    <w:t>后高庄村</w:t>
                  </w:r>
                </w:p>
              </w:tc>
              <w:tc>
                <w:tcPr>
                  <w:tcW w:w="1233"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r>
                    <w:rPr>
                      <w:rFonts w:hint="eastAsia"/>
                      <w:highlight w:val="none"/>
                      <w:lang w:val="en-US" w:eastAsia="zh-CN"/>
                    </w:rPr>
                    <w:t>113.773636</w:t>
                  </w:r>
                </w:p>
              </w:tc>
              <w:tc>
                <w:tcPr>
                  <w:tcW w:w="1155"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r>
                    <w:rPr>
                      <w:rFonts w:hint="eastAsia"/>
                      <w:highlight w:val="none"/>
                      <w:lang w:val="en-US" w:eastAsia="zh-CN"/>
                    </w:rPr>
                    <w:t>35.289497</w:t>
                  </w:r>
                </w:p>
              </w:tc>
              <w:tc>
                <w:tcPr>
                  <w:tcW w:w="886"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r>
                    <w:rPr>
                      <w:rFonts w:hint="eastAsia"/>
                      <w:highlight w:val="none"/>
                      <w:lang w:val="en-US" w:eastAsia="zh-CN"/>
                    </w:rPr>
                    <w:t>居民区</w:t>
                  </w:r>
                </w:p>
              </w:tc>
              <w:tc>
                <w:tcPr>
                  <w:tcW w:w="918"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eastAsia"/>
                      <w:highlight w:val="none"/>
                      <w:lang w:val="en-US" w:eastAsia="zh-CN"/>
                    </w:rPr>
                    <w:t>1350人</w:t>
                  </w:r>
                </w:p>
              </w:tc>
              <w:tc>
                <w:tcPr>
                  <w:tcW w:w="1838" w:type="dxa"/>
                  <w:vMerge w:val="continue"/>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p>
              </w:tc>
              <w:tc>
                <w:tcPr>
                  <w:tcW w:w="660"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r>
                    <w:rPr>
                      <w:rFonts w:hint="eastAsia"/>
                      <w:highlight w:val="none"/>
                      <w:lang w:val="en-US" w:eastAsia="zh-CN"/>
                    </w:rPr>
                    <w:t>东北</w:t>
                  </w:r>
                </w:p>
              </w:tc>
              <w:tc>
                <w:tcPr>
                  <w:tcW w:w="775"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eastAsia"/>
                      <w:highlight w:val="none"/>
                      <w:lang w:val="en-US" w:eastAsia="zh-CN"/>
                    </w:rPr>
                    <w:t>643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433" w:type="dxa"/>
                  <w:tcBorders>
                    <w:right w:val="single" w:color="auto" w:sz="4" w:space="0"/>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r>
                    <w:rPr>
                      <w:rFonts w:hint="default"/>
                      <w:highlight w:val="none"/>
                    </w:rPr>
                    <w:t>声环境</w:t>
                  </w:r>
                </w:p>
              </w:tc>
              <w:tc>
                <w:tcPr>
                  <w:tcW w:w="856" w:type="dxa"/>
                  <w:tcBorders>
                    <w:right w:val="single" w:color="auto" w:sz="4" w:space="0"/>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highlight w:val="none"/>
                    </w:rPr>
                  </w:pPr>
                  <w:r>
                    <w:rPr>
                      <w:rFonts w:hint="eastAsia"/>
                      <w:highlight w:val="none"/>
                      <w:lang w:val="en-US" w:eastAsia="zh-CN"/>
                    </w:rPr>
                    <w:t>厂界</w:t>
                  </w:r>
                </w:p>
              </w:tc>
              <w:tc>
                <w:tcPr>
                  <w:tcW w:w="1233"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r>
                    <w:rPr>
                      <w:rFonts w:hint="eastAsia"/>
                      <w:highlight w:val="none"/>
                      <w:lang w:val="en-US" w:eastAsia="zh-CN"/>
                    </w:rPr>
                    <w:t>/</w:t>
                  </w:r>
                </w:p>
              </w:tc>
              <w:tc>
                <w:tcPr>
                  <w:tcW w:w="1155"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r>
                    <w:rPr>
                      <w:rFonts w:hint="eastAsia"/>
                      <w:highlight w:val="none"/>
                      <w:lang w:val="en-US" w:eastAsia="zh-CN"/>
                    </w:rPr>
                    <w:t>/</w:t>
                  </w:r>
                </w:p>
              </w:tc>
              <w:tc>
                <w:tcPr>
                  <w:tcW w:w="886"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r>
                    <w:rPr>
                      <w:rFonts w:hint="eastAsia"/>
                      <w:highlight w:val="none"/>
                      <w:lang w:val="en-US" w:eastAsia="zh-CN"/>
                    </w:rPr>
                    <w:t>/</w:t>
                  </w:r>
                </w:p>
              </w:tc>
              <w:tc>
                <w:tcPr>
                  <w:tcW w:w="918"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r>
                    <w:rPr>
                      <w:rFonts w:hint="eastAsia"/>
                      <w:highlight w:val="none"/>
                      <w:lang w:val="en-US" w:eastAsia="zh-CN"/>
                    </w:rPr>
                    <w:t>/</w:t>
                  </w:r>
                </w:p>
              </w:tc>
              <w:tc>
                <w:tcPr>
                  <w:tcW w:w="1838"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rPr>
                  </w:pPr>
                  <w:r>
                    <w:rPr>
                      <w:rFonts w:hint="default"/>
                      <w:highlight w:val="none"/>
                    </w:rPr>
                    <w:t>《声环境质量标准》</w:t>
                  </w:r>
                </w:p>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default"/>
                      <w:highlight w:val="none"/>
                    </w:rPr>
                    <w:t>（GB3096-2008）</w:t>
                  </w:r>
                  <w:r>
                    <w:rPr>
                      <w:rFonts w:hint="eastAsia"/>
                      <w:highlight w:val="none"/>
                      <w:lang w:val="en-US" w:eastAsia="zh-CN"/>
                    </w:rPr>
                    <w:t>3</w:t>
                  </w:r>
                  <w:r>
                    <w:rPr>
                      <w:rFonts w:hint="default"/>
                      <w:highlight w:val="none"/>
                    </w:rPr>
                    <w:t>类标准</w:t>
                  </w:r>
                </w:p>
              </w:tc>
              <w:tc>
                <w:tcPr>
                  <w:tcW w:w="660"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r>
                    <w:rPr>
                      <w:rFonts w:hint="eastAsia"/>
                      <w:highlight w:val="none"/>
                      <w:lang w:val="en-US" w:eastAsia="zh-CN"/>
                    </w:rPr>
                    <w:t>/</w:t>
                  </w:r>
                </w:p>
              </w:tc>
              <w:tc>
                <w:tcPr>
                  <w:tcW w:w="775"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r>
                    <w:rPr>
                      <w:rFonts w:hint="eastAsia"/>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433" w:type="dxa"/>
                  <w:tcBorders>
                    <w:right w:val="single" w:color="auto" w:sz="4" w:space="0"/>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r>
                    <w:rPr>
                      <w:rFonts w:hint="default"/>
                      <w:highlight w:val="none"/>
                    </w:rPr>
                    <w:t>水环境</w:t>
                  </w:r>
                </w:p>
              </w:tc>
              <w:tc>
                <w:tcPr>
                  <w:tcW w:w="856" w:type="dxa"/>
                  <w:tcBorders>
                    <w:right w:val="single" w:color="auto" w:sz="4" w:space="0"/>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highlight w:val="none"/>
                    </w:rPr>
                  </w:pPr>
                  <w:r>
                    <w:rPr>
                      <w:rFonts w:hint="eastAsia"/>
                      <w:highlight w:val="none"/>
                      <w:lang w:val="en-US" w:eastAsia="zh-CN"/>
                    </w:rPr>
                    <w:t>西干五支排</w:t>
                  </w:r>
                </w:p>
              </w:tc>
              <w:tc>
                <w:tcPr>
                  <w:tcW w:w="1233"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eastAsia"/>
                      <w:highlight w:val="none"/>
                      <w:lang w:val="en-US" w:eastAsia="zh-CN"/>
                    </w:rPr>
                    <w:t>/</w:t>
                  </w:r>
                </w:p>
              </w:tc>
              <w:tc>
                <w:tcPr>
                  <w:tcW w:w="1155"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eastAsia"/>
                      <w:highlight w:val="none"/>
                      <w:lang w:val="en-US" w:eastAsia="zh-CN"/>
                    </w:rPr>
                    <w:t>/</w:t>
                  </w:r>
                </w:p>
              </w:tc>
              <w:tc>
                <w:tcPr>
                  <w:tcW w:w="886"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r>
                    <w:rPr>
                      <w:rFonts w:hint="eastAsia"/>
                      <w:highlight w:val="none"/>
                      <w:lang w:val="en-US" w:eastAsia="zh-CN"/>
                    </w:rPr>
                    <w:t>河流</w:t>
                  </w:r>
                </w:p>
              </w:tc>
              <w:tc>
                <w:tcPr>
                  <w:tcW w:w="918"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eastAsia"/>
                      <w:highlight w:val="none"/>
                      <w:lang w:val="en-US" w:eastAsia="zh-CN"/>
                    </w:rPr>
                    <w:t>/</w:t>
                  </w:r>
                </w:p>
              </w:tc>
              <w:tc>
                <w:tcPr>
                  <w:tcW w:w="1838"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eastAsia"/>
                      <w:highlight w:val="none"/>
                      <w:lang w:val="en-US" w:eastAsia="zh-CN"/>
                    </w:rPr>
                    <w:t>《地表水环境质量标准》（GB3838-2002）</w:t>
                  </w:r>
                  <w:r>
                    <w:rPr>
                      <w:highlight w:val="none"/>
                    </w:rPr>
                    <w:t>V</w:t>
                  </w:r>
                  <w:r>
                    <w:rPr>
                      <w:rFonts w:hint="eastAsia"/>
                      <w:highlight w:val="none"/>
                      <w:lang w:val="en-US" w:eastAsia="zh-CN"/>
                    </w:rPr>
                    <w:t>类标准</w:t>
                  </w:r>
                </w:p>
              </w:tc>
              <w:tc>
                <w:tcPr>
                  <w:tcW w:w="660"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eastAsia"/>
                      <w:highlight w:val="none"/>
                      <w:lang w:val="en-US" w:eastAsia="zh-CN"/>
                    </w:rPr>
                    <w:t>北</w:t>
                  </w:r>
                </w:p>
              </w:tc>
              <w:tc>
                <w:tcPr>
                  <w:tcW w:w="775"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eastAsia"/>
                      <w:highlight w:val="none"/>
                      <w:lang w:val="en-US" w:eastAsia="zh-CN"/>
                    </w:rPr>
                    <w:t>5</w:t>
                  </w:r>
                </w:p>
              </w:tc>
            </w:tr>
          </w:tbl>
          <w:p>
            <w:pPr>
              <w:pStyle w:val="49"/>
              <w:adjustRightInd w:val="0"/>
              <w:snapToGrid w:val="0"/>
              <w:spacing w:before="0" w:beforeAutospacing="0" w:after="0" w:afterAutospacing="0" w:line="520" w:lineRule="exact"/>
              <w:ind w:left="0" w:leftChars="0" w:firstLine="0" w:firstLineChars="0"/>
              <w:rPr>
                <w:rFonts w:ascii="Times New Roman" w:hAnsi="Times New Roman"/>
                <w:color w:val="000000"/>
                <w:kern w:val="2"/>
                <w:szCs w:val="24"/>
              </w:rPr>
            </w:pPr>
          </w:p>
        </w:tc>
      </w:tr>
    </w:tbl>
    <w:p>
      <w:r>
        <w:br w:type="page"/>
      </w:r>
    </w:p>
    <w:p>
      <w:pPr>
        <w:pStyle w:val="2"/>
        <w:bidi w:val="0"/>
        <w:rPr>
          <w:highlight w:val="none"/>
        </w:rPr>
      </w:pPr>
      <w:r>
        <w:rPr>
          <w:highlight w:val="none"/>
        </w:rPr>
        <w:t>评价适用标准</w:t>
      </w:r>
    </w:p>
    <w:tbl>
      <w:tblPr>
        <w:tblStyle w:val="21"/>
        <w:tblW w:w="8834" w:type="dxa"/>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autofit"/>
        <w:tblCellMar>
          <w:top w:w="0" w:type="dxa"/>
          <w:left w:w="108" w:type="dxa"/>
          <w:bottom w:w="0" w:type="dxa"/>
          <w:right w:w="108" w:type="dxa"/>
        </w:tblCellMar>
      </w:tblPr>
      <w:tblGrid>
        <w:gridCol w:w="271"/>
        <w:gridCol w:w="186"/>
        <w:gridCol w:w="271"/>
        <w:gridCol w:w="8243"/>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2593" w:hRule="atLeast"/>
          <w:jc w:val="center"/>
        </w:trPr>
        <w:tc>
          <w:tcPr>
            <w:tcW w:w="427" w:type="dxa"/>
            <w:gridSpan w:val="2"/>
            <w:tcBorders>
              <w:top w:val="single" w:color="auto" w:sz="12" w:space="0"/>
              <w:left w:val="single" w:color="auto" w:sz="12" w:space="0"/>
              <w:bottom w:val="single" w:color="auto" w:sz="6" w:space="0"/>
              <w:right w:val="single" w:color="auto" w:sz="6" w:space="0"/>
            </w:tcBorders>
            <w:vAlign w:val="center"/>
          </w:tcPr>
          <w:p>
            <w:pPr>
              <w:pStyle w:val="29"/>
              <w:bidi w:val="0"/>
              <w:rPr>
                <w:b/>
                <w:bCs/>
                <w:sz w:val="24"/>
                <w:szCs w:val="24"/>
                <w:highlight w:val="none"/>
              </w:rPr>
            </w:pPr>
            <w:r>
              <w:rPr>
                <w:b/>
                <w:bCs/>
                <w:sz w:val="24"/>
                <w:szCs w:val="24"/>
                <w:highlight w:val="none"/>
              </w:rPr>
              <w:t>环</w:t>
            </w:r>
          </w:p>
          <w:p>
            <w:pPr>
              <w:pStyle w:val="29"/>
              <w:bidi w:val="0"/>
              <w:rPr>
                <w:b/>
                <w:bCs/>
                <w:sz w:val="24"/>
                <w:szCs w:val="24"/>
                <w:highlight w:val="none"/>
              </w:rPr>
            </w:pPr>
            <w:r>
              <w:rPr>
                <w:b/>
                <w:bCs/>
                <w:sz w:val="24"/>
                <w:szCs w:val="24"/>
                <w:highlight w:val="none"/>
              </w:rPr>
              <w:t>境</w:t>
            </w:r>
          </w:p>
          <w:p>
            <w:pPr>
              <w:pStyle w:val="29"/>
              <w:bidi w:val="0"/>
              <w:rPr>
                <w:b/>
                <w:bCs/>
                <w:sz w:val="24"/>
                <w:szCs w:val="24"/>
                <w:highlight w:val="none"/>
              </w:rPr>
            </w:pPr>
            <w:r>
              <w:rPr>
                <w:b/>
                <w:bCs/>
                <w:sz w:val="24"/>
                <w:szCs w:val="24"/>
                <w:highlight w:val="none"/>
              </w:rPr>
              <w:t>质</w:t>
            </w:r>
          </w:p>
          <w:p>
            <w:pPr>
              <w:pStyle w:val="29"/>
              <w:bidi w:val="0"/>
              <w:rPr>
                <w:b/>
                <w:bCs/>
                <w:sz w:val="24"/>
                <w:szCs w:val="24"/>
                <w:highlight w:val="none"/>
              </w:rPr>
            </w:pPr>
            <w:r>
              <w:rPr>
                <w:b/>
                <w:bCs/>
                <w:sz w:val="24"/>
                <w:szCs w:val="24"/>
                <w:highlight w:val="none"/>
              </w:rPr>
              <w:t>量</w:t>
            </w:r>
          </w:p>
          <w:p>
            <w:pPr>
              <w:pStyle w:val="29"/>
              <w:bidi w:val="0"/>
              <w:rPr>
                <w:b/>
                <w:bCs/>
                <w:sz w:val="24"/>
                <w:szCs w:val="24"/>
                <w:highlight w:val="none"/>
              </w:rPr>
            </w:pPr>
            <w:r>
              <w:rPr>
                <w:b/>
                <w:bCs/>
                <w:sz w:val="24"/>
                <w:szCs w:val="24"/>
                <w:highlight w:val="none"/>
              </w:rPr>
              <w:t>标</w:t>
            </w:r>
          </w:p>
          <w:p>
            <w:pPr>
              <w:pStyle w:val="29"/>
              <w:bidi w:val="0"/>
              <w:rPr>
                <w:highlight w:val="none"/>
              </w:rPr>
            </w:pPr>
            <w:r>
              <w:rPr>
                <w:b/>
                <w:bCs/>
                <w:sz w:val="24"/>
                <w:szCs w:val="24"/>
                <w:highlight w:val="none"/>
              </w:rPr>
              <w:t>准</w:t>
            </w:r>
          </w:p>
        </w:tc>
        <w:tc>
          <w:tcPr>
            <w:tcW w:w="8407" w:type="dxa"/>
            <w:gridSpan w:val="2"/>
            <w:tcBorders>
              <w:top w:val="single" w:color="auto" w:sz="12" w:space="0"/>
              <w:left w:val="single" w:color="auto" w:sz="6" w:space="0"/>
              <w:bottom w:val="single" w:color="auto" w:sz="6" w:space="0"/>
              <w:right w:val="single" w:color="auto" w:sz="12" w:space="0"/>
            </w:tcBorders>
          </w:tcPr>
          <w:p>
            <w:pPr>
              <w:bidi w:val="0"/>
              <w:rPr>
                <w:highlight w:val="none"/>
              </w:rPr>
            </w:pPr>
            <w:r>
              <w:rPr>
                <w:highlight w:val="none"/>
              </w:rPr>
              <w:t>1、《环境空气质量标准》（GB3095-2012）及2018年修改单中的二级标准，相关标准值见</w:t>
            </w:r>
            <w:r>
              <w:rPr>
                <w:rFonts w:hint="eastAsia"/>
                <w:highlight w:val="none"/>
                <w:lang w:eastAsia="zh-CN"/>
              </w:rPr>
              <w:t>下表</w:t>
            </w:r>
            <w:r>
              <w:rPr>
                <w:highlight w:val="none"/>
              </w:rPr>
              <w:t>。</w:t>
            </w:r>
          </w:p>
          <w:p>
            <w:pPr>
              <w:pStyle w:val="45"/>
              <w:bidi w:val="0"/>
              <w:rPr>
                <w:highlight w:val="none"/>
              </w:rPr>
            </w:pPr>
            <w:r>
              <w:rPr>
                <w:highlight w:val="none"/>
              </w:rPr>
              <w:t>表</w:t>
            </w:r>
            <w:r>
              <w:rPr>
                <w:rFonts w:hint="eastAsia"/>
                <w:highlight w:val="none"/>
              </w:rPr>
              <w:t>2</w:t>
            </w:r>
            <w:r>
              <w:rPr>
                <w:rFonts w:hint="eastAsia"/>
                <w:highlight w:val="none"/>
                <w:lang w:val="en-US" w:eastAsia="zh-CN"/>
              </w:rPr>
              <w:t>7</w:t>
            </w:r>
            <w:r>
              <w:rPr>
                <w:highlight w:val="none"/>
              </w:rPr>
              <w:t xml:space="preserve">        环境空气质量标准        单位：</w:t>
            </w:r>
            <w:r>
              <w:rPr>
                <w:rFonts w:hint="default" w:ascii="Times New Roman" w:hAnsi="Times New Roman" w:cs="Times New Roman"/>
                <w:highlight w:val="none"/>
              </w:rPr>
              <w:t>μ</w:t>
            </w:r>
            <w:r>
              <w:rPr>
                <w:highlight w:val="none"/>
              </w:rPr>
              <w:t>g/m</w:t>
            </w:r>
            <w:r>
              <w:rPr>
                <w:highlight w:val="none"/>
                <w:vertAlign w:val="superscript"/>
              </w:rPr>
              <w:t>3</w:t>
            </w:r>
          </w:p>
          <w:tbl>
            <w:tblPr>
              <w:tblStyle w:val="21"/>
              <w:tblW w:w="819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66"/>
              <w:gridCol w:w="2025"/>
              <w:gridCol w:w="1515"/>
              <w:gridCol w:w="328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366" w:type="dxa"/>
                  <w:tcBorders>
                    <w:tl2br w:val="nil"/>
                    <w:tr2bl w:val="nil"/>
                  </w:tcBorders>
                  <w:vAlign w:val="center"/>
                </w:tcPr>
                <w:p>
                  <w:pPr>
                    <w:pStyle w:val="29"/>
                    <w:bidi w:val="0"/>
                    <w:rPr>
                      <w:highlight w:val="none"/>
                    </w:rPr>
                  </w:pPr>
                  <w:r>
                    <w:rPr>
                      <w:highlight w:val="none"/>
                    </w:rPr>
                    <w:t>污染物名称</w:t>
                  </w:r>
                </w:p>
              </w:tc>
              <w:tc>
                <w:tcPr>
                  <w:tcW w:w="2025" w:type="dxa"/>
                  <w:tcBorders>
                    <w:tl2br w:val="nil"/>
                    <w:tr2bl w:val="nil"/>
                  </w:tcBorders>
                  <w:vAlign w:val="center"/>
                </w:tcPr>
                <w:p>
                  <w:pPr>
                    <w:pStyle w:val="29"/>
                    <w:bidi w:val="0"/>
                    <w:rPr>
                      <w:highlight w:val="none"/>
                    </w:rPr>
                  </w:pPr>
                  <w:r>
                    <w:rPr>
                      <w:highlight w:val="none"/>
                    </w:rPr>
                    <w:t>取值时间</w:t>
                  </w:r>
                </w:p>
              </w:tc>
              <w:tc>
                <w:tcPr>
                  <w:tcW w:w="1515" w:type="dxa"/>
                  <w:tcBorders>
                    <w:tl2br w:val="nil"/>
                    <w:tr2bl w:val="nil"/>
                  </w:tcBorders>
                  <w:vAlign w:val="center"/>
                </w:tcPr>
                <w:p>
                  <w:pPr>
                    <w:pStyle w:val="29"/>
                    <w:bidi w:val="0"/>
                    <w:rPr>
                      <w:highlight w:val="none"/>
                    </w:rPr>
                  </w:pPr>
                  <w:r>
                    <w:rPr>
                      <w:highlight w:val="none"/>
                    </w:rPr>
                    <w:t>浓度限值</w:t>
                  </w:r>
                </w:p>
              </w:tc>
              <w:tc>
                <w:tcPr>
                  <w:tcW w:w="3288" w:type="dxa"/>
                  <w:tcBorders>
                    <w:tl2br w:val="nil"/>
                    <w:tr2bl w:val="nil"/>
                  </w:tcBorders>
                  <w:vAlign w:val="center"/>
                </w:tcPr>
                <w:p>
                  <w:pPr>
                    <w:pStyle w:val="29"/>
                    <w:bidi w:val="0"/>
                    <w:rPr>
                      <w:highlight w:val="none"/>
                    </w:rPr>
                  </w:pPr>
                  <w:r>
                    <w:rPr>
                      <w:highlight w:val="none"/>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366" w:type="dxa"/>
                  <w:vMerge w:val="restart"/>
                  <w:tcBorders>
                    <w:tl2br w:val="nil"/>
                    <w:tr2bl w:val="nil"/>
                  </w:tcBorders>
                  <w:vAlign w:val="center"/>
                </w:tcPr>
                <w:p>
                  <w:pPr>
                    <w:pStyle w:val="29"/>
                    <w:bidi w:val="0"/>
                    <w:rPr>
                      <w:highlight w:val="none"/>
                    </w:rPr>
                  </w:pPr>
                  <w:r>
                    <w:rPr>
                      <w:highlight w:val="none"/>
                    </w:rPr>
                    <w:t>SO</w:t>
                  </w:r>
                  <w:r>
                    <w:rPr>
                      <w:highlight w:val="none"/>
                      <w:vertAlign w:val="subscript"/>
                    </w:rPr>
                    <w:t>2</w:t>
                  </w:r>
                </w:p>
              </w:tc>
              <w:tc>
                <w:tcPr>
                  <w:tcW w:w="2025" w:type="dxa"/>
                  <w:tcBorders>
                    <w:tl2br w:val="nil"/>
                    <w:tr2bl w:val="nil"/>
                  </w:tcBorders>
                  <w:vAlign w:val="center"/>
                </w:tcPr>
                <w:p>
                  <w:pPr>
                    <w:pStyle w:val="29"/>
                    <w:bidi w:val="0"/>
                    <w:rPr>
                      <w:highlight w:val="none"/>
                    </w:rPr>
                  </w:pPr>
                  <w:r>
                    <w:rPr>
                      <w:highlight w:val="none"/>
                    </w:rPr>
                    <w:t>年平均</w:t>
                  </w:r>
                </w:p>
              </w:tc>
              <w:tc>
                <w:tcPr>
                  <w:tcW w:w="1515" w:type="dxa"/>
                  <w:tcBorders>
                    <w:tl2br w:val="nil"/>
                    <w:tr2bl w:val="nil"/>
                  </w:tcBorders>
                  <w:vAlign w:val="center"/>
                </w:tcPr>
                <w:p>
                  <w:pPr>
                    <w:pStyle w:val="29"/>
                    <w:bidi w:val="0"/>
                    <w:rPr>
                      <w:highlight w:val="none"/>
                    </w:rPr>
                  </w:pPr>
                  <w:r>
                    <w:rPr>
                      <w:highlight w:val="none"/>
                    </w:rPr>
                    <w:t>60</w:t>
                  </w:r>
                </w:p>
              </w:tc>
              <w:tc>
                <w:tcPr>
                  <w:tcW w:w="3288" w:type="dxa"/>
                  <w:vMerge w:val="restart"/>
                  <w:tcBorders>
                    <w:tl2br w:val="nil"/>
                    <w:tr2bl w:val="nil"/>
                  </w:tcBorders>
                  <w:vAlign w:val="center"/>
                </w:tcPr>
                <w:p>
                  <w:pPr>
                    <w:pStyle w:val="29"/>
                    <w:bidi w:val="0"/>
                    <w:rPr>
                      <w:highlight w:val="none"/>
                    </w:rPr>
                  </w:pPr>
                  <w:r>
                    <w:rPr>
                      <w:highlight w:val="none"/>
                    </w:rPr>
                    <w:t>《环境空气质量标准》（GB3095-2012）及2018年修改单中的二级标准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366" w:type="dxa"/>
                  <w:vMerge w:val="continue"/>
                  <w:tcBorders>
                    <w:tl2br w:val="nil"/>
                    <w:tr2bl w:val="nil"/>
                  </w:tcBorders>
                  <w:vAlign w:val="center"/>
                </w:tcPr>
                <w:p>
                  <w:pPr>
                    <w:pStyle w:val="29"/>
                    <w:bidi w:val="0"/>
                    <w:rPr>
                      <w:highlight w:val="none"/>
                    </w:rPr>
                  </w:pPr>
                </w:p>
              </w:tc>
              <w:tc>
                <w:tcPr>
                  <w:tcW w:w="2025" w:type="dxa"/>
                  <w:tcBorders>
                    <w:tl2br w:val="nil"/>
                    <w:tr2bl w:val="nil"/>
                  </w:tcBorders>
                  <w:vAlign w:val="center"/>
                </w:tcPr>
                <w:p>
                  <w:pPr>
                    <w:pStyle w:val="29"/>
                    <w:bidi w:val="0"/>
                    <w:rPr>
                      <w:highlight w:val="none"/>
                    </w:rPr>
                  </w:pPr>
                  <w:r>
                    <w:rPr>
                      <w:highlight w:val="none"/>
                    </w:rPr>
                    <w:t>24小时平均</w:t>
                  </w:r>
                </w:p>
              </w:tc>
              <w:tc>
                <w:tcPr>
                  <w:tcW w:w="1515" w:type="dxa"/>
                  <w:tcBorders>
                    <w:tl2br w:val="nil"/>
                    <w:tr2bl w:val="nil"/>
                  </w:tcBorders>
                  <w:vAlign w:val="center"/>
                </w:tcPr>
                <w:p>
                  <w:pPr>
                    <w:pStyle w:val="29"/>
                    <w:bidi w:val="0"/>
                    <w:rPr>
                      <w:highlight w:val="none"/>
                    </w:rPr>
                  </w:pPr>
                  <w:r>
                    <w:rPr>
                      <w:highlight w:val="none"/>
                    </w:rPr>
                    <w:t>150</w:t>
                  </w:r>
                </w:p>
              </w:tc>
              <w:tc>
                <w:tcPr>
                  <w:tcW w:w="3288" w:type="dxa"/>
                  <w:vMerge w:val="continue"/>
                  <w:tcBorders>
                    <w:tl2br w:val="nil"/>
                    <w:tr2bl w:val="nil"/>
                  </w:tcBorders>
                  <w:vAlign w:val="center"/>
                </w:tcPr>
                <w:p>
                  <w:pPr>
                    <w:pStyle w:val="29"/>
                    <w:bidi w:val="0"/>
                    <w:rPr>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366" w:type="dxa"/>
                  <w:vMerge w:val="continue"/>
                  <w:tcBorders>
                    <w:tl2br w:val="nil"/>
                    <w:tr2bl w:val="nil"/>
                  </w:tcBorders>
                  <w:vAlign w:val="center"/>
                </w:tcPr>
                <w:p>
                  <w:pPr>
                    <w:pStyle w:val="29"/>
                    <w:bidi w:val="0"/>
                    <w:rPr>
                      <w:highlight w:val="none"/>
                    </w:rPr>
                  </w:pPr>
                </w:p>
              </w:tc>
              <w:tc>
                <w:tcPr>
                  <w:tcW w:w="2025" w:type="dxa"/>
                  <w:tcBorders>
                    <w:tl2br w:val="nil"/>
                    <w:tr2bl w:val="nil"/>
                  </w:tcBorders>
                  <w:vAlign w:val="center"/>
                </w:tcPr>
                <w:p>
                  <w:pPr>
                    <w:pStyle w:val="29"/>
                    <w:bidi w:val="0"/>
                    <w:rPr>
                      <w:highlight w:val="none"/>
                    </w:rPr>
                  </w:pPr>
                  <w:r>
                    <w:rPr>
                      <w:highlight w:val="none"/>
                    </w:rPr>
                    <w:t>1小时平均</w:t>
                  </w:r>
                </w:p>
              </w:tc>
              <w:tc>
                <w:tcPr>
                  <w:tcW w:w="1515" w:type="dxa"/>
                  <w:tcBorders>
                    <w:tl2br w:val="nil"/>
                    <w:tr2bl w:val="nil"/>
                  </w:tcBorders>
                  <w:vAlign w:val="center"/>
                </w:tcPr>
                <w:p>
                  <w:pPr>
                    <w:pStyle w:val="29"/>
                    <w:bidi w:val="0"/>
                    <w:rPr>
                      <w:highlight w:val="none"/>
                    </w:rPr>
                  </w:pPr>
                  <w:r>
                    <w:rPr>
                      <w:highlight w:val="none"/>
                    </w:rPr>
                    <w:t>500</w:t>
                  </w:r>
                </w:p>
              </w:tc>
              <w:tc>
                <w:tcPr>
                  <w:tcW w:w="3288" w:type="dxa"/>
                  <w:vMerge w:val="continue"/>
                  <w:tcBorders>
                    <w:tl2br w:val="nil"/>
                    <w:tr2bl w:val="nil"/>
                  </w:tcBorders>
                  <w:vAlign w:val="center"/>
                </w:tcPr>
                <w:p>
                  <w:pPr>
                    <w:pStyle w:val="29"/>
                    <w:bidi w:val="0"/>
                    <w:rPr>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366" w:type="dxa"/>
                  <w:vMerge w:val="restart"/>
                  <w:tcBorders>
                    <w:tl2br w:val="nil"/>
                    <w:tr2bl w:val="nil"/>
                  </w:tcBorders>
                  <w:vAlign w:val="center"/>
                </w:tcPr>
                <w:p>
                  <w:pPr>
                    <w:pStyle w:val="29"/>
                    <w:bidi w:val="0"/>
                    <w:rPr>
                      <w:highlight w:val="none"/>
                    </w:rPr>
                  </w:pPr>
                  <w:r>
                    <w:rPr>
                      <w:highlight w:val="none"/>
                    </w:rPr>
                    <w:t>PM</w:t>
                  </w:r>
                  <w:r>
                    <w:rPr>
                      <w:highlight w:val="none"/>
                      <w:vertAlign w:val="subscript"/>
                    </w:rPr>
                    <w:t>10</w:t>
                  </w:r>
                </w:p>
              </w:tc>
              <w:tc>
                <w:tcPr>
                  <w:tcW w:w="2025" w:type="dxa"/>
                  <w:tcBorders>
                    <w:tl2br w:val="nil"/>
                    <w:tr2bl w:val="nil"/>
                  </w:tcBorders>
                  <w:vAlign w:val="center"/>
                </w:tcPr>
                <w:p>
                  <w:pPr>
                    <w:pStyle w:val="29"/>
                    <w:bidi w:val="0"/>
                    <w:rPr>
                      <w:highlight w:val="none"/>
                    </w:rPr>
                  </w:pPr>
                  <w:r>
                    <w:rPr>
                      <w:highlight w:val="none"/>
                    </w:rPr>
                    <w:t>年平均</w:t>
                  </w:r>
                </w:p>
              </w:tc>
              <w:tc>
                <w:tcPr>
                  <w:tcW w:w="1515" w:type="dxa"/>
                  <w:tcBorders>
                    <w:tl2br w:val="nil"/>
                    <w:tr2bl w:val="nil"/>
                  </w:tcBorders>
                  <w:vAlign w:val="center"/>
                </w:tcPr>
                <w:p>
                  <w:pPr>
                    <w:pStyle w:val="29"/>
                    <w:bidi w:val="0"/>
                    <w:rPr>
                      <w:highlight w:val="none"/>
                    </w:rPr>
                  </w:pPr>
                  <w:r>
                    <w:rPr>
                      <w:highlight w:val="none"/>
                    </w:rPr>
                    <w:t>70</w:t>
                  </w:r>
                </w:p>
              </w:tc>
              <w:tc>
                <w:tcPr>
                  <w:tcW w:w="3288" w:type="dxa"/>
                  <w:vMerge w:val="continue"/>
                  <w:tcBorders>
                    <w:tl2br w:val="nil"/>
                    <w:tr2bl w:val="nil"/>
                  </w:tcBorders>
                  <w:vAlign w:val="center"/>
                </w:tcPr>
                <w:p>
                  <w:pPr>
                    <w:pStyle w:val="29"/>
                    <w:bidi w:val="0"/>
                    <w:rPr>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366" w:type="dxa"/>
                  <w:vMerge w:val="continue"/>
                  <w:tcBorders>
                    <w:tl2br w:val="nil"/>
                    <w:tr2bl w:val="nil"/>
                  </w:tcBorders>
                  <w:vAlign w:val="center"/>
                </w:tcPr>
                <w:p>
                  <w:pPr>
                    <w:pStyle w:val="29"/>
                    <w:bidi w:val="0"/>
                    <w:rPr>
                      <w:highlight w:val="none"/>
                    </w:rPr>
                  </w:pPr>
                </w:p>
              </w:tc>
              <w:tc>
                <w:tcPr>
                  <w:tcW w:w="2025" w:type="dxa"/>
                  <w:tcBorders>
                    <w:tl2br w:val="nil"/>
                    <w:tr2bl w:val="nil"/>
                  </w:tcBorders>
                  <w:vAlign w:val="center"/>
                </w:tcPr>
                <w:p>
                  <w:pPr>
                    <w:pStyle w:val="29"/>
                    <w:bidi w:val="0"/>
                    <w:rPr>
                      <w:highlight w:val="none"/>
                    </w:rPr>
                  </w:pPr>
                  <w:r>
                    <w:rPr>
                      <w:highlight w:val="none"/>
                    </w:rPr>
                    <w:t>24小时平均</w:t>
                  </w:r>
                </w:p>
              </w:tc>
              <w:tc>
                <w:tcPr>
                  <w:tcW w:w="1515" w:type="dxa"/>
                  <w:tcBorders>
                    <w:tl2br w:val="nil"/>
                    <w:tr2bl w:val="nil"/>
                  </w:tcBorders>
                  <w:vAlign w:val="center"/>
                </w:tcPr>
                <w:p>
                  <w:pPr>
                    <w:pStyle w:val="29"/>
                    <w:bidi w:val="0"/>
                    <w:rPr>
                      <w:highlight w:val="none"/>
                    </w:rPr>
                  </w:pPr>
                  <w:r>
                    <w:rPr>
                      <w:highlight w:val="none"/>
                    </w:rPr>
                    <w:t>150</w:t>
                  </w:r>
                </w:p>
              </w:tc>
              <w:tc>
                <w:tcPr>
                  <w:tcW w:w="3288" w:type="dxa"/>
                  <w:vMerge w:val="continue"/>
                  <w:tcBorders>
                    <w:tl2br w:val="nil"/>
                    <w:tr2bl w:val="nil"/>
                  </w:tcBorders>
                  <w:vAlign w:val="center"/>
                </w:tcPr>
                <w:p>
                  <w:pPr>
                    <w:pStyle w:val="29"/>
                    <w:bidi w:val="0"/>
                    <w:rPr>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366" w:type="dxa"/>
                  <w:vMerge w:val="restart"/>
                  <w:tcBorders>
                    <w:tl2br w:val="nil"/>
                    <w:tr2bl w:val="nil"/>
                  </w:tcBorders>
                  <w:vAlign w:val="center"/>
                </w:tcPr>
                <w:p>
                  <w:pPr>
                    <w:pStyle w:val="29"/>
                    <w:bidi w:val="0"/>
                    <w:rPr>
                      <w:highlight w:val="none"/>
                    </w:rPr>
                  </w:pPr>
                  <w:r>
                    <w:rPr>
                      <w:highlight w:val="none"/>
                    </w:rPr>
                    <w:t>PM</w:t>
                  </w:r>
                  <w:r>
                    <w:rPr>
                      <w:highlight w:val="none"/>
                      <w:vertAlign w:val="subscript"/>
                    </w:rPr>
                    <w:t>2.5</w:t>
                  </w:r>
                </w:p>
              </w:tc>
              <w:tc>
                <w:tcPr>
                  <w:tcW w:w="2025" w:type="dxa"/>
                  <w:tcBorders>
                    <w:tl2br w:val="nil"/>
                    <w:tr2bl w:val="nil"/>
                  </w:tcBorders>
                  <w:vAlign w:val="center"/>
                </w:tcPr>
                <w:p>
                  <w:pPr>
                    <w:pStyle w:val="29"/>
                    <w:bidi w:val="0"/>
                    <w:rPr>
                      <w:highlight w:val="none"/>
                    </w:rPr>
                  </w:pPr>
                  <w:r>
                    <w:rPr>
                      <w:highlight w:val="none"/>
                    </w:rPr>
                    <w:t>年平均</w:t>
                  </w:r>
                </w:p>
              </w:tc>
              <w:tc>
                <w:tcPr>
                  <w:tcW w:w="1515" w:type="dxa"/>
                  <w:tcBorders>
                    <w:tl2br w:val="nil"/>
                    <w:tr2bl w:val="nil"/>
                  </w:tcBorders>
                  <w:vAlign w:val="center"/>
                </w:tcPr>
                <w:p>
                  <w:pPr>
                    <w:pStyle w:val="29"/>
                    <w:bidi w:val="0"/>
                    <w:rPr>
                      <w:highlight w:val="none"/>
                    </w:rPr>
                  </w:pPr>
                  <w:r>
                    <w:rPr>
                      <w:highlight w:val="none"/>
                    </w:rPr>
                    <w:t>35</w:t>
                  </w:r>
                </w:p>
              </w:tc>
              <w:tc>
                <w:tcPr>
                  <w:tcW w:w="3288" w:type="dxa"/>
                  <w:vMerge w:val="continue"/>
                  <w:tcBorders>
                    <w:tl2br w:val="nil"/>
                    <w:tr2bl w:val="nil"/>
                  </w:tcBorders>
                  <w:vAlign w:val="center"/>
                </w:tcPr>
                <w:p>
                  <w:pPr>
                    <w:pStyle w:val="29"/>
                    <w:bidi w:val="0"/>
                    <w:rPr>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366" w:type="dxa"/>
                  <w:vMerge w:val="continue"/>
                  <w:tcBorders>
                    <w:tl2br w:val="nil"/>
                    <w:tr2bl w:val="nil"/>
                  </w:tcBorders>
                  <w:vAlign w:val="center"/>
                </w:tcPr>
                <w:p>
                  <w:pPr>
                    <w:pStyle w:val="29"/>
                    <w:bidi w:val="0"/>
                    <w:rPr>
                      <w:highlight w:val="none"/>
                    </w:rPr>
                  </w:pPr>
                </w:p>
              </w:tc>
              <w:tc>
                <w:tcPr>
                  <w:tcW w:w="2025" w:type="dxa"/>
                  <w:tcBorders>
                    <w:tl2br w:val="nil"/>
                    <w:tr2bl w:val="nil"/>
                  </w:tcBorders>
                  <w:vAlign w:val="center"/>
                </w:tcPr>
                <w:p>
                  <w:pPr>
                    <w:pStyle w:val="29"/>
                    <w:bidi w:val="0"/>
                    <w:rPr>
                      <w:highlight w:val="none"/>
                    </w:rPr>
                  </w:pPr>
                  <w:r>
                    <w:rPr>
                      <w:highlight w:val="none"/>
                    </w:rPr>
                    <w:t>24小时平均</w:t>
                  </w:r>
                </w:p>
              </w:tc>
              <w:tc>
                <w:tcPr>
                  <w:tcW w:w="1515" w:type="dxa"/>
                  <w:tcBorders>
                    <w:tl2br w:val="nil"/>
                    <w:tr2bl w:val="nil"/>
                  </w:tcBorders>
                  <w:vAlign w:val="center"/>
                </w:tcPr>
                <w:p>
                  <w:pPr>
                    <w:pStyle w:val="29"/>
                    <w:bidi w:val="0"/>
                    <w:rPr>
                      <w:highlight w:val="none"/>
                    </w:rPr>
                  </w:pPr>
                  <w:r>
                    <w:rPr>
                      <w:highlight w:val="none"/>
                    </w:rPr>
                    <w:t>75</w:t>
                  </w:r>
                </w:p>
              </w:tc>
              <w:tc>
                <w:tcPr>
                  <w:tcW w:w="3288" w:type="dxa"/>
                  <w:vMerge w:val="continue"/>
                  <w:tcBorders>
                    <w:tl2br w:val="nil"/>
                    <w:tr2bl w:val="nil"/>
                  </w:tcBorders>
                  <w:vAlign w:val="center"/>
                </w:tcPr>
                <w:p>
                  <w:pPr>
                    <w:pStyle w:val="29"/>
                    <w:bidi w:val="0"/>
                    <w:rPr>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366" w:type="dxa"/>
                  <w:vMerge w:val="restart"/>
                  <w:tcBorders>
                    <w:tl2br w:val="nil"/>
                    <w:tr2bl w:val="nil"/>
                  </w:tcBorders>
                  <w:vAlign w:val="center"/>
                </w:tcPr>
                <w:p>
                  <w:pPr>
                    <w:pStyle w:val="29"/>
                    <w:bidi w:val="0"/>
                    <w:rPr>
                      <w:highlight w:val="none"/>
                    </w:rPr>
                  </w:pPr>
                  <w:r>
                    <w:rPr>
                      <w:highlight w:val="none"/>
                    </w:rPr>
                    <w:t>O</w:t>
                  </w:r>
                  <w:r>
                    <w:rPr>
                      <w:highlight w:val="none"/>
                      <w:vertAlign w:val="subscript"/>
                    </w:rPr>
                    <w:t>3</w:t>
                  </w:r>
                </w:p>
              </w:tc>
              <w:tc>
                <w:tcPr>
                  <w:tcW w:w="2025" w:type="dxa"/>
                  <w:tcBorders>
                    <w:tl2br w:val="nil"/>
                    <w:tr2bl w:val="nil"/>
                  </w:tcBorders>
                  <w:vAlign w:val="center"/>
                </w:tcPr>
                <w:p>
                  <w:pPr>
                    <w:pStyle w:val="29"/>
                    <w:bidi w:val="0"/>
                    <w:rPr>
                      <w:highlight w:val="none"/>
                    </w:rPr>
                  </w:pPr>
                  <w:r>
                    <w:rPr>
                      <w:highlight w:val="none"/>
                    </w:rPr>
                    <w:t>日最大8小时平均</w:t>
                  </w:r>
                </w:p>
              </w:tc>
              <w:tc>
                <w:tcPr>
                  <w:tcW w:w="1515" w:type="dxa"/>
                  <w:tcBorders>
                    <w:tl2br w:val="nil"/>
                    <w:tr2bl w:val="nil"/>
                  </w:tcBorders>
                  <w:vAlign w:val="center"/>
                </w:tcPr>
                <w:p>
                  <w:pPr>
                    <w:pStyle w:val="29"/>
                    <w:bidi w:val="0"/>
                    <w:rPr>
                      <w:highlight w:val="none"/>
                    </w:rPr>
                  </w:pPr>
                  <w:r>
                    <w:rPr>
                      <w:highlight w:val="none"/>
                    </w:rPr>
                    <w:t>160</w:t>
                  </w:r>
                </w:p>
              </w:tc>
              <w:tc>
                <w:tcPr>
                  <w:tcW w:w="3288" w:type="dxa"/>
                  <w:vMerge w:val="continue"/>
                  <w:tcBorders>
                    <w:tl2br w:val="nil"/>
                    <w:tr2bl w:val="nil"/>
                  </w:tcBorders>
                  <w:vAlign w:val="center"/>
                </w:tcPr>
                <w:p>
                  <w:pPr>
                    <w:pStyle w:val="29"/>
                    <w:bidi w:val="0"/>
                    <w:rPr>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366" w:type="dxa"/>
                  <w:vMerge w:val="continue"/>
                  <w:tcBorders>
                    <w:tl2br w:val="nil"/>
                    <w:tr2bl w:val="nil"/>
                  </w:tcBorders>
                  <w:vAlign w:val="center"/>
                </w:tcPr>
                <w:p>
                  <w:pPr>
                    <w:pStyle w:val="29"/>
                    <w:bidi w:val="0"/>
                    <w:rPr>
                      <w:highlight w:val="none"/>
                    </w:rPr>
                  </w:pPr>
                </w:p>
              </w:tc>
              <w:tc>
                <w:tcPr>
                  <w:tcW w:w="2025" w:type="dxa"/>
                  <w:tcBorders>
                    <w:tl2br w:val="nil"/>
                    <w:tr2bl w:val="nil"/>
                  </w:tcBorders>
                  <w:vAlign w:val="center"/>
                </w:tcPr>
                <w:p>
                  <w:pPr>
                    <w:pStyle w:val="29"/>
                    <w:bidi w:val="0"/>
                    <w:rPr>
                      <w:highlight w:val="none"/>
                    </w:rPr>
                  </w:pPr>
                  <w:r>
                    <w:rPr>
                      <w:highlight w:val="none"/>
                    </w:rPr>
                    <w:t>1小时平均</w:t>
                  </w:r>
                </w:p>
              </w:tc>
              <w:tc>
                <w:tcPr>
                  <w:tcW w:w="1515" w:type="dxa"/>
                  <w:tcBorders>
                    <w:tl2br w:val="nil"/>
                    <w:tr2bl w:val="nil"/>
                  </w:tcBorders>
                  <w:vAlign w:val="center"/>
                </w:tcPr>
                <w:p>
                  <w:pPr>
                    <w:pStyle w:val="29"/>
                    <w:bidi w:val="0"/>
                    <w:rPr>
                      <w:highlight w:val="none"/>
                    </w:rPr>
                  </w:pPr>
                  <w:r>
                    <w:rPr>
                      <w:highlight w:val="none"/>
                    </w:rPr>
                    <w:t>200</w:t>
                  </w:r>
                </w:p>
              </w:tc>
              <w:tc>
                <w:tcPr>
                  <w:tcW w:w="3288" w:type="dxa"/>
                  <w:vMerge w:val="continue"/>
                  <w:tcBorders>
                    <w:tl2br w:val="nil"/>
                    <w:tr2bl w:val="nil"/>
                  </w:tcBorders>
                  <w:vAlign w:val="center"/>
                </w:tcPr>
                <w:p>
                  <w:pPr>
                    <w:pStyle w:val="29"/>
                    <w:bidi w:val="0"/>
                    <w:rPr>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366" w:type="dxa"/>
                  <w:vMerge w:val="restart"/>
                  <w:tcBorders>
                    <w:tl2br w:val="nil"/>
                    <w:tr2bl w:val="nil"/>
                  </w:tcBorders>
                  <w:vAlign w:val="center"/>
                </w:tcPr>
                <w:p>
                  <w:pPr>
                    <w:pStyle w:val="29"/>
                    <w:bidi w:val="0"/>
                    <w:rPr>
                      <w:highlight w:val="none"/>
                    </w:rPr>
                  </w:pPr>
                  <w:r>
                    <w:rPr>
                      <w:highlight w:val="none"/>
                    </w:rPr>
                    <w:t>NO</w:t>
                  </w:r>
                  <w:r>
                    <w:rPr>
                      <w:highlight w:val="none"/>
                      <w:vertAlign w:val="subscript"/>
                    </w:rPr>
                    <w:t>2</w:t>
                  </w:r>
                </w:p>
              </w:tc>
              <w:tc>
                <w:tcPr>
                  <w:tcW w:w="2025" w:type="dxa"/>
                  <w:tcBorders>
                    <w:tl2br w:val="nil"/>
                    <w:tr2bl w:val="nil"/>
                  </w:tcBorders>
                  <w:vAlign w:val="center"/>
                </w:tcPr>
                <w:p>
                  <w:pPr>
                    <w:pStyle w:val="29"/>
                    <w:bidi w:val="0"/>
                    <w:rPr>
                      <w:highlight w:val="none"/>
                    </w:rPr>
                  </w:pPr>
                  <w:r>
                    <w:rPr>
                      <w:highlight w:val="none"/>
                    </w:rPr>
                    <w:t>年平均</w:t>
                  </w:r>
                </w:p>
              </w:tc>
              <w:tc>
                <w:tcPr>
                  <w:tcW w:w="1515" w:type="dxa"/>
                  <w:tcBorders>
                    <w:tl2br w:val="nil"/>
                    <w:tr2bl w:val="nil"/>
                  </w:tcBorders>
                  <w:vAlign w:val="center"/>
                </w:tcPr>
                <w:p>
                  <w:pPr>
                    <w:pStyle w:val="29"/>
                    <w:bidi w:val="0"/>
                    <w:rPr>
                      <w:highlight w:val="none"/>
                    </w:rPr>
                  </w:pPr>
                  <w:r>
                    <w:rPr>
                      <w:highlight w:val="none"/>
                    </w:rPr>
                    <w:t>40</w:t>
                  </w:r>
                </w:p>
              </w:tc>
              <w:tc>
                <w:tcPr>
                  <w:tcW w:w="3288" w:type="dxa"/>
                  <w:vMerge w:val="continue"/>
                  <w:tcBorders>
                    <w:tl2br w:val="nil"/>
                    <w:tr2bl w:val="nil"/>
                  </w:tcBorders>
                  <w:vAlign w:val="center"/>
                </w:tcPr>
                <w:p>
                  <w:pPr>
                    <w:pStyle w:val="29"/>
                    <w:bidi w:val="0"/>
                    <w:rPr>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366" w:type="dxa"/>
                  <w:vMerge w:val="continue"/>
                  <w:tcBorders>
                    <w:tl2br w:val="nil"/>
                    <w:tr2bl w:val="nil"/>
                  </w:tcBorders>
                  <w:vAlign w:val="center"/>
                </w:tcPr>
                <w:p>
                  <w:pPr>
                    <w:pStyle w:val="29"/>
                    <w:bidi w:val="0"/>
                    <w:rPr>
                      <w:highlight w:val="none"/>
                    </w:rPr>
                  </w:pPr>
                </w:p>
              </w:tc>
              <w:tc>
                <w:tcPr>
                  <w:tcW w:w="2025" w:type="dxa"/>
                  <w:tcBorders>
                    <w:tl2br w:val="nil"/>
                    <w:tr2bl w:val="nil"/>
                  </w:tcBorders>
                  <w:vAlign w:val="center"/>
                </w:tcPr>
                <w:p>
                  <w:pPr>
                    <w:pStyle w:val="29"/>
                    <w:bidi w:val="0"/>
                    <w:rPr>
                      <w:highlight w:val="none"/>
                    </w:rPr>
                  </w:pPr>
                  <w:r>
                    <w:rPr>
                      <w:highlight w:val="none"/>
                    </w:rPr>
                    <w:t>24小时平均</w:t>
                  </w:r>
                </w:p>
              </w:tc>
              <w:tc>
                <w:tcPr>
                  <w:tcW w:w="1515" w:type="dxa"/>
                  <w:tcBorders>
                    <w:tl2br w:val="nil"/>
                    <w:tr2bl w:val="nil"/>
                  </w:tcBorders>
                  <w:vAlign w:val="center"/>
                </w:tcPr>
                <w:p>
                  <w:pPr>
                    <w:pStyle w:val="29"/>
                    <w:bidi w:val="0"/>
                    <w:rPr>
                      <w:highlight w:val="none"/>
                    </w:rPr>
                  </w:pPr>
                  <w:r>
                    <w:rPr>
                      <w:highlight w:val="none"/>
                    </w:rPr>
                    <w:t>80</w:t>
                  </w:r>
                </w:p>
              </w:tc>
              <w:tc>
                <w:tcPr>
                  <w:tcW w:w="3288" w:type="dxa"/>
                  <w:vMerge w:val="continue"/>
                  <w:tcBorders>
                    <w:tl2br w:val="nil"/>
                    <w:tr2bl w:val="nil"/>
                  </w:tcBorders>
                  <w:vAlign w:val="center"/>
                </w:tcPr>
                <w:p>
                  <w:pPr>
                    <w:pStyle w:val="29"/>
                    <w:bidi w:val="0"/>
                    <w:rPr>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366" w:type="dxa"/>
                  <w:vMerge w:val="continue"/>
                  <w:tcBorders>
                    <w:tl2br w:val="nil"/>
                    <w:tr2bl w:val="nil"/>
                  </w:tcBorders>
                  <w:vAlign w:val="center"/>
                </w:tcPr>
                <w:p>
                  <w:pPr>
                    <w:pStyle w:val="29"/>
                    <w:bidi w:val="0"/>
                    <w:rPr>
                      <w:highlight w:val="none"/>
                    </w:rPr>
                  </w:pPr>
                </w:p>
              </w:tc>
              <w:tc>
                <w:tcPr>
                  <w:tcW w:w="2025" w:type="dxa"/>
                  <w:tcBorders>
                    <w:tl2br w:val="nil"/>
                    <w:tr2bl w:val="nil"/>
                  </w:tcBorders>
                  <w:vAlign w:val="center"/>
                </w:tcPr>
                <w:p>
                  <w:pPr>
                    <w:pStyle w:val="29"/>
                    <w:bidi w:val="0"/>
                    <w:rPr>
                      <w:highlight w:val="none"/>
                    </w:rPr>
                  </w:pPr>
                  <w:r>
                    <w:rPr>
                      <w:highlight w:val="none"/>
                    </w:rPr>
                    <w:t>1小时平均</w:t>
                  </w:r>
                </w:p>
              </w:tc>
              <w:tc>
                <w:tcPr>
                  <w:tcW w:w="1515" w:type="dxa"/>
                  <w:tcBorders>
                    <w:tl2br w:val="nil"/>
                    <w:tr2bl w:val="nil"/>
                  </w:tcBorders>
                  <w:vAlign w:val="center"/>
                </w:tcPr>
                <w:p>
                  <w:pPr>
                    <w:pStyle w:val="29"/>
                    <w:bidi w:val="0"/>
                    <w:rPr>
                      <w:highlight w:val="none"/>
                    </w:rPr>
                  </w:pPr>
                  <w:r>
                    <w:rPr>
                      <w:highlight w:val="none"/>
                    </w:rPr>
                    <w:t>200</w:t>
                  </w:r>
                </w:p>
              </w:tc>
              <w:tc>
                <w:tcPr>
                  <w:tcW w:w="3288" w:type="dxa"/>
                  <w:vMerge w:val="continue"/>
                  <w:tcBorders>
                    <w:tl2br w:val="nil"/>
                    <w:tr2bl w:val="nil"/>
                  </w:tcBorders>
                  <w:vAlign w:val="center"/>
                </w:tcPr>
                <w:p>
                  <w:pPr>
                    <w:pStyle w:val="29"/>
                    <w:bidi w:val="0"/>
                    <w:rPr>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366" w:type="dxa"/>
                  <w:vMerge w:val="restart"/>
                  <w:tcBorders>
                    <w:tl2br w:val="nil"/>
                    <w:tr2bl w:val="nil"/>
                  </w:tcBorders>
                  <w:vAlign w:val="center"/>
                </w:tcPr>
                <w:p>
                  <w:pPr>
                    <w:pStyle w:val="29"/>
                    <w:bidi w:val="0"/>
                    <w:rPr>
                      <w:highlight w:val="none"/>
                    </w:rPr>
                  </w:pPr>
                  <w:r>
                    <w:rPr>
                      <w:highlight w:val="none"/>
                    </w:rPr>
                    <w:t>CO</w:t>
                  </w:r>
                </w:p>
              </w:tc>
              <w:tc>
                <w:tcPr>
                  <w:tcW w:w="2025" w:type="dxa"/>
                  <w:tcBorders>
                    <w:tl2br w:val="nil"/>
                    <w:tr2bl w:val="nil"/>
                  </w:tcBorders>
                  <w:vAlign w:val="center"/>
                </w:tcPr>
                <w:p>
                  <w:pPr>
                    <w:pStyle w:val="29"/>
                    <w:bidi w:val="0"/>
                    <w:rPr>
                      <w:highlight w:val="none"/>
                    </w:rPr>
                  </w:pPr>
                  <w:r>
                    <w:rPr>
                      <w:highlight w:val="none"/>
                    </w:rPr>
                    <w:t>24小时平均</w:t>
                  </w:r>
                </w:p>
              </w:tc>
              <w:tc>
                <w:tcPr>
                  <w:tcW w:w="1515" w:type="dxa"/>
                  <w:tcBorders>
                    <w:tl2br w:val="nil"/>
                    <w:tr2bl w:val="nil"/>
                  </w:tcBorders>
                  <w:vAlign w:val="center"/>
                </w:tcPr>
                <w:p>
                  <w:pPr>
                    <w:pStyle w:val="29"/>
                    <w:bidi w:val="0"/>
                    <w:rPr>
                      <w:highlight w:val="none"/>
                    </w:rPr>
                  </w:pPr>
                  <w:r>
                    <w:rPr>
                      <w:highlight w:val="none"/>
                    </w:rPr>
                    <w:t>4mg/m</w:t>
                  </w:r>
                  <w:r>
                    <w:rPr>
                      <w:highlight w:val="none"/>
                      <w:vertAlign w:val="superscript"/>
                    </w:rPr>
                    <w:t>3</w:t>
                  </w:r>
                </w:p>
              </w:tc>
              <w:tc>
                <w:tcPr>
                  <w:tcW w:w="3288" w:type="dxa"/>
                  <w:vMerge w:val="continue"/>
                  <w:tcBorders>
                    <w:tl2br w:val="nil"/>
                    <w:tr2bl w:val="nil"/>
                  </w:tcBorders>
                  <w:vAlign w:val="center"/>
                </w:tcPr>
                <w:p>
                  <w:pPr>
                    <w:pStyle w:val="29"/>
                    <w:bidi w:val="0"/>
                    <w:rPr>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366" w:type="dxa"/>
                  <w:vMerge w:val="continue"/>
                  <w:tcBorders>
                    <w:tl2br w:val="nil"/>
                    <w:tr2bl w:val="nil"/>
                  </w:tcBorders>
                  <w:vAlign w:val="center"/>
                </w:tcPr>
                <w:p>
                  <w:pPr>
                    <w:pStyle w:val="29"/>
                    <w:bidi w:val="0"/>
                    <w:rPr>
                      <w:highlight w:val="none"/>
                    </w:rPr>
                  </w:pPr>
                </w:p>
              </w:tc>
              <w:tc>
                <w:tcPr>
                  <w:tcW w:w="2025" w:type="dxa"/>
                  <w:tcBorders>
                    <w:tl2br w:val="nil"/>
                    <w:tr2bl w:val="nil"/>
                  </w:tcBorders>
                  <w:vAlign w:val="center"/>
                </w:tcPr>
                <w:p>
                  <w:pPr>
                    <w:pStyle w:val="29"/>
                    <w:bidi w:val="0"/>
                    <w:rPr>
                      <w:highlight w:val="none"/>
                    </w:rPr>
                  </w:pPr>
                  <w:r>
                    <w:rPr>
                      <w:highlight w:val="none"/>
                    </w:rPr>
                    <w:t>1小时平均</w:t>
                  </w:r>
                </w:p>
              </w:tc>
              <w:tc>
                <w:tcPr>
                  <w:tcW w:w="1515" w:type="dxa"/>
                  <w:tcBorders>
                    <w:tl2br w:val="nil"/>
                    <w:tr2bl w:val="nil"/>
                  </w:tcBorders>
                  <w:vAlign w:val="center"/>
                </w:tcPr>
                <w:p>
                  <w:pPr>
                    <w:pStyle w:val="29"/>
                    <w:bidi w:val="0"/>
                    <w:rPr>
                      <w:highlight w:val="none"/>
                    </w:rPr>
                  </w:pPr>
                  <w:r>
                    <w:rPr>
                      <w:highlight w:val="none"/>
                    </w:rPr>
                    <w:t>10mg/m</w:t>
                  </w:r>
                  <w:r>
                    <w:rPr>
                      <w:highlight w:val="none"/>
                      <w:vertAlign w:val="superscript"/>
                    </w:rPr>
                    <w:t>3</w:t>
                  </w:r>
                </w:p>
              </w:tc>
              <w:tc>
                <w:tcPr>
                  <w:tcW w:w="3288" w:type="dxa"/>
                  <w:vMerge w:val="continue"/>
                  <w:tcBorders>
                    <w:tl2br w:val="nil"/>
                    <w:tr2bl w:val="nil"/>
                  </w:tcBorders>
                  <w:vAlign w:val="center"/>
                </w:tcPr>
                <w:p>
                  <w:pPr>
                    <w:pStyle w:val="29"/>
                    <w:bidi w:val="0"/>
                    <w:rPr>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36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rFonts w:hint="default" w:ascii="Times New Roman" w:hAnsi="Times New Roman" w:eastAsia="Times New Roman" w:cs="Times New Roman"/>
                      <w:kern w:val="0"/>
                      <w:sz w:val="21"/>
                      <w:szCs w:val="21"/>
                      <w:highlight w:val="none"/>
                    </w:rPr>
                    <w:t>非甲烷总烃</w:t>
                  </w:r>
                </w:p>
              </w:tc>
              <w:tc>
                <w:tcPr>
                  <w:tcW w:w="202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rFonts w:hint="default" w:ascii="Times New Roman" w:hAnsi="Times New Roman" w:cs="Times New Roman"/>
                      <w:b w:val="0"/>
                      <w:bCs w:val="0"/>
                      <w:kern w:val="0"/>
                      <w:sz w:val="21"/>
                      <w:szCs w:val="21"/>
                      <w:highlight w:val="none"/>
                      <w:u w:val="none"/>
                    </w:rPr>
                    <w:t>1</w:t>
                  </w:r>
                  <w:r>
                    <w:rPr>
                      <w:rFonts w:hint="default" w:ascii="Times New Roman" w:hAnsi="Times New Roman" w:cs="Times New Roman"/>
                      <w:b w:val="0"/>
                      <w:bCs w:val="0"/>
                      <w:kern w:val="0"/>
                      <w:sz w:val="21"/>
                      <w:szCs w:val="21"/>
                      <w:highlight w:val="none"/>
                      <w:u w:val="none"/>
                      <w:lang w:eastAsia="zh-CN"/>
                    </w:rPr>
                    <w:t>小时</w:t>
                  </w:r>
                  <w:r>
                    <w:rPr>
                      <w:rFonts w:hint="default" w:ascii="Times New Roman" w:hAnsi="Times New Roman" w:cs="Times New Roman"/>
                      <w:b w:val="0"/>
                      <w:bCs w:val="0"/>
                      <w:kern w:val="0"/>
                      <w:sz w:val="21"/>
                      <w:szCs w:val="21"/>
                      <w:highlight w:val="none"/>
                      <w:u w:val="none"/>
                    </w:rPr>
                    <w:t>平均</w:t>
                  </w:r>
                </w:p>
              </w:tc>
              <w:tc>
                <w:tcPr>
                  <w:tcW w:w="151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rFonts w:hint="default" w:ascii="Times New Roman" w:hAnsi="Times New Roman" w:cs="Times New Roman"/>
                      <w:b w:val="0"/>
                      <w:bCs w:val="0"/>
                      <w:kern w:val="0"/>
                      <w:sz w:val="21"/>
                      <w:szCs w:val="21"/>
                      <w:highlight w:val="none"/>
                      <w:u w:val="none"/>
                      <w:lang w:val="en-US" w:eastAsia="zh-CN"/>
                    </w:rPr>
                    <w:t>2.0mg/m</w:t>
                  </w:r>
                  <w:r>
                    <w:rPr>
                      <w:rFonts w:hint="default" w:ascii="Times New Roman" w:hAnsi="Times New Roman" w:cs="Times New Roman"/>
                      <w:b w:val="0"/>
                      <w:bCs w:val="0"/>
                      <w:kern w:val="0"/>
                      <w:sz w:val="21"/>
                      <w:szCs w:val="21"/>
                      <w:highlight w:val="none"/>
                      <w:u w:val="none"/>
                      <w:vertAlign w:val="superscript"/>
                      <w:lang w:val="en-US" w:eastAsia="zh-CN"/>
                    </w:rPr>
                    <w:t>3</w:t>
                  </w:r>
                </w:p>
              </w:tc>
              <w:tc>
                <w:tcPr>
                  <w:tcW w:w="328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sz w:val="21"/>
                      <w:szCs w:val="21"/>
                      <w:highlight w:val="none"/>
                    </w:rPr>
                  </w:pPr>
                  <w:r>
                    <w:rPr>
                      <w:rFonts w:hint="default" w:ascii="Times New Roman" w:hAnsi="Times New Roman" w:cs="Times New Roman"/>
                      <w:kern w:val="0"/>
                      <w:sz w:val="21"/>
                      <w:szCs w:val="21"/>
                      <w:highlight w:val="none"/>
                    </w:rPr>
                    <w:t>《环境空气质量 非甲烷总烃限值》（DB13/1577-2012）表1二级</w:t>
                  </w:r>
                </w:p>
              </w:tc>
            </w:tr>
          </w:tbl>
          <w:p>
            <w:pPr>
              <w:bidi w:val="0"/>
              <w:rPr>
                <w:highlight w:val="none"/>
              </w:rPr>
            </w:pPr>
            <w:r>
              <w:rPr>
                <w:highlight w:val="none"/>
              </w:rPr>
              <w:t>2、《声环境质量标准》（GB3096-2008）相关标准限值见</w:t>
            </w:r>
            <w:r>
              <w:rPr>
                <w:rFonts w:hint="eastAsia"/>
                <w:highlight w:val="none"/>
                <w:lang w:eastAsia="zh-CN"/>
              </w:rPr>
              <w:t>下表</w:t>
            </w:r>
            <w:r>
              <w:rPr>
                <w:highlight w:val="none"/>
              </w:rPr>
              <w:t>。</w:t>
            </w:r>
          </w:p>
          <w:p>
            <w:pPr>
              <w:pStyle w:val="45"/>
              <w:bidi w:val="0"/>
              <w:rPr>
                <w:highlight w:val="none"/>
              </w:rPr>
            </w:pPr>
            <w:r>
              <w:rPr>
                <w:highlight w:val="none"/>
              </w:rPr>
              <w:t>表2</w:t>
            </w:r>
            <w:r>
              <w:rPr>
                <w:rFonts w:hint="eastAsia"/>
                <w:highlight w:val="none"/>
                <w:lang w:val="en-US" w:eastAsia="zh-CN"/>
              </w:rPr>
              <w:t>8</w:t>
            </w:r>
            <w:r>
              <w:rPr>
                <w:highlight w:val="none"/>
              </w:rPr>
              <w:t xml:space="preserve">      声环境质量标准         单位：dB（A）</w:t>
            </w:r>
          </w:p>
          <w:tbl>
            <w:tblPr>
              <w:tblStyle w:val="21"/>
              <w:tblW w:w="819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573"/>
              <w:gridCol w:w="2920"/>
              <w:gridCol w:w="270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73" w:type="dxa"/>
                  <w:tcBorders>
                    <w:tl2br w:val="nil"/>
                    <w:tr2bl w:val="nil"/>
                  </w:tcBorders>
                  <w:vAlign w:val="center"/>
                </w:tcPr>
                <w:p>
                  <w:pPr>
                    <w:pStyle w:val="29"/>
                    <w:bidi w:val="0"/>
                    <w:rPr>
                      <w:highlight w:val="none"/>
                    </w:rPr>
                  </w:pPr>
                  <w:r>
                    <w:rPr>
                      <w:highlight w:val="none"/>
                    </w:rPr>
                    <w:t>类别</w:t>
                  </w:r>
                </w:p>
              </w:tc>
              <w:tc>
                <w:tcPr>
                  <w:tcW w:w="2920" w:type="dxa"/>
                  <w:tcBorders>
                    <w:tl2br w:val="nil"/>
                    <w:tr2bl w:val="nil"/>
                  </w:tcBorders>
                  <w:vAlign w:val="center"/>
                </w:tcPr>
                <w:p>
                  <w:pPr>
                    <w:pStyle w:val="29"/>
                    <w:bidi w:val="0"/>
                    <w:rPr>
                      <w:highlight w:val="none"/>
                    </w:rPr>
                  </w:pPr>
                  <w:r>
                    <w:rPr>
                      <w:highlight w:val="none"/>
                    </w:rPr>
                    <w:t>昼间</w:t>
                  </w:r>
                </w:p>
              </w:tc>
              <w:tc>
                <w:tcPr>
                  <w:tcW w:w="2701" w:type="dxa"/>
                  <w:tcBorders>
                    <w:tl2br w:val="nil"/>
                    <w:tr2bl w:val="nil"/>
                  </w:tcBorders>
                  <w:vAlign w:val="center"/>
                </w:tcPr>
                <w:p>
                  <w:pPr>
                    <w:pStyle w:val="29"/>
                    <w:bidi w:val="0"/>
                    <w:rPr>
                      <w:highlight w:val="none"/>
                    </w:rPr>
                  </w:pPr>
                  <w:r>
                    <w:rPr>
                      <w:highlight w:val="none"/>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73" w:type="dxa"/>
                  <w:tcBorders>
                    <w:tl2br w:val="nil"/>
                    <w:tr2bl w:val="nil"/>
                  </w:tcBorders>
                  <w:vAlign w:val="center"/>
                </w:tcPr>
                <w:p>
                  <w:pPr>
                    <w:pStyle w:val="29"/>
                    <w:bidi w:val="0"/>
                    <w:rPr>
                      <w:highlight w:val="none"/>
                    </w:rPr>
                  </w:pPr>
                  <w:r>
                    <w:rPr>
                      <w:rFonts w:hint="eastAsia"/>
                      <w:highlight w:val="none"/>
                      <w:lang w:val="en-US" w:eastAsia="zh-CN"/>
                    </w:rPr>
                    <w:t>3</w:t>
                  </w:r>
                  <w:r>
                    <w:rPr>
                      <w:highlight w:val="none"/>
                    </w:rPr>
                    <w:t>类</w:t>
                  </w:r>
                </w:p>
              </w:tc>
              <w:tc>
                <w:tcPr>
                  <w:tcW w:w="2920" w:type="dxa"/>
                  <w:tcBorders>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65</w:t>
                  </w:r>
                </w:p>
              </w:tc>
              <w:tc>
                <w:tcPr>
                  <w:tcW w:w="2701" w:type="dxa"/>
                  <w:tcBorders>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55</w:t>
                  </w:r>
                </w:p>
              </w:tc>
            </w:tr>
          </w:tbl>
          <w:p>
            <w:pPr>
              <w:bidi w:val="0"/>
              <w:rPr>
                <w:highlight w:val="none"/>
              </w:rPr>
            </w:pPr>
            <w:r>
              <w:rPr>
                <w:highlight w:val="none"/>
              </w:rPr>
              <w:t>3、卫河执行《地表水环境质量标准》（GB3838-2002）Ⅴ类标准要求，相关标准限值见</w:t>
            </w:r>
            <w:r>
              <w:rPr>
                <w:rFonts w:hint="eastAsia"/>
                <w:highlight w:val="none"/>
                <w:lang w:eastAsia="zh-CN"/>
              </w:rPr>
              <w:t>下表</w:t>
            </w:r>
            <w:r>
              <w:rPr>
                <w:highlight w:val="none"/>
              </w:rPr>
              <w:t>。</w:t>
            </w:r>
          </w:p>
          <w:p>
            <w:pPr>
              <w:pStyle w:val="45"/>
              <w:bidi w:val="0"/>
              <w:rPr>
                <w:highlight w:val="none"/>
              </w:rPr>
            </w:pPr>
            <w:bookmarkStart w:id="1" w:name="_Ref306978742"/>
            <w:r>
              <w:rPr>
                <w:highlight w:val="none"/>
              </w:rPr>
              <w:t>表</w:t>
            </w:r>
            <w:bookmarkEnd w:id="1"/>
            <w:r>
              <w:rPr>
                <w:highlight w:val="none"/>
              </w:rPr>
              <w:t>2</w:t>
            </w:r>
            <w:r>
              <w:rPr>
                <w:rFonts w:hint="eastAsia"/>
                <w:highlight w:val="none"/>
                <w:lang w:val="en-US" w:eastAsia="zh-CN"/>
              </w:rPr>
              <w:t>9</w:t>
            </w:r>
            <w:r>
              <w:rPr>
                <w:highlight w:val="none"/>
              </w:rPr>
              <w:t xml:space="preserve">        地表水环境质量标准          单位：mg/L</w:t>
            </w:r>
          </w:p>
          <w:tbl>
            <w:tblPr>
              <w:tblStyle w:val="21"/>
              <w:tblW w:w="819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2895"/>
              <w:gridCol w:w="1825"/>
              <w:gridCol w:w="347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895" w:type="dxa"/>
                  <w:vAlign w:val="center"/>
                </w:tcPr>
                <w:p>
                  <w:pPr>
                    <w:pStyle w:val="29"/>
                    <w:bidi w:val="0"/>
                    <w:rPr>
                      <w:highlight w:val="none"/>
                    </w:rPr>
                  </w:pPr>
                  <w:r>
                    <w:rPr>
                      <w:highlight w:val="none"/>
                    </w:rPr>
                    <w:t>项目类别</w:t>
                  </w:r>
                </w:p>
              </w:tc>
              <w:tc>
                <w:tcPr>
                  <w:tcW w:w="1825" w:type="dxa"/>
                  <w:vAlign w:val="center"/>
                </w:tcPr>
                <w:p>
                  <w:pPr>
                    <w:pStyle w:val="29"/>
                    <w:bidi w:val="0"/>
                    <w:rPr>
                      <w:highlight w:val="none"/>
                    </w:rPr>
                  </w:pPr>
                  <w:r>
                    <w:rPr>
                      <w:highlight w:val="none"/>
                    </w:rPr>
                    <w:t>浓度限值</w:t>
                  </w:r>
                </w:p>
              </w:tc>
              <w:tc>
                <w:tcPr>
                  <w:tcW w:w="3474" w:type="dxa"/>
                  <w:vAlign w:val="center"/>
                </w:tcPr>
                <w:p>
                  <w:pPr>
                    <w:pStyle w:val="29"/>
                    <w:bidi w:val="0"/>
                    <w:rPr>
                      <w:highlight w:val="none"/>
                    </w:rPr>
                  </w:pPr>
                  <w:r>
                    <w:rPr>
                      <w:highlight w:val="none"/>
                    </w:rPr>
                    <w:t>标准来源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895" w:type="dxa"/>
                  <w:vAlign w:val="center"/>
                </w:tcPr>
                <w:p>
                  <w:pPr>
                    <w:pStyle w:val="29"/>
                    <w:bidi w:val="0"/>
                    <w:rPr>
                      <w:highlight w:val="none"/>
                    </w:rPr>
                  </w:pPr>
                  <w:r>
                    <w:rPr>
                      <w:highlight w:val="none"/>
                    </w:rPr>
                    <w:t>pH值（无量纲）</w:t>
                  </w:r>
                </w:p>
              </w:tc>
              <w:tc>
                <w:tcPr>
                  <w:tcW w:w="1825" w:type="dxa"/>
                  <w:vAlign w:val="center"/>
                </w:tcPr>
                <w:p>
                  <w:pPr>
                    <w:pStyle w:val="29"/>
                    <w:bidi w:val="0"/>
                    <w:rPr>
                      <w:highlight w:val="none"/>
                    </w:rPr>
                  </w:pPr>
                  <w:r>
                    <w:rPr>
                      <w:highlight w:val="none"/>
                    </w:rPr>
                    <w:t>6~9</w:t>
                  </w:r>
                </w:p>
              </w:tc>
              <w:tc>
                <w:tcPr>
                  <w:tcW w:w="3474" w:type="dxa"/>
                  <w:vMerge w:val="restart"/>
                  <w:vAlign w:val="center"/>
                </w:tcPr>
                <w:p>
                  <w:pPr>
                    <w:pStyle w:val="29"/>
                    <w:bidi w:val="0"/>
                    <w:rPr>
                      <w:highlight w:val="none"/>
                    </w:rPr>
                  </w:pPr>
                  <w:r>
                    <w:rPr>
                      <w:highlight w:val="none"/>
                    </w:rPr>
                    <w:t>《地表水环境质量标准》</w:t>
                  </w:r>
                </w:p>
                <w:p>
                  <w:pPr>
                    <w:pStyle w:val="29"/>
                    <w:bidi w:val="0"/>
                    <w:rPr>
                      <w:highlight w:val="none"/>
                    </w:rPr>
                  </w:pPr>
                  <w:r>
                    <w:rPr>
                      <w:highlight w:val="none"/>
                    </w:rPr>
                    <w:t>（GB3838-2002）V类标准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895" w:type="dxa"/>
                  <w:vAlign w:val="center"/>
                </w:tcPr>
                <w:p>
                  <w:pPr>
                    <w:pStyle w:val="29"/>
                    <w:bidi w:val="0"/>
                    <w:rPr>
                      <w:highlight w:val="none"/>
                    </w:rPr>
                  </w:pPr>
                  <w:r>
                    <w:rPr>
                      <w:highlight w:val="none"/>
                    </w:rPr>
                    <w:t>化学需氧量（COD）</w:t>
                  </w:r>
                </w:p>
              </w:tc>
              <w:tc>
                <w:tcPr>
                  <w:tcW w:w="1825" w:type="dxa"/>
                  <w:vAlign w:val="center"/>
                </w:tcPr>
                <w:p>
                  <w:pPr>
                    <w:pStyle w:val="29"/>
                    <w:bidi w:val="0"/>
                    <w:rPr>
                      <w:highlight w:val="none"/>
                    </w:rPr>
                  </w:pPr>
                  <w:r>
                    <w:rPr>
                      <w:highlight w:val="none"/>
                    </w:rPr>
                    <w:t>≤40</w:t>
                  </w:r>
                </w:p>
              </w:tc>
              <w:tc>
                <w:tcPr>
                  <w:tcW w:w="3474" w:type="dxa"/>
                  <w:vMerge w:val="continue"/>
                  <w:vAlign w:val="center"/>
                </w:tcPr>
                <w:p>
                  <w:pPr>
                    <w:pStyle w:val="29"/>
                    <w:bidi w:val="0"/>
                    <w:rPr>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895" w:type="dxa"/>
                  <w:vAlign w:val="center"/>
                </w:tcPr>
                <w:p>
                  <w:pPr>
                    <w:pStyle w:val="29"/>
                    <w:bidi w:val="0"/>
                    <w:rPr>
                      <w:highlight w:val="none"/>
                    </w:rPr>
                  </w:pPr>
                  <w:r>
                    <w:rPr>
                      <w:highlight w:val="none"/>
                    </w:rPr>
                    <w:t>氨氮（NH</w:t>
                  </w:r>
                  <w:r>
                    <w:rPr>
                      <w:highlight w:val="none"/>
                      <w:vertAlign w:val="subscript"/>
                    </w:rPr>
                    <w:t>3</w:t>
                  </w:r>
                  <w:r>
                    <w:rPr>
                      <w:highlight w:val="none"/>
                    </w:rPr>
                    <w:t>-N）</w:t>
                  </w:r>
                </w:p>
              </w:tc>
              <w:tc>
                <w:tcPr>
                  <w:tcW w:w="1825" w:type="dxa"/>
                  <w:vAlign w:val="center"/>
                </w:tcPr>
                <w:p>
                  <w:pPr>
                    <w:pStyle w:val="29"/>
                    <w:bidi w:val="0"/>
                    <w:rPr>
                      <w:highlight w:val="none"/>
                    </w:rPr>
                  </w:pPr>
                  <w:r>
                    <w:rPr>
                      <w:highlight w:val="none"/>
                    </w:rPr>
                    <w:t>≤2.0</w:t>
                  </w:r>
                </w:p>
              </w:tc>
              <w:tc>
                <w:tcPr>
                  <w:tcW w:w="3474" w:type="dxa"/>
                  <w:vMerge w:val="continue"/>
                  <w:vAlign w:val="center"/>
                </w:tcPr>
                <w:p>
                  <w:pPr>
                    <w:pStyle w:val="29"/>
                    <w:bidi w:val="0"/>
                    <w:rPr>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895" w:type="dxa"/>
                  <w:vAlign w:val="center"/>
                </w:tcPr>
                <w:p>
                  <w:pPr>
                    <w:pStyle w:val="29"/>
                    <w:bidi w:val="0"/>
                    <w:rPr>
                      <w:highlight w:val="none"/>
                    </w:rPr>
                  </w:pPr>
                  <w:r>
                    <w:rPr>
                      <w:highlight w:val="none"/>
                    </w:rPr>
                    <w:t>总磷</w:t>
                  </w:r>
                </w:p>
              </w:tc>
              <w:tc>
                <w:tcPr>
                  <w:tcW w:w="1825" w:type="dxa"/>
                  <w:vAlign w:val="center"/>
                </w:tcPr>
                <w:p>
                  <w:pPr>
                    <w:pStyle w:val="29"/>
                    <w:bidi w:val="0"/>
                    <w:rPr>
                      <w:highlight w:val="none"/>
                    </w:rPr>
                  </w:pPr>
                  <w:r>
                    <w:rPr>
                      <w:highlight w:val="none"/>
                    </w:rPr>
                    <w:t>≤0.4</w:t>
                  </w:r>
                </w:p>
              </w:tc>
              <w:tc>
                <w:tcPr>
                  <w:tcW w:w="3474" w:type="dxa"/>
                  <w:vMerge w:val="continue"/>
                  <w:vAlign w:val="center"/>
                </w:tcPr>
                <w:p>
                  <w:pPr>
                    <w:pStyle w:val="29"/>
                    <w:bidi w:val="0"/>
                    <w:rPr>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895" w:type="dxa"/>
                  <w:vAlign w:val="center"/>
                </w:tcPr>
                <w:p>
                  <w:pPr>
                    <w:pStyle w:val="29"/>
                    <w:bidi w:val="0"/>
                    <w:rPr>
                      <w:highlight w:val="none"/>
                    </w:rPr>
                  </w:pPr>
                  <w:r>
                    <w:rPr>
                      <w:highlight w:val="none"/>
                    </w:rPr>
                    <w:t>五日生化需氧量（BOD</w:t>
                  </w:r>
                  <w:r>
                    <w:rPr>
                      <w:highlight w:val="none"/>
                      <w:vertAlign w:val="subscript"/>
                    </w:rPr>
                    <w:t>5</w:t>
                  </w:r>
                  <w:r>
                    <w:rPr>
                      <w:highlight w:val="none"/>
                    </w:rPr>
                    <w:t>）</w:t>
                  </w:r>
                </w:p>
              </w:tc>
              <w:tc>
                <w:tcPr>
                  <w:tcW w:w="1825" w:type="dxa"/>
                  <w:vAlign w:val="center"/>
                </w:tcPr>
                <w:p>
                  <w:pPr>
                    <w:pStyle w:val="29"/>
                    <w:bidi w:val="0"/>
                    <w:rPr>
                      <w:highlight w:val="none"/>
                    </w:rPr>
                  </w:pPr>
                  <w:r>
                    <w:rPr>
                      <w:highlight w:val="none"/>
                    </w:rPr>
                    <w:t>≤10</w:t>
                  </w:r>
                </w:p>
              </w:tc>
              <w:tc>
                <w:tcPr>
                  <w:tcW w:w="3474" w:type="dxa"/>
                  <w:vMerge w:val="continue"/>
                  <w:vAlign w:val="center"/>
                </w:tcPr>
                <w:p>
                  <w:pPr>
                    <w:pStyle w:val="29"/>
                    <w:bidi w:val="0"/>
                    <w:rPr>
                      <w:highlight w:val="none"/>
                    </w:rPr>
                  </w:pPr>
                </w:p>
              </w:tc>
            </w:tr>
          </w:tbl>
          <w:p>
            <w:pPr>
              <w:keepNext w:val="0"/>
              <w:keepLines w:val="0"/>
              <w:pageBreakBefore w:val="0"/>
              <w:widowControl w:val="0"/>
              <w:kinsoku/>
              <w:wordWrap/>
              <w:overflowPunct/>
              <w:topLinePunct w:val="0"/>
              <w:autoSpaceDE/>
              <w:autoSpaceDN/>
              <w:bidi w:val="0"/>
              <w:adjustRightInd/>
              <w:snapToGrid/>
              <w:textAlignment w:val="auto"/>
              <w:rPr>
                <w:highlight w:val="none"/>
              </w:rPr>
            </w:pPr>
            <w:r>
              <w:rPr>
                <w:highlight w:val="none"/>
              </w:rPr>
              <w:t>4、土壤环境</w:t>
            </w:r>
          </w:p>
          <w:p>
            <w:pPr>
              <w:keepNext w:val="0"/>
              <w:keepLines w:val="0"/>
              <w:pageBreakBefore w:val="0"/>
              <w:widowControl w:val="0"/>
              <w:kinsoku/>
              <w:wordWrap/>
              <w:overflowPunct/>
              <w:topLinePunct w:val="0"/>
              <w:autoSpaceDE/>
              <w:autoSpaceDN/>
              <w:bidi w:val="0"/>
              <w:adjustRightInd/>
              <w:snapToGrid/>
              <w:textAlignment w:val="auto"/>
              <w:rPr>
                <w:highlight w:val="none"/>
              </w:rPr>
            </w:pPr>
            <w:r>
              <w:rPr>
                <w:highlight w:val="none"/>
              </w:rPr>
              <w:t>根据《土壤环境质量建设用地土壤污染风险管控标准</w:t>
            </w:r>
            <w:r>
              <w:rPr>
                <w:rFonts w:hint="eastAsia"/>
                <w:highlight w:val="none"/>
                <w:lang w:eastAsia="zh-CN"/>
              </w:rPr>
              <w:t>（试行）</w:t>
            </w:r>
            <w:r>
              <w:rPr>
                <w:highlight w:val="none"/>
              </w:rPr>
              <w:t>》(GB36600-2018)的规定，该标准适用于保护人体健康的建设用地土壤风险筛选值和管制值，以及监测、实施与监督要求本项目参照GB36600-2018的标准执行。</w:t>
            </w:r>
          </w:p>
          <w:p>
            <w:pPr>
              <w:keepNext w:val="0"/>
              <w:keepLines w:val="0"/>
              <w:pageBreakBefore w:val="0"/>
              <w:widowControl w:val="0"/>
              <w:kinsoku/>
              <w:wordWrap/>
              <w:overflowPunct/>
              <w:topLinePunct w:val="0"/>
              <w:autoSpaceDE/>
              <w:autoSpaceDN/>
              <w:bidi w:val="0"/>
              <w:adjustRightInd/>
              <w:snapToGrid/>
              <w:textAlignment w:val="auto"/>
              <w:rPr>
                <w:highlight w:val="none"/>
              </w:rPr>
            </w:pPr>
            <w:r>
              <w:rPr>
                <w:highlight w:val="none"/>
              </w:rPr>
              <w:t>本项目土壤标准参照执行</w:t>
            </w:r>
            <w:r>
              <w:rPr>
                <w:rFonts w:hint="eastAsia"/>
                <w:highlight w:val="none"/>
                <w:lang w:eastAsia="zh-CN"/>
              </w:rPr>
              <w:t>《土壤环境质量建设用地土壤污染风险管控标准（试行）》(GB36600-2018)</w:t>
            </w:r>
            <w:r>
              <w:rPr>
                <w:highlight w:val="none"/>
              </w:rPr>
              <w:t>的第二类用地筛选值，具体见</w:t>
            </w:r>
            <w:r>
              <w:rPr>
                <w:rFonts w:hint="eastAsia"/>
                <w:highlight w:val="none"/>
                <w:lang w:eastAsia="zh-CN"/>
              </w:rPr>
              <w:t>下表</w:t>
            </w:r>
            <w:r>
              <w:rPr>
                <w:rFonts w:hint="eastAsia"/>
                <w:highlight w:val="none"/>
              </w:rPr>
              <w:t>。</w:t>
            </w:r>
          </w:p>
          <w:p>
            <w:pPr>
              <w:pStyle w:val="45"/>
              <w:bidi w:val="0"/>
              <w:rPr>
                <w:highlight w:val="none"/>
              </w:rPr>
            </w:pPr>
            <w:r>
              <w:rPr>
                <w:highlight w:val="none"/>
              </w:rPr>
              <w:t>表</w:t>
            </w:r>
            <w:r>
              <w:rPr>
                <w:rFonts w:hint="eastAsia"/>
                <w:highlight w:val="none"/>
                <w:lang w:val="en-US" w:eastAsia="zh-CN"/>
              </w:rPr>
              <w:t>30</w:t>
            </w:r>
            <w:r>
              <w:rPr>
                <w:rFonts w:hint="eastAsia"/>
                <w:highlight w:val="none"/>
              </w:rPr>
              <w:t xml:space="preserve">   </w:t>
            </w:r>
            <w:r>
              <w:rPr>
                <w:highlight w:val="none"/>
              </w:rPr>
              <w:t>建设用地土壤污染风险筛选值(基本项目)  单位：mg/kg</w:t>
            </w:r>
          </w:p>
          <w:tbl>
            <w:tblPr>
              <w:tblStyle w:val="21"/>
              <w:tblW w:w="4999"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2066"/>
              <w:gridCol w:w="2067"/>
              <w:gridCol w:w="2162"/>
              <w:gridCol w:w="1971"/>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vMerge w:val="restart"/>
                  <w:tcBorders>
                    <w:tl2br w:val="nil"/>
                    <w:tr2bl w:val="nil"/>
                  </w:tcBorders>
                  <w:vAlign w:val="center"/>
                </w:tcPr>
                <w:p>
                  <w:pPr>
                    <w:pStyle w:val="29"/>
                    <w:bidi w:val="0"/>
                    <w:rPr>
                      <w:highlight w:val="none"/>
                    </w:rPr>
                  </w:pPr>
                  <w:r>
                    <w:rPr>
                      <w:highlight w:val="none"/>
                    </w:rPr>
                    <w:t>序号</w:t>
                  </w:r>
                </w:p>
              </w:tc>
              <w:tc>
                <w:tcPr>
                  <w:tcW w:w="1250" w:type="pct"/>
                  <w:vMerge w:val="restart"/>
                  <w:tcBorders>
                    <w:tl2br w:val="nil"/>
                    <w:tr2bl w:val="nil"/>
                  </w:tcBorders>
                  <w:vAlign w:val="center"/>
                </w:tcPr>
                <w:p>
                  <w:pPr>
                    <w:pStyle w:val="29"/>
                    <w:bidi w:val="0"/>
                    <w:rPr>
                      <w:highlight w:val="none"/>
                    </w:rPr>
                  </w:pPr>
                  <w:r>
                    <w:rPr>
                      <w:highlight w:val="none"/>
                    </w:rPr>
                    <w:t>项目</w:t>
                  </w:r>
                </w:p>
              </w:tc>
              <w:tc>
                <w:tcPr>
                  <w:tcW w:w="2500" w:type="pct"/>
                  <w:gridSpan w:val="2"/>
                  <w:tcBorders>
                    <w:tl2br w:val="nil"/>
                    <w:tr2bl w:val="nil"/>
                  </w:tcBorders>
                  <w:vAlign w:val="center"/>
                </w:tcPr>
                <w:p>
                  <w:pPr>
                    <w:pStyle w:val="29"/>
                    <w:bidi w:val="0"/>
                    <w:rPr>
                      <w:highlight w:val="none"/>
                    </w:rPr>
                  </w:pPr>
                  <w:r>
                    <w:rPr>
                      <w:highlight w:val="none"/>
                    </w:rPr>
                    <w:t>第二类用地</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vMerge w:val="continue"/>
                  <w:tcBorders>
                    <w:tl2br w:val="nil"/>
                    <w:tr2bl w:val="nil"/>
                  </w:tcBorders>
                  <w:vAlign w:val="center"/>
                </w:tcPr>
                <w:p>
                  <w:pPr>
                    <w:pStyle w:val="29"/>
                    <w:bidi w:val="0"/>
                    <w:rPr>
                      <w:highlight w:val="none"/>
                    </w:rPr>
                  </w:pPr>
                </w:p>
              </w:tc>
              <w:tc>
                <w:tcPr>
                  <w:tcW w:w="1250" w:type="pct"/>
                  <w:vMerge w:val="continue"/>
                  <w:tcBorders>
                    <w:tl2br w:val="nil"/>
                    <w:tr2bl w:val="nil"/>
                  </w:tcBorders>
                  <w:vAlign w:val="center"/>
                </w:tcPr>
                <w:p>
                  <w:pPr>
                    <w:pStyle w:val="29"/>
                    <w:bidi w:val="0"/>
                    <w:rPr>
                      <w:highlight w:val="none"/>
                    </w:rPr>
                  </w:pPr>
                </w:p>
              </w:tc>
              <w:tc>
                <w:tcPr>
                  <w:tcW w:w="1308" w:type="pct"/>
                  <w:tcBorders>
                    <w:tl2br w:val="nil"/>
                    <w:tr2bl w:val="nil"/>
                  </w:tcBorders>
                  <w:vAlign w:val="center"/>
                </w:tcPr>
                <w:p>
                  <w:pPr>
                    <w:pStyle w:val="29"/>
                    <w:bidi w:val="0"/>
                    <w:rPr>
                      <w:highlight w:val="none"/>
                    </w:rPr>
                  </w:pPr>
                  <w:r>
                    <w:rPr>
                      <w:highlight w:val="none"/>
                    </w:rPr>
                    <w:t>筛选值</w:t>
                  </w:r>
                </w:p>
              </w:tc>
              <w:tc>
                <w:tcPr>
                  <w:tcW w:w="1191" w:type="pct"/>
                  <w:tcBorders>
                    <w:tl2br w:val="nil"/>
                    <w:tr2bl w:val="nil"/>
                  </w:tcBorders>
                  <w:vAlign w:val="center"/>
                </w:tcPr>
                <w:p>
                  <w:pPr>
                    <w:pStyle w:val="29"/>
                    <w:bidi w:val="0"/>
                    <w:rPr>
                      <w:highlight w:val="none"/>
                    </w:rPr>
                  </w:pPr>
                  <w:r>
                    <w:rPr>
                      <w:highlight w:val="none"/>
                    </w:rPr>
                    <w:t>管制值</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1</w:t>
                  </w:r>
                </w:p>
              </w:tc>
              <w:tc>
                <w:tcPr>
                  <w:tcW w:w="1250" w:type="pct"/>
                  <w:tcBorders>
                    <w:tl2br w:val="nil"/>
                    <w:tr2bl w:val="nil"/>
                  </w:tcBorders>
                  <w:vAlign w:val="center"/>
                </w:tcPr>
                <w:p>
                  <w:pPr>
                    <w:pStyle w:val="29"/>
                    <w:bidi w:val="0"/>
                    <w:rPr>
                      <w:highlight w:val="none"/>
                    </w:rPr>
                  </w:pPr>
                  <w:r>
                    <w:rPr>
                      <w:highlight w:val="none"/>
                    </w:rPr>
                    <w:t>砷</w:t>
                  </w:r>
                </w:p>
              </w:tc>
              <w:tc>
                <w:tcPr>
                  <w:tcW w:w="1308" w:type="pct"/>
                  <w:tcBorders>
                    <w:tl2br w:val="nil"/>
                    <w:tr2bl w:val="nil"/>
                  </w:tcBorders>
                  <w:vAlign w:val="center"/>
                </w:tcPr>
                <w:p>
                  <w:pPr>
                    <w:pStyle w:val="29"/>
                    <w:bidi w:val="0"/>
                    <w:rPr>
                      <w:highlight w:val="none"/>
                    </w:rPr>
                  </w:pPr>
                  <w:r>
                    <w:rPr>
                      <w:highlight w:val="none"/>
                    </w:rPr>
                    <w:t>60</w:t>
                  </w:r>
                </w:p>
              </w:tc>
              <w:tc>
                <w:tcPr>
                  <w:tcW w:w="1191" w:type="pct"/>
                  <w:tcBorders>
                    <w:tl2br w:val="nil"/>
                    <w:tr2bl w:val="nil"/>
                  </w:tcBorders>
                  <w:vAlign w:val="center"/>
                </w:tcPr>
                <w:p>
                  <w:pPr>
                    <w:pStyle w:val="29"/>
                    <w:bidi w:val="0"/>
                    <w:rPr>
                      <w:highlight w:val="none"/>
                    </w:rPr>
                  </w:pPr>
                  <w:r>
                    <w:rPr>
                      <w:highlight w:val="none"/>
                    </w:rPr>
                    <w:t>140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2</w:t>
                  </w:r>
                </w:p>
              </w:tc>
              <w:tc>
                <w:tcPr>
                  <w:tcW w:w="1250" w:type="pct"/>
                  <w:tcBorders>
                    <w:tl2br w:val="nil"/>
                    <w:tr2bl w:val="nil"/>
                  </w:tcBorders>
                  <w:vAlign w:val="center"/>
                </w:tcPr>
                <w:p>
                  <w:pPr>
                    <w:pStyle w:val="29"/>
                    <w:bidi w:val="0"/>
                    <w:rPr>
                      <w:highlight w:val="none"/>
                    </w:rPr>
                  </w:pPr>
                  <w:r>
                    <w:rPr>
                      <w:highlight w:val="none"/>
                    </w:rPr>
                    <w:t xml:space="preserve">镉 </w:t>
                  </w:r>
                </w:p>
              </w:tc>
              <w:tc>
                <w:tcPr>
                  <w:tcW w:w="1308" w:type="pct"/>
                  <w:tcBorders>
                    <w:tl2br w:val="nil"/>
                    <w:tr2bl w:val="nil"/>
                  </w:tcBorders>
                  <w:vAlign w:val="center"/>
                </w:tcPr>
                <w:p>
                  <w:pPr>
                    <w:pStyle w:val="29"/>
                    <w:bidi w:val="0"/>
                    <w:rPr>
                      <w:highlight w:val="none"/>
                    </w:rPr>
                  </w:pPr>
                  <w:r>
                    <w:rPr>
                      <w:highlight w:val="none"/>
                    </w:rPr>
                    <w:t>65</w:t>
                  </w:r>
                </w:p>
              </w:tc>
              <w:tc>
                <w:tcPr>
                  <w:tcW w:w="1191" w:type="pct"/>
                  <w:tcBorders>
                    <w:tl2br w:val="nil"/>
                    <w:tr2bl w:val="nil"/>
                  </w:tcBorders>
                  <w:vAlign w:val="center"/>
                </w:tcPr>
                <w:p>
                  <w:pPr>
                    <w:pStyle w:val="29"/>
                    <w:bidi w:val="0"/>
                    <w:rPr>
                      <w:highlight w:val="none"/>
                    </w:rPr>
                  </w:pPr>
                  <w:r>
                    <w:rPr>
                      <w:highlight w:val="none"/>
                    </w:rPr>
                    <w:t>172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3</w:t>
                  </w:r>
                </w:p>
              </w:tc>
              <w:tc>
                <w:tcPr>
                  <w:tcW w:w="1250" w:type="pct"/>
                  <w:tcBorders>
                    <w:tl2br w:val="nil"/>
                    <w:tr2bl w:val="nil"/>
                  </w:tcBorders>
                  <w:vAlign w:val="center"/>
                </w:tcPr>
                <w:p>
                  <w:pPr>
                    <w:pStyle w:val="29"/>
                    <w:bidi w:val="0"/>
                    <w:rPr>
                      <w:highlight w:val="none"/>
                    </w:rPr>
                  </w:pPr>
                  <w:r>
                    <w:rPr>
                      <w:highlight w:val="none"/>
                    </w:rPr>
                    <w:t>铬（六价）</w:t>
                  </w:r>
                </w:p>
              </w:tc>
              <w:tc>
                <w:tcPr>
                  <w:tcW w:w="1308" w:type="pct"/>
                  <w:tcBorders>
                    <w:tl2br w:val="nil"/>
                    <w:tr2bl w:val="nil"/>
                  </w:tcBorders>
                  <w:vAlign w:val="center"/>
                </w:tcPr>
                <w:p>
                  <w:pPr>
                    <w:pStyle w:val="29"/>
                    <w:bidi w:val="0"/>
                    <w:rPr>
                      <w:highlight w:val="none"/>
                    </w:rPr>
                  </w:pPr>
                  <w:r>
                    <w:rPr>
                      <w:highlight w:val="none"/>
                    </w:rPr>
                    <w:t>5.7</w:t>
                  </w:r>
                </w:p>
              </w:tc>
              <w:tc>
                <w:tcPr>
                  <w:tcW w:w="1191" w:type="pct"/>
                  <w:tcBorders>
                    <w:tl2br w:val="nil"/>
                    <w:tr2bl w:val="nil"/>
                  </w:tcBorders>
                  <w:vAlign w:val="center"/>
                </w:tcPr>
                <w:p>
                  <w:pPr>
                    <w:pStyle w:val="29"/>
                    <w:bidi w:val="0"/>
                    <w:rPr>
                      <w:highlight w:val="none"/>
                    </w:rPr>
                  </w:pPr>
                  <w:r>
                    <w:rPr>
                      <w:highlight w:val="none"/>
                    </w:rPr>
                    <w:t>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4</w:t>
                  </w:r>
                </w:p>
              </w:tc>
              <w:tc>
                <w:tcPr>
                  <w:tcW w:w="1250" w:type="pct"/>
                  <w:tcBorders>
                    <w:tl2br w:val="nil"/>
                    <w:tr2bl w:val="nil"/>
                  </w:tcBorders>
                  <w:vAlign w:val="center"/>
                </w:tcPr>
                <w:p>
                  <w:pPr>
                    <w:pStyle w:val="29"/>
                    <w:bidi w:val="0"/>
                    <w:rPr>
                      <w:highlight w:val="none"/>
                    </w:rPr>
                  </w:pPr>
                  <w:r>
                    <w:rPr>
                      <w:highlight w:val="none"/>
                    </w:rPr>
                    <w:t>铜</w:t>
                  </w:r>
                </w:p>
              </w:tc>
              <w:tc>
                <w:tcPr>
                  <w:tcW w:w="1308" w:type="pct"/>
                  <w:tcBorders>
                    <w:tl2br w:val="nil"/>
                    <w:tr2bl w:val="nil"/>
                  </w:tcBorders>
                  <w:vAlign w:val="center"/>
                </w:tcPr>
                <w:p>
                  <w:pPr>
                    <w:pStyle w:val="29"/>
                    <w:bidi w:val="0"/>
                    <w:rPr>
                      <w:highlight w:val="none"/>
                    </w:rPr>
                  </w:pPr>
                  <w:r>
                    <w:rPr>
                      <w:rFonts w:hint="eastAsia"/>
                      <w:highlight w:val="none"/>
                    </w:rPr>
                    <w:t>1</w:t>
                  </w:r>
                  <w:r>
                    <w:rPr>
                      <w:rFonts w:hint="eastAsia"/>
                      <w:highlight w:val="none"/>
                      <w:lang w:val="en-US" w:eastAsia="zh-CN"/>
                    </w:rPr>
                    <w:t>8</w:t>
                  </w:r>
                  <w:r>
                    <w:rPr>
                      <w:rFonts w:hint="eastAsia"/>
                      <w:highlight w:val="none"/>
                    </w:rPr>
                    <w:t>00</w:t>
                  </w:r>
                  <w:r>
                    <w:rPr>
                      <w:highlight w:val="none"/>
                    </w:rPr>
                    <w:t>0</w:t>
                  </w:r>
                </w:p>
              </w:tc>
              <w:tc>
                <w:tcPr>
                  <w:tcW w:w="1191" w:type="pct"/>
                  <w:tcBorders>
                    <w:tl2br w:val="nil"/>
                    <w:tr2bl w:val="nil"/>
                  </w:tcBorders>
                  <w:vAlign w:val="center"/>
                </w:tcPr>
                <w:p>
                  <w:pPr>
                    <w:pStyle w:val="29"/>
                    <w:bidi w:val="0"/>
                    <w:rPr>
                      <w:highlight w:val="none"/>
                    </w:rPr>
                  </w:pPr>
                  <w:r>
                    <w:rPr>
                      <w:highlight w:val="none"/>
                    </w:rPr>
                    <w:t>36000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5</w:t>
                  </w:r>
                </w:p>
              </w:tc>
              <w:tc>
                <w:tcPr>
                  <w:tcW w:w="1250" w:type="pct"/>
                  <w:tcBorders>
                    <w:tl2br w:val="nil"/>
                    <w:tr2bl w:val="nil"/>
                  </w:tcBorders>
                  <w:vAlign w:val="center"/>
                </w:tcPr>
                <w:p>
                  <w:pPr>
                    <w:pStyle w:val="29"/>
                    <w:bidi w:val="0"/>
                    <w:rPr>
                      <w:highlight w:val="none"/>
                    </w:rPr>
                  </w:pPr>
                  <w:r>
                    <w:rPr>
                      <w:highlight w:val="none"/>
                    </w:rPr>
                    <w:t>铅</w:t>
                  </w:r>
                </w:p>
              </w:tc>
              <w:tc>
                <w:tcPr>
                  <w:tcW w:w="1308" w:type="pct"/>
                  <w:tcBorders>
                    <w:tl2br w:val="nil"/>
                    <w:tr2bl w:val="nil"/>
                  </w:tcBorders>
                  <w:vAlign w:val="center"/>
                </w:tcPr>
                <w:p>
                  <w:pPr>
                    <w:pStyle w:val="29"/>
                    <w:bidi w:val="0"/>
                    <w:rPr>
                      <w:highlight w:val="none"/>
                    </w:rPr>
                  </w:pPr>
                  <w:r>
                    <w:rPr>
                      <w:highlight w:val="none"/>
                    </w:rPr>
                    <w:t>800</w:t>
                  </w:r>
                </w:p>
              </w:tc>
              <w:tc>
                <w:tcPr>
                  <w:tcW w:w="1191" w:type="pct"/>
                  <w:tcBorders>
                    <w:tl2br w:val="nil"/>
                    <w:tr2bl w:val="nil"/>
                  </w:tcBorders>
                  <w:vAlign w:val="center"/>
                </w:tcPr>
                <w:p>
                  <w:pPr>
                    <w:pStyle w:val="29"/>
                    <w:bidi w:val="0"/>
                    <w:rPr>
                      <w:highlight w:val="none"/>
                    </w:rPr>
                  </w:pPr>
                  <w:r>
                    <w:rPr>
                      <w:highlight w:val="none"/>
                    </w:rPr>
                    <w:t>2500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6</w:t>
                  </w:r>
                </w:p>
              </w:tc>
              <w:tc>
                <w:tcPr>
                  <w:tcW w:w="1250" w:type="pct"/>
                  <w:tcBorders>
                    <w:tl2br w:val="nil"/>
                    <w:tr2bl w:val="nil"/>
                  </w:tcBorders>
                  <w:vAlign w:val="center"/>
                </w:tcPr>
                <w:p>
                  <w:pPr>
                    <w:pStyle w:val="29"/>
                    <w:bidi w:val="0"/>
                    <w:rPr>
                      <w:highlight w:val="none"/>
                    </w:rPr>
                  </w:pPr>
                  <w:r>
                    <w:rPr>
                      <w:highlight w:val="none"/>
                    </w:rPr>
                    <w:t>汞</w:t>
                  </w:r>
                </w:p>
              </w:tc>
              <w:tc>
                <w:tcPr>
                  <w:tcW w:w="1308" w:type="pct"/>
                  <w:tcBorders>
                    <w:tl2br w:val="nil"/>
                    <w:tr2bl w:val="nil"/>
                  </w:tcBorders>
                  <w:vAlign w:val="center"/>
                </w:tcPr>
                <w:p>
                  <w:pPr>
                    <w:pStyle w:val="29"/>
                    <w:bidi w:val="0"/>
                    <w:rPr>
                      <w:highlight w:val="none"/>
                    </w:rPr>
                  </w:pPr>
                  <w:r>
                    <w:rPr>
                      <w:highlight w:val="none"/>
                    </w:rPr>
                    <w:t>38</w:t>
                  </w:r>
                </w:p>
              </w:tc>
              <w:tc>
                <w:tcPr>
                  <w:tcW w:w="1191" w:type="pct"/>
                  <w:tcBorders>
                    <w:tl2br w:val="nil"/>
                    <w:tr2bl w:val="nil"/>
                  </w:tcBorders>
                  <w:vAlign w:val="center"/>
                </w:tcPr>
                <w:p>
                  <w:pPr>
                    <w:pStyle w:val="29"/>
                    <w:bidi w:val="0"/>
                    <w:rPr>
                      <w:highlight w:val="none"/>
                    </w:rPr>
                  </w:pPr>
                  <w:r>
                    <w:rPr>
                      <w:highlight w:val="none"/>
                    </w:rPr>
                    <w:t>82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7</w:t>
                  </w:r>
                </w:p>
              </w:tc>
              <w:tc>
                <w:tcPr>
                  <w:tcW w:w="1250" w:type="pct"/>
                  <w:tcBorders>
                    <w:tl2br w:val="nil"/>
                    <w:tr2bl w:val="nil"/>
                  </w:tcBorders>
                  <w:vAlign w:val="center"/>
                </w:tcPr>
                <w:p>
                  <w:pPr>
                    <w:pStyle w:val="29"/>
                    <w:bidi w:val="0"/>
                    <w:rPr>
                      <w:highlight w:val="none"/>
                    </w:rPr>
                  </w:pPr>
                  <w:r>
                    <w:rPr>
                      <w:highlight w:val="none"/>
                    </w:rPr>
                    <w:t>镍</w:t>
                  </w:r>
                </w:p>
              </w:tc>
              <w:tc>
                <w:tcPr>
                  <w:tcW w:w="1308" w:type="pct"/>
                  <w:tcBorders>
                    <w:tl2br w:val="nil"/>
                    <w:tr2bl w:val="nil"/>
                  </w:tcBorders>
                  <w:vAlign w:val="center"/>
                </w:tcPr>
                <w:p>
                  <w:pPr>
                    <w:pStyle w:val="29"/>
                    <w:bidi w:val="0"/>
                    <w:rPr>
                      <w:highlight w:val="none"/>
                    </w:rPr>
                  </w:pPr>
                  <w:r>
                    <w:rPr>
                      <w:highlight w:val="none"/>
                    </w:rPr>
                    <w:t>900</w:t>
                  </w:r>
                </w:p>
              </w:tc>
              <w:tc>
                <w:tcPr>
                  <w:tcW w:w="1191" w:type="pct"/>
                  <w:tcBorders>
                    <w:tl2br w:val="nil"/>
                    <w:tr2bl w:val="nil"/>
                  </w:tcBorders>
                  <w:vAlign w:val="center"/>
                </w:tcPr>
                <w:p>
                  <w:pPr>
                    <w:pStyle w:val="29"/>
                    <w:bidi w:val="0"/>
                    <w:rPr>
                      <w:highlight w:val="none"/>
                    </w:rPr>
                  </w:pPr>
                  <w:r>
                    <w:rPr>
                      <w:highlight w:val="none"/>
                    </w:rPr>
                    <w:t>2000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8</w:t>
                  </w:r>
                </w:p>
              </w:tc>
              <w:tc>
                <w:tcPr>
                  <w:tcW w:w="1250" w:type="pct"/>
                  <w:tcBorders>
                    <w:tl2br w:val="nil"/>
                    <w:tr2bl w:val="nil"/>
                  </w:tcBorders>
                  <w:vAlign w:val="center"/>
                </w:tcPr>
                <w:p>
                  <w:pPr>
                    <w:pStyle w:val="29"/>
                    <w:bidi w:val="0"/>
                    <w:rPr>
                      <w:highlight w:val="none"/>
                    </w:rPr>
                  </w:pPr>
                  <w:r>
                    <w:rPr>
                      <w:highlight w:val="none"/>
                    </w:rPr>
                    <w:t>四氯化碳</w:t>
                  </w:r>
                </w:p>
              </w:tc>
              <w:tc>
                <w:tcPr>
                  <w:tcW w:w="1308" w:type="pct"/>
                  <w:tcBorders>
                    <w:tl2br w:val="nil"/>
                    <w:tr2bl w:val="nil"/>
                  </w:tcBorders>
                  <w:vAlign w:val="center"/>
                </w:tcPr>
                <w:p>
                  <w:pPr>
                    <w:pStyle w:val="29"/>
                    <w:bidi w:val="0"/>
                    <w:rPr>
                      <w:highlight w:val="none"/>
                    </w:rPr>
                  </w:pPr>
                  <w:r>
                    <w:rPr>
                      <w:highlight w:val="none"/>
                    </w:rPr>
                    <w:t>2.8</w:t>
                  </w:r>
                </w:p>
              </w:tc>
              <w:tc>
                <w:tcPr>
                  <w:tcW w:w="1191" w:type="pct"/>
                  <w:tcBorders>
                    <w:tl2br w:val="nil"/>
                    <w:tr2bl w:val="nil"/>
                  </w:tcBorders>
                  <w:vAlign w:val="center"/>
                </w:tcPr>
                <w:p>
                  <w:pPr>
                    <w:pStyle w:val="29"/>
                    <w:bidi w:val="0"/>
                    <w:rPr>
                      <w:highlight w:val="none"/>
                    </w:rPr>
                  </w:pPr>
                  <w:r>
                    <w:rPr>
                      <w:highlight w:val="none"/>
                    </w:rPr>
                    <w:t>36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9</w:t>
                  </w:r>
                </w:p>
              </w:tc>
              <w:tc>
                <w:tcPr>
                  <w:tcW w:w="1250" w:type="pct"/>
                  <w:tcBorders>
                    <w:tl2br w:val="nil"/>
                    <w:tr2bl w:val="nil"/>
                  </w:tcBorders>
                  <w:vAlign w:val="center"/>
                </w:tcPr>
                <w:p>
                  <w:pPr>
                    <w:pStyle w:val="29"/>
                    <w:bidi w:val="0"/>
                    <w:rPr>
                      <w:highlight w:val="none"/>
                    </w:rPr>
                  </w:pPr>
                  <w:r>
                    <w:rPr>
                      <w:highlight w:val="none"/>
                    </w:rPr>
                    <w:t>氯仿</w:t>
                  </w:r>
                </w:p>
              </w:tc>
              <w:tc>
                <w:tcPr>
                  <w:tcW w:w="1308" w:type="pct"/>
                  <w:tcBorders>
                    <w:tl2br w:val="nil"/>
                    <w:tr2bl w:val="nil"/>
                  </w:tcBorders>
                  <w:vAlign w:val="center"/>
                </w:tcPr>
                <w:p>
                  <w:pPr>
                    <w:pStyle w:val="29"/>
                    <w:bidi w:val="0"/>
                    <w:rPr>
                      <w:highlight w:val="none"/>
                    </w:rPr>
                  </w:pPr>
                  <w:r>
                    <w:rPr>
                      <w:highlight w:val="none"/>
                    </w:rPr>
                    <w:t>0.9</w:t>
                  </w:r>
                </w:p>
              </w:tc>
              <w:tc>
                <w:tcPr>
                  <w:tcW w:w="1191" w:type="pct"/>
                  <w:tcBorders>
                    <w:tl2br w:val="nil"/>
                    <w:tr2bl w:val="nil"/>
                  </w:tcBorders>
                  <w:vAlign w:val="center"/>
                </w:tcPr>
                <w:p>
                  <w:pPr>
                    <w:pStyle w:val="29"/>
                    <w:bidi w:val="0"/>
                    <w:rPr>
                      <w:highlight w:val="none"/>
                    </w:rPr>
                  </w:pPr>
                  <w:r>
                    <w:rPr>
                      <w:highlight w:val="none"/>
                    </w:rPr>
                    <w:t>10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10</w:t>
                  </w:r>
                </w:p>
              </w:tc>
              <w:tc>
                <w:tcPr>
                  <w:tcW w:w="1250" w:type="pct"/>
                  <w:tcBorders>
                    <w:tl2br w:val="nil"/>
                    <w:tr2bl w:val="nil"/>
                  </w:tcBorders>
                  <w:vAlign w:val="center"/>
                </w:tcPr>
                <w:p>
                  <w:pPr>
                    <w:pStyle w:val="29"/>
                    <w:bidi w:val="0"/>
                    <w:rPr>
                      <w:highlight w:val="none"/>
                    </w:rPr>
                  </w:pPr>
                  <w:r>
                    <w:rPr>
                      <w:highlight w:val="none"/>
                    </w:rPr>
                    <w:t>氯甲烷</w:t>
                  </w:r>
                </w:p>
              </w:tc>
              <w:tc>
                <w:tcPr>
                  <w:tcW w:w="1308" w:type="pct"/>
                  <w:tcBorders>
                    <w:tl2br w:val="nil"/>
                    <w:tr2bl w:val="nil"/>
                  </w:tcBorders>
                  <w:vAlign w:val="center"/>
                </w:tcPr>
                <w:p>
                  <w:pPr>
                    <w:pStyle w:val="29"/>
                    <w:bidi w:val="0"/>
                    <w:rPr>
                      <w:highlight w:val="none"/>
                    </w:rPr>
                  </w:pPr>
                  <w:r>
                    <w:rPr>
                      <w:highlight w:val="none"/>
                    </w:rPr>
                    <w:t>37</w:t>
                  </w:r>
                </w:p>
              </w:tc>
              <w:tc>
                <w:tcPr>
                  <w:tcW w:w="1191" w:type="pct"/>
                  <w:tcBorders>
                    <w:tl2br w:val="nil"/>
                    <w:tr2bl w:val="nil"/>
                  </w:tcBorders>
                  <w:vAlign w:val="center"/>
                </w:tcPr>
                <w:p>
                  <w:pPr>
                    <w:pStyle w:val="29"/>
                    <w:bidi w:val="0"/>
                    <w:rPr>
                      <w:highlight w:val="none"/>
                    </w:rPr>
                  </w:pPr>
                  <w:r>
                    <w:rPr>
                      <w:highlight w:val="none"/>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11</w:t>
                  </w:r>
                </w:p>
              </w:tc>
              <w:tc>
                <w:tcPr>
                  <w:tcW w:w="1250" w:type="pct"/>
                  <w:tcBorders>
                    <w:tl2br w:val="nil"/>
                    <w:tr2bl w:val="nil"/>
                  </w:tcBorders>
                  <w:vAlign w:val="center"/>
                </w:tcPr>
                <w:p>
                  <w:pPr>
                    <w:pStyle w:val="29"/>
                    <w:bidi w:val="0"/>
                    <w:rPr>
                      <w:highlight w:val="none"/>
                    </w:rPr>
                  </w:pPr>
                  <w:r>
                    <w:rPr>
                      <w:highlight w:val="none"/>
                    </w:rPr>
                    <w:t>1,1-二氯乙烷</w:t>
                  </w:r>
                </w:p>
              </w:tc>
              <w:tc>
                <w:tcPr>
                  <w:tcW w:w="1308" w:type="pct"/>
                  <w:tcBorders>
                    <w:tl2br w:val="nil"/>
                    <w:tr2bl w:val="nil"/>
                  </w:tcBorders>
                  <w:vAlign w:val="center"/>
                </w:tcPr>
                <w:p>
                  <w:pPr>
                    <w:pStyle w:val="29"/>
                    <w:bidi w:val="0"/>
                    <w:rPr>
                      <w:highlight w:val="none"/>
                    </w:rPr>
                  </w:pPr>
                  <w:r>
                    <w:rPr>
                      <w:highlight w:val="none"/>
                    </w:rPr>
                    <w:t>9</w:t>
                  </w:r>
                </w:p>
              </w:tc>
              <w:tc>
                <w:tcPr>
                  <w:tcW w:w="1191" w:type="pct"/>
                  <w:tcBorders>
                    <w:tl2br w:val="nil"/>
                    <w:tr2bl w:val="nil"/>
                  </w:tcBorders>
                  <w:vAlign w:val="center"/>
                </w:tcPr>
                <w:p>
                  <w:pPr>
                    <w:pStyle w:val="29"/>
                    <w:bidi w:val="0"/>
                    <w:rPr>
                      <w:highlight w:val="none"/>
                    </w:rPr>
                  </w:pPr>
                  <w:r>
                    <w:rPr>
                      <w:highlight w:val="none"/>
                    </w:rPr>
                    <w:t>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12</w:t>
                  </w:r>
                </w:p>
              </w:tc>
              <w:tc>
                <w:tcPr>
                  <w:tcW w:w="1250" w:type="pct"/>
                  <w:tcBorders>
                    <w:tl2br w:val="nil"/>
                    <w:tr2bl w:val="nil"/>
                  </w:tcBorders>
                  <w:vAlign w:val="center"/>
                </w:tcPr>
                <w:p>
                  <w:pPr>
                    <w:pStyle w:val="29"/>
                    <w:bidi w:val="0"/>
                    <w:rPr>
                      <w:highlight w:val="none"/>
                    </w:rPr>
                  </w:pPr>
                  <w:r>
                    <w:rPr>
                      <w:highlight w:val="none"/>
                    </w:rPr>
                    <w:t>1,2-二氯乙烷</w:t>
                  </w:r>
                </w:p>
              </w:tc>
              <w:tc>
                <w:tcPr>
                  <w:tcW w:w="1308" w:type="pct"/>
                  <w:tcBorders>
                    <w:tl2br w:val="nil"/>
                    <w:tr2bl w:val="nil"/>
                  </w:tcBorders>
                  <w:vAlign w:val="center"/>
                </w:tcPr>
                <w:p>
                  <w:pPr>
                    <w:pStyle w:val="29"/>
                    <w:bidi w:val="0"/>
                    <w:rPr>
                      <w:highlight w:val="none"/>
                    </w:rPr>
                  </w:pPr>
                  <w:r>
                    <w:rPr>
                      <w:highlight w:val="none"/>
                    </w:rPr>
                    <w:t>5</w:t>
                  </w:r>
                </w:p>
              </w:tc>
              <w:tc>
                <w:tcPr>
                  <w:tcW w:w="1191" w:type="pct"/>
                  <w:tcBorders>
                    <w:tl2br w:val="nil"/>
                    <w:tr2bl w:val="nil"/>
                  </w:tcBorders>
                  <w:vAlign w:val="center"/>
                </w:tcPr>
                <w:p>
                  <w:pPr>
                    <w:pStyle w:val="29"/>
                    <w:bidi w:val="0"/>
                    <w:rPr>
                      <w:highlight w:val="none"/>
                    </w:rPr>
                  </w:pPr>
                  <w:r>
                    <w:rPr>
                      <w:highlight w:val="none"/>
                    </w:rPr>
                    <w:t>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13</w:t>
                  </w:r>
                </w:p>
              </w:tc>
              <w:tc>
                <w:tcPr>
                  <w:tcW w:w="1250" w:type="pct"/>
                  <w:tcBorders>
                    <w:tl2br w:val="nil"/>
                    <w:tr2bl w:val="nil"/>
                  </w:tcBorders>
                  <w:vAlign w:val="center"/>
                </w:tcPr>
                <w:p>
                  <w:pPr>
                    <w:pStyle w:val="29"/>
                    <w:bidi w:val="0"/>
                    <w:rPr>
                      <w:highlight w:val="none"/>
                    </w:rPr>
                  </w:pPr>
                  <w:r>
                    <w:rPr>
                      <w:highlight w:val="none"/>
                    </w:rPr>
                    <w:t>1,1-二氯乙烯</w:t>
                  </w:r>
                </w:p>
              </w:tc>
              <w:tc>
                <w:tcPr>
                  <w:tcW w:w="1308" w:type="pct"/>
                  <w:tcBorders>
                    <w:tl2br w:val="nil"/>
                    <w:tr2bl w:val="nil"/>
                  </w:tcBorders>
                  <w:vAlign w:val="center"/>
                </w:tcPr>
                <w:p>
                  <w:pPr>
                    <w:pStyle w:val="29"/>
                    <w:bidi w:val="0"/>
                    <w:rPr>
                      <w:highlight w:val="none"/>
                    </w:rPr>
                  </w:pPr>
                  <w:r>
                    <w:rPr>
                      <w:highlight w:val="none"/>
                    </w:rPr>
                    <w:t>66</w:t>
                  </w:r>
                </w:p>
              </w:tc>
              <w:tc>
                <w:tcPr>
                  <w:tcW w:w="1191" w:type="pct"/>
                  <w:tcBorders>
                    <w:tl2br w:val="nil"/>
                    <w:tr2bl w:val="nil"/>
                  </w:tcBorders>
                  <w:vAlign w:val="center"/>
                </w:tcPr>
                <w:p>
                  <w:pPr>
                    <w:pStyle w:val="29"/>
                    <w:bidi w:val="0"/>
                    <w:rPr>
                      <w:highlight w:val="none"/>
                    </w:rPr>
                  </w:pPr>
                  <w:r>
                    <w:rPr>
                      <w:highlight w:val="none"/>
                    </w:rPr>
                    <w:t>200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14</w:t>
                  </w:r>
                </w:p>
              </w:tc>
              <w:tc>
                <w:tcPr>
                  <w:tcW w:w="1250" w:type="pct"/>
                  <w:tcBorders>
                    <w:tl2br w:val="nil"/>
                    <w:tr2bl w:val="nil"/>
                  </w:tcBorders>
                  <w:vAlign w:val="center"/>
                </w:tcPr>
                <w:p>
                  <w:pPr>
                    <w:pStyle w:val="29"/>
                    <w:bidi w:val="0"/>
                    <w:rPr>
                      <w:highlight w:val="none"/>
                    </w:rPr>
                  </w:pPr>
                  <w:r>
                    <w:rPr>
                      <w:highlight w:val="none"/>
                    </w:rPr>
                    <w:t>顺-1,2-二氯乙烯</w:t>
                  </w:r>
                </w:p>
              </w:tc>
              <w:tc>
                <w:tcPr>
                  <w:tcW w:w="1308" w:type="pct"/>
                  <w:tcBorders>
                    <w:tl2br w:val="nil"/>
                    <w:tr2bl w:val="nil"/>
                  </w:tcBorders>
                  <w:vAlign w:val="center"/>
                </w:tcPr>
                <w:p>
                  <w:pPr>
                    <w:pStyle w:val="29"/>
                    <w:bidi w:val="0"/>
                    <w:rPr>
                      <w:highlight w:val="none"/>
                    </w:rPr>
                  </w:pPr>
                  <w:r>
                    <w:rPr>
                      <w:highlight w:val="none"/>
                    </w:rPr>
                    <w:t>596</w:t>
                  </w:r>
                </w:p>
              </w:tc>
              <w:tc>
                <w:tcPr>
                  <w:tcW w:w="1191" w:type="pct"/>
                  <w:tcBorders>
                    <w:tl2br w:val="nil"/>
                    <w:tr2bl w:val="nil"/>
                  </w:tcBorders>
                  <w:vAlign w:val="center"/>
                </w:tcPr>
                <w:p>
                  <w:pPr>
                    <w:pStyle w:val="29"/>
                    <w:bidi w:val="0"/>
                    <w:rPr>
                      <w:highlight w:val="none"/>
                    </w:rPr>
                  </w:pPr>
                  <w:r>
                    <w:rPr>
                      <w:highlight w:val="none"/>
                    </w:rPr>
                    <w:t>2000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15</w:t>
                  </w:r>
                </w:p>
              </w:tc>
              <w:tc>
                <w:tcPr>
                  <w:tcW w:w="1250" w:type="pct"/>
                  <w:tcBorders>
                    <w:tl2br w:val="nil"/>
                    <w:tr2bl w:val="nil"/>
                  </w:tcBorders>
                  <w:vAlign w:val="center"/>
                </w:tcPr>
                <w:p>
                  <w:pPr>
                    <w:pStyle w:val="29"/>
                    <w:bidi w:val="0"/>
                    <w:rPr>
                      <w:highlight w:val="none"/>
                    </w:rPr>
                  </w:pPr>
                  <w:r>
                    <w:rPr>
                      <w:highlight w:val="none"/>
                    </w:rPr>
                    <w:t>反-1,2-二氯乙烯</w:t>
                  </w:r>
                </w:p>
              </w:tc>
              <w:tc>
                <w:tcPr>
                  <w:tcW w:w="1308" w:type="pct"/>
                  <w:tcBorders>
                    <w:tl2br w:val="nil"/>
                    <w:tr2bl w:val="nil"/>
                  </w:tcBorders>
                  <w:vAlign w:val="center"/>
                </w:tcPr>
                <w:p>
                  <w:pPr>
                    <w:pStyle w:val="29"/>
                    <w:bidi w:val="0"/>
                    <w:rPr>
                      <w:highlight w:val="none"/>
                    </w:rPr>
                  </w:pPr>
                  <w:r>
                    <w:rPr>
                      <w:highlight w:val="none"/>
                    </w:rPr>
                    <w:t>54</w:t>
                  </w:r>
                </w:p>
              </w:tc>
              <w:tc>
                <w:tcPr>
                  <w:tcW w:w="1191" w:type="pct"/>
                  <w:tcBorders>
                    <w:tl2br w:val="nil"/>
                    <w:tr2bl w:val="nil"/>
                  </w:tcBorders>
                  <w:vAlign w:val="center"/>
                </w:tcPr>
                <w:p>
                  <w:pPr>
                    <w:pStyle w:val="29"/>
                    <w:bidi w:val="0"/>
                    <w:rPr>
                      <w:highlight w:val="none"/>
                    </w:rPr>
                  </w:pPr>
                  <w:r>
                    <w:rPr>
                      <w:highlight w:val="none"/>
                    </w:rPr>
                    <w:t>163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16</w:t>
                  </w:r>
                </w:p>
              </w:tc>
              <w:tc>
                <w:tcPr>
                  <w:tcW w:w="1250" w:type="pct"/>
                  <w:tcBorders>
                    <w:tl2br w:val="nil"/>
                    <w:tr2bl w:val="nil"/>
                  </w:tcBorders>
                  <w:vAlign w:val="center"/>
                </w:tcPr>
                <w:p>
                  <w:pPr>
                    <w:pStyle w:val="29"/>
                    <w:bidi w:val="0"/>
                    <w:rPr>
                      <w:highlight w:val="none"/>
                    </w:rPr>
                  </w:pPr>
                  <w:r>
                    <w:rPr>
                      <w:highlight w:val="none"/>
                    </w:rPr>
                    <w:t>二氯甲烷</w:t>
                  </w:r>
                </w:p>
              </w:tc>
              <w:tc>
                <w:tcPr>
                  <w:tcW w:w="1308" w:type="pct"/>
                  <w:tcBorders>
                    <w:tl2br w:val="nil"/>
                    <w:tr2bl w:val="nil"/>
                  </w:tcBorders>
                  <w:vAlign w:val="center"/>
                </w:tcPr>
                <w:p>
                  <w:pPr>
                    <w:pStyle w:val="29"/>
                    <w:bidi w:val="0"/>
                    <w:rPr>
                      <w:highlight w:val="none"/>
                    </w:rPr>
                  </w:pPr>
                  <w:r>
                    <w:rPr>
                      <w:highlight w:val="none"/>
                    </w:rPr>
                    <w:t>616</w:t>
                  </w:r>
                </w:p>
              </w:tc>
              <w:tc>
                <w:tcPr>
                  <w:tcW w:w="1191" w:type="pct"/>
                  <w:tcBorders>
                    <w:tl2br w:val="nil"/>
                    <w:tr2bl w:val="nil"/>
                  </w:tcBorders>
                  <w:vAlign w:val="center"/>
                </w:tcPr>
                <w:p>
                  <w:pPr>
                    <w:pStyle w:val="29"/>
                    <w:bidi w:val="0"/>
                    <w:rPr>
                      <w:highlight w:val="none"/>
                    </w:rPr>
                  </w:pPr>
                  <w:r>
                    <w:rPr>
                      <w:highlight w:val="none"/>
                    </w:rPr>
                    <w:t>2000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17</w:t>
                  </w:r>
                </w:p>
              </w:tc>
              <w:tc>
                <w:tcPr>
                  <w:tcW w:w="1250" w:type="pct"/>
                  <w:tcBorders>
                    <w:tl2br w:val="nil"/>
                    <w:tr2bl w:val="nil"/>
                  </w:tcBorders>
                  <w:vAlign w:val="center"/>
                </w:tcPr>
                <w:p>
                  <w:pPr>
                    <w:pStyle w:val="29"/>
                    <w:bidi w:val="0"/>
                    <w:rPr>
                      <w:highlight w:val="none"/>
                    </w:rPr>
                  </w:pPr>
                  <w:r>
                    <w:rPr>
                      <w:highlight w:val="none"/>
                    </w:rPr>
                    <w:t>1,2-二氯丙烷</w:t>
                  </w:r>
                </w:p>
              </w:tc>
              <w:tc>
                <w:tcPr>
                  <w:tcW w:w="1308" w:type="pct"/>
                  <w:tcBorders>
                    <w:tl2br w:val="nil"/>
                    <w:tr2bl w:val="nil"/>
                  </w:tcBorders>
                  <w:vAlign w:val="center"/>
                </w:tcPr>
                <w:p>
                  <w:pPr>
                    <w:pStyle w:val="29"/>
                    <w:bidi w:val="0"/>
                    <w:rPr>
                      <w:highlight w:val="none"/>
                    </w:rPr>
                  </w:pPr>
                  <w:r>
                    <w:rPr>
                      <w:highlight w:val="none"/>
                    </w:rPr>
                    <w:t>5</w:t>
                  </w:r>
                </w:p>
              </w:tc>
              <w:tc>
                <w:tcPr>
                  <w:tcW w:w="1191" w:type="pct"/>
                  <w:tcBorders>
                    <w:tl2br w:val="nil"/>
                    <w:tr2bl w:val="nil"/>
                  </w:tcBorders>
                  <w:vAlign w:val="center"/>
                </w:tcPr>
                <w:p>
                  <w:pPr>
                    <w:pStyle w:val="29"/>
                    <w:bidi w:val="0"/>
                    <w:rPr>
                      <w:highlight w:val="none"/>
                    </w:rPr>
                  </w:pPr>
                  <w:r>
                    <w:rPr>
                      <w:highlight w:val="none"/>
                    </w:rPr>
                    <w:t>47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18</w:t>
                  </w:r>
                </w:p>
              </w:tc>
              <w:tc>
                <w:tcPr>
                  <w:tcW w:w="1250" w:type="pct"/>
                  <w:tcBorders>
                    <w:tl2br w:val="nil"/>
                    <w:tr2bl w:val="nil"/>
                  </w:tcBorders>
                  <w:vAlign w:val="center"/>
                </w:tcPr>
                <w:p>
                  <w:pPr>
                    <w:pStyle w:val="29"/>
                    <w:bidi w:val="0"/>
                    <w:rPr>
                      <w:highlight w:val="none"/>
                    </w:rPr>
                  </w:pPr>
                  <w:r>
                    <w:rPr>
                      <w:highlight w:val="none"/>
                    </w:rPr>
                    <w:t>1,1,1,2-四氯乙烷</w:t>
                  </w:r>
                </w:p>
              </w:tc>
              <w:tc>
                <w:tcPr>
                  <w:tcW w:w="1308" w:type="pct"/>
                  <w:tcBorders>
                    <w:tl2br w:val="nil"/>
                    <w:tr2bl w:val="nil"/>
                  </w:tcBorders>
                  <w:vAlign w:val="center"/>
                </w:tcPr>
                <w:p>
                  <w:pPr>
                    <w:pStyle w:val="29"/>
                    <w:bidi w:val="0"/>
                    <w:rPr>
                      <w:highlight w:val="none"/>
                    </w:rPr>
                  </w:pPr>
                  <w:r>
                    <w:rPr>
                      <w:highlight w:val="none"/>
                    </w:rPr>
                    <w:t>10</w:t>
                  </w:r>
                </w:p>
              </w:tc>
              <w:tc>
                <w:tcPr>
                  <w:tcW w:w="1191" w:type="pct"/>
                  <w:tcBorders>
                    <w:tl2br w:val="nil"/>
                    <w:tr2bl w:val="nil"/>
                  </w:tcBorders>
                  <w:vAlign w:val="center"/>
                </w:tcPr>
                <w:p>
                  <w:pPr>
                    <w:pStyle w:val="29"/>
                    <w:bidi w:val="0"/>
                    <w:rPr>
                      <w:highlight w:val="none"/>
                    </w:rPr>
                  </w:pPr>
                  <w:r>
                    <w:rPr>
                      <w:highlight w:val="none"/>
                    </w:rPr>
                    <w:t>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19</w:t>
                  </w:r>
                </w:p>
              </w:tc>
              <w:tc>
                <w:tcPr>
                  <w:tcW w:w="1250" w:type="pct"/>
                  <w:tcBorders>
                    <w:tl2br w:val="nil"/>
                    <w:tr2bl w:val="nil"/>
                  </w:tcBorders>
                  <w:vAlign w:val="center"/>
                </w:tcPr>
                <w:p>
                  <w:pPr>
                    <w:pStyle w:val="29"/>
                    <w:bidi w:val="0"/>
                    <w:rPr>
                      <w:highlight w:val="none"/>
                    </w:rPr>
                  </w:pPr>
                  <w:r>
                    <w:rPr>
                      <w:highlight w:val="none"/>
                    </w:rPr>
                    <w:t>1,1,2,2-四氯乙烷</w:t>
                  </w:r>
                </w:p>
              </w:tc>
              <w:tc>
                <w:tcPr>
                  <w:tcW w:w="1308" w:type="pct"/>
                  <w:tcBorders>
                    <w:tl2br w:val="nil"/>
                    <w:tr2bl w:val="nil"/>
                  </w:tcBorders>
                  <w:vAlign w:val="center"/>
                </w:tcPr>
                <w:p>
                  <w:pPr>
                    <w:pStyle w:val="29"/>
                    <w:bidi w:val="0"/>
                    <w:rPr>
                      <w:highlight w:val="none"/>
                    </w:rPr>
                  </w:pPr>
                  <w:r>
                    <w:rPr>
                      <w:highlight w:val="none"/>
                    </w:rPr>
                    <w:t>6.8</w:t>
                  </w:r>
                </w:p>
              </w:tc>
              <w:tc>
                <w:tcPr>
                  <w:tcW w:w="1191" w:type="pct"/>
                  <w:tcBorders>
                    <w:tl2br w:val="nil"/>
                    <w:tr2bl w:val="nil"/>
                  </w:tcBorders>
                  <w:vAlign w:val="center"/>
                </w:tcPr>
                <w:p>
                  <w:pPr>
                    <w:pStyle w:val="29"/>
                    <w:bidi w:val="0"/>
                    <w:rPr>
                      <w:highlight w:val="none"/>
                    </w:rPr>
                  </w:pPr>
                  <w:r>
                    <w:rPr>
                      <w:highlight w:val="none"/>
                    </w:rPr>
                    <w:t>50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20</w:t>
                  </w:r>
                </w:p>
              </w:tc>
              <w:tc>
                <w:tcPr>
                  <w:tcW w:w="1250" w:type="pct"/>
                  <w:tcBorders>
                    <w:tl2br w:val="nil"/>
                    <w:tr2bl w:val="nil"/>
                  </w:tcBorders>
                  <w:vAlign w:val="center"/>
                </w:tcPr>
                <w:p>
                  <w:pPr>
                    <w:pStyle w:val="29"/>
                    <w:bidi w:val="0"/>
                    <w:rPr>
                      <w:highlight w:val="none"/>
                    </w:rPr>
                  </w:pPr>
                  <w:r>
                    <w:rPr>
                      <w:highlight w:val="none"/>
                    </w:rPr>
                    <w:t>四氯乙烯</w:t>
                  </w:r>
                </w:p>
              </w:tc>
              <w:tc>
                <w:tcPr>
                  <w:tcW w:w="1308" w:type="pct"/>
                  <w:tcBorders>
                    <w:tl2br w:val="nil"/>
                    <w:tr2bl w:val="nil"/>
                  </w:tcBorders>
                  <w:vAlign w:val="center"/>
                </w:tcPr>
                <w:p>
                  <w:pPr>
                    <w:pStyle w:val="29"/>
                    <w:bidi w:val="0"/>
                    <w:rPr>
                      <w:highlight w:val="none"/>
                    </w:rPr>
                  </w:pPr>
                  <w:r>
                    <w:rPr>
                      <w:highlight w:val="none"/>
                    </w:rPr>
                    <w:t>53</w:t>
                  </w:r>
                </w:p>
              </w:tc>
              <w:tc>
                <w:tcPr>
                  <w:tcW w:w="1191" w:type="pct"/>
                  <w:tcBorders>
                    <w:tl2br w:val="nil"/>
                    <w:tr2bl w:val="nil"/>
                  </w:tcBorders>
                  <w:vAlign w:val="center"/>
                </w:tcPr>
                <w:p>
                  <w:pPr>
                    <w:pStyle w:val="29"/>
                    <w:bidi w:val="0"/>
                    <w:rPr>
                      <w:highlight w:val="none"/>
                    </w:rPr>
                  </w:pPr>
                  <w:r>
                    <w:rPr>
                      <w:highlight w:val="none"/>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21</w:t>
                  </w:r>
                </w:p>
              </w:tc>
              <w:tc>
                <w:tcPr>
                  <w:tcW w:w="1250" w:type="pct"/>
                  <w:tcBorders>
                    <w:tl2br w:val="nil"/>
                    <w:tr2bl w:val="nil"/>
                  </w:tcBorders>
                  <w:vAlign w:val="center"/>
                </w:tcPr>
                <w:p>
                  <w:pPr>
                    <w:pStyle w:val="29"/>
                    <w:bidi w:val="0"/>
                    <w:rPr>
                      <w:highlight w:val="none"/>
                    </w:rPr>
                  </w:pPr>
                  <w:r>
                    <w:rPr>
                      <w:highlight w:val="none"/>
                    </w:rPr>
                    <w:t>1,1,1-三氯乙烷</w:t>
                  </w:r>
                </w:p>
              </w:tc>
              <w:tc>
                <w:tcPr>
                  <w:tcW w:w="1308" w:type="pct"/>
                  <w:tcBorders>
                    <w:tl2br w:val="nil"/>
                    <w:tr2bl w:val="nil"/>
                  </w:tcBorders>
                  <w:vAlign w:val="center"/>
                </w:tcPr>
                <w:p>
                  <w:pPr>
                    <w:pStyle w:val="29"/>
                    <w:bidi w:val="0"/>
                    <w:rPr>
                      <w:highlight w:val="none"/>
                    </w:rPr>
                  </w:pPr>
                  <w:r>
                    <w:rPr>
                      <w:highlight w:val="none"/>
                    </w:rPr>
                    <w:t>840</w:t>
                  </w:r>
                </w:p>
              </w:tc>
              <w:tc>
                <w:tcPr>
                  <w:tcW w:w="1191" w:type="pct"/>
                  <w:tcBorders>
                    <w:tl2br w:val="nil"/>
                    <w:tr2bl w:val="nil"/>
                  </w:tcBorders>
                  <w:vAlign w:val="center"/>
                </w:tcPr>
                <w:p>
                  <w:pPr>
                    <w:pStyle w:val="29"/>
                    <w:bidi w:val="0"/>
                    <w:rPr>
                      <w:highlight w:val="none"/>
                    </w:rPr>
                  </w:pPr>
                  <w:r>
                    <w:rPr>
                      <w:highlight w:val="none"/>
                    </w:rPr>
                    <w:t>840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22</w:t>
                  </w:r>
                </w:p>
              </w:tc>
              <w:tc>
                <w:tcPr>
                  <w:tcW w:w="1250" w:type="pct"/>
                  <w:tcBorders>
                    <w:tl2br w:val="nil"/>
                    <w:tr2bl w:val="nil"/>
                  </w:tcBorders>
                  <w:vAlign w:val="center"/>
                </w:tcPr>
                <w:p>
                  <w:pPr>
                    <w:pStyle w:val="29"/>
                    <w:bidi w:val="0"/>
                    <w:rPr>
                      <w:highlight w:val="none"/>
                    </w:rPr>
                  </w:pPr>
                  <w:r>
                    <w:rPr>
                      <w:highlight w:val="none"/>
                    </w:rPr>
                    <w:t>1,1,2-三氯乙烷</w:t>
                  </w:r>
                </w:p>
              </w:tc>
              <w:tc>
                <w:tcPr>
                  <w:tcW w:w="1308" w:type="pct"/>
                  <w:tcBorders>
                    <w:tl2br w:val="nil"/>
                    <w:tr2bl w:val="nil"/>
                  </w:tcBorders>
                  <w:vAlign w:val="center"/>
                </w:tcPr>
                <w:p>
                  <w:pPr>
                    <w:pStyle w:val="29"/>
                    <w:bidi w:val="0"/>
                    <w:rPr>
                      <w:highlight w:val="none"/>
                    </w:rPr>
                  </w:pPr>
                  <w:r>
                    <w:rPr>
                      <w:highlight w:val="none"/>
                    </w:rPr>
                    <w:t>2.8</w:t>
                  </w:r>
                </w:p>
              </w:tc>
              <w:tc>
                <w:tcPr>
                  <w:tcW w:w="1191" w:type="pct"/>
                  <w:tcBorders>
                    <w:tl2br w:val="nil"/>
                    <w:tr2bl w:val="nil"/>
                  </w:tcBorders>
                  <w:vAlign w:val="center"/>
                </w:tcPr>
                <w:p>
                  <w:pPr>
                    <w:pStyle w:val="29"/>
                    <w:bidi w:val="0"/>
                    <w:rPr>
                      <w:highlight w:val="none"/>
                    </w:rPr>
                  </w:pPr>
                  <w:r>
                    <w:rPr>
                      <w:highlight w:val="none"/>
                    </w:rPr>
                    <w:t>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23</w:t>
                  </w:r>
                </w:p>
              </w:tc>
              <w:tc>
                <w:tcPr>
                  <w:tcW w:w="1250" w:type="pct"/>
                  <w:tcBorders>
                    <w:tl2br w:val="nil"/>
                    <w:tr2bl w:val="nil"/>
                  </w:tcBorders>
                  <w:vAlign w:val="center"/>
                </w:tcPr>
                <w:p>
                  <w:pPr>
                    <w:pStyle w:val="29"/>
                    <w:bidi w:val="0"/>
                    <w:rPr>
                      <w:highlight w:val="none"/>
                    </w:rPr>
                  </w:pPr>
                  <w:r>
                    <w:rPr>
                      <w:highlight w:val="none"/>
                    </w:rPr>
                    <w:t>三氯乙烯</w:t>
                  </w:r>
                </w:p>
              </w:tc>
              <w:tc>
                <w:tcPr>
                  <w:tcW w:w="1308" w:type="pct"/>
                  <w:tcBorders>
                    <w:tl2br w:val="nil"/>
                    <w:tr2bl w:val="nil"/>
                  </w:tcBorders>
                  <w:vAlign w:val="center"/>
                </w:tcPr>
                <w:p>
                  <w:pPr>
                    <w:pStyle w:val="29"/>
                    <w:bidi w:val="0"/>
                    <w:rPr>
                      <w:highlight w:val="none"/>
                    </w:rPr>
                  </w:pPr>
                  <w:r>
                    <w:rPr>
                      <w:highlight w:val="none"/>
                    </w:rPr>
                    <w:t>2.8</w:t>
                  </w:r>
                </w:p>
              </w:tc>
              <w:tc>
                <w:tcPr>
                  <w:tcW w:w="1191" w:type="pct"/>
                  <w:tcBorders>
                    <w:tl2br w:val="nil"/>
                    <w:tr2bl w:val="nil"/>
                  </w:tcBorders>
                  <w:vAlign w:val="center"/>
                </w:tcPr>
                <w:p>
                  <w:pPr>
                    <w:pStyle w:val="29"/>
                    <w:bidi w:val="0"/>
                    <w:rPr>
                      <w:highlight w:val="none"/>
                    </w:rPr>
                  </w:pPr>
                  <w:r>
                    <w:rPr>
                      <w:highlight w:val="none"/>
                    </w:rPr>
                    <w:t>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24</w:t>
                  </w:r>
                </w:p>
              </w:tc>
              <w:tc>
                <w:tcPr>
                  <w:tcW w:w="1250" w:type="pct"/>
                  <w:tcBorders>
                    <w:tl2br w:val="nil"/>
                    <w:tr2bl w:val="nil"/>
                  </w:tcBorders>
                  <w:vAlign w:val="center"/>
                </w:tcPr>
                <w:p>
                  <w:pPr>
                    <w:pStyle w:val="29"/>
                    <w:bidi w:val="0"/>
                    <w:rPr>
                      <w:highlight w:val="none"/>
                    </w:rPr>
                  </w:pPr>
                  <w:r>
                    <w:rPr>
                      <w:highlight w:val="none"/>
                    </w:rPr>
                    <w:t>1,2,3-三氯丙烷</w:t>
                  </w:r>
                </w:p>
              </w:tc>
              <w:tc>
                <w:tcPr>
                  <w:tcW w:w="1308" w:type="pct"/>
                  <w:tcBorders>
                    <w:tl2br w:val="nil"/>
                    <w:tr2bl w:val="nil"/>
                  </w:tcBorders>
                  <w:vAlign w:val="center"/>
                </w:tcPr>
                <w:p>
                  <w:pPr>
                    <w:pStyle w:val="29"/>
                    <w:bidi w:val="0"/>
                    <w:rPr>
                      <w:highlight w:val="none"/>
                    </w:rPr>
                  </w:pPr>
                  <w:r>
                    <w:rPr>
                      <w:highlight w:val="none"/>
                    </w:rPr>
                    <w:t>0.5</w:t>
                  </w:r>
                </w:p>
              </w:tc>
              <w:tc>
                <w:tcPr>
                  <w:tcW w:w="1191" w:type="pct"/>
                  <w:tcBorders>
                    <w:tl2br w:val="nil"/>
                    <w:tr2bl w:val="nil"/>
                  </w:tcBorders>
                  <w:vAlign w:val="center"/>
                </w:tcPr>
                <w:p>
                  <w:pPr>
                    <w:pStyle w:val="29"/>
                    <w:bidi w:val="0"/>
                    <w:rPr>
                      <w:highlight w:val="none"/>
                    </w:rPr>
                  </w:pPr>
                  <w:r>
                    <w:rPr>
                      <w:highlight w:val="none"/>
                    </w:rPr>
                    <w:t>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25</w:t>
                  </w:r>
                </w:p>
              </w:tc>
              <w:tc>
                <w:tcPr>
                  <w:tcW w:w="1250" w:type="pct"/>
                  <w:tcBorders>
                    <w:tl2br w:val="nil"/>
                    <w:tr2bl w:val="nil"/>
                  </w:tcBorders>
                  <w:vAlign w:val="center"/>
                </w:tcPr>
                <w:p>
                  <w:pPr>
                    <w:pStyle w:val="29"/>
                    <w:bidi w:val="0"/>
                    <w:rPr>
                      <w:highlight w:val="none"/>
                    </w:rPr>
                  </w:pPr>
                  <w:r>
                    <w:rPr>
                      <w:highlight w:val="none"/>
                    </w:rPr>
                    <w:t>氯乙烯</w:t>
                  </w:r>
                </w:p>
              </w:tc>
              <w:tc>
                <w:tcPr>
                  <w:tcW w:w="1308" w:type="pct"/>
                  <w:tcBorders>
                    <w:tl2br w:val="nil"/>
                    <w:tr2bl w:val="nil"/>
                  </w:tcBorders>
                  <w:vAlign w:val="center"/>
                </w:tcPr>
                <w:p>
                  <w:pPr>
                    <w:pStyle w:val="29"/>
                    <w:bidi w:val="0"/>
                    <w:rPr>
                      <w:highlight w:val="none"/>
                    </w:rPr>
                  </w:pPr>
                  <w:r>
                    <w:rPr>
                      <w:highlight w:val="none"/>
                    </w:rPr>
                    <w:t>0.43</w:t>
                  </w:r>
                </w:p>
              </w:tc>
              <w:tc>
                <w:tcPr>
                  <w:tcW w:w="1191" w:type="pct"/>
                  <w:tcBorders>
                    <w:tl2br w:val="nil"/>
                    <w:tr2bl w:val="nil"/>
                  </w:tcBorders>
                  <w:vAlign w:val="center"/>
                </w:tcPr>
                <w:p>
                  <w:pPr>
                    <w:pStyle w:val="29"/>
                    <w:bidi w:val="0"/>
                    <w:rPr>
                      <w:highlight w:val="none"/>
                    </w:rPr>
                  </w:pPr>
                  <w:r>
                    <w:rPr>
                      <w:highlight w:val="none"/>
                    </w:rPr>
                    <w:t>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26</w:t>
                  </w:r>
                </w:p>
              </w:tc>
              <w:tc>
                <w:tcPr>
                  <w:tcW w:w="1250" w:type="pct"/>
                  <w:tcBorders>
                    <w:tl2br w:val="nil"/>
                    <w:tr2bl w:val="nil"/>
                  </w:tcBorders>
                  <w:vAlign w:val="center"/>
                </w:tcPr>
                <w:p>
                  <w:pPr>
                    <w:pStyle w:val="29"/>
                    <w:bidi w:val="0"/>
                    <w:rPr>
                      <w:highlight w:val="none"/>
                    </w:rPr>
                  </w:pPr>
                  <w:r>
                    <w:rPr>
                      <w:highlight w:val="none"/>
                    </w:rPr>
                    <w:t>苯</w:t>
                  </w:r>
                </w:p>
              </w:tc>
              <w:tc>
                <w:tcPr>
                  <w:tcW w:w="1308" w:type="pct"/>
                  <w:tcBorders>
                    <w:tl2br w:val="nil"/>
                    <w:tr2bl w:val="nil"/>
                  </w:tcBorders>
                  <w:vAlign w:val="center"/>
                </w:tcPr>
                <w:p>
                  <w:pPr>
                    <w:pStyle w:val="29"/>
                    <w:bidi w:val="0"/>
                    <w:rPr>
                      <w:highlight w:val="none"/>
                    </w:rPr>
                  </w:pPr>
                  <w:r>
                    <w:rPr>
                      <w:highlight w:val="none"/>
                    </w:rPr>
                    <w:t>4</w:t>
                  </w:r>
                </w:p>
              </w:tc>
              <w:tc>
                <w:tcPr>
                  <w:tcW w:w="1191" w:type="pct"/>
                  <w:tcBorders>
                    <w:tl2br w:val="nil"/>
                    <w:tr2bl w:val="nil"/>
                  </w:tcBorders>
                  <w:vAlign w:val="center"/>
                </w:tcPr>
                <w:p>
                  <w:pPr>
                    <w:pStyle w:val="29"/>
                    <w:bidi w:val="0"/>
                    <w:rPr>
                      <w:highlight w:val="none"/>
                    </w:rPr>
                  </w:pPr>
                  <w:r>
                    <w:rPr>
                      <w:highlight w:val="none"/>
                    </w:rPr>
                    <w:t>40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27</w:t>
                  </w:r>
                </w:p>
              </w:tc>
              <w:tc>
                <w:tcPr>
                  <w:tcW w:w="1250" w:type="pct"/>
                  <w:tcBorders>
                    <w:tl2br w:val="nil"/>
                    <w:tr2bl w:val="nil"/>
                  </w:tcBorders>
                  <w:vAlign w:val="center"/>
                </w:tcPr>
                <w:p>
                  <w:pPr>
                    <w:pStyle w:val="29"/>
                    <w:bidi w:val="0"/>
                    <w:rPr>
                      <w:highlight w:val="none"/>
                    </w:rPr>
                  </w:pPr>
                  <w:r>
                    <w:rPr>
                      <w:highlight w:val="none"/>
                    </w:rPr>
                    <w:t>氯苯</w:t>
                  </w:r>
                </w:p>
              </w:tc>
              <w:tc>
                <w:tcPr>
                  <w:tcW w:w="1308" w:type="pct"/>
                  <w:tcBorders>
                    <w:tl2br w:val="nil"/>
                    <w:tr2bl w:val="nil"/>
                  </w:tcBorders>
                  <w:vAlign w:val="center"/>
                </w:tcPr>
                <w:p>
                  <w:pPr>
                    <w:pStyle w:val="29"/>
                    <w:bidi w:val="0"/>
                    <w:rPr>
                      <w:highlight w:val="none"/>
                    </w:rPr>
                  </w:pPr>
                  <w:r>
                    <w:rPr>
                      <w:highlight w:val="none"/>
                    </w:rPr>
                    <w:t>270</w:t>
                  </w:r>
                </w:p>
              </w:tc>
              <w:tc>
                <w:tcPr>
                  <w:tcW w:w="1191" w:type="pct"/>
                  <w:tcBorders>
                    <w:tl2br w:val="nil"/>
                    <w:tr2bl w:val="nil"/>
                  </w:tcBorders>
                  <w:vAlign w:val="center"/>
                </w:tcPr>
                <w:p>
                  <w:pPr>
                    <w:pStyle w:val="29"/>
                    <w:bidi w:val="0"/>
                    <w:rPr>
                      <w:highlight w:val="none"/>
                    </w:rPr>
                  </w:pPr>
                  <w:r>
                    <w:rPr>
                      <w:rFonts w:hint="eastAsia"/>
                      <w:highlight w:val="none"/>
                    </w:rPr>
                    <w:t>1</w:t>
                  </w:r>
                  <w:r>
                    <w:rPr>
                      <w:rFonts w:hint="eastAsia"/>
                      <w:highlight w:val="none"/>
                      <w:lang w:val="en-US" w:eastAsia="zh-CN"/>
                    </w:rPr>
                    <w:t>0</w:t>
                  </w:r>
                  <w:r>
                    <w:rPr>
                      <w:rFonts w:hint="eastAsia"/>
                      <w:highlight w:val="none"/>
                    </w:rPr>
                    <w:t>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28</w:t>
                  </w:r>
                </w:p>
              </w:tc>
              <w:tc>
                <w:tcPr>
                  <w:tcW w:w="1250" w:type="pct"/>
                  <w:tcBorders>
                    <w:tl2br w:val="nil"/>
                    <w:tr2bl w:val="nil"/>
                  </w:tcBorders>
                  <w:vAlign w:val="center"/>
                </w:tcPr>
                <w:p>
                  <w:pPr>
                    <w:pStyle w:val="29"/>
                    <w:bidi w:val="0"/>
                    <w:rPr>
                      <w:highlight w:val="none"/>
                    </w:rPr>
                  </w:pPr>
                  <w:r>
                    <w:rPr>
                      <w:highlight w:val="none"/>
                    </w:rPr>
                    <w:t>1,2-二氯苯</w:t>
                  </w:r>
                </w:p>
              </w:tc>
              <w:tc>
                <w:tcPr>
                  <w:tcW w:w="1308" w:type="pct"/>
                  <w:tcBorders>
                    <w:tl2br w:val="nil"/>
                    <w:tr2bl w:val="nil"/>
                  </w:tcBorders>
                  <w:vAlign w:val="center"/>
                </w:tcPr>
                <w:p>
                  <w:pPr>
                    <w:pStyle w:val="29"/>
                    <w:bidi w:val="0"/>
                    <w:rPr>
                      <w:highlight w:val="none"/>
                    </w:rPr>
                  </w:pPr>
                  <w:r>
                    <w:rPr>
                      <w:highlight w:val="none"/>
                    </w:rPr>
                    <w:t>560</w:t>
                  </w:r>
                </w:p>
              </w:tc>
              <w:tc>
                <w:tcPr>
                  <w:tcW w:w="1191" w:type="pct"/>
                  <w:tcBorders>
                    <w:tl2br w:val="nil"/>
                    <w:tr2bl w:val="nil"/>
                  </w:tcBorders>
                  <w:vAlign w:val="center"/>
                </w:tcPr>
                <w:p>
                  <w:pPr>
                    <w:pStyle w:val="29"/>
                    <w:bidi w:val="0"/>
                    <w:rPr>
                      <w:highlight w:val="none"/>
                    </w:rPr>
                  </w:pPr>
                  <w:r>
                    <w:rPr>
                      <w:highlight w:val="none"/>
                    </w:rPr>
                    <w:t>560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29</w:t>
                  </w:r>
                </w:p>
              </w:tc>
              <w:tc>
                <w:tcPr>
                  <w:tcW w:w="1250" w:type="pct"/>
                  <w:tcBorders>
                    <w:tl2br w:val="nil"/>
                    <w:tr2bl w:val="nil"/>
                  </w:tcBorders>
                  <w:vAlign w:val="center"/>
                </w:tcPr>
                <w:p>
                  <w:pPr>
                    <w:pStyle w:val="29"/>
                    <w:bidi w:val="0"/>
                    <w:rPr>
                      <w:highlight w:val="none"/>
                    </w:rPr>
                  </w:pPr>
                  <w:r>
                    <w:rPr>
                      <w:highlight w:val="none"/>
                    </w:rPr>
                    <w:t>1,4-二氯苯</w:t>
                  </w:r>
                </w:p>
              </w:tc>
              <w:tc>
                <w:tcPr>
                  <w:tcW w:w="1308" w:type="pct"/>
                  <w:tcBorders>
                    <w:tl2br w:val="nil"/>
                    <w:tr2bl w:val="nil"/>
                  </w:tcBorders>
                  <w:vAlign w:val="center"/>
                </w:tcPr>
                <w:p>
                  <w:pPr>
                    <w:pStyle w:val="29"/>
                    <w:bidi w:val="0"/>
                    <w:rPr>
                      <w:highlight w:val="none"/>
                    </w:rPr>
                  </w:pPr>
                  <w:r>
                    <w:rPr>
                      <w:highlight w:val="none"/>
                    </w:rPr>
                    <w:t>20</w:t>
                  </w:r>
                </w:p>
              </w:tc>
              <w:tc>
                <w:tcPr>
                  <w:tcW w:w="1191" w:type="pct"/>
                  <w:tcBorders>
                    <w:tl2br w:val="nil"/>
                    <w:tr2bl w:val="nil"/>
                  </w:tcBorders>
                  <w:vAlign w:val="center"/>
                </w:tcPr>
                <w:p>
                  <w:pPr>
                    <w:pStyle w:val="29"/>
                    <w:bidi w:val="0"/>
                    <w:rPr>
                      <w:highlight w:val="none"/>
                    </w:rPr>
                  </w:pPr>
                  <w:r>
                    <w:rPr>
                      <w:highlight w:val="none"/>
                    </w:rPr>
                    <w:t>200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30</w:t>
                  </w:r>
                </w:p>
              </w:tc>
              <w:tc>
                <w:tcPr>
                  <w:tcW w:w="1250" w:type="pct"/>
                  <w:tcBorders>
                    <w:tl2br w:val="nil"/>
                    <w:tr2bl w:val="nil"/>
                  </w:tcBorders>
                  <w:vAlign w:val="center"/>
                </w:tcPr>
                <w:p>
                  <w:pPr>
                    <w:pStyle w:val="29"/>
                    <w:bidi w:val="0"/>
                    <w:rPr>
                      <w:highlight w:val="none"/>
                    </w:rPr>
                  </w:pPr>
                  <w:r>
                    <w:rPr>
                      <w:highlight w:val="none"/>
                    </w:rPr>
                    <w:t>乙苯</w:t>
                  </w:r>
                </w:p>
              </w:tc>
              <w:tc>
                <w:tcPr>
                  <w:tcW w:w="1308" w:type="pct"/>
                  <w:tcBorders>
                    <w:tl2br w:val="nil"/>
                    <w:tr2bl w:val="nil"/>
                  </w:tcBorders>
                  <w:vAlign w:val="center"/>
                </w:tcPr>
                <w:p>
                  <w:pPr>
                    <w:pStyle w:val="29"/>
                    <w:bidi w:val="0"/>
                    <w:rPr>
                      <w:highlight w:val="none"/>
                    </w:rPr>
                  </w:pPr>
                  <w:r>
                    <w:rPr>
                      <w:highlight w:val="none"/>
                    </w:rPr>
                    <w:t>28</w:t>
                  </w:r>
                </w:p>
              </w:tc>
              <w:tc>
                <w:tcPr>
                  <w:tcW w:w="1191" w:type="pct"/>
                  <w:tcBorders>
                    <w:tl2br w:val="nil"/>
                    <w:tr2bl w:val="nil"/>
                  </w:tcBorders>
                  <w:vAlign w:val="center"/>
                </w:tcPr>
                <w:p>
                  <w:pPr>
                    <w:pStyle w:val="29"/>
                    <w:bidi w:val="0"/>
                    <w:rPr>
                      <w:highlight w:val="none"/>
                    </w:rPr>
                  </w:pPr>
                  <w:r>
                    <w:rPr>
                      <w:highlight w:val="none"/>
                    </w:rPr>
                    <w:t>280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31</w:t>
                  </w:r>
                </w:p>
              </w:tc>
              <w:tc>
                <w:tcPr>
                  <w:tcW w:w="1250" w:type="pct"/>
                  <w:tcBorders>
                    <w:tl2br w:val="nil"/>
                    <w:tr2bl w:val="nil"/>
                  </w:tcBorders>
                  <w:vAlign w:val="center"/>
                </w:tcPr>
                <w:p>
                  <w:pPr>
                    <w:pStyle w:val="29"/>
                    <w:bidi w:val="0"/>
                    <w:rPr>
                      <w:highlight w:val="none"/>
                    </w:rPr>
                  </w:pPr>
                  <w:r>
                    <w:rPr>
                      <w:highlight w:val="none"/>
                    </w:rPr>
                    <w:t>苯乙烯</w:t>
                  </w:r>
                </w:p>
              </w:tc>
              <w:tc>
                <w:tcPr>
                  <w:tcW w:w="1308" w:type="pct"/>
                  <w:tcBorders>
                    <w:tl2br w:val="nil"/>
                    <w:tr2bl w:val="nil"/>
                  </w:tcBorders>
                  <w:vAlign w:val="center"/>
                </w:tcPr>
                <w:p>
                  <w:pPr>
                    <w:pStyle w:val="29"/>
                    <w:bidi w:val="0"/>
                    <w:rPr>
                      <w:highlight w:val="none"/>
                    </w:rPr>
                  </w:pPr>
                  <w:r>
                    <w:rPr>
                      <w:highlight w:val="none"/>
                    </w:rPr>
                    <w:t>1290</w:t>
                  </w:r>
                </w:p>
              </w:tc>
              <w:tc>
                <w:tcPr>
                  <w:tcW w:w="1191" w:type="pct"/>
                  <w:tcBorders>
                    <w:tl2br w:val="nil"/>
                    <w:tr2bl w:val="nil"/>
                  </w:tcBorders>
                  <w:vAlign w:val="center"/>
                </w:tcPr>
                <w:p>
                  <w:pPr>
                    <w:pStyle w:val="29"/>
                    <w:bidi w:val="0"/>
                    <w:rPr>
                      <w:highlight w:val="none"/>
                    </w:rPr>
                  </w:pPr>
                  <w:r>
                    <w:rPr>
                      <w:highlight w:val="none"/>
                    </w:rPr>
                    <w:t>1290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32</w:t>
                  </w:r>
                </w:p>
              </w:tc>
              <w:tc>
                <w:tcPr>
                  <w:tcW w:w="1250" w:type="pct"/>
                  <w:tcBorders>
                    <w:tl2br w:val="nil"/>
                    <w:tr2bl w:val="nil"/>
                  </w:tcBorders>
                  <w:vAlign w:val="center"/>
                </w:tcPr>
                <w:p>
                  <w:pPr>
                    <w:pStyle w:val="29"/>
                    <w:bidi w:val="0"/>
                    <w:rPr>
                      <w:highlight w:val="none"/>
                    </w:rPr>
                  </w:pPr>
                  <w:r>
                    <w:rPr>
                      <w:highlight w:val="none"/>
                    </w:rPr>
                    <w:t>甲苯</w:t>
                  </w:r>
                </w:p>
              </w:tc>
              <w:tc>
                <w:tcPr>
                  <w:tcW w:w="1308" w:type="pct"/>
                  <w:tcBorders>
                    <w:tl2br w:val="nil"/>
                    <w:tr2bl w:val="nil"/>
                  </w:tcBorders>
                  <w:vAlign w:val="center"/>
                </w:tcPr>
                <w:p>
                  <w:pPr>
                    <w:pStyle w:val="29"/>
                    <w:bidi w:val="0"/>
                    <w:rPr>
                      <w:highlight w:val="none"/>
                    </w:rPr>
                  </w:pPr>
                  <w:r>
                    <w:rPr>
                      <w:highlight w:val="none"/>
                    </w:rPr>
                    <w:t>1200</w:t>
                  </w:r>
                </w:p>
              </w:tc>
              <w:tc>
                <w:tcPr>
                  <w:tcW w:w="1191" w:type="pct"/>
                  <w:tcBorders>
                    <w:tl2br w:val="nil"/>
                    <w:tr2bl w:val="nil"/>
                  </w:tcBorders>
                  <w:vAlign w:val="center"/>
                </w:tcPr>
                <w:p>
                  <w:pPr>
                    <w:pStyle w:val="29"/>
                    <w:bidi w:val="0"/>
                    <w:rPr>
                      <w:highlight w:val="none"/>
                    </w:rPr>
                  </w:pPr>
                  <w:r>
                    <w:rPr>
                      <w:highlight w:val="none"/>
                    </w:rPr>
                    <w:t>1200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33</w:t>
                  </w:r>
                </w:p>
              </w:tc>
              <w:tc>
                <w:tcPr>
                  <w:tcW w:w="1250" w:type="pct"/>
                  <w:tcBorders>
                    <w:tl2br w:val="nil"/>
                    <w:tr2bl w:val="nil"/>
                  </w:tcBorders>
                  <w:vAlign w:val="center"/>
                </w:tcPr>
                <w:p>
                  <w:pPr>
                    <w:pStyle w:val="29"/>
                    <w:bidi w:val="0"/>
                    <w:rPr>
                      <w:highlight w:val="none"/>
                    </w:rPr>
                  </w:pPr>
                  <w:r>
                    <w:rPr>
                      <w:highlight w:val="none"/>
                    </w:rPr>
                    <w:t>间二甲苯+对二甲苯</w:t>
                  </w:r>
                </w:p>
              </w:tc>
              <w:tc>
                <w:tcPr>
                  <w:tcW w:w="1308" w:type="pct"/>
                  <w:tcBorders>
                    <w:tl2br w:val="nil"/>
                    <w:tr2bl w:val="nil"/>
                  </w:tcBorders>
                  <w:vAlign w:val="center"/>
                </w:tcPr>
                <w:p>
                  <w:pPr>
                    <w:pStyle w:val="29"/>
                    <w:bidi w:val="0"/>
                    <w:rPr>
                      <w:highlight w:val="none"/>
                    </w:rPr>
                  </w:pPr>
                  <w:r>
                    <w:rPr>
                      <w:highlight w:val="none"/>
                    </w:rPr>
                    <w:t>570</w:t>
                  </w:r>
                </w:p>
              </w:tc>
              <w:tc>
                <w:tcPr>
                  <w:tcW w:w="1191" w:type="pct"/>
                  <w:tcBorders>
                    <w:tl2br w:val="nil"/>
                    <w:tr2bl w:val="nil"/>
                  </w:tcBorders>
                  <w:vAlign w:val="center"/>
                </w:tcPr>
                <w:p>
                  <w:pPr>
                    <w:pStyle w:val="29"/>
                    <w:bidi w:val="0"/>
                    <w:rPr>
                      <w:highlight w:val="none"/>
                    </w:rPr>
                  </w:pPr>
                  <w:r>
                    <w:rPr>
                      <w:highlight w:val="none"/>
                    </w:rPr>
                    <w:t>570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34</w:t>
                  </w:r>
                </w:p>
              </w:tc>
              <w:tc>
                <w:tcPr>
                  <w:tcW w:w="1250" w:type="pct"/>
                  <w:tcBorders>
                    <w:tl2br w:val="nil"/>
                    <w:tr2bl w:val="nil"/>
                  </w:tcBorders>
                  <w:vAlign w:val="center"/>
                </w:tcPr>
                <w:p>
                  <w:pPr>
                    <w:pStyle w:val="29"/>
                    <w:bidi w:val="0"/>
                    <w:rPr>
                      <w:highlight w:val="none"/>
                    </w:rPr>
                  </w:pPr>
                  <w:r>
                    <w:rPr>
                      <w:highlight w:val="none"/>
                    </w:rPr>
                    <w:t>邻二甲苯</w:t>
                  </w:r>
                </w:p>
              </w:tc>
              <w:tc>
                <w:tcPr>
                  <w:tcW w:w="1308" w:type="pct"/>
                  <w:tcBorders>
                    <w:tl2br w:val="nil"/>
                    <w:tr2bl w:val="nil"/>
                  </w:tcBorders>
                  <w:vAlign w:val="center"/>
                </w:tcPr>
                <w:p>
                  <w:pPr>
                    <w:pStyle w:val="29"/>
                    <w:bidi w:val="0"/>
                    <w:rPr>
                      <w:highlight w:val="none"/>
                    </w:rPr>
                  </w:pPr>
                  <w:r>
                    <w:rPr>
                      <w:highlight w:val="none"/>
                    </w:rPr>
                    <w:t>640</w:t>
                  </w:r>
                </w:p>
              </w:tc>
              <w:tc>
                <w:tcPr>
                  <w:tcW w:w="1191" w:type="pct"/>
                  <w:tcBorders>
                    <w:tl2br w:val="nil"/>
                    <w:tr2bl w:val="nil"/>
                  </w:tcBorders>
                  <w:vAlign w:val="center"/>
                </w:tcPr>
                <w:p>
                  <w:pPr>
                    <w:pStyle w:val="29"/>
                    <w:bidi w:val="0"/>
                    <w:rPr>
                      <w:highlight w:val="none"/>
                    </w:rPr>
                  </w:pPr>
                  <w:r>
                    <w:rPr>
                      <w:highlight w:val="none"/>
                    </w:rPr>
                    <w:t>640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35</w:t>
                  </w:r>
                </w:p>
              </w:tc>
              <w:tc>
                <w:tcPr>
                  <w:tcW w:w="1250" w:type="pct"/>
                  <w:tcBorders>
                    <w:tl2br w:val="nil"/>
                    <w:tr2bl w:val="nil"/>
                  </w:tcBorders>
                  <w:vAlign w:val="center"/>
                </w:tcPr>
                <w:p>
                  <w:pPr>
                    <w:pStyle w:val="29"/>
                    <w:bidi w:val="0"/>
                    <w:rPr>
                      <w:highlight w:val="none"/>
                    </w:rPr>
                  </w:pPr>
                  <w:r>
                    <w:rPr>
                      <w:highlight w:val="none"/>
                    </w:rPr>
                    <w:t>硝基苯</w:t>
                  </w:r>
                </w:p>
              </w:tc>
              <w:tc>
                <w:tcPr>
                  <w:tcW w:w="1308" w:type="pct"/>
                  <w:tcBorders>
                    <w:tl2br w:val="nil"/>
                    <w:tr2bl w:val="nil"/>
                  </w:tcBorders>
                  <w:vAlign w:val="center"/>
                </w:tcPr>
                <w:p>
                  <w:pPr>
                    <w:pStyle w:val="29"/>
                    <w:bidi w:val="0"/>
                    <w:rPr>
                      <w:highlight w:val="none"/>
                    </w:rPr>
                  </w:pPr>
                  <w:r>
                    <w:rPr>
                      <w:highlight w:val="none"/>
                    </w:rPr>
                    <w:t>76</w:t>
                  </w:r>
                </w:p>
              </w:tc>
              <w:tc>
                <w:tcPr>
                  <w:tcW w:w="1191" w:type="pct"/>
                  <w:tcBorders>
                    <w:tl2br w:val="nil"/>
                    <w:tr2bl w:val="nil"/>
                  </w:tcBorders>
                  <w:vAlign w:val="center"/>
                </w:tcPr>
                <w:p>
                  <w:pPr>
                    <w:pStyle w:val="29"/>
                    <w:bidi w:val="0"/>
                    <w:rPr>
                      <w:highlight w:val="none"/>
                    </w:rPr>
                  </w:pPr>
                  <w:r>
                    <w:rPr>
                      <w:highlight w:val="none"/>
                    </w:rPr>
                    <w:t>760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36</w:t>
                  </w:r>
                </w:p>
              </w:tc>
              <w:tc>
                <w:tcPr>
                  <w:tcW w:w="1250" w:type="pct"/>
                  <w:tcBorders>
                    <w:tl2br w:val="nil"/>
                    <w:tr2bl w:val="nil"/>
                  </w:tcBorders>
                  <w:vAlign w:val="center"/>
                </w:tcPr>
                <w:p>
                  <w:pPr>
                    <w:pStyle w:val="29"/>
                    <w:bidi w:val="0"/>
                    <w:rPr>
                      <w:highlight w:val="none"/>
                    </w:rPr>
                  </w:pPr>
                  <w:r>
                    <w:rPr>
                      <w:highlight w:val="none"/>
                    </w:rPr>
                    <w:t>苯胺</w:t>
                  </w:r>
                </w:p>
              </w:tc>
              <w:tc>
                <w:tcPr>
                  <w:tcW w:w="1308" w:type="pct"/>
                  <w:tcBorders>
                    <w:tl2br w:val="nil"/>
                    <w:tr2bl w:val="nil"/>
                  </w:tcBorders>
                  <w:vAlign w:val="center"/>
                </w:tcPr>
                <w:p>
                  <w:pPr>
                    <w:pStyle w:val="29"/>
                    <w:bidi w:val="0"/>
                    <w:rPr>
                      <w:highlight w:val="none"/>
                    </w:rPr>
                  </w:pPr>
                  <w:r>
                    <w:rPr>
                      <w:highlight w:val="none"/>
                    </w:rPr>
                    <w:t>260</w:t>
                  </w:r>
                </w:p>
              </w:tc>
              <w:tc>
                <w:tcPr>
                  <w:tcW w:w="1191" w:type="pct"/>
                  <w:tcBorders>
                    <w:tl2br w:val="nil"/>
                    <w:tr2bl w:val="nil"/>
                  </w:tcBorders>
                  <w:vAlign w:val="center"/>
                </w:tcPr>
                <w:p>
                  <w:pPr>
                    <w:pStyle w:val="29"/>
                    <w:bidi w:val="0"/>
                    <w:rPr>
                      <w:highlight w:val="none"/>
                    </w:rPr>
                  </w:pPr>
                  <w:r>
                    <w:rPr>
                      <w:highlight w:val="none"/>
                    </w:rPr>
                    <w:t>663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37</w:t>
                  </w:r>
                </w:p>
              </w:tc>
              <w:tc>
                <w:tcPr>
                  <w:tcW w:w="1250" w:type="pct"/>
                  <w:tcBorders>
                    <w:tl2br w:val="nil"/>
                    <w:tr2bl w:val="nil"/>
                  </w:tcBorders>
                  <w:vAlign w:val="center"/>
                </w:tcPr>
                <w:p>
                  <w:pPr>
                    <w:pStyle w:val="29"/>
                    <w:bidi w:val="0"/>
                    <w:rPr>
                      <w:highlight w:val="none"/>
                    </w:rPr>
                  </w:pPr>
                  <w:r>
                    <w:rPr>
                      <w:highlight w:val="none"/>
                    </w:rPr>
                    <w:t>2-氯酚</w:t>
                  </w:r>
                </w:p>
              </w:tc>
              <w:tc>
                <w:tcPr>
                  <w:tcW w:w="1308" w:type="pct"/>
                  <w:tcBorders>
                    <w:tl2br w:val="nil"/>
                    <w:tr2bl w:val="nil"/>
                  </w:tcBorders>
                  <w:vAlign w:val="center"/>
                </w:tcPr>
                <w:p>
                  <w:pPr>
                    <w:pStyle w:val="29"/>
                    <w:bidi w:val="0"/>
                    <w:rPr>
                      <w:highlight w:val="none"/>
                    </w:rPr>
                  </w:pPr>
                  <w:r>
                    <w:rPr>
                      <w:highlight w:val="none"/>
                    </w:rPr>
                    <w:t>2256</w:t>
                  </w:r>
                </w:p>
              </w:tc>
              <w:tc>
                <w:tcPr>
                  <w:tcW w:w="1191" w:type="pct"/>
                  <w:tcBorders>
                    <w:tl2br w:val="nil"/>
                    <w:tr2bl w:val="nil"/>
                  </w:tcBorders>
                  <w:vAlign w:val="center"/>
                </w:tcPr>
                <w:p>
                  <w:pPr>
                    <w:pStyle w:val="29"/>
                    <w:bidi w:val="0"/>
                    <w:rPr>
                      <w:highlight w:val="none"/>
                    </w:rPr>
                  </w:pPr>
                  <w:r>
                    <w:rPr>
                      <w:highlight w:val="none"/>
                    </w:rPr>
                    <w:t>4500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38</w:t>
                  </w:r>
                </w:p>
              </w:tc>
              <w:tc>
                <w:tcPr>
                  <w:tcW w:w="1250" w:type="pct"/>
                  <w:tcBorders>
                    <w:tl2br w:val="nil"/>
                    <w:tr2bl w:val="nil"/>
                  </w:tcBorders>
                  <w:vAlign w:val="center"/>
                </w:tcPr>
                <w:p>
                  <w:pPr>
                    <w:pStyle w:val="29"/>
                    <w:bidi w:val="0"/>
                    <w:rPr>
                      <w:highlight w:val="none"/>
                    </w:rPr>
                  </w:pPr>
                  <w:bookmarkStart w:id="2" w:name="OLE_LINK1"/>
                  <w:bookmarkStart w:id="3" w:name="OLE_LINK2"/>
                  <w:r>
                    <w:rPr>
                      <w:highlight w:val="none"/>
                    </w:rPr>
                    <w:t>苯并[a]蒽</w:t>
                  </w:r>
                  <w:bookmarkEnd w:id="2"/>
                  <w:bookmarkEnd w:id="3"/>
                </w:p>
              </w:tc>
              <w:tc>
                <w:tcPr>
                  <w:tcW w:w="1308" w:type="pct"/>
                  <w:tcBorders>
                    <w:tl2br w:val="nil"/>
                    <w:tr2bl w:val="nil"/>
                  </w:tcBorders>
                  <w:vAlign w:val="center"/>
                </w:tcPr>
                <w:p>
                  <w:pPr>
                    <w:pStyle w:val="29"/>
                    <w:bidi w:val="0"/>
                    <w:rPr>
                      <w:highlight w:val="none"/>
                    </w:rPr>
                  </w:pPr>
                  <w:r>
                    <w:rPr>
                      <w:highlight w:val="none"/>
                    </w:rPr>
                    <w:t>15</w:t>
                  </w:r>
                </w:p>
              </w:tc>
              <w:tc>
                <w:tcPr>
                  <w:tcW w:w="1191" w:type="pct"/>
                  <w:tcBorders>
                    <w:tl2br w:val="nil"/>
                    <w:tr2bl w:val="nil"/>
                  </w:tcBorders>
                  <w:vAlign w:val="center"/>
                </w:tcPr>
                <w:p>
                  <w:pPr>
                    <w:pStyle w:val="29"/>
                    <w:bidi w:val="0"/>
                    <w:rPr>
                      <w:highlight w:val="none"/>
                    </w:rPr>
                  </w:pPr>
                  <w:r>
                    <w:rPr>
                      <w:highlight w:val="none"/>
                    </w:rPr>
                    <w:t>151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39</w:t>
                  </w:r>
                </w:p>
              </w:tc>
              <w:tc>
                <w:tcPr>
                  <w:tcW w:w="1250" w:type="pct"/>
                  <w:tcBorders>
                    <w:tl2br w:val="nil"/>
                    <w:tr2bl w:val="nil"/>
                  </w:tcBorders>
                  <w:vAlign w:val="center"/>
                </w:tcPr>
                <w:p>
                  <w:pPr>
                    <w:pStyle w:val="29"/>
                    <w:bidi w:val="0"/>
                    <w:rPr>
                      <w:highlight w:val="none"/>
                    </w:rPr>
                  </w:pPr>
                  <w:r>
                    <w:rPr>
                      <w:highlight w:val="none"/>
                    </w:rPr>
                    <w:t>苯并[a]芘</w:t>
                  </w:r>
                </w:p>
              </w:tc>
              <w:tc>
                <w:tcPr>
                  <w:tcW w:w="1308" w:type="pct"/>
                  <w:tcBorders>
                    <w:tl2br w:val="nil"/>
                    <w:tr2bl w:val="nil"/>
                  </w:tcBorders>
                  <w:vAlign w:val="center"/>
                </w:tcPr>
                <w:p>
                  <w:pPr>
                    <w:pStyle w:val="29"/>
                    <w:bidi w:val="0"/>
                    <w:rPr>
                      <w:highlight w:val="none"/>
                    </w:rPr>
                  </w:pPr>
                  <w:r>
                    <w:rPr>
                      <w:highlight w:val="none"/>
                    </w:rPr>
                    <w:t>1.5</w:t>
                  </w:r>
                </w:p>
              </w:tc>
              <w:tc>
                <w:tcPr>
                  <w:tcW w:w="1191" w:type="pct"/>
                  <w:tcBorders>
                    <w:tl2br w:val="nil"/>
                    <w:tr2bl w:val="nil"/>
                  </w:tcBorders>
                  <w:vAlign w:val="center"/>
                </w:tcPr>
                <w:p>
                  <w:pPr>
                    <w:pStyle w:val="29"/>
                    <w:bidi w:val="0"/>
                    <w:rPr>
                      <w:highlight w:val="none"/>
                    </w:rPr>
                  </w:pPr>
                  <w:r>
                    <w:rPr>
                      <w:highlight w:val="none"/>
                    </w:rPr>
                    <w:t>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40</w:t>
                  </w:r>
                </w:p>
              </w:tc>
              <w:tc>
                <w:tcPr>
                  <w:tcW w:w="1250" w:type="pct"/>
                  <w:tcBorders>
                    <w:tl2br w:val="nil"/>
                    <w:tr2bl w:val="nil"/>
                  </w:tcBorders>
                  <w:vAlign w:val="center"/>
                </w:tcPr>
                <w:p>
                  <w:pPr>
                    <w:pStyle w:val="29"/>
                    <w:bidi w:val="0"/>
                    <w:rPr>
                      <w:highlight w:val="none"/>
                    </w:rPr>
                  </w:pPr>
                  <w:r>
                    <w:rPr>
                      <w:highlight w:val="none"/>
                    </w:rPr>
                    <w:t>苯并[b]荧蒽</w:t>
                  </w:r>
                </w:p>
              </w:tc>
              <w:tc>
                <w:tcPr>
                  <w:tcW w:w="1308" w:type="pct"/>
                  <w:tcBorders>
                    <w:tl2br w:val="nil"/>
                    <w:tr2bl w:val="nil"/>
                  </w:tcBorders>
                  <w:vAlign w:val="center"/>
                </w:tcPr>
                <w:p>
                  <w:pPr>
                    <w:pStyle w:val="29"/>
                    <w:bidi w:val="0"/>
                    <w:rPr>
                      <w:highlight w:val="none"/>
                    </w:rPr>
                  </w:pPr>
                  <w:r>
                    <w:rPr>
                      <w:highlight w:val="none"/>
                    </w:rPr>
                    <w:t>15</w:t>
                  </w:r>
                </w:p>
              </w:tc>
              <w:tc>
                <w:tcPr>
                  <w:tcW w:w="1191" w:type="pct"/>
                  <w:tcBorders>
                    <w:tl2br w:val="nil"/>
                    <w:tr2bl w:val="nil"/>
                  </w:tcBorders>
                  <w:vAlign w:val="center"/>
                </w:tcPr>
                <w:p>
                  <w:pPr>
                    <w:pStyle w:val="29"/>
                    <w:bidi w:val="0"/>
                    <w:rPr>
                      <w:highlight w:val="none"/>
                    </w:rPr>
                  </w:pPr>
                  <w:r>
                    <w:rPr>
                      <w:highlight w:val="none"/>
                    </w:rPr>
                    <w:t>151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41</w:t>
                  </w:r>
                </w:p>
              </w:tc>
              <w:tc>
                <w:tcPr>
                  <w:tcW w:w="1250" w:type="pct"/>
                  <w:tcBorders>
                    <w:tl2br w:val="nil"/>
                    <w:tr2bl w:val="nil"/>
                  </w:tcBorders>
                  <w:vAlign w:val="center"/>
                </w:tcPr>
                <w:p>
                  <w:pPr>
                    <w:pStyle w:val="29"/>
                    <w:bidi w:val="0"/>
                    <w:rPr>
                      <w:highlight w:val="none"/>
                    </w:rPr>
                  </w:pPr>
                  <w:r>
                    <w:rPr>
                      <w:highlight w:val="none"/>
                    </w:rPr>
                    <w:t>苯并[k]荧蒽</w:t>
                  </w:r>
                </w:p>
              </w:tc>
              <w:tc>
                <w:tcPr>
                  <w:tcW w:w="1308" w:type="pct"/>
                  <w:tcBorders>
                    <w:tl2br w:val="nil"/>
                    <w:tr2bl w:val="nil"/>
                  </w:tcBorders>
                  <w:vAlign w:val="center"/>
                </w:tcPr>
                <w:p>
                  <w:pPr>
                    <w:pStyle w:val="29"/>
                    <w:bidi w:val="0"/>
                    <w:rPr>
                      <w:highlight w:val="none"/>
                    </w:rPr>
                  </w:pPr>
                  <w:r>
                    <w:rPr>
                      <w:highlight w:val="none"/>
                    </w:rPr>
                    <w:t>151</w:t>
                  </w:r>
                </w:p>
              </w:tc>
              <w:tc>
                <w:tcPr>
                  <w:tcW w:w="1191" w:type="pct"/>
                  <w:tcBorders>
                    <w:tl2br w:val="nil"/>
                    <w:tr2bl w:val="nil"/>
                  </w:tcBorders>
                  <w:vAlign w:val="center"/>
                </w:tcPr>
                <w:p>
                  <w:pPr>
                    <w:pStyle w:val="29"/>
                    <w:bidi w:val="0"/>
                    <w:rPr>
                      <w:highlight w:val="none"/>
                    </w:rPr>
                  </w:pPr>
                  <w:r>
                    <w:rPr>
                      <w:highlight w:val="none"/>
                    </w:rPr>
                    <w:t>1500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42</w:t>
                  </w:r>
                </w:p>
              </w:tc>
              <w:tc>
                <w:tcPr>
                  <w:tcW w:w="1250" w:type="pct"/>
                  <w:tcBorders>
                    <w:tl2br w:val="nil"/>
                    <w:tr2bl w:val="nil"/>
                  </w:tcBorders>
                  <w:vAlign w:val="center"/>
                </w:tcPr>
                <w:p>
                  <w:pPr>
                    <w:pStyle w:val="29"/>
                    <w:bidi w:val="0"/>
                    <w:rPr>
                      <w:highlight w:val="none"/>
                    </w:rPr>
                  </w:pPr>
                  <w:r>
                    <w:rPr>
                      <w:highlight w:val="none"/>
                    </w:rPr>
                    <w:t>䓛</w:t>
                  </w:r>
                </w:p>
              </w:tc>
              <w:tc>
                <w:tcPr>
                  <w:tcW w:w="1308" w:type="pct"/>
                  <w:tcBorders>
                    <w:tl2br w:val="nil"/>
                    <w:tr2bl w:val="nil"/>
                  </w:tcBorders>
                  <w:vAlign w:val="center"/>
                </w:tcPr>
                <w:p>
                  <w:pPr>
                    <w:pStyle w:val="29"/>
                    <w:bidi w:val="0"/>
                    <w:rPr>
                      <w:highlight w:val="none"/>
                    </w:rPr>
                  </w:pPr>
                  <w:r>
                    <w:rPr>
                      <w:highlight w:val="none"/>
                    </w:rPr>
                    <w:t>1293</w:t>
                  </w:r>
                </w:p>
              </w:tc>
              <w:tc>
                <w:tcPr>
                  <w:tcW w:w="1191" w:type="pct"/>
                  <w:tcBorders>
                    <w:tl2br w:val="nil"/>
                    <w:tr2bl w:val="nil"/>
                  </w:tcBorders>
                  <w:vAlign w:val="center"/>
                </w:tcPr>
                <w:p>
                  <w:pPr>
                    <w:pStyle w:val="29"/>
                    <w:bidi w:val="0"/>
                    <w:rPr>
                      <w:highlight w:val="none"/>
                    </w:rPr>
                  </w:pPr>
                  <w:r>
                    <w:rPr>
                      <w:highlight w:val="none"/>
                    </w:rPr>
                    <w:t>12900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43</w:t>
                  </w:r>
                </w:p>
              </w:tc>
              <w:tc>
                <w:tcPr>
                  <w:tcW w:w="1250" w:type="pct"/>
                  <w:tcBorders>
                    <w:tl2br w:val="nil"/>
                    <w:tr2bl w:val="nil"/>
                  </w:tcBorders>
                  <w:vAlign w:val="center"/>
                </w:tcPr>
                <w:p>
                  <w:pPr>
                    <w:pStyle w:val="29"/>
                    <w:bidi w:val="0"/>
                    <w:rPr>
                      <w:highlight w:val="none"/>
                    </w:rPr>
                  </w:pPr>
                  <w:r>
                    <w:rPr>
                      <w:highlight w:val="none"/>
                    </w:rPr>
                    <w:t>二苯并[a,h]蒽</w:t>
                  </w:r>
                </w:p>
              </w:tc>
              <w:tc>
                <w:tcPr>
                  <w:tcW w:w="1308" w:type="pct"/>
                  <w:tcBorders>
                    <w:tl2br w:val="nil"/>
                    <w:tr2bl w:val="nil"/>
                  </w:tcBorders>
                  <w:vAlign w:val="center"/>
                </w:tcPr>
                <w:p>
                  <w:pPr>
                    <w:pStyle w:val="29"/>
                    <w:bidi w:val="0"/>
                    <w:rPr>
                      <w:highlight w:val="none"/>
                    </w:rPr>
                  </w:pPr>
                  <w:r>
                    <w:rPr>
                      <w:highlight w:val="none"/>
                    </w:rPr>
                    <w:t>1.5</w:t>
                  </w:r>
                </w:p>
              </w:tc>
              <w:tc>
                <w:tcPr>
                  <w:tcW w:w="1191" w:type="pct"/>
                  <w:tcBorders>
                    <w:tl2br w:val="nil"/>
                    <w:tr2bl w:val="nil"/>
                  </w:tcBorders>
                  <w:vAlign w:val="center"/>
                </w:tcPr>
                <w:p>
                  <w:pPr>
                    <w:pStyle w:val="29"/>
                    <w:bidi w:val="0"/>
                    <w:rPr>
                      <w:highlight w:val="none"/>
                    </w:rPr>
                  </w:pPr>
                  <w:r>
                    <w:rPr>
                      <w:highlight w:val="none"/>
                    </w:rPr>
                    <w:t>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44</w:t>
                  </w:r>
                </w:p>
              </w:tc>
              <w:tc>
                <w:tcPr>
                  <w:tcW w:w="1250" w:type="pct"/>
                  <w:tcBorders>
                    <w:tl2br w:val="nil"/>
                    <w:tr2bl w:val="nil"/>
                  </w:tcBorders>
                  <w:vAlign w:val="center"/>
                </w:tcPr>
                <w:p>
                  <w:pPr>
                    <w:pStyle w:val="29"/>
                    <w:bidi w:val="0"/>
                    <w:rPr>
                      <w:highlight w:val="none"/>
                    </w:rPr>
                  </w:pPr>
                  <w:r>
                    <w:rPr>
                      <w:highlight w:val="none"/>
                    </w:rPr>
                    <w:t>茚并[1,2,3-cd]芘</w:t>
                  </w:r>
                </w:p>
              </w:tc>
              <w:tc>
                <w:tcPr>
                  <w:tcW w:w="1308" w:type="pct"/>
                  <w:tcBorders>
                    <w:tl2br w:val="nil"/>
                    <w:tr2bl w:val="nil"/>
                  </w:tcBorders>
                  <w:vAlign w:val="center"/>
                </w:tcPr>
                <w:p>
                  <w:pPr>
                    <w:pStyle w:val="29"/>
                    <w:bidi w:val="0"/>
                    <w:rPr>
                      <w:highlight w:val="none"/>
                    </w:rPr>
                  </w:pPr>
                  <w:r>
                    <w:rPr>
                      <w:highlight w:val="none"/>
                    </w:rPr>
                    <w:t>15</w:t>
                  </w:r>
                </w:p>
              </w:tc>
              <w:tc>
                <w:tcPr>
                  <w:tcW w:w="1191" w:type="pct"/>
                  <w:tcBorders>
                    <w:tl2br w:val="nil"/>
                    <w:tr2bl w:val="nil"/>
                  </w:tcBorders>
                  <w:vAlign w:val="center"/>
                </w:tcPr>
                <w:p>
                  <w:pPr>
                    <w:pStyle w:val="29"/>
                    <w:bidi w:val="0"/>
                    <w:rPr>
                      <w:highlight w:val="none"/>
                    </w:rPr>
                  </w:pPr>
                  <w:r>
                    <w:rPr>
                      <w:highlight w:val="none"/>
                    </w:rPr>
                    <w:t>151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97" w:hRule="atLeast"/>
                <w:tblHeader/>
                <w:jc w:val="center"/>
              </w:trPr>
              <w:tc>
                <w:tcPr>
                  <w:tcW w:w="1250" w:type="pct"/>
                  <w:tcBorders>
                    <w:tl2br w:val="nil"/>
                    <w:tr2bl w:val="nil"/>
                  </w:tcBorders>
                  <w:vAlign w:val="center"/>
                </w:tcPr>
                <w:p>
                  <w:pPr>
                    <w:pStyle w:val="29"/>
                    <w:bidi w:val="0"/>
                    <w:rPr>
                      <w:highlight w:val="none"/>
                    </w:rPr>
                  </w:pPr>
                  <w:r>
                    <w:rPr>
                      <w:highlight w:val="none"/>
                    </w:rPr>
                    <w:t>45</w:t>
                  </w:r>
                </w:p>
              </w:tc>
              <w:tc>
                <w:tcPr>
                  <w:tcW w:w="1250" w:type="pct"/>
                  <w:tcBorders>
                    <w:tl2br w:val="nil"/>
                    <w:tr2bl w:val="nil"/>
                  </w:tcBorders>
                  <w:vAlign w:val="center"/>
                </w:tcPr>
                <w:p>
                  <w:pPr>
                    <w:pStyle w:val="29"/>
                    <w:bidi w:val="0"/>
                    <w:rPr>
                      <w:highlight w:val="none"/>
                    </w:rPr>
                  </w:pPr>
                  <w:r>
                    <w:rPr>
                      <w:highlight w:val="none"/>
                    </w:rPr>
                    <w:t>萘</w:t>
                  </w:r>
                </w:p>
              </w:tc>
              <w:tc>
                <w:tcPr>
                  <w:tcW w:w="1308" w:type="pct"/>
                  <w:tcBorders>
                    <w:tl2br w:val="nil"/>
                    <w:tr2bl w:val="nil"/>
                  </w:tcBorders>
                  <w:vAlign w:val="center"/>
                </w:tcPr>
                <w:p>
                  <w:pPr>
                    <w:pStyle w:val="29"/>
                    <w:bidi w:val="0"/>
                    <w:rPr>
                      <w:highlight w:val="none"/>
                    </w:rPr>
                  </w:pPr>
                  <w:r>
                    <w:rPr>
                      <w:highlight w:val="none"/>
                    </w:rPr>
                    <w:t>70</w:t>
                  </w:r>
                </w:p>
              </w:tc>
              <w:tc>
                <w:tcPr>
                  <w:tcW w:w="1191" w:type="pct"/>
                  <w:tcBorders>
                    <w:tl2br w:val="nil"/>
                    <w:tr2bl w:val="nil"/>
                  </w:tcBorders>
                  <w:vAlign w:val="center"/>
                </w:tcPr>
                <w:p>
                  <w:pPr>
                    <w:pStyle w:val="29"/>
                    <w:bidi w:val="0"/>
                    <w:rPr>
                      <w:highlight w:val="none"/>
                    </w:rPr>
                  </w:pPr>
                  <w:r>
                    <w:rPr>
                      <w:highlight w:val="none"/>
                    </w:rPr>
                    <w:t>700</w:t>
                  </w:r>
                </w:p>
              </w:tc>
            </w:tr>
          </w:tbl>
          <w:p>
            <w:pPr>
              <w:pStyle w:val="29"/>
              <w:bidi w:val="0"/>
              <w:rPr>
                <w:rFonts w:hint="eastAsia"/>
                <w:highlight w:val="none"/>
                <w:lang w:eastAsia="zh-CN"/>
              </w:rPr>
            </w:pPr>
          </w:p>
          <w:p>
            <w:pPr>
              <w:pStyle w:val="29"/>
              <w:bidi w:val="0"/>
              <w:rPr>
                <w:rFonts w:hint="eastAsia"/>
                <w:highlight w:val="none"/>
                <w:lang w:eastAsia="zh-CN"/>
              </w:rPr>
            </w:pPr>
          </w:p>
          <w:p>
            <w:pPr>
              <w:pStyle w:val="29"/>
              <w:bidi w:val="0"/>
              <w:rPr>
                <w:rFonts w:hint="eastAsia"/>
                <w:highlight w:val="none"/>
                <w:lang w:eastAsia="zh-CN"/>
              </w:rPr>
            </w:pPr>
          </w:p>
          <w:p>
            <w:pPr>
              <w:pStyle w:val="29"/>
              <w:bidi w:val="0"/>
              <w:rPr>
                <w:rFonts w:hint="eastAsia"/>
                <w:highlight w:val="none"/>
                <w:lang w:eastAsia="zh-CN"/>
              </w:rPr>
            </w:pPr>
          </w:p>
          <w:p>
            <w:pPr>
              <w:pStyle w:val="29"/>
              <w:bidi w:val="0"/>
              <w:rPr>
                <w:rFonts w:hint="eastAsia"/>
                <w:highlight w:val="none"/>
                <w:lang w:eastAsia="zh-CN"/>
              </w:rPr>
            </w:pPr>
          </w:p>
          <w:p>
            <w:pPr>
              <w:pStyle w:val="29"/>
              <w:bidi w:val="0"/>
              <w:rPr>
                <w:rFonts w:hint="eastAsia"/>
                <w:highlight w:val="none"/>
                <w:lang w:eastAsia="zh-CN"/>
              </w:rPr>
            </w:pPr>
          </w:p>
          <w:p>
            <w:pPr>
              <w:pStyle w:val="29"/>
              <w:bidi w:val="0"/>
              <w:rPr>
                <w:rFonts w:hint="eastAsia"/>
                <w:highlight w:val="none"/>
                <w:lang w:eastAsia="zh-CN"/>
              </w:rPr>
            </w:pPr>
          </w:p>
          <w:p>
            <w:pPr>
              <w:pStyle w:val="29"/>
              <w:bidi w:val="0"/>
              <w:rPr>
                <w:rFonts w:hint="eastAsia"/>
                <w:highlight w:val="none"/>
                <w:lang w:eastAsia="zh-CN"/>
              </w:rPr>
            </w:pPr>
          </w:p>
          <w:p>
            <w:pPr>
              <w:pStyle w:val="29"/>
              <w:bidi w:val="0"/>
              <w:rPr>
                <w:rFonts w:hint="eastAsia"/>
                <w:highlight w:val="none"/>
                <w:lang w:eastAsia="zh-CN"/>
              </w:rPr>
            </w:pPr>
          </w:p>
          <w:p>
            <w:pPr>
              <w:pStyle w:val="29"/>
              <w:bidi w:val="0"/>
              <w:rPr>
                <w:rFonts w:hint="eastAsia"/>
                <w:highlight w:val="none"/>
                <w:lang w:eastAsia="zh-CN"/>
              </w:rPr>
            </w:pPr>
          </w:p>
          <w:p>
            <w:pPr>
              <w:pStyle w:val="29"/>
              <w:bidi w:val="0"/>
              <w:rPr>
                <w:rFonts w:hint="eastAsia"/>
                <w:highlight w:val="none"/>
                <w:lang w:eastAsia="zh-CN"/>
              </w:rPr>
            </w:pPr>
          </w:p>
          <w:p>
            <w:pPr>
              <w:pStyle w:val="29"/>
              <w:bidi w:val="0"/>
              <w:rPr>
                <w:rFonts w:hint="eastAsia"/>
                <w:highlight w:val="none"/>
                <w:lang w:eastAsia="zh-CN"/>
              </w:rPr>
            </w:pPr>
          </w:p>
          <w:p>
            <w:pPr>
              <w:pStyle w:val="29"/>
              <w:bidi w:val="0"/>
              <w:rPr>
                <w:rFonts w:hint="eastAsia"/>
                <w:highlight w:val="none"/>
                <w:lang w:eastAsia="zh-CN"/>
              </w:rPr>
            </w:pPr>
          </w:p>
          <w:p>
            <w:pPr>
              <w:pStyle w:val="29"/>
              <w:bidi w:val="0"/>
              <w:rPr>
                <w:rFonts w:hint="eastAsia" w:eastAsia="宋体"/>
                <w:highlight w:val="none"/>
                <w:lang w:eastAsia="zh-CN"/>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gridBefore w:val="1"/>
          <w:wBefore w:w="253" w:type="dxa"/>
          <w:trHeight w:val="6802" w:hRule="atLeast"/>
          <w:jc w:val="center"/>
        </w:trPr>
        <w:tc>
          <w:tcPr>
            <w:tcW w:w="494" w:type="dxa"/>
            <w:gridSpan w:val="2"/>
            <w:tcBorders>
              <w:top w:val="single" w:color="auto" w:sz="6" w:space="0"/>
              <w:left w:val="single" w:color="auto" w:sz="12" w:space="0"/>
              <w:bottom w:val="single" w:color="auto" w:sz="6" w:space="0"/>
              <w:right w:val="single" w:color="auto" w:sz="6" w:space="0"/>
            </w:tcBorders>
            <w:vAlign w:val="center"/>
          </w:tcPr>
          <w:p>
            <w:pPr>
              <w:pStyle w:val="45"/>
              <w:bidi w:val="0"/>
              <w:rPr>
                <w:b/>
                <w:bCs/>
                <w:highlight w:val="none"/>
              </w:rPr>
            </w:pPr>
            <w:r>
              <w:rPr>
                <w:b/>
                <w:bCs/>
                <w:highlight w:val="none"/>
              </w:rPr>
              <w:t>污</w:t>
            </w:r>
          </w:p>
          <w:p>
            <w:pPr>
              <w:pStyle w:val="45"/>
              <w:bidi w:val="0"/>
              <w:rPr>
                <w:b/>
                <w:bCs/>
                <w:highlight w:val="none"/>
              </w:rPr>
            </w:pPr>
            <w:r>
              <w:rPr>
                <w:b/>
                <w:bCs/>
                <w:highlight w:val="none"/>
              </w:rPr>
              <w:t>染</w:t>
            </w:r>
          </w:p>
          <w:p>
            <w:pPr>
              <w:pStyle w:val="45"/>
              <w:bidi w:val="0"/>
              <w:rPr>
                <w:b/>
                <w:bCs/>
                <w:highlight w:val="none"/>
              </w:rPr>
            </w:pPr>
            <w:r>
              <w:rPr>
                <w:b/>
                <w:bCs/>
                <w:highlight w:val="none"/>
              </w:rPr>
              <w:t>物</w:t>
            </w:r>
          </w:p>
          <w:p>
            <w:pPr>
              <w:pStyle w:val="45"/>
              <w:bidi w:val="0"/>
              <w:rPr>
                <w:b/>
                <w:bCs/>
                <w:highlight w:val="none"/>
              </w:rPr>
            </w:pPr>
            <w:r>
              <w:rPr>
                <w:b/>
                <w:bCs/>
                <w:highlight w:val="none"/>
              </w:rPr>
              <w:t>排</w:t>
            </w:r>
          </w:p>
          <w:p>
            <w:pPr>
              <w:pStyle w:val="45"/>
              <w:bidi w:val="0"/>
              <w:rPr>
                <w:b/>
                <w:bCs/>
                <w:highlight w:val="none"/>
              </w:rPr>
            </w:pPr>
            <w:r>
              <w:rPr>
                <w:b/>
                <w:bCs/>
                <w:highlight w:val="none"/>
              </w:rPr>
              <w:t>放</w:t>
            </w:r>
          </w:p>
          <w:p>
            <w:pPr>
              <w:pStyle w:val="45"/>
              <w:bidi w:val="0"/>
              <w:rPr>
                <w:b/>
                <w:bCs/>
                <w:highlight w:val="none"/>
              </w:rPr>
            </w:pPr>
            <w:r>
              <w:rPr>
                <w:b/>
                <w:bCs/>
                <w:highlight w:val="none"/>
              </w:rPr>
              <w:t>标</w:t>
            </w:r>
          </w:p>
          <w:p>
            <w:pPr>
              <w:pStyle w:val="45"/>
              <w:bidi w:val="0"/>
              <w:rPr>
                <w:highlight w:val="none"/>
              </w:rPr>
            </w:pPr>
            <w:r>
              <w:rPr>
                <w:b/>
                <w:bCs/>
                <w:highlight w:val="none"/>
              </w:rPr>
              <w:t>准</w:t>
            </w:r>
          </w:p>
        </w:tc>
        <w:tc>
          <w:tcPr>
            <w:tcW w:w="8087" w:type="dxa"/>
            <w:tcBorders>
              <w:top w:val="single" w:color="auto" w:sz="6" w:space="0"/>
              <w:left w:val="single" w:color="auto" w:sz="6" w:space="0"/>
              <w:bottom w:val="single" w:color="auto" w:sz="6" w:space="0"/>
              <w:right w:val="single" w:color="auto" w:sz="12" w:space="0"/>
            </w:tcBorders>
            <w:vAlign w:val="center"/>
          </w:tcPr>
          <w:p>
            <w:pPr>
              <w:bidi w:val="0"/>
              <w:rPr>
                <w:highlight w:val="none"/>
              </w:rPr>
            </w:pPr>
            <w:r>
              <w:rPr>
                <w:highlight w:val="none"/>
              </w:rPr>
              <w:t>1、废气</w:t>
            </w:r>
          </w:p>
          <w:p>
            <w:pPr>
              <w:bidi w:val="0"/>
              <w:rPr>
                <w:highlight w:val="none"/>
              </w:rPr>
            </w:pPr>
            <w:r>
              <w:rPr>
                <w:highlight w:val="none"/>
              </w:rPr>
              <w:t>本项目废气排放执行标准值见下表。</w:t>
            </w:r>
          </w:p>
          <w:p>
            <w:pPr>
              <w:pStyle w:val="45"/>
              <w:bidi w:val="0"/>
              <w:rPr>
                <w:highlight w:val="none"/>
              </w:rPr>
            </w:pPr>
            <w:r>
              <w:rPr>
                <w:highlight w:val="none"/>
              </w:rPr>
              <w:t>表</w:t>
            </w:r>
            <w:r>
              <w:rPr>
                <w:rFonts w:hint="eastAsia"/>
                <w:highlight w:val="none"/>
                <w:lang w:val="en-US" w:eastAsia="zh-CN"/>
              </w:rPr>
              <w:t>31</w:t>
            </w:r>
            <w:r>
              <w:rPr>
                <w:highlight w:val="none"/>
              </w:rPr>
              <w:t xml:space="preserve"> 大气污染物综合排放标准</w:t>
            </w:r>
          </w:p>
          <w:tbl>
            <w:tblPr>
              <w:tblStyle w:val="21"/>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2224"/>
              <w:gridCol w:w="1122"/>
              <w:gridCol w:w="2362"/>
              <w:gridCol w:w="223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222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标准名称</w:t>
                  </w:r>
                </w:p>
              </w:tc>
              <w:tc>
                <w:tcPr>
                  <w:tcW w:w="112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污染因子</w:t>
                  </w:r>
                </w:p>
              </w:tc>
              <w:tc>
                <w:tcPr>
                  <w:tcW w:w="459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标准限值浓度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2224"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《关于全省开展工业企业挥发性有机物专项治理工作中排放建议值的通知》豫环攻坚办【2017】162号文</w:t>
                  </w:r>
                </w:p>
              </w:tc>
              <w:tc>
                <w:tcPr>
                  <w:tcW w:w="112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非甲烷总烃</w:t>
                  </w:r>
                </w:p>
              </w:tc>
              <w:tc>
                <w:tcPr>
                  <w:tcW w:w="236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工业企业挥发性有机物排放建议值其他行业有机废气排出口</w:t>
                  </w:r>
                </w:p>
              </w:tc>
              <w:tc>
                <w:tcPr>
                  <w:tcW w:w="22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vertAlign w:val="superscript"/>
                    </w:rPr>
                  </w:pPr>
                  <w:r>
                    <w:rPr>
                      <w:rFonts w:hint="default" w:ascii="Times New Roman" w:hAnsi="Times New Roman" w:cs="Times New Roman"/>
                      <w:sz w:val="21"/>
                      <w:szCs w:val="21"/>
                      <w:highlight w:val="none"/>
                    </w:rPr>
                    <w:t>建议排放浓度80mg/m</w:t>
                  </w:r>
                  <w:r>
                    <w:rPr>
                      <w:rFonts w:hint="default" w:ascii="Times New Roman" w:hAnsi="Times New Roman" w:cs="Times New Roman"/>
                      <w:sz w:val="21"/>
                      <w:szCs w:val="21"/>
                      <w:highlight w:val="none"/>
                      <w:vertAlign w:val="superscript"/>
                    </w:rPr>
                    <w:t>3</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建议去除率70％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222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112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236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厂界无组织排放</w:t>
                  </w:r>
                </w:p>
              </w:tc>
              <w:tc>
                <w:tcPr>
                  <w:tcW w:w="22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2.0mg/m</w:t>
                  </w:r>
                  <w:r>
                    <w:rPr>
                      <w:rFonts w:hint="default" w:ascii="Times New Roman" w:hAnsi="Times New Roman" w:cs="Times New Roman"/>
                      <w:sz w:val="21"/>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2224"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sz w:val="21"/>
                      <w:szCs w:val="21"/>
                      <w:highlight w:val="none"/>
                      <w:u w:val="none"/>
                    </w:rPr>
                  </w:pPr>
                  <w:r>
                    <w:rPr>
                      <w:rFonts w:hint="default" w:ascii="Times New Roman" w:hAnsi="Times New Roman" w:cs="Times New Roman"/>
                      <w:b w:val="0"/>
                      <w:bCs w:val="0"/>
                      <w:color w:val="auto"/>
                      <w:sz w:val="21"/>
                      <w:szCs w:val="21"/>
                      <w:highlight w:val="none"/>
                      <w:u w:val="none"/>
                    </w:rPr>
                    <w:t>《</w:t>
                  </w:r>
                  <w:r>
                    <w:rPr>
                      <w:rFonts w:hint="eastAsia" w:cs="Times New Roman"/>
                      <w:b w:val="0"/>
                      <w:bCs w:val="0"/>
                      <w:color w:val="auto"/>
                      <w:sz w:val="21"/>
                      <w:szCs w:val="21"/>
                      <w:highlight w:val="none"/>
                      <w:u w:val="none"/>
                      <w:lang w:eastAsia="zh-CN"/>
                    </w:rPr>
                    <w:t>挥发性有机物无组织排放标准</w:t>
                  </w:r>
                  <w:r>
                    <w:rPr>
                      <w:rFonts w:hint="default" w:ascii="Times New Roman" w:hAnsi="Times New Roman" w:cs="Times New Roman"/>
                      <w:b w:val="0"/>
                      <w:bCs w:val="0"/>
                      <w:color w:val="auto"/>
                      <w:sz w:val="21"/>
                      <w:szCs w:val="21"/>
                      <w:highlight w:val="none"/>
                      <w:u w:val="none"/>
                    </w:rPr>
                    <w:t>》（GB</w:t>
                  </w:r>
                  <w:r>
                    <w:rPr>
                      <w:rFonts w:hint="eastAsia" w:cs="Times New Roman"/>
                      <w:b w:val="0"/>
                      <w:bCs w:val="0"/>
                      <w:color w:val="auto"/>
                      <w:sz w:val="21"/>
                      <w:szCs w:val="21"/>
                      <w:highlight w:val="none"/>
                      <w:u w:val="none"/>
                      <w:lang w:val="en-US" w:eastAsia="zh-CN"/>
                    </w:rPr>
                    <w:t>37822</w:t>
                  </w:r>
                  <w:r>
                    <w:rPr>
                      <w:rFonts w:hint="default" w:ascii="Times New Roman" w:hAnsi="Times New Roman" w:cs="Times New Roman"/>
                      <w:b w:val="0"/>
                      <w:bCs w:val="0"/>
                      <w:color w:val="auto"/>
                      <w:sz w:val="21"/>
                      <w:szCs w:val="21"/>
                      <w:highlight w:val="none"/>
                      <w:u w:val="none"/>
                    </w:rPr>
                    <w:t>-</w:t>
                  </w:r>
                  <w:r>
                    <w:rPr>
                      <w:rFonts w:hint="eastAsia" w:cs="Times New Roman"/>
                      <w:b w:val="0"/>
                      <w:bCs w:val="0"/>
                      <w:color w:val="auto"/>
                      <w:sz w:val="21"/>
                      <w:szCs w:val="21"/>
                      <w:highlight w:val="none"/>
                      <w:u w:val="none"/>
                      <w:lang w:val="en-US" w:eastAsia="zh-CN"/>
                    </w:rPr>
                    <w:t>2016</w:t>
                  </w:r>
                  <w:r>
                    <w:rPr>
                      <w:rFonts w:hint="default" w:ascii="Times New Roman" w:hAnsi="Times New Roman" w:cs="Times New Roman"/>
                      <w:b w:val="0"/>
                      <w:bCs w:val="0"/>
                      <w:color w:val="auto"/>
                      <w:sz w:val="21"/>
                      <w:szCs w:val="21"/>
                      <w:highlight w:val="none"/>
                      <w:u w:val="none"/>
                    </w:rPr>
                    <w:t>）</w:t>
                  </w:r>
                  <w:r>
                    <w:rPr>
                      <w:rFonts w:hint="eastAsia" w:cs="Times New Roman"/>
                      <w:b w:val="0"/>
                      <w:bCs w:val="0"/>
                      <w:color w:val="auto"/>
                      <w:sz w:val="21"/>
                      <w:szCs w:val="21"/>
                      <w:highlight w:val="none"/>
                      <w:u w:val="none"/>
                      <w:lang w:eastAsia="zh-CN"/>
                    </w:rPr>
                    <w:t>附录</w:t>
                  </w:r>
                  <w:r>
                    <w:rPr>
                      <w:rFonts w:hint="eastAsia" w:cs="Times New Roman"/>
                      <w:b w:val="0"/>
                      <w:bCs w:val="0"/>
                      <w:color w:val="auto"/>
                      <w:sz w:val="21"/>
                      <w:szCs w:val="21"/>
                      <w:highlight w:val="none"/>
                      <w:u w:val="none"/>
                      <w:lang w:val="en-US" w:eastAsia="zh-CN"/>
                    </w:rPr>
                    <w:t>A表A.1厂区内VOCs无组织排放限制</w:t>
                  </w:r>
                </w:p>
              </w:tc>
              <w:tc>
                <w:tcPr>
                  <w:tcW w:w="112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sz w:val="21"/>
                      <w:szCs w:val="21"/>
                      <w:highlight w:val="none"/>
                      <w:u w:val="none"/>
                    </w:rPr>
                  </w:pPr>
                  <w:r>
                    <w:rPr>
                      <w:rFonts w:hint="default" w:ascii="Times New Roman" w:hAnsi="Times New Roman" w:cs="Times New Roman"/>
                      <w:b w:val="0"/>
                      <w:bCs w:val="0"/>
                      <w:sz w:val="21"/>
                      <w:szCs w:val="21"/>
                      <w:highlight w:val="none"/>
                      <w:u w:val="none"/>
                    </w:rPr>
                    <w:t>非甲烷总烃</w:t>
                  </w:r>
                </w:p>
              </w:tc>
              <w:tc>
                <w:tcPr>
                  <w:tcW w:w="2362" w:type="dxa"/>
                  <w:vMerge w:val="restart"/>
                  <w:noWrap w:val="0"/>
                  <w:vAlign w:val="center"/>
                </w:tcPr>
                <w:p>
                  <w:pPr>
                    <w:ind w:left="0" w:leftChars="0" w:firstLine="0" w:firstLineChars="0"/>
                    <w:jc w:val="center"/>
                    <w:rPr>
                      <w:rFonts w:hint="default" w:ascii="Times New Roman" w:hAnsi="Times New Roman" w:cs="Times New Roman"/>
                      <w:b w:val="0"/>
                      <w:bCs w:val="0"/>
                      <w:sz w:val="21"/>
                      <w:szCs w:val="21"/>
                      <w:highlight w:val="none"/>
                      <w:u w:val="none"/>
                    </w:rPr>
                  </w:pPr>
                  <w:r>
                    <w:rPr>
                      <w:rFonts w:hint="eastAsia" w:cs="Times New Roman"/>
                      <w:b w:val="0"/>
                      <w:bCs w:val="0"/>
                      <w:color w:val="auto"/>
                      <w:sz w:val="21"/>
                      <w:szCs w:val="21"/>
                      <w:highlight w:val="none"/>
                      <w:u w:val="none"/>
                      <w:lang w:eastAsia="zh-CN"/>
                    </w:rPr>
                    <w:t>监控点处</w:t>
                  </w:r>
                  <w:r>
                    <w:rPr>
                      <w:rFonts w:hint="eastAsia" w:cs="Times New Roman"/>
                      <w:b w:val="0"/>
                      <w:bCs w:val="0"/>
                      <w:color w:val="auto"/>
                      <w:sz w:val="21"/>
                      <w:szCs w:val="21"/>
                      <w:highlight w:val="none"/>
                      <w:u w:val="none"/>
                      <w:lang w:val="en-US" w:eastAsia="zh-CN"/>
                    </w:rPr>
                    <w:t>1h平均浓度值</w:t>
                  </w:r>
                </w:p>
              </w:tc>
              <w:tc>
                <w:tcPr>
                  <w:tcW w:w="2230" w:type="dxa"/>
                  <w:noWrap w:val="0"/>
                  <w:vAlign w:val="center"/>
                </w:tcPr>
                <w:p>
                  <w:pPr>
                    <w:ind w:left="0" w:leftChars="0" w:firstLine="0" w:firstLineChars="0"/>
                    <w:jc w:val="center"/>
                    <w:rPr>
                      <w:rFonts w:hint="default" w:ascii="Times New Roman" w:hAnsi="Times New Roman" w:cs="Times New Roman"/>
                      <w:b w:val="0"/>
                      <w:bCs w:val="0"/>
                      <w:sz w:val="21"/>
                      <w:szCs w:val="21"/>
                      <w:highlight w:val="none"/>
                      <w:u w:val="none"/>
                    </w:rPr>
                  </w:pPr>
                  <w:r>
                    <w:rPr>
                      <w:rFonts w:hint="eastAsia" w:cs="Times New Roman"/>
                      <w:b w:val="0"/>
                      <w:bCs w:val="0"/>
                      <w:color w:val="auto"/>
                      <w:sz w:val="21"/>
                      <w:szCs w:val="21"/>
                      <w:highlight w:val="none"/>
                      <w:u w:val="none"/>
                      <w:lang w:eastAsia="zh-CN"/>
                    </w:rPr>
                    <w:t>排放限值：</w:t>
                  </w:r>
                  <w:r>
                    <w:rPr>
                      <w:rFonts w:hint="default" w:ascii="Times New Roman" w:hAnsi="Times New Roman" w:cs="Times New Roman"/>
                      <w:b w:val="0"/>
                      <w:bCs w:val="0"/>
                      <w:color w:val="auto"/>
                      <w:sz w:val="21"/>
                      <w:szCs w:val="21"/>
                      <w:highlight w:val="none"/>
                      <w:u w:val="none"/>
                    </w:rPr>
                    <w:t>1</w:t>
                  </w:r>
                  <w:r>
                    <w:rPr>
                      <w:rFonts w:hint="eastAsia" w:cs="Times New Roman"/>
                      <w:b w:val="0"/>
                      <w:bCs w:val="0"/>
                      <w:color w:val="auto"/>
                      <w:sz w:val="21"/>
                      <w:szCs w:val="21"/>
                      <w:highlight w:val="none"/>
                      <w:u w:val="none"/>
                      <w:lang w:val="en-US" w:eastAsia="zh-CN"/>
                    </w:rPr>
                    <w:t>0</w:t>
                  </w:r>
                  <w:r>
                    <w:rPr>
                      <w:rFonts w:hint="default" w:ascii="Times New Roman" w:hAnsi="Times New Roman" w:cs="Times New Roman"/>
                      <w:b w:val="0"/>
                      <w:bCs w:val="0"/>
                      <w:color w:val="auto"/>
                      <w:sz w:val="21"/>
                      <w:szCs w:val="21"/>
                      <w:highlight w:val="none"/>
                      <w:u w:val="none"/>
                    </w:rPr>
                    <w:t>mg/m</w:t>
                  </w:r>
                  <w:r>
                    <w:rPr>
                      <w:rFonts w:hint="default" w:ascii="Times New Roman" w:hAnsi="Times New Roman" w:cs="Times New Roman"/>
                      <w:b w:val="0"/>
                      <w:bCs w:val="0"/>
                      <w:color w:val="auto"/>
                      <w:sz w:val="21"/>
                      <w:szCs w:val="21"/>
                      <w:highlight w:val="none"/>
                      <w:u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222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auto"/>
                      <w:sz w:val="21"/>
                      <w:szCs w:val="21"/>
                      <w:highlight w:val="none"/>
                      <w:u w:val="none"/>
                    </w:rPr>
                  </w:pPr>
                </w:p>
              </w:tc>
              <w:tc>
                <w:tcPr>
                  <w:tcW w:w="112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sz w:val="21"/>
                      <w:szCs w:val="21"/>
                      <w:highlight w:val="none"/>
                      <w:u w:val="none"/>
                    </w:rPr>
                  </w:pPr>
                </w:p>
              </w:tc>
              <w:tc>
                <w:tcPr>
                  <w:tcW w:w="2362" w:type="dxa"/>
                  <w:vMerge w:val="continue"/>
                  <w:noWrap w:val="0"/>
                  <w:vAlign w:val="center"/>
                </w:tcPr>
                <w:p>
                  <w:pPr>
                    <w:ind w:firstLine="420" w:firstLineChars="200"/>
                    <w:jc w:val="center"/>
                    <w:rPr>
                      <w:rFonts w:hint="default" w:ascii="Times New Roman" w:hAnsi="Times New Roman" w:cs="Times New Roman"/>
                      <w:b w:val="0"/>
                      <w:bCs w:val="0"/>
                      <w:sz w:val="21"/>
                      <w:szCs w:val="21"/>
                      <w:highlight w:val="none"/>
                      <w:u w:val="none"/>
                    </w:rPr>
                  </w:pPr>
                </w:p>
              </w:tc>
              <w:tc>
                <w:tcPr>
                  <w:tcW w:w="2230" w:type="dxa"/>
                  <w:noWrap w:val="0"/>
                  <w:vAlign w:val="center"/>
                </w:tcPr>
                <w:p>
                  <w:pPr>
                    <w:ind w:left="0" w:leftChars="0" w:firstLine="0" w:firstLineChars="0"/>
                    <w:jc w:val="center"/>
                    <w:rPr>
                      <w:rFonts w:hint="default" w:ascii="Times New Roman" w:hAnsi="Times New Roman" w:cs="Times New Roman"/>
                      <w:b w:val="0"/>
                      <w:bCs w:val="0"/>
                      <w:sz w:val="21"/>
                      <w:szCs w:val="21"/>
                      <w:highlight w:val="none"/>
                      <w:u w:val="none"/>
                    </w:rPr>
                  </w:pPr>
                  <w:r>
                    <w:rPr>
                      <w:rFonts w:hint="eastAsia" w:cs="Times New Roman"/>
                      <w:b w:val="0"/>
                      <w:bCs w:val="0"/>
                      <w:color w:val="auto"/>
                      <w:sz w:val="21"/>
                      <w:szCs w:val="21"/>
                      <w:highlight w:val="none"/>
                      <w:u w:val="none"/>
                      <w:lang w:eastAsia="zh-CN"/>
                    </w:rPr>
                    <w:t>特别排放限值：</w:t>
                  </w:r>
                  <w:r>
                    <w:rPr>
                      <w:rFonts w:hint="eastAsia" w:cs="Times New Roman"/>
                      <w:b w:val="0"/>
                      <w:bCs w:val="0"/>
                      <w:color w:val="auto"/>
                      <w:sz w:val="21"/>
                      <w:szCs w:val="21"/>
                      <w:highlight w:val="none"/>
                      <w:u w:val="none"/>
                      <w:lang w:val="en-US" w:eastAsia="zh-CN"/>
                    </w:rPr>
                    <w:t>6</w:t>
                  </w:r>
                  <w:r>
                    <w:rPr>
                      <w:rFonts w:hint="default" w:ascii="Times New Roman" w:hAnsi="Times New Roman" w:cs="Times New Roman"/>
                      <w:b w:val="0"/>
                      <w:bCs w:val="0"/>
                      <w:color w:val="auto"/>
                      <w:sz w:val="21"/>
                      <w:szCs w:val="21"/>
                      <w:highlight w:val="none"/>
                      <w:u w:val="none"/>
                    </w:rPr>
                    <w:t>mg/m</w:t>
                  </w:r>
                  <w:r>
                    <w:rPr>
                      <w:rFonts w:hint="default" w:ascii="Times New Roman" w:hAnsi="Times New Roman" w:cs="Times New Roman"/>
                      <w:b w:val="0"/>
                      <w:bCs w:val="0"/>
                      <w:color w:val="auto"/>
                      <w:sz w:val="21"/>
                      <w:szCs w:val="21"/>
                      <w:highlight w:val="none"/>
                      <w:u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222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auto"/>
                      <w:sz w:val="21"/>
                      <w:szCs w:val="21"/>
                      <w:highlight w:val="none"/>
                      <w:u w:val="none"/>
                    </w:rPr>
                  </w:pPr>
                </w:p>
              </w:tc>
              <w:tc>
                <w:tcPr>
                  <w:tcW w:w="112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sz w:val="21"/>
                      <w:szCs w:val="21"/>
                      <w:highlight w:val="none"/>
                      <w:u w:val="none"/>
                    </w:rPr>
                  </w:pPr>
                </w:p>
              </w:tc>
              <w:tc>
                <w:tcPr>
                  <w:tcW w:w="2362" w:type="dxa"/>
                  <w:vMerge w:val="restart"/>
                  <w:noWrap w:val="0"/>
                  <w:vAlign w:val="center"/>
                </w:tcPr>
                <w:p>
                  <w:pPr>
                    <w:ind w:left="0" w:leftChars="0" w:firstLine="0" w:firstLineChars="0"/>
                    <w:jc w:val="center"/>
                    <w:rPr>
                      <w:rFonts w:hint="default" w:ascii="Times New Roman" w:hAnsi="Times New Roman" w:cs="Times New Roman"/>
                      <w:b w:val="0"/>
                      <w:bCs w:val="0"/>
                      <w:sz w:val="21"/>
                      <w:szCs w:val="21"/>
                      <w:highlight w:val="none"/>
                      <w:u w:val="none"/>
                    </w:rPr>
                  </w:pPr>
                  <w:r>
                    <w:rPr>
                      <w:rFonts w:hint="eastAsia" w:cs="Times New Roman"/>
                      <w:b w:val="0"/>
                      <w:bCs w:val="0"/>
                      <w:color w:val="auto"/>
                      <w:sz w:val="21"/>
                      <w:szCs w:val="21"/>
                      <w:highlight w:val="none"/>
                      <w:u w:val="none"/>
                      <w:lang w:eastAsia="zh-CN"/>
                    </w:rPr>
                    <w:t>监控点处任意一次浓度值</w:t>
                  </w:r>
                </w:p>
              </w:tc>
              <w:tc>
                <w:tcPr>
                  <w:tcW w:w="2230" w:type="dxa"/>
                  <w:noWrap w:val="0"/>
                  <w:vAlign w:val="center"/>
                </w:tcPr>
                <w:p>
                  <w:pPr>
                    <w:ind w:left="0" w:leftChars="0" w:firstLine="0" w:firstLineChars="0"/>
                    <w:jc w:val="center"/>
                    <w:rPr>
                      <w:rFonts w:hint="default" w:ascii="Times New Roman" w:hAnsi="Times New Roman" w:cs="Times New Roman"/>
                      <w:b w:val="0"/>
                      <w:bCs w:val="0"/>
                      <w:sz w:val="21"/>
                      <w:szCs w:val="21"/>
                      <w:highlight w:val="none"/>
                      <w:u w:val="none"/>
                    </w:rPr>
                  </w:pPr>
                  <w:r>
                    <w:rPr>
                      <w:rFonts w:hint="eastAsia" w:cs="Times New Roman"/>
                      <w:b w:val="0"/>
                      <w:bCs w:val="0"/>
                      <w:color w:val="auto"/>
                      <w:sz w:val="21"/>
                      <w:szCs w:val="21"/>
                      <w:highlight w:val="none"/>
                      <w:u w:val="none"/>
                      <w:lang w:eastAsia="zh-CN"/>
                    </w:rPr>
                    <w:t>排放限值：</w:t>
                  </w:r>
                  <w:r>
                    <w:rPr>
                      <w:rFonts w:hint="eastAsia" w:cs="Times New Roman"/>
                      <w:b w:val="0"/>
                      <w:bCs w:val="0"/>
                      <w:color w:val="auto"/>
                      <w:sz w:val="21"/>
                      <w:szCs w:val="21"/>
                      <w:highlight w:val="none"/>
                      <w:u w:val="none"/>
                      <w:lang w:val="en-US" w:eastAsia="zh-CN"/>
                    </w:rPr>
                    <w:t>30</w:t>
                  </w:r>
                  <w:r>
                    <w:rPr>
                      <w:rFonts w:hint="default" w:ascii="Times New Roman" w:hAnsi="Times New Roman" w:cs="Times New Roman"/>
                      <w:b w:val="0"/>
                      <w:bCs w:val="0"/>
                      <w:color w:val="auto"/>
                      <w:sz w:val="21"/>
                      <w:szCs w:val="21"/>
                      <w:highlight w:val="none"/>
                      <w:u w:val="none"/>
                    </w:rPr>
                    <w:t>mg/m</w:t>
                  </w:r>
                  <w:r>
                    <w:rPr>
                      <w:rFonts w:hint="default" w:ascii="Times New Roman" w:hAnsi="Times New Roman" w:cs="Times New Roman"/>
                      <w:b w:val="0"/>
                      <w:bCs w:val="0"/>
                      <w:color w:val="auto"/>
                      <w:sz w:val="21"/>
                      <w:szCs w:val="21"/>
                      <w:highlight w:val="none"/>
                      <w:u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222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auto"/>
                      <w:sz w:val="21"/>
                      <w:szCs w:val="21"/>
                      <w:highlight w:val="none"/>
                      <w:u w:val="none"/>
                    </w:rPr>
                  </w:pPr>
                </w:p>
              </w:tc>
              <w:tc>
                <w:tcPr>
                  <w:tcW w:w="112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sz w:val="21"/>
                      <w:szCs w:val="21"/>
                      <w:highlight w:val="none"/>
                      <w:u w:val="none"/>
                    </w:rPr>
                  </w:pPr>
                </w:p>
              </w:tc>
              <w:tc>
                <w:tcPr>
                  <w:tcW w:w="2362" w:type="dxa"/>
                  <w:vMerge w:val="continue"/>
                  <w:noWrap w:val="0"/>
                  <w:vAlign w:val="center"/>
                </w:tcPr>
                <w:p>
                  <w:pPr>
                    <w:ind w:firstLine="420" w:firstLineChars="200"/>
                    <w:jc w:val="center"/>
                    <w:rPr>
                      <w:rFonts w:hint="default" w:ascii="Times New Roman" w:hAnsi="Times New Roman" w:cs="Times New Roman"/>
                      <w:b w:val="0"/>
                      <w:bCs w:val="0"/>
                      <w:sz w:val="21"/>
                      <w:szCs w:val="21"/>
                      <w:highlight w:val="none"/>
                      <w:u w:val="none"/>
                    </w:rPr>
                  </w:pPr>
                </w:p>
              </w:tc>
              <w:tc>
                <w:tcPr>
                  <w:tcW w:w="2230" w:type="dxa"/>
                  <w:noWrap w:val="0"/>
                  <w:vAlign w:val="center"/>
                </w:tcPr>
                <w:p>
                  <w:pPr>
                    <w:ind w:left="0" w:leftChars="0" w:firstLine="0" w:firstLineChars="0"/>
                    <w:jc w:val="center"/>
                    <w:rPr>
                      <w:rFonts w:hint="default" w:ascii="Times New Roman" w:hAnsi="Times New Roman" w:cs="Times New Roman"/>
                      <w:b w:val="0"/>
                      <w:bCs w:val="0"/>
                      <w:sz w:val="21"/>
                      <w:szCs w:val="21"/>
                      <w:highlight w:val="none"/>
                      <w:u w:val="none"/>
                    </w:rPr>
                  </w:pPr>
                  <w:r>
                    <w:rPr>
                      <w:rFonts w:hint="eastAsia" w:cs="Times New Roman"/>
                      <w:b w:val="0"/>
                      <w:bCs w:val="0"/>
                      <w:color w:val="auto"/>
                      <w:sz w:val="21"/>
                      <w:szCs w:val="21"/>
                      <w:highlight w:val="none"/>
                      <w:u w:val="none"/>
                      <w:lang w:eastAsia="zh-CN"/>
                    </w:rPr>
                    <w:t>排放限值：</w:t>
                  </w:r>
                  <w:r>
                    <w:rPr>
                      <w:rFonts w:hint="eastAsia" w:cs="Times New Roman"/>
                      <w:b w:val="0"/>
                      <w:bCs w:val="0"/>
                      <w:color w:val="auto"/>
                      <w:sz w:val="21"/>
                      <w:szCs w:val="21"/>
                      <w:highlight w:val="none"/>
                      <w:u w:val="none"/>
                      <w:lang w:val="en-US" w:eastAsia="zh-CN"/>
                    </w:rPr>
                    <w:t>20</w:t>
                  </w:r>
                  <w:r>
                    <w:rPr>
                      <w:rFonts w:hint="default" w:ascii="Times New Roman" w:hAnsi="Times New Roman" w:cs="Times New Roman"/>
                      <w:b w:val="0"/>
                      <w:bCs w:val="0"/>
                      <w:color w:val="auto"/>
                      <w:sz w:val="21"/>
                      <w:szCs w:val="21"/>
                      <w:highlight w:val="none"/>
                      <w:u w:val="none"/>
                    </w:rPr>
                    <w:t>mg/m</w:t>
                  </w:r>
                  <w:r>
                    <w:rPr>
                      <w:rFonts w:hint="default" w:ascii="Times New Roman" w:hAnsi="Times New Roman" w:cs="Times New Roman"/>
                      <w:b w:val="0"/>
                      <w:bCs w:val="0"/>
                      <w:color w:val="auto"/>
                      <w:sz w:val="21"/>
                      <w:szCs w:val="21"/>
                      <w:highlight w:val="none"/>
                      <w:u w:val="none"/>
                      <w:vertAlign w:val="superscript"/>
                    </w:rPr>
                    <w:t>3</w:t>
                  </w:r>
                </w:p>
              </w:tc>
            </w:tr>
          </w:tbl>
          <w:p>
            <w:pPr>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eastAsia="宋体"/>
                <w:highlight w:val="none"/>
                <w:lang w:val="en-US" w:eastAsia="zh-CN"/>
              </w:rPr>
            </w:pPr>
            <w:r>
              <w:rPr>
                <w:rFonts w:hint="eastAsia"/>
                <w:highlight w:val="none"/>
                <w:lang w:val="en-US" w:eastAsia="zh-CN"/>
              </w:rPr>
              <w:t>2、废水</w:t>
            </w:r>
          </w:p>
          <w:p>
            <w:pPr>
              <w:widowControl/>
              <w:ind w:firstLine="1200" w:firstLineChars="500"/>
              <w:jc w:val="both"/>
              <w:rPr>
                <w:rFonts w:hint="default" w:ascii="Times New Roman" w:hAnsi="Times New Roman" w:eastAsia="宋体" w:cs="Times New Roman"/>
                <w:b/>
                <w:color w:val="000000"/>
                <w:sz w:val="24"/>
                <w:szCs w:val="24"/>
              </w:rPr>
            </w:pPr>
            <w:r>
              <w:rPr>
                <w:rFonts w:hint="default" w:ascii="Times New Roman" w:hAnsi="Times New Roman" w:eastAsia="宋体" w:cs="Times New Roman"/>
                <w:b w:val="0"/>
                <w:bCs/>
                <w:color w:val="000000"/>
                <w:sz w:val="24"/>
                <w:szCs w:val="24"/>
              </w:rPr>
              <w:t>表</w:t>
            </w:r>
            <w:r>
              <w:rPr>
                <w:rFonts w:hint="eastAsia" w:ascii="Times New Roman" w:hAnsi="Times New Roman" w:eastAsia="宋体" w:cs="Times New Roman"/>
                <w:b w:val="0"/>
                <w:bCs/>
                <w:color w:val="000000"/>
                <w:sz w:val="24"/>
                <w:szCs w:val="24"/>
                <w:lang w:val="en-US" w:eastAsia="zh-CN"/>
              </w:rPr>
              <w:t>32</w:t>
            </w:r>
            <w:r>
              <w:rPr>
                <w:rFonts w:hint="eastAsia" w:cs="Times New Roman"/>
                <w:b w:val="0"/>
                <w:bCs/>
                <w:color w:val="000000"/>
                <w:sz w:val="24"/>
                <w:szCs w:val="24"/>
                <w:lang w:val="en-US" w:eastAsia="zh-CN"/>
              </w:rPr>
              <w:t xml:space="preserve">        </w:t>
            </w:r>
            <w:r>
              <w:rPr>
                <w:rFonts w:hint="default" w:ascii="Times New Roman" w:hAnsi="Times New Roman" w:eastAsia="宋体" w:cs="Times New Roman"/>
                <w:b w:val="0"/>
                <w:bCs/>
                <w:color w:val="000000"/>
                <w:sz w:val="24"/>
                <w:szCs w:val="24"/>
              </w:rPr>
              <w:t xml:space="preserve"> 污水</w:t>
            </w:r>
            <w:r>
              <w:rPr>
                <w:rFonts w:hint="eastAsia" w:cs="Times New Roman"/>
                <w:b w:val="0"/>
                <w:bCs/>
                <w:color w:val="000000"/>
                <w:sz w:val="24"/>
                <w:szCs w:val="24"/>
                <w:lang w:eastAsia="zh-CN"/>
              </w:rPr>
              <w:t>处理执行</w:t>
            </w:r>
            <w:r>
              <w:rPr>
                <w:rFonts w:hint="default" w:ascii="Times New Roman" w:hAnsi="Times New Roman" w:eastAsia="宋体" w:cs="Times New Roman"/>
                <w:b w:val="0"/>
                <w:bCs/>
                <w:color w:val="000000"/>
                <w:sz w:val="24"/>
                <w:szCs w:val="24"/>
              </w:rPr>
              <w:t>标准</w:t>
            </w:r>
            <w:r>
              <w:rPr>
                <w:rStyle w:val="26"/>
                <w:rFonts w:hint="default" w:ascii="Times New Roman" w:hAnsi="Times New Roman" w:eastAsia="宋体" w:cs="Times New Roman"/>
                <w:b w:val="0"/>
                <w:bCs/>
                <w:sz w:val="24"/>
                <w:szCs w:val="24"/>
              </w:rPr>
              <w:t xml:space="preserve">   </w:t>
            </w:r>
            <w:r>
              <w:rPr>
                <w:rStyle w:val="26"/>
                <w:rFonts w:hint="eastAsia" w:cs="Times New Roman"/>
                <w:b w:val="0"/>
                <w:bCs/>
                <w:sz w:val="24"/>
                <w:szCs w:val="24"/>
                <w:lang w:val="en-US" w:eastAsia="zh-CN"/>
              </w:rPr>
              <w:t xml:space="preserve">      </w:t>
            </w:r>
            <w:r>
              <w:rPr>
                <w:rFonts w:hint="eastAsia"/>
                <w:b w:val="0"/>
                <w:bCs/>
                <w:color w:val="000000"/>
                <w:sz w:val="24"/>
                <w:szCs w:val="24"/>
              </w:rPr>
              <w:t xml:space="preserve"> 单位：</w:t>
            </w:r>
            <w:r>
              <w:rPr>
                <w:rFonts w:hint="default" w:ascii="Times New Roman" w:hAnsi="Times New Roman" w:cs="Times New Roman"/>
                <w:b w:val="0"/>
                <w:bCs/>
                <w:color w:val="000000"/>
                <w:sz w:val="24"/>
                <w:szCs w:val="24"/>
              </w:rPr>
              <w:t>mg/L</w:t>
            </w:r>
          </w:p>
          <w:tbl>
            <w:tblPr>
              <w:tblStyle w:val="22"/>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91"/>
              <w:gridCol w:w="1590"/>
              <w:gridCol w:w="986"/>
              <w:gridCol w:w="986"/>
              <w:gridCol w:w="1072"/>
              <w:gridCol w:w="1130"/>
              <w:gridCol w:w="122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3" w:hRule="atLeast"/>
                <w:jc w:val="center"/>
              </w:trPr>
              <w:tc>
                <w:tcPr>
                  <w:tcW w:w="2581" w:type="dxa"/>
                  <w:gridSpan w:val="2"/>
                  <w:noWrap w:val="0"/>
                  <w:vAlign w:val="center"/>
                </w:tcPr>
                <w:p>
                  <w:pPr>
                    <w:snapToGrid w:val="0"/>
                    <w:spacing w:line="240" w:lineRule="auto"/>
                    <w:ind w:left="0" w:leftChars="0" w:firstLine="0" w:firstLineChars="0"/>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污染因子</w:t>
                  </w:r>
                </w:p>
              </w:tc>
              <w:tc>
                <w:tcPr>
                  <w:tcW w:w="986" w:type="dxa"/>
                  <w:noWrap w:val="0"/>
                  <w:vAlign w:val="center"/>
                </w:tcPr>
                <w:p>
                  <w:pPr>
                    <w:snapToGrid w:val="0"/>
                    <w:spacing w:line="240" w:lineRule="auto"/>
                    <w:ind w:left="0" w:leftChars="0" w:firstLine="0" w:firstLineChars="0"/>
                    <w:jc w:val="center"/>
                    <w:rPr>
                      <w:rFonts w:hint="default" w:ascii="Times New Roman" w:hAnsi="Times New Roman" w:cs="Times New Roman"/>
                      <w:bCs/>
                      <w:color w:val="000000"/>
                      <w:sz w:val="21"/>
                      <w:szCs w:val="21"/>
                    </w:rPr>
                  </w:pPr>
                  <w:r>
                    <w:rPr>
                      <w:rFonts w:hint="eastAsia"/>
                      <w:kern w:val="0"/>
                      <w:szCs w:val="21"/>
                    </w:rPr>
                    <w:t>pH</w:t>
                  </w:r>
                </w:p>
              </w:tc>
              <w:tc>
                <w:tcPr>
                  <w:tcW w:w="986" w:type="dxa"/>
                  <w:noWrap w:val="0"/>
                  <w:vAlign w:val="center"/>
                </w:tcPr>
                <w:p>
                  <w:pPr>
                    <w:snapToGrid w:val="0"/>
                    <w:spacing w:line="240" w:lineRule="auto"/>
                    <w:ind w:left="0" w:leftChars="0" w:firstLine="0" w:firstLineChars="0"/>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COD</w:t>
                  </w:r>
                </w:p>
              </w:tc>
              <w:tc>
                <w:tcPr>
                  <w:tcW w:w="1072" w:type="dxa"/>
                  <w:noWrap w:val="0"/>
                  <w:vAlign w:val="center"/>
                </w:tcPr>
                <w:p>
                  <w:pPr>
                    <w:snapToGrid w:val="0"/>
                    <w:spacing w:line="240" w:lineRule="auto"/>
                    <w:ind w:left="0" w:leftChars="0" w:firstLine="0" w:firstLineChars="0"/>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SS</w:t>
                  </w:r>
                </w:p>
              </w:tc>
              <w:tc>
                <w:tcPr>
                  <w:tcW w:w="1130" w:type="dxa"/>
                  <w:noWrap w:val="0"/>
                  <w:vAlign w:val="center"/>
                </w:tcPr>
                <w:p>
                  <w:pPr>
                    <w:snapToGrid w:val="0"/>
                    <w:spacing w:line="240" w:lineRule="auto"/>
                    <w:ind w:left="0" w:leftChars="0" w:firstLine="0" w:firstLineChars="0"/>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氨氮</w:t>
                  </w:r>
                </w:p>
              </w:tc>
              <w:tc>
                <w:tcPr>
                  <w:tcW w:w="1220" w:type="dxa"/>
                  <w:noWrap w:val="0"/>
                  <w:vAlign w:val="center"/>
                </w:tcPr>
                <w:p>
                  <w:pPr>
                    <w:snapToGrid w:val="0"/>
                    <w:spacing w:line="240" w:lineRule="auto"/>
                    <w:ind w:left="0" w:leftChars="0" w:firstLine="0" w:firstLineChars="0"/>
                    <w:jc w:val="center"/>
                    <w:rPr>
                      <w:rFonts w:hint="eastAsia" w:ascii="Times New Roman" w:hAnsi="Times New Roman" w:eastAsia="宋体"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TP</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6" w:hRule="atLeast"/>
                <w:jc w:val="center"/>
              </w:trPr>
              <w:tc>
                <w:tcPr>
                  <w:tcW w:w="2581" w:type="dxa"/>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color w:val="000000"/>
                      <w:sz w:val="21"/>
                      <w:szCs w:val="21"/>
                      <w:highlight w:val="none"/>
                      <w:u w:val="none"/>
                      <w:lang w:val="en-US" w:eastAsia="zh-CN"/>
                    </w:rPr>
                  </w:pPr>
                  <w:r>
                    <w:rPr>
                      <w:rFonts w:hint="eastAsia" w:ascii="Times New Roman" w:hAnsi="Times New Roman" w:cs="Times New Roman"/>
                      <w:b w:val="0"/>
                      <w:bCs/>
                      <w:color w:val="000000"/>
                      <w:sz w:val="21"/>
                      <w:szCs w:val="21"/>
                      <w:highlight w:val="none"/>
                      <w:u w:val="none"/>
                      <w:lang w:val="en-US" w:eastAsia="zh-CN"/>
                    </w:rPr>
                    <w:t>《污水排入城镇下水道水质标准》（GB/T31962-2015）A级</w:t>
                  </w:r>
                </w:p>
              </w:tc>
              <w:tc>
                <w:tcPr>
                  <w:tcW w:w="986" w:type="dxa"/>
                  <w:noWrap w:val="0"/>
                  <w:vAlign w:val="center"/>
                </w:tcPr>
                <w:p>
                  <w:pPr>
                    <w:snapToGrid w:val="0"/>
                    <w:spacing w:line="240" w:lineRule="auto"/>
                    <w:ind w:left="0" w:leftChars="0" w:firstLine="0" w:firstLineChars="0"/>
                    <w:jc w:val="center"/>
                    <w:rPr>
                      <w:rFonts w:hint="default" w:ascii="Times New Roman" w:hAnsi="Times New Roman"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6.5-9.5</w:t>
                  </w:r>
                </w:p>
              </w:tc>
              <w:tc>
                <w:tcPr>
                  <w:tcW w:w="986" w:type="dxa"/>
                  <w:noWrap w:val="0"/>
                  <w:vAlign w:val="center"/>
                </w:tcPr>
                <w:p>
                  <w:pPr>
                    <w:snapToGrid w:val="0"/>
                    <w:spacing w:line="240" w:lineRule="auto"/>
                    <w:ind w:left="0" w:leftChars="0" w:firstLine="0" w:firstLineChars="0"/>
                    <w:jc w:val="center"/>
                    <w:rPr>
                      <w:rFonts w:hint="default" w:ascii="Times New Roman" w:hAnsi="Times New Roman"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500</w:t>
                  </w:r>
                </w:p>
              </w:tc>
              <w:tc>
                <w:tcPr>
                  <w:tcW w:w="1072" w:type="dxa"/>
                  <w:noWrap w:val="0"/>
                  <w:vAlign w:val="center"/>
                </w:tcPr>
                <w:p>
                  <w:pPr>
                    <w:snapToGrid w:val="0"/>
                    <w:spacing w:line="240" w:lineRule="auto"/>
                    <w:ind w:left="0" w:leftChars="0" w:firstLine="0" w:firstLineChars="0"/>
                    <w:jc w:val="center"/>
                    <w:rPr>
                      <w:rFonts w:hint="default" w:ascii="Times New Roman" w:hAnsi="Times New Roman"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400</w:t>
                  </w:r>
                </w:p>
              </w:tc>
              <w:tc>
                <w:tcPr>
                  <w:tcW w:w="1130" w:type="dxa"/>
                  <w:noWrap w:val="0"/>
                  <w:vAlign w:val="center"/>
                </w:tcPr>
                <w:p>
                  <w:pPr>
                    <w:snapToGrid w:val="0"/>
                    <w:spacing w:line="240" w:lineRule="auto"/>
                    <w:ind w:left="0" w:leftChars="0" w:firstLine="0" w:firstLineChars="0"/>
                    <w:jc w:val="center"/>
                    <w:rPr>
                      <w:rFonts w:hint="default" w:ascii="Times New Roman" w:hAnsi="Times New Roman" w:cs="Times New Roman"/>
                      <w:bCs/>
                      <w:color w:val="000000"/>
                      <w:sz w:val="21"/>
                      <w:szCs w:val="21"/>
                      <w:highlight w:val="none"/>
                      <w:lang w:val="en-US" w:eastAsia="zh-CN"/>
                    </w:rPr>
                  </w:pPr>
                  <w:r>
                    <w:rPr>
                      <w:rFonts w:hint="eastAsia" w:ascii="Times New Roman" w:hAnsi="Times New Roman" w:cs="Times New Roman"/>
                      <w:bCs/>
                      <w:color w:val="auto"/>
                      <w:sz w:val="21"/>
                      <w:szCs w:val="21"/>
                      <w:highlight w:val="none"/>
                      <w:lang w:val="en-US" w:eastAsia="zh-CN"/>
                    </w:rPr>
                    <w:t>45</w:t>
                  </w:r>
                </w:p>
              </w:tc>
              <w:tc>
                <w:tcPr>
                  <w:tcW w:w="1220" w:type="dxa"/>
                  <w:noWrap w:val="0"/>
                  <w:vAlign w:val="center"/>
                </w:tcPr>
                <w:p>
                  <w:pPr>
                    <w:snapToGrid w:val="0"/>
                    <w:spacing w:line="240" w:lineRule="auto"/>
                    <w:ind w:left="0" w:leftChars="0" w:firstLine="0" w:firstLineChars="0"/>
                    <w:jc w:val="center"/>
                    <w:rPr>
                      <w:rFonts w:hint="default" w:ascii="Times New Roman" w:hAnsi="Times New Roman" w:cs="Times New Roman"/>
                      <w:b w:val="0"/>
                      <w:bCs/>
                      <w:color w:val="auto"/>
                      <w:sz w:val="21"/>
                      <w:szCs w:val="21"/>
                      <w:highlight w:val="none"/>
                      <w:u w:val="none"/>
                      <w:lang w:val="en-US" w:eastAsia="zh-CN"/>
                    </w:rPr>
                  </w:pPr>
                  <w:r>
                    <w:rPr>
                      <w:rFonts w:hint="eastAsia" w:ascii="Times New Roman" w:hAnsi="Times New Roman" w:cs="Times New Roman"/>
                      <w:b w:val="0"/>
                      <w:bCs/>
                      <w:color w:val="auto"/>
                      <w:sz w:val="21"/>
                      <w:szCs w:val="21"/>
                      <w:highlight w:val="none"/>
                      <w:u w:val="none"/>
                      <w:lang w:val="en-US" w:eastAsia="zh-CN"/>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9" w:hRule="atLeast"/>
                <w:jc w:val="center"/>
              </w:trPr>
              <w:tc>
                <w:tcPr>
                  <w:tcW w:w="991" w:type="dxa"/>
                  <w:vMerge w:val="restart"/>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大召营镇污水处理厂</w:t>
                  </w:r>
                </w:p>
              </w:tc>
              <w:tc>
                <w:tcPr>
                  <w:tcW w:w="1590" w:type="dxa"/>
                  <w:tcBorders>
                    <w:left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收水水质</w:t>
                  </w:r>
                </w:p>
              </w:tc>
              <w:tc>
                <w:tcPr>
                  <w:tcW w:w="986" w:type="dxa"/>
                  <w:noWrap w:val="0"/>
                  <w:vAlign w:val="center"/>
                </w:tcPr>
                <w:p>
                  <w:pPr>
                    <w:snapToGrid w:val="0"/>
                    <w:spacing w:line="240" w:lineRule="auto"/>
                    <w:ind w:left="0" w:leftChars="0" w:firstLine="0" w:firstLineChars="0"/>
                    <w:jc w:val="center"/>
                    <w:rPr>
                      <w:rFonts w:hint="eastAsia" w:ascii="Times New Roman" w:hAnsi="Times New Roman" w:cs="Times New Roman"/>
                      <w:b w:val="0"/>
                      <w:bCs/>
                      <w:color w:val="000000"/>
                      <w:sz w:val="21"/>
                      <w:szCs w:val="21"/>
                      <w:u w:val="none"/>
                      <w:lang w:val="en-US" w:eastAsia="zh-CN"/>
                    </w:rPr>
                  </w:pPr>
                  <w:r>
                    <w:rPr>
                      <w:rFonts w:hint="eastAsia"/>
                      <w:b w:val="0"/>
                      <w:bCs/>
                      <w:kern w:val="0"/>
                      <w:szCs w:val="21"/>
                      <w:u w:val="none"/>
                    </w:rPr>
                    <w:t>6-9</w:t>
                  </w:r>
                </w:p>
              </w:tc>
              <w:tc>
                <w:tcPr>
                  <w:tcW w:w="986" w:type="dxa"/>
                  <w:noWrap w:val="0"/>
                  <w:vAlign w:val="center"/>
                </w:tcPr>
                <w:p>
                  <w:pPr>
                    <w:snapToGrid w:val="0"/>
                    <w:spacing w:line="240" w:lineRule="auto"/>
                    <w:ind w:left="0" w:leftChars="0" w:firstLine="0" w:firstLineChars="0"/>
                    <w:jc w:val="center"/>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400</w:t>
                  </w:r>
                </w:p>
              </w:tc>
              <w:tc>
                <w:tcPr>
                  <w:tcW w:w="1072" w:type="dxa"/>
                  <w:noWrap w:val="0"/>
                  <w:vAlign w:val="center"/>
                </w:tcPr>
                <w:p>
                  <w:pPr>
                    <w:snapToGrid w:val="0"/>
                    <w:spacing w:line="240" w:lineRule="auto"/>
                    <w:ind w:left="0" w:leftChars="0" w:firstLine="0" w:firstLineChars="0"/>
                    <w:jc w:val="center"/>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300</w:t>
                  </w:r>
                </w:p>
              </w:tc>
              <w:tc>
                <w:tcPr>
                  <w:tcW w:w="1130" w:type="dxa"/>
                  <w:noWrap w:val="0"/>
                  <w:vAlign w:val="center"/>
                </w:tcPr>
                <w:p>
                  <w:pPr>
                    <w:snapToGrid w:val="0"/>
                    <w:spacing w:line="240" w:lineRule="auto"/>
                    <w:ind w:left="0" w:leftChars="0" w:firstLine="0" w:firstLineChars="0"/>
                    <w:jc w:val="center"/>
                    <w:rPr>
                      <w:rFonts w:hint="default" w:ascii="Times New Roman" w:hAnsi="Times New Roman" w:cs="Times New Roman"/>
                      <w:b w:val="0"/>
                      <w:bCs/>
                      <w:color w:val="auto"/>
                      <w:sz w:val="21"/>
                      <w:szCs w:val="21"/>
                      <w:u w:val="none"/>
                      <w:lang w:val="en-US" w:eastAsia="zh-CN"/>
                    </w:rPr>
                  </w:pPr>
                  <w:r>
                    <w:rPr>
                      <w:rFonts w:hint="eastAsia" w:ascii="Times New Roman" w:hAnsi="Times New Roman" w:cs="Times New Roman"/>
                      <w:b w:val="0"/>
                      <w:bCs/>
                      <w:color w:val="auto"/>
                      <w:sz w:val="21"/>
                      <w:szCs w:val="21"/>
                      <w:u w:val="none"/>
                      <w:lang w:val="en-US" w:eastAsia="zh-CN"/>
                    </w:rPr>
                    <w:t>35</w:t>
                  </w:r>
                </w:p>
              </w:tc>
              <w:tc>
                <w:tcPr>
                  <w:tcW w:w="1220" w:type="dxa"/>
                  <w:noWrap w:val="0"/>
                  <w:vAlign w:val="center"/>
                </w:tcPr>
                <w:p>
                  <w:pPr>
                    <w:snapToGrid w:val="0"/>
                    <w:spacing w:line="240" w:lineRule="auto"/>
                    <w:ind w:left="0" w:leftChars="0" w:firstLine="0" w:firstLineChars="0"/>
                    <w:jc w:val="center"/>
                    <w:rPr>
                      <w:rFonts w:hint="eastAsia" w:ascii="Times New Roman" w:hAnsi="Times New Roman" w:cs="Times New Roman"/>
                      <w:b w:val="0"/>
                      <w:bCs/>
                      <w:color w:val="auto"/>
                      <w:sz w:val="21"/>
                      <w:szCs w:val="21"/>
                      <w:u w:val="none"/>
                      <w:lang w:val="en-US" w:eastAsia="zh-CN"/>
                    </w:rPr>
                  </w:pPr>
                  <w:r>
                    <w:rPr>
                      <w:rFonts w:hint="eastAsia" w:ascii="Times New Roman" w:hAnsi="Times New Roman" w:cs="Times New Roman"/>
                      <w:b w:val="0"/>
                      <w:bCs/>
                      <w:color w:val="auto"/>
                      <w:sz w:val="21"/>
                      <w:szCs w:val="21"/>
                      <w:u w:val="none"/>
                      <w:lang w:val="en-US" w:eastAsia="zh-CN"/>
                    </w:rPr>
                    <w:t>4.5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9" w:hRule="atLeast"/>
                <w:jc w:val="center"/>
              </w:trPr>
              <w:tc>
                <w:tcPr>
                  <w:tcW w:w="991" w:type="dxa"/>
                  <w:vMerge w:val="continue"/>
                  <w:tcBorders>
                    <w:right w:val="single" w:color="auto" w:sz="4" w:space="0"/>
                  </w:tcBorders>
                  <w:noWrap w:val="0"/>
                  <w:vAlign w:val="center"/>
                </w:tcPr>
                <w:p>
                  <w:pPr>
                    <w:snapToGrid w:val="0"/>
                    <w:spacing w:line="240" w:lineRule="auto"/>
                    <w:jc w:val="center"/>
                    <w:rPr>
                      <w:rFonts w:hint="default" w:ascii="Times New Roman" w:hAnsi="Times New Roman" w:cs="Times New Roman"/>
                      <w:b w:val="0"/>
                      <w:bCs/>
                      <w:color w:val="auto"/>
                      <w:sz w:val="21"/>
                      <w:szCs w:val="21"/>
                      <w:u w:val="none"/>
                      <w:lang w:val="en-US" w:eastAsia="zh-CN"/>
                    </w:rPr>
                  </w:pPr>
                </w:p>
              </w:tc>
              <w:tc>
                <w:tcPr>
                  <w:tcW w:w="1590" w:type="dxa"/>
                  <w:tcBorders>
                    <w:top w:val="single" w:color="auto" w:sz="4" w:space="0"/>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出水水质</w:t>
                  </w:r>
                </w:p>
              </w:tc>
              <w:tc>
                <w:tcPr>
                  <w:tcW w:w="986" w:type="dxa"/>
                  <w:noWrap w:val="0"/>
                  <w:vAlign w:val="center"/>
                </w:tcPr>
                <w:p>
                  <w:pPr>
                    <w:snapToGrid w:val="0"/>
                    <w:spacing w:line="240" w:lineRule="auto"/>
                    <w:ind w:left="0" w:leftChars="0" w:firstLine="0" w:firstLineChars="0"/>
                    <w:jc w:val="center"/>
                    <w:rPr>
                      <w:rFonts w:hint="eastAsia" w:ascii="Times New Roman" w:hAnsi="Times New Roman" w:cs="Times New Roman"/>
                      <w:b w:val="0"/>
                      <w:bCs/>
                      <w:color w:val="000000"/>
                      <w:sz w:val="21"/>
                      <w:szCs w:val="21"/>
                      <w:u w:val="none"/>
                      <w:lang w:val="en-US" w:eastAsia="zh-CN"/>
                    </w:rPr>
                  </w:pPr>
                  <w:r>
                    <w:rPr>
                      <w:rFonts w:hint="eastAsia"/>
                      <w:b w:val="0"/>
                      <w:bCs/>
                      <w:kern w:val="0"/>
                      <w:szCs w:val="21"/>
                      <w:u w:val="none"/>
                    </w:rPr>
                    <w:t>6-9</w:t>
                  </w:r>
                </w:p>
              </w:tc>
              <w:tc>
                <w:tcPr>
                  <w:tcW w:w="986" w:type="dxa"/>
                  <w:noWrap w:val="0"/>
                  <w:vAlign w:val="center"/>
                </w:tcPr>
                <w:p>
                  <w:pPr>
                    <w:snapToGrid w:val="0"/>
                    <w:spacing w:line="240" w:lineRule="auto"/>
                    <w:ind w:left="0" w:leftChars="0" w:firstLine="0" w:firstLineChars="0"/>
                    <w:jc w:val="center"/>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40</w:t>
                  </w:r>
                </w:p>
              </w:tc>
              <w:tc>
                <w:tcPr>
                  <w:tcW w:w="1072" w:type="dxa"/>
                  <w:noWrap w:val="0"/>
                  <w:vAlign w:val="center"/>
                </w:tcPr>
                <w:p>
                  <w:pPr>
                    <w:snapToGrid w:val="0"/>
                    <w:spacing w:line="240" w:lineRule="auto"/>
                    <w:ind w:left="0" w:leftChars="0" w:firstLine="0" w:firstLineChars="0"/>
                    <w:jc w:val="center"/>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10</w:t>
                  </w:r>
                </w:p>
              </w:tc>
              <w:tc>
                <w:tcPr>
                  <w:tcW w:w="1130" w:type="dxa"/>
                  <w:noWrap w:val="0"/>
                  <w:vAlign w:val="center"/>
                </w:tcPr>
                <w:p>
                  <w:pPr>
                    <w:snapToGrid w:val="0"/>
                    <w:spacing w:line="240" w:lineRule="auto"/>
                    <w:ind w:left="0" w:leftChars="0" w:firstLine="0" w:firstLineChars="0"/>
                    <w:jc w:val="center"/>
                    <w:rPr>
                      <w:rFonts w:hint="default" w:ascii="Times New Roman" w:hAnsi="Times New Roman" w:cs="Times New Roman"/>
                      <w:b w:val="0"/>
                      <w:bCs/>
                      <w:color w:val="auto"/>
                      <w:sz w:val="21"/>
                      <w:szCs w:val="21"/>
                      <w:u w:val="none"/>
                      <w:lang w:val="en-US" w:eastAsia="zh-CN"/>
                    </w:rPr>
                  </w:pPr>
                  <w:r>
                    <w:rPr>
                      <w:rFonts w:hint="eastAsia" w:ascii="Times New Roman" w:hAnsi="Times New Roman" w:cs="Times New Roman"/>
                      <w:b w:val="0"/>
                      <w:bCs/>
                      <w:color w:val="auto"/>
                      <w:sz w:val="21"/>
                      <w:szCs w:val="21"/>
                      <w:u w:val="none"/>
                      <w:lang w:val="en-US" w:eastAsia="zh-CN"/>
                    </w:rPr>
                    <w:t>2</w:t>
                  </w:r>
                </w:p>
              </w:tc>
              <w:tc>
                <w:tcPr>
                  <w:tcW w:w="1220" w:type="dxa"/>
                  <w:noWrap w:val="0"/>
                  <w:vAlign w:val="center"/>
                </w:tcPr>
                <w:p>
                  <w:pPr>
                    <w:snapToGrid w:val="0"/>
                    <w:spacing w:line="240" w:lineRule="auto"/>
                    <w:ind w:left="0" w:leftChars="0" w:firstLine="0" w:firstLineChars="0"/>
                    <w:jc w:val="center"/>
                    <w:rPr>
                      <w:rFonts w:hint="eastAsia" w:ascii="Times New Roman" w:hAnsi="Times New Roman" w:cs="Times New Roman"/>
                      <w:b w:val="0"/>
                      <w:bCs/>
                      <w:color w:val="auto"/>
                      <w:sz w:val="21"/>
                      <w:szCs w:val="21"/>
                      <w:u w:val="none"/>
                      <w:lang w:val="en-US" w:eastAsia="zh-CN"/>
                    </w:rPr>
                  </w:pPr>
                  <w:r>
                    <w:rPr>
                      <w:rFonts w:hint="eastAsia" w:ascii="Times New Roman" w:hAnsi="Times New Roman" w:cs="Times New Roman"/>
                      <w:b w:val="0"/>
                      <w:bCs/>
                      <w:color w:val="auto"/>
                      <w:sz w:val="21"/>
                      <w:szCs w:val="21"/>
                      <w:u w:val="none"/>
                      <w:lang w:val="en-US" w:eastAsia="zh-CN"/>
                    </w:rPr>
                    <w:t>0.4</w:t>
                  </w:r>
                </w:p>
              </w:tc>
            </w:tr>
          </w:tbl>
          <w:p>
            <w:pPr>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highlight w:val="none"/>
              </w:rPr>
            </w:pPr>
            <w:r>
              <w:rPr>
                <w:rFonts w:hint="eastAsia"/>
                <w:highlight w:val="none"/>
                <w:lang w:val="en-US" w:eastAsia="zh-CN"/>
              </w:rPr>
              <w:t>3</w:t>
            </w:r>
            <w:r>
              <w:rPr>
                <w:highlight w:val="none"/>
              </w:rPr>
              <w:t>、噪声</w:t>
            </w:r>
          </w:p>
          <w:p>
            <w:pPr>
              <w:bidi w:val="0"/>
              <w:rPr>
                <w:highlight w:val="none"/>
              </w:rPr>
            </w:pPr>
            <w:r>
              <w:rPr>
                <w:rFonts w:hint="eastAsia"/>
                <w:highlight w:val="none"/>
                <w:lang w:val="en-US" w:eastAsia="zh-CN"/>
              </w:rPr>
              <w:t>本项目</w:t>
            </w:r>
            <w:r>
              <w:rPr>
                <w:highlight w:val="none"/>
              </w:rPr>
              <w:t>营运期厂界噪声执行《工业企业厂界环境噪声排放标准》（GB12348-2008）2类标准。具体标准值见下表。</w:t>
            </w:r>
          </w:p>
          <w:p>
            <w:pPr>
              <w:pStyle w:val="45"/>
              <w:bidi w:val="0"/>
              <w:rPr>
                <w:highlight w:val="none"/>
              </w:rPr>
            </w:pPr>
            <w:r>
              <w:rPr>
                <w:highlight w:val="none"/>
              </w:rPr>
              <w:t>表</w:t>
            </w:r>
            <w:r>
              <w:rPr>
                <w:rFonts w:hint="eastAsia"/>
                <w:highlight w:val="none"/>
                <w:lang w:val="en-US" w:eastAsia="zh-CN"/>
              </w:rPr>
              <w:t>33</w:t>
            </w:r>
            <w:r>
              <w:rPr>
                <w:highlight w:val="none"/>
              </w:rPr>
              <w:t xml:space="preserve">    项目噪声执行标准       单位：dB（A）</w:t>
            </w:r>
          </w:p>
          <w:tbl>
            <w:tblPr>
              <w:tblStyle w:val="2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97"/>
              <w:gridCol w:w="702"/>
              <w:gridCol w:w="1144"/>
              <w:gridCol w:w="1252"/>
              <w:gridCol w:w="399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61" w:type="pct"/>
                  <w:vAlign w:val="center"/>
                </w:tcPr>
                <w:p>
                  <w:pPr>
                    <w:pStyle w:val="29"/>
                    <w:bidi w:val="0"/>
                    <w:rPr>
                      <w:highlight w:val="none"/>
                    </w:rPr>
                  </w:pPr>
                  <w:r>
                    <w:rPr>
                      <w:highlight w:val="none"/>
                    </w:rPr>
                    <w:t>时期</w:t>
                  </w:r>
                </w:p>
              </w:tc>
              <w:tc>
                <w:tcPr>
                  <w:tcW w:w="439" w:type="pct"/>
                  <w:vAlign w:val="center"/>
                </w:tcPr>
                <w:p>
                  <w:pPr>
                    <w:pStyle w:val="29"/>
                    <w:bidi w:val="0"/>
                    <w:rPr>
                      <w:highlight w:val="none"/>
                    </w:rPr>
                  </w:pPr>
                  <w:r>
                    <w:rPr>
                      <w:highlight w:val="none"/>
                    </w:rPr>
                    <w:t>类别</w:t>
                  </w:r>
                </w:p>
              </w:tc>
              <w:tc>
                <w:tcPr>
                  <w:tcW w:w="715" w:type="pct"/>
                  <w:vAlign w:val="center"/>
                </w:tcPr>
                <w:p>
                  <w:pPr>
                    <w:pStyle w:val="29"/>
                    <w:bidi w:val="0"/>
                    <w:rPr>
                      <w:highlight w:val="none"/>
                    </w:rPr>
                  </w:pPr>
                  <w:r>
                    <w:rPr>
                      <w:highlight w:val="none"/>
                    </w:rPr>
                    <w:t>标准限值（昼间）</w:t>
                  </w:r>
                </w:p>
              </w:tc>
              <w:tc>
                <w:tcPr>
                  <w:tcW w:w="783" w:type="pct"/>
                  <w:vAlign w:val="center"/>
                </w:tcPr>
                <w:p>
                  <w:pPr>
                    <w:pStyle w:val="29"/>
                    <w:bidi w:val="0"/>
                    <w:rPr>
                      <w:highlight w:val="none"/>
                    </w:rPr>
                  </w:pPr>
                  <w:r>
                    <w:rPr>
                      <w:highlight w:val="none"/>
                    </w:rPr>
                    <w:t>标准限值（</w:t>
                  </w:r>
                  <w:r>
                    <w:rPr>
                      <w:rFonts w:hint="eastAsia"/>
                      <w:highlight w:val="none"/>
                    </w:rPr>
                    <w:t>夜</w:t>
                  </w:r>
                  <w:r>
                    <w:rPr>
                      <w:highlight w:val="none"/>
                    </w:rPr>
                    <w:t>间）</w:t>
                  </w:r>
                </w:p>
              </w:tc>
              <w:tc>
                <w:tcPr>
                  <w:tcW w:w="2500" w:type="pct"/>
                  <w:vAlign w:val="center"/>
                </w:tcPr>
                <w:p>
                  <w:pPr>
                    <w:pStyle w:val="29"/>
                    <w:bidi w:val="0"/>
                    <w:rPr>
                      <w:highlight w:val="none"/>
                    </w:rPr>
                  </w:pPr>
                  <w:r>
                    <w:rPr>
                      <w:highlight w:val="none"/>
                    </w:rPr>
                    <w:t>标准名称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61" w:type="pct"/>
                  <w:vAlign w:val="center"/>
                </w:tcPr>
                <w:p>
                  <w:pPr>
                    <w:pStyle w:val="29"/>
                    <w:bidi w:val="0"/>
                    <w:rPr>
                      <w:highlight w:val="none"/>
                    </w:rPr>
                  </w:pPr>
                  <w:r>
                    <w:rPr>
                      <w:highlight w:val="none"/>
                    </w:rPr>
                    <w:t>营运期</w:t>
                  </w:r>
                </w:p>
              </w:tc>
              <w:tc>
                <w:tcPr>
                  <w:tcW w:w="439" w:type="pct"/>
                  <w:vAlign w:val="center"/>
                </w:tcPr>
                <w:p>
                  <w:pPr>
                    <w:pStyle w:val="29"/>
                    <w:bidi w:val="0"/>
                    <w:rPr>
                      <w:highlight w:val="none"/>
                    </w:rPr>
                  </w:pPr>
                  <w:r>
                    <w:rPr>
                      <w:rFonts w:hint="eastAsia"/>
                      <w:highlight w:val="none"/>
                      <w:lang w:val="en-US" w:eastAsia="zh-CN"/>
                    </w:rPr>
                    <w:t>3</w:t>
                  </w:r>
                  <w:r>
                    <w:rPr>
                      <w:highlight w:val="none"/>
                    </w:rPr>
                    <w:t>类</w:t>
                  </w:r>
                </w:p>
              </w:tc>
              <w:tc>
                <w:tcPr>
                  <w:tcW w:w="715" w:type="pct"/>
                  <w:vAlign w:val="center"/>
                </w:tcPr>
                <w:p>
                  <w:pPr>
                    <w:pStyle w:val="29"/>
                    <w:bidi w:val="0"/>
                    <w:rPr>
                      <w:rFonts w:hint="default" w:eastAsia="宋体"/>
                      <w:highlight w:val="none"/>
                      <w:lang w:val="en-US" w:eastAsia="zh-CN"/>
                    </w:rPr>
                  </w:pPr>
                  <w:r>
                    <w:rPr>
                      <w:rFonts w:hint="eastAsia"/>
                      <w:highlight w:val="none"/>
                      <w:lang w:val="en-US" w:eastAsia="zh-CN"/>
                    </w:rPr>
                    <w:t>65</w:t>
                  </w:r>
                </w:p>
              </w:tc>
              <w:tc>
                <w:tcPr>
                  <w:tcW w:w="783" w:type="pct"/>
                  <w:vAlign w:val="center"/>
                </w:tcPr>
                <w:p>
                  <w:pPr>
                    <w:pStyle w:val="29"/>
                    <w:bidi w:val="0"/>
                    <w:rPr>
                      <w:rFonts w:hint="default" w:eastAsia="宋体"/>
                      <w:highlight w:val="none"/>
                      <w:lang w:val="en-US" w:eastAsia="zh-CN"/>
                    </w:rPr>
                  </w:pPr>
                  <w:r>
                    <w:rPr>
                      <w:rFonts w:hint="eastAsia"/>
                      <w:highlight w:val="none"/>
                      <w:lang w:val="en-US" w:eastAsia="zh-CN"/>
                    </w:rPr>
                    <w:t>55</w:t>
                  </w:r>
                </w:p>
              </w:tc>
              <w:tc>
                <w:tcPr>
                  <w:tcW w:w="2500" w:type="pct"/>
                  <w:vAlign w:val="center"/>
                </w:tcPr>
                <w:p>
                  <w:pPr>
                    <w:pStyle w:val="29"/>
                    <w:bidi w:val="0"/>
                    <w:rPr>
                      <w:highlight w:val="none"/>
                    </w:rPr>
                  </w:pPr>
                  <w:r>
                    <w:rPr>
                      <w:highlight w:val="none"/>
                    </w:rPr>
                    <w:t>《工业企业厂界环境噪声排放标准》</w:t>
                  </w:r>
                </w:p>
                <w:p>
                  <w:pPr>
                    <w:pStyle w:val="29"/>
                    <w:bidi w:val="0"/>
                    <w:rPr>
                      <w:highlight w:val="none"/>
                    </w:rPr>
                  </w:pPr>
                  <w:r>
                    <w:rPr>
                      <w:highlight w:val="none"/>
                    </w:rPr>
                    <w:t>(GB12348-2008)</w:t>
                  </w:r>
                  <w:r>
                    <w:rPr>
                      <w:rFonts w:hint="eastAsia"/>
                      <w:highlight w:val="none"/>
                      <w:lang w:val="en-US" w:eastAsia="zh-CN"/>
                    </w:rPr>
                    <w:t>3</w:t>
                  </w:r>
                  <w:r>
                    <w:rPr>
                      <w:rFonts w:hint="eastAsia"/>
                      <w:highlight w:val="none"/>
                    </w:rPr>
                    <w:t>类标准</w:t>
                  </w:r>
                </w:p>
              </w:tc>
            </w:tr>
          </w:tbl>
          <w:p>
            <w:pPr>
              <w:bidi w:val="0"/>
              <w:rPr>
                <w:highlight w:val="none"/>
              </w:rPr>
            </w:pPr>
            <w:r>
              <w:rPr>
                <w:rFonts w:hint="eastAsia"/>
                <w:highlight w:val="none"/>
                <w:lang w:val="en-US" w:eastAsia="zh-CN"/>
              </w:rPr>
              <w:t>4</w:t>
            </w:r>
            <w:r>
              <w:rPr>
                <w:highlight w:val="none"/>
              </w:rPr>
              <w:t>、固</w:t>
            </w:r>
            <w:r>
              <w:rPr>
                <w:rFonts w:hint="eastAsia"/>
                <w:highlight w:val="none"/>
              </w:rPr>
              <w:t>体</w:t>
            </w:r>
            <w:r>
              <w:rPr>
                <w:highlight w:val="none"/>
              </w:rPr>
              <w:t>废</w:t>
            </w:r>
            <w:r>
              <w:rPr>
                <w:rFonts w:hint="eastAsia"/>
                <w:highlight w:val="none"/>
              </w:rPr>
              <w:t>物</w:t>
            </w:r>
          </w:p>
          <w:p>
            <w:pPr>
              <w:bidi w:val="0"/>
              <w:rPr>
                <w:rFonts w:hint="eastAsia" w:eastAsia="仿宋_GB2312"/>
                <w:highlight w:val="none"/>
                <w:lang w:eastAsia="zh-CN"/>
              </w:rPr>
            </w:pPr>
            <w:r>
              <w:rPr>
                <w:highlight w:val="none"/>
              </w:rPr>
              <w:t>固体废物执行《一般工业固体废物贮存、处置场污染控制标准》（GB18599-2001）以及2013年修改单相关标准</w:t>
            </w:r>
            <w:r>
              <w:rPr>
                <w:rFonts w:hint="eastAsia"/>
                <w:highlight w:val="none"/>
                <w:lang w:eastAsia="zh-CN"/>
              </w:rPr>
              <w:t>。</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gridBefore w:val="1"/>
          <w:wBefore w:w="253" w:type="dxa"/>
          <w:trHeight w:val="2683" w:hRule="atLeast"/>
          <w:jc w:val="center"/>
        </w:trPr>
        <w:tc>
          <w:tcPr>
            <w:tcW w:w="494" w:type="dxa"/>
            <w:gridSpan w:val="2"/>
            <w:tcBorders>
              <w:top w:val="single" w:color="auto" w:sz="6" w:space="0"/>
              <w:left w:val="single" w:color="auto" w:sz="12" w:space="0"/>
              <w:bottom w:val="single" w:color="auto" w:sz="12" w:space="0"/>
              <w:right w:val="single" w:color="auto" w:sz="6" w:space="0"/>
            </w:tcBorders>
            <w:vAlign w:val="center"/>
          </w:tcPr>
          <w:p>
            <w:pPr>
              <w:pStyle w:val="45"/>
              <w:bidi w:val="0"/>
              <w:rPr>
                <w:highlight w:val="none"/>
              </w:rPr>
            </w:pPr>
            <w:r>
              <w:rPr>
                <w:b/>
                <w:bCs/>
                <w:highlight w:val="none"/>
              </w:rPr>
              <w:t>总量控制指标</w:t>
            </w:r>
          </w:p>
        </w:tc>
        <w:tc>
          <w:tcPr>
            <w:tcW w:w="8087" w:type="dxa"/>
            <w:tcBorders>
              <w:top w:val="single" w:color="auto" w:sz="6" w:space="0"/>
              <w:left w:val="single" w:color="auto" w:sz="6" w:space="0"/>
              <w:bottom w:val="single" w:color="auto" w:sz="12" w:space="0"/>
              <w:right w:val="single" w:color="auto" w:sz="12" w:space="0"/>
            </w:tcBorders>
            <w:vAlign w:val="center"/>
          </w:tcPr>
          <w:p>
            <w:pPr>
              <w:pStyle w:val="29"/>
              <w:bidi w:val="0"/>
              <w:jc w:val="both"/>
              <w:rPr>
                <w:rFonts w:hint="eastAsia"/>
                <w:highlight w:val="none"/>
                <w:lang w:eastAsia="zh-CN"/>
              </w:rPr>
            </w:pPr>
          </w:p>
          <w:p>
            <w:pPr>
              <w:snapToGrid w:val="0"/>
              <w:spacing w:line="360" w:lineRule="auto"/>
              <w:ind w:firstLine="482" w:firstLineChars="200"/>
              <w:rPr>
                <w:rFonts w:hint="default" w:ascii="Times New Roman" w:hAnsi="Times New Roman" w:cs="Times New Roman"/>
                <w:b/>
                <w:bCs/>
                <w:sz w:val="24"/>
                <w:highlight w:val="none"/>
                <w:u w:val="single"/>
                <w:lang w:val="en-US" w:eastAsia="zh-CN"/>
              </w:rPr>
            </w:pPr>
            <w:r>
              <w:rPr>
                <w:rFonts w:hint="default" w:ascii="Times New Roman" w:hAnsi="Times New Roman" w:cs="Times New Roman"/>
                <w:b/>
                <w:bCs/>
                <w:sz w:val="24"/>
                <w:highlight w:val="none"/>
                <w:u w:val="single"/>
                <w:lang w:val="en-US" w:eastAsia="zh-CN"/>
              </w:rPr>
              <w:t>根据《新乡市生态环境局关于转发&lt;河南省生态环境厅关于印发建设项目主要污染物排放总量指标管理工作内部规程的通知&gt;的通知》，建设项目环境影响评价文件中应明确建设项目主要污染物排放总量指标及替代方案。</w:t>
            </w:r>
          </w:p>
          <w:p>
            <w:pPr>
              <w:snapToGrid w:val="0"/>
              <w:spacing w:line="360" w:lineRule="auto"/>
              <w:ind w:firstLine="482" w:firstLineChars="200"/>
              <w:rPr>
                <w:rFonts w:hint="eastAsia" w:eastAsia="宋体"/>
                <w:b/>
                <w:bCs/>
                <w:highlight w:val="none"/>
                <w:u w:val="single"/>
                <w:lang w:val="en-US" w:eastAsia="zh-CN"/>
              </w:rPr>
            </w:pPr>
            <w:r>
              <w:rPr>
                <w:rFonts w:hint="eastAsia"/>
                <w:b/>
                <w:bCs/>
                <w:highlight w:val="none"/>
                <w:u w:val="single"/>
                <w:lang w:eastAsia="zh-CN"/>
              </w:rPr>
              <w:t>本</w:t>
            </w:r>
            <w:r>
              <w:rPr>
                <w:rFonts w:hint="default"/>
                <w:b/>
                <w:bCs/>
                <w:highlight w:val="none"/>
                <w:u w:val="single"/>
              </w:rPr>
              <w:t>项目生产过程中，</w:t>
            </w:r>
            <w:r>
              <w:rPr>
                <w:b/>
                <w:bCs/>
                <w:highlight w:val="none"/>
                <w:u w:val="single"/>
              </w:rPr>
              <w:t>无SO</w:t>
            </w:r>
            <w:r>
              <w:rPr>
                <w:b/>
                <w:bCs/>
                <w:highlight w:val="none"/>
                <w:u w:val="single"/>
                <w:vertAlign w:val="subscript"/>
              </w:rPr>
              <w:t>2</w:t>
            </w:r>
            <w:r>
              <w:rPr>
                <w:b/>
                <w:bCs/>
                <w:highlight w:val="none"/>
                <w:u w:val="single"/>
              </w:rPr>
              <w:t>、NO</w:t>
            </w:r>
            <w:r>
              <w:rPr>
                <w:b/>
                <w:bCs/>
                <w:highlight w:val="none"/>
                <w:u w:val="single"/>
                <w:vertAlign w:val="subscript"/>
              </w:rPr>
              <w:t>x</w:t>
            </w:r>
            <w:r>
              <w:rPr>
                <w:b/>
                <w:bCs/>
                <w:highlight w:val="none"/>
                <w:u w:val="single"/>
              </w:rPr>
              <w:t>产生</w:t>
            </w:r>
            <w:r>
              <w:rPr>
                <w:rFonts w:hint="eastAsia"/>
                <w:b/>
                <w:bCs/>
                <w:highlight w:val="none"/>
                <w:u w:val="single"/>
                <w:lang w:eastAsia="zh-CN"/>
              </w:rPr>
              <w:t>，极少量氧气、氩气、氮气、二氧化碳及丙烷进行无组织排放。</w:t>
            </w:r>
            <w:r>
              <w:rPr>
                <w:rFonts w:hint="eastAsia"/>
                <w:b/>
                <w:bCs/>
                <w:highlight w:val="none"/>
                <w:u w:val="single"/>
              </w:rPr>
              <w:t>本项目无生产废水产生，</w:t>
            </w:r>
            <w:r>
              <w:rPr>
                <w:rFonts w:hint="eastAsia"/>
                <w:b/>
                <w:bCs/>
                <w:highlight w:val="none"/>
                <w:u w:val="single"/>
                <w:lang w:val="en-US" w:eastAsia="zh-CN"/>
              </w:rPr>
              <w:t>但依托现有项目员工</w:t>
            </w:r>
            <w:r>
              <w:rPr>
                <w:rFonts w:hint="eastAsia"/>
                <w:b/>
                <w:bCs/>
                <w:highlight w:val="none"/>
                <w:u w:val="single"/>
              </w:rPr>
              <w:t>，</w:t>
            </w:r>
            <w:r>
              <w:rPr>
                <w:rFonts w:hint="eastAsia"/>
                <w:b/>
                <w:bCs/>
                <w:highlight w:val="none"/>
                <w:u w:val="single"/>
                <w:lang w:val="en-US" w:eastAsia="zh-CN"/>
              </w:rPr>
              <w:t>现有项目生活污水经厂区化粪池（15m</w:t>
            </w:r>
            <w:r>
              <w:rPr>
                <w:rFonts w:hint="eastAsia"/>
                <w:b/>
                <w:bCs/>
                <w:highlight w:val="none"/>
                <w:u w:val="single"/>
                <w:vertAlign w:val="superscript"/>
                <w:lang w:val="en-US" w:eastAsia="zh-CN"/>
              </w:rPr>
              <w:t>3</w:t>
            </w:r>
            <w:r>
              <w:rPr>
                <w:rFonts w:hint="eastAsia"/>
                <w:b/>
                <w:bCs/>
                <w:highlight w:val="none"/>
                <w:u w:val="single"/>
                <w:lang w:val="en-US" w:eastAsia="zh-CN"/>
              </w:rPr>
              <w:t>）处理后</w:t>
            </w:r>
            <w:r>
              <w:rPr>
                <w:b/>
                <w:bCs/>
                <w:sz w:val="24"/>
                <w:highlight w:val="none"/>
                <w:u w:val="single"/>
              </w:rPr>
              <w:t>排入污水管网，之后进入大召营镇污水处理厂处理</w:t>
            </w:r>
            <w:r>
              <w:rPr>
                <w:rFonts w:hint="eastAsia"/>
                <w:b/>
                <w:bCs/>
                <w:sz w:val="24"/>
                <w:highlight w:val="none"/>
                <w:u w:val="single"/>
                <w:lang w:eastAsia="zh-CN"/>
              </w:rPr>
              <w:t>。</w:t>
            </w:r>
            <w:r>
              <w:rPr>
                <w:rFonts w:hint="eastAsia"/>
                <w:b/>
                <w:bCs/>
                <w:sz w:val="24"/>
                <w:highlight w:val="none"/>
                <w:u w:val="single"/>
                <w:lang w:val="en-US" w:eastAsia="zh-CN"/>
              </w:rPr>
              <w:t>现有项目</w:t>
            </w:r>
            <w:r>
              <w:rPr>
                <w:b/>
                <w:bCs/>
                <w:sz w:val="24"/>
                <w:highlight w:val="none"/>
                <w:u w:val="single"/>
              </w:rPr>
              <w:t>污染物排放总量为：COD0.0</w:t>
            </w:r>
            <w:r>
              <w:rPr>
                <w:rFonts w:hint="eastAsia"/>
                <w:b/>
                <w:bCs/>
                <w:sz w:val="24"/>
                <w:highlight w:val="none"/>
                <w:u w:val="single"/>
                <w:lang w:val="en-US" w:eastAsia="zh-CN"/>
              </w:rPr>
              <w:t>043</w:t>
            </w:r>
            <w:r>
              <w:rPr>
                <w:b/>
                <w:bCs/>
                <w:sz w:val="24"/>
                <w:highlight w:val="none"/>
                <w:u w:val="single"/>
              </w:rPr>
              <w:t>t/a，氨氮0.00</w:t>
            </w:r>
            <w:r>
              <w:rPr>
                <w:rFonts w:hint="eastAsia"/>
                <w:b/>
                <w:bCs/>
                <w:sz w:val="24"/>
                <w:highlight w:val="none"/>
                <w:u w:val="single"/>
                <w:lang w:val="en-US" w:eastAsia="zh-CN"/>
              </w:rPr>
              <w:t>02</w:t>
            </w:r>
            <w:r>
              <w:rPr>
                <w:b/>
                <w:bCs/>
                <w:sz w:val="24"/>
                <w:highlight w:val="none"/>
                <w:u w:val="single"/>
              </w:rPr>
              <w:t>t/a</w:t>
            </w:r>
            <w:r>
              <w:rPr>
                <w:rFonts w:hint="eastAsia"/>
                <w:b/>
                <w:bCs/>
                <w:sz w:val="24"/>
                <w:highlight w:val="none"/>
                <w:u w:val="single"/>
                <w:lang w:eastAsia="zh-CN"/>
              </w:rPr>
              <w:t>。</w:t>
            </w:r>
          </w:p>
          <w:p>
            <w:pPr>
              <w:bidi w:val="0"/>
              <w:rPr>
                <w:rFonts w:hint="eastAsia"/>
                <w:b/>
                <w:bCs/>
                <w:highlight w:val="none"/>
                <w:u w:val="single"/>
              </w:rPr>
            </w:pPr>
            <w:r>
              <w:rPr>
                <w:rFonts w:hint="default" w:ascii="Times New Roman" w:hAnsi="Times New Roman" w:cs="Times New Roman"/>
                <w:b/>
                <w:bCs/>
                <w:color w:val="auto"/>
                <w:sz w:val="24"/>
                <w:szCs w:val="24"/>
                <w:highlight w:val="none"/>
                <w:u w:val="single"/>
                <w:lang w:val="en-US" w:eastAsia="zh-CN"/>
              </w:rPr>
              <w:t>项目重点污染物新增排放量需要进行双倍替代，所需替代量为</w:t>
            </w:r>
            <w:r>
              <w:rPr>
                <w:b/>
                <w:bCs/>
                <w:sz w:val="24"/>
                <w:highlight w:val="none"/>
                <w:u w:val="single"/>
              </w:rPr>
              <w:t>COD0.0</w:t>
            </w:r>
            <w:r>
              <w:rPr>
                <w:rFonts w:hint="eastAsia"/>
                <w:b/>
                <w:bCs/>
                <w:sz w:val="24"/>
                <w:highlight w:val="none"/>
                <w:u w:val="single"/>
                <w:lang w:val="en-US" w:eastAsia="zh-CN"/>
              </w:rPr>
              <w:t>086</w:t>
            </w:r>
            <w:r>
              <w:rPr>
                <w:b/>
                <w:bCs/>
                <w:sz w:val="24"/>
                <w:highlight w:val="none"/>
                <w:u w:val="single"/>
              </w:rPr>
              <w:t>t/a，氨氮0.00</w:t>
            </w:r>
            <w:r>
              <w:rPr>
                <w:rFonts w:hint="eastAsia"/>
                <w:b/>
                <w:bCs/>
                <w:sz w:val="24"/>
                <w:highlight w:val="none"/>
                <w:u w:val="single"/>
                <w:lang w:val="en-US" w:eastAsia="zh-CN"/>
              </w:rPr>
              <w:t>04</w:t>
            </w:r>
            <w:r>
              <w:rPr>
                <w:b/>
                <w:bCs/>
                <w:sz w:val="24"/>
                <w:highlight w:val="none"/>
                <w:u w:val="single"/>
              </w:rPr>
              <w:t>t/a</w:t>
            </w:r>
            <w:r>
              <w:rPr>
                <w:rFonts w:hint="default" w:ascii="Times New Roman" w:hAnsi="Times New Roman" w:cs="Times New Roman"/>
                <w:b/>
                <w:bCs/>
                <w:color w:val="auto"/>
                <w:sz w:val="24"/>
                <w:szCs w:val="24"/>
                <w:highlight w:val="none"/>
                <w:u w:val="single"/>
                <w:lang w:val="en-US" w:eastAsia="zh-CN"/>
              </w:rPr>
              <w:t>，</w:t>
            </w:r>
            <w:r>
              <w:rPr>
                <w:rFonts w:hint="eastAsia"/>
                <w:b/>
                <w:bCs/>
                <w:highlight w:val="none"/>
                <w:u w:val="single"/>
              </w:rPr>
              <w:t>拟</w:t>
            </w:r>
            <w:r>
              <w:rPr>
                <w:rFonts w:hint="eastAsia"/>
                <w:b/>
                <w:bCs/>
                <w:highlight w:val="none"/>
                <w:u w:val="single"/>
                <w:lang w:val="en-US" w:eastAsia="zh-CN"/>
              </w:rPr>
              <w:t>从翟坡污水处理厂污水治理项目（</w:t>
            </w:r>
            <w:r>
              <w:rPr>
                <w:b/>
                <w:bCs/>
                <w:sz w:val="24"/>
                <w:highlight w:val="none"/>
                <w:u w:val="single"/>
              </w:rPr>
              <w:t>COD</w:t>
            </w:r>
            <w:r>
              <w:rPr>
                <w:rFonts w:hint="eastAsia"/>
                <w:b/>
                <w:bCs/>
                <w:sz w:val="24"/>
                <w:highlight w:val="none"/>
                <w:u w:val="single"/>
                <w:lang w:val="en-US" w:eastAsia="zh-CN"/>
              </w:rPr>
              <w:t>16.13504</w:t>
            </w:r>
            <w:r>
              <w:rPr>
                <w:b/>
                <w:bCs/>
                <w:sz w:val="24"/>
                <w:highlight w:val="none"/>
                <w:u w:val="single"/>
              </w:rPr>
              <w:t>t/a，氨氮</w:t>
            </w:r>
            <w:r>
              <w:rPr>
                <w:rFonts w:hint="eastAsia"/>
                <w:b/>
                <w:bCs/>
                <w:sz w:val="24"/>
                <w:highlight w:val="none"/>
                <w:u w:val="single"/>
                <w:lang w:val="en-US" w:eastAsia="zh-CN"/>
              </w:rPr>
              <w:t>3.454152</w:t>
            </w:r>
            <w:r>
              <w:rPr>
                <w:b/>
                <w:bCs/>
                <w:sz w:val="24"/>
                <w:highlight w:val="none"/>
                <w:u w:val="single"/>
              </w:rPr>
              <w:t>t/a</w:t>
            </w:r>
            <w:r>
              <w:rPr>
                <w:rFonts w:hint="eastAsia"/>
                <w:b/>
                <w:bCs/>
                <w:highlight w:val="none"/>
                <w:u w:val="single"/>
                <w:lang w:val="en-US" w:eastAsia="zh-CN"/>
              </w:rPr>
              <w:t>）中进行扣除</w:t>
            </w:r>
            <w:r>
              <w:rPr>
                <w:rFonts w:hint="default" w:ascii="Times New Roman" w:hAnsi="Times New Roman" w:cs="Times New Roman"/>
                <w:b/>
                <w:bCs/>
                <w:sz w:val="24"/>
                <w:highlight w:val="none"/>
                <w:u w:val="single"/>
                <w:lang w:val="en-US" w:eastAsia="zh-CN"/>
              </w:rPr>
              <w:t>，</w:t>
            </w:r>
            <w:r>
              <w:rPr>
                <w:rFonts w:hint="default" w:ascii="Times New Roman" w:hAnsi="Times New Roman" w:cs="Times New Roman"/>
                <w:b/>
                <w:bCs/>
                <w:color w:val="auto"/>
                <w:sz w:val="24"/>
                <w:highlight w:val="none"/>
                <w:u w:val="single"/>
                <w:lang w:val="en-US" w:eastAsia="zh-CN"/>
              </w:rPr>
              <w:t>能够满足项目替代要求</w:t>
            </w:r>
            <w:r>
              <w:rPr>
                <w:rFonts w:hint="eastAsia" w:ascii="Times New Roman" w:hAnsi="Times New Roman" w:cs="Times New Roman"/>
                <w:b/>
                <w:bCs/>
                <w:color w:val="auto"/>
                <w:sz w:val="24"/>
                <w:highlight w:val="none"/>
                <w:u w:val="single"/>
                <w:lang w:val="en-US" w:eastAsia="zh-CN"/>
              </w:rPr>
              <w:t>。</w:t>
            </w:r>
          </w:p>
          <w:p>
            <w:pPr>
              <w:pStyle w:val="28"/>
              <w:rPr>
                <w:rFonts w:hint="default"/>
                <w:highlight w:val="none"/>
                <w:lang w:eastAsia="zh-CN"/>
              </w:rPr>
            </w:pPr>
          </w:p>
          <w:p>
            <w:pPr>
              <w:pStyle w:val="28"/>
              <w:rPr>
                <w:rFonts w:hint="eastAsia"/>
                <w:highlight w:val="none"/>
                <w:lang w:val="en-US" w:eastAsia="zh-CN"/>
              </w:rPr>
            </w:pPr>
          </w:p>
          <w:p>
            <w:pPr>
              <w:pStyle w:val="28"/>
              <w:rPr>
                <w:rFonts w:hint="eastAsia"/>
                <w:highlight w:val="none"/>
                <w:lang w:val="en-US" w:eastAsia="zh-CN"/>
              </w:rPr>
            </w:pPr>
          </w:p>
          <w:p>
            <w:pPr>
              <w:pStyle w:val="28"/>
              <w:rPr>
                <w:rFonts w:hint="eastAsia"/>
                <w:highlight w:val="none"/>
                <w:lang w:val="en-US" w:eastAsia="zh-CN"/>
              </w:rPr>
            </w:pPr>
          </w:p>
          <w:p>
            <w:pPr>
              <w:pStyle w:val="28"/>
              <w:rPr>
                <w:rFonts w:hint="eastAsia"/>
                <w:highlight w:val="none"/>
                <w:lang w:val="en-US" w:eastAsia="zh-CN"/>
              </w:rPr>
            </w:pPr>
          </w:p>
          <w:p>
            <w:pPr>
              <w:pStyle w:val="28"/>
              <w:rPr>
                <w:rFonts w:hint="eastAsia"/>
                <w:highlight w:val="none"/>
                <w:lang w:val="en-US" w:eastAsia="zh-CN"/>
              </w:rPr>
            </w:pPr>
          </w:p>
          <w:p>
            <w:pPr>
              <w:pStyle w:val="28"/>
              <w:rPr>
                <w:rFonts w:hint="eastAsia"/>
                <w:highlight w:val="none"/>
                <w:lang w:val="en-US" w:eastAsia="zh-CN"/>
              </w:rPr>
            </w:pPr>
          </w:p>
          <w:p>
            <w:pPr>
              <w:pStyle w:val="28"/>
              <w:rPr>
                <w:rFonts w:hint="eastAsia"/>
                <w:highlight w:val="none"/>
                <w:lang w:val="en-US" w:eastAsia="zh-CN"/>
              </w:rPr>
            </w:pPr>
          </w:p>
          <w:p>
            <w:pPr>
              <w:pStyle w:val="28"/>
              <w:rPr>
                <w:rFonts w:hint="eastAsia"/>
                <w:highlight w:val="none"/>
                <w:lang w:val="en-US" w:eastAsia="zh-CN"/>
              </w:rPr>
            </w:pPr>
          </w:p>
          <w:p>
            <w:pPr>
              <w:pStyle w:val="28"/>
              <w:rPr>
                <w:rFonts w:hint="eastAsia"/>
                <w:highlight w:val="none"/>
                <w:lang w:val="en-US" w:eastAsia="zh-CN"/>
              </w:rPr>
            </w:pPr>
          </w:p>
          <w:p>
            <w:pPr>
              <w:pStyle w:val="28"/>
              <w:rPr>
                <w:rFonts w:hint="eastAsia"/>
                <w:highlight w:val="none"/>
                <w:lang w:val="en-US" w:eastAsia="zh-CN"/>
              </w:rPr>
            </w:pPr>
          </w:p>
          <w:p>
            <w:pPr>
              <w:pStyle w:val="28"/>
              <w:rPr>
                <w:rFonts w:hint="eastAsia"/>
                <w:highlight w:val="none"/>
                <w:lang w:val="en-US" w:eastAsia="zh-CN"/>
              </w:rPr>
            </w:pPr>
          </w:p>
          <w:p>
            <w:pPr>
              <w:pStyle w:val="28"/>
              <w:rPr>
                <w:rFonts w:hint="eastAsia"/>
                <w:highlight w:val="none"/>
                <w:lang w:val="en-US" w:eastAsia="zh-CN"/>
              </w:rPr>
            </w:pPr>
          </w:p>
          <w:p>
            <w:pPr>
              <w:pStyle w:val="28"/>
              <w:rPr>
                <w:rFonts w:hint="eastAsia"/>
                <w:highlight w:val="none"/>
                <w:lang w:val="en-US" w:eastAsia="zh-CN"/>
              </w:rPr>
            </w:pPr>
          </w:p>
          <w:p>
            <w:pPr>
              <w:pStyle w:val="28"/>
              <w:rPr>
                <w:rFonts w:hint="eastAsia"/>
                <w:highlight w:val="none"/>
                <w:lang w:val="en-US" w:eastAsia="zh-CN"/>
              </w:rPr>
            </w:pPr>
          </w:p>
          <w:p>
            <w:pPr>
              <w:pStyle w:val="28"/>
              <w:rPr>
                <w:rFonts w:hint="eastAsia"/>
                <w:highlight w:val="none"/>
                <w:lang w:val="en-US" w:eastAsia="zh-CN"/>
              </w:rPr>
            </w:pPr>
          </w:p>
          <w:p>
            <w:pPr>
              <w:pStyle w:val="28"/>
              <w:rPr>
                <w:rFonts w:hint="eastAsia"/>
                <w:highlight w:val="none"/>
                <w:lang w:val="en-US" w:eastAsia="zh-CN"/>
              </w:rPr>
            </w:pPr>
          </w:p>
          <w:p>
            <w:pPr>
              <w:pStyle w:val="28"/>
              <w:rPr>
                <w:rFonts w:hint="eastAsia"/>
                <w:highlight w:val="none"/>
                <w:lang w:val="en-US" w:eastAsia="zh-CN"/>
              </w:rPr>
            </w:pPr>
          </w:p>
          <w:p>
            <w:pPr>
              <w:pStyle w:val="28"/>
              <w:rPr>
                <w:rFonts w:hint="eastAsia"/>
                <w:highlight w:val="none"/>
                <w:lang w:val="en-US" w:eastAsia="zh-CN"/>
              </w:rPr>
            </w:pPr>
          </w:p>
          <w:p>
            <w:pPr>
              <w:pStyle w:val="28"/>
              <w:rPr>
                <w:rFonts w:hint="eastAsia"/>
                <w:highlight w:val="none"/>
                <w:lang w:val="en-US" w:eastAsia="zh-CN"/>
              </w:rPr>
            </w:pPr>
          </w:p>
          <w:p>
            <w:pPr>
              <w:pStyle w:val="28"/>
              <w:rPr>
                <w:rFonts w:hint="eastAsia"/>
                <w:highlight w:val="none"/>
                <w:lang w:val="en-US" w:eastAsia="zh-CN"/>
              </w:rPr>
            </w:pPr>
          </w:p>
          <w:p>
            <w:pPr>
              <w:pStyle w:val="28"/>
              <w:rPr>
                <w:rFonts w:hint="eastAsia"/>
                <w:highlight w:val="none"/>
                <w:lang w:val="en-US" w:eastAsia="zh-CN"/>
              </w:rPr>
            </w:pPr>
          </w:p>
          <w:p>
            <w:pPr>
              <w:pStyle w:val="28"/>
              <w:rPr>
                <w:rFonts w:hint="eastAsia"/>
                <w:highlight w:val="none"/>
                <w:lang w:val="en-US" w:eastAsia="zh-CN"/>
              </w:rPr>
            </w:pPr>
          </w:p>
          <w:p>
            <w:pPr>
              <w:pStyle w:val="28"/>
              <w:rPr>
                <w:rFonts w:hint="default"/>
                <w:highlight w:val="none"/>
                <w:lang w:val="en-US" w:eastAsia="zh-CN"/>
              </w:rPr>
            </w:pPr>
          </w:p>
        </w:tc>
      </w:tr>
    </w:tbl>
    <w:p>
      <w:r>
        <w:br w:type="page"/>
      </w:r>
    </w:p>
    <w:p>
      <w:pPr>
        <w:pStyle w:val="2"/>
        <w:bidi w:val="0"/>
        <w:rPr>
          <w:highlight w:val="none"/>
        </w:rPr>
      </w:pPr>
      <w:r>
        <w:rPr>
          <w:highlight w:val="none"/>
        </w:rPr>
        <w:t>建设项目工程分析</w:t>
      </w:r>
    </w:p>
    <w:tbl>
      <w:tblPr>
        <w:tblStyle w:val="21"/>
        <w:tblW w:w="887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87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219" w:hRule="atLeast"/>
          <w:jc w:val="center"/>
        </w:trPr>
        <w:tc>
          <w:tcPr>
            <w:tcW w:w="8874" w:type="dxa"/>
          </w:tcPr>
          <w:p>
            <w:pPr>
              <w:pStyle w:val="3"/>
              <w:bidi w:val="0"/>
              <w:rPr>
                <w:highlight w:val="none"/>
              </w:rPr>
            </w:pPr>
            <w:r>
              <w:rPr>
                <w:highlight w:val="none"/>
              </w:rPr>
              <w:t>工艺流程简述(图示)：</w:t>
            </w:r>
          </w:p>
          <w:p>
            <w:pPr>
              <w:pStyle w:val="4"/>
              <w:bidi w:val="0"/>
              <w:rPr>
                <w:highlight w:val="none"/>
              </w:rPr>
            </w:pPr>
            <w:r>
              <w:rPr>
                <w:rFonts w:hint="eastAsia"/>
                <w:highlight w:val="none"/>
              </w:rPr>
              <w:t>营运</w:t>
            </w:r>
            <w:r>
              <w:rPr>
                <w:highlight w:val="none"/>
              </w:rPr>
              <w:t>期工艺流程图：</w:t>
            </w:r>
          </w:p>
          <w:p>
            <w:pPr>
              <w:bidi w:val="0"/>
              <w:rPr>
                <w:rFonts w:hint="eastAsia"/>
                <w:b/>
                <w:bCs/>
                <w:highlight w:val="none"/>
                <w:lang w:eastAsia="zh-CN"/>
              </w:rPr>
            </w:pPr>
            <w:r>
              <w:rPr>
                <w:rFonts w:hint="eastAsia"/>
                <w:b/>
                <w:bCs/>
                <w:highlight w:val="none"/>
                <w:lang w:eastAsia="zh-CN"/>
              </w:rPr>
              <w:t>（</w:t>
            </w:r>
            <w:r>
              <w:rPr>
                <w:rFonts w:hint="eastAsia"/>
                <w:b/>
                <w:bCs/>
                <w:highlight w:val="none"/>
                <w:lang w:val="en-US" w:eastAsia="zh-CN"/>
              </w:rPr>
              <w:t>1</w:t>
            </w:r>
            <w:r>
              <w:rPr>
                <w:rFonts w:hint="eastAsia"/>
                <w:b/>
                <w:bCs/>
                <w:highlight w:val="none"/>
                <w:lang w:eastAsia="zh-CN"/>
              </w:rPr>
              <w:t>）丙烷、二氧化碳充装工艺</w:t>
            </w:r>
          </w:p>
          <w:p>
            <w:pPr>
              <w:pStyle w:val="2"/>
              <w:jc w:val="center"/>
              <w:rPr>
                <w:rFonts w:hint="eastAsia"/>
                <w:b w:val="0"/>
                <w:color w:val="000000" w:themeColor="text1"/>
                <w:sz w:val="21"/>
                <w:szCs w:val="21"/>
                <w:highlight w:val="none"/>
                <w14:textFill>
                  <w14:solidFill>
                    <w14:schemeClr w14:val="tx1"/>
                  </w14:solidFill>
                </w14:textFill>
              </w:rPr>
            </w:pPr>
            <w:r>
              <w:rPr>
                <w:rFonts w:ascii="迷你简大标宋" w:eastAsia="迷你简大标宋"/>
                <w:sz w:val="44"/>
                <w:szCs w:val="44"/>
                <w:highlight w:val="none"/>
              </w:rPr>
              <mc:AlternateContent>
                <mc:Choice Requires="wpc">
                  <w:drawing>
                    <wp:inline distT="0" distB="0" distL="114300" distR="114300">
                      <wp:extent cx="5363845" cy="6050280"/>
                      <wp:effectExtent l="0" t="4445" r="76835" b="10795"/>
                      <wp:docPr id="40" name="画布 4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 name="矩形 2"/>
                              <wps:cNvSpPr/>
                              <wps:spPr>
                                <a:xfrm>
                                  <a:off x="678815" y="9525"/>
                                  <a:ext cx="591185" cy="3879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bidi w:val="0"/>
                                      <w:ind w:left="0" w:leftChars="0" w:firstLine="0" w:firstLineChars="0"/>
                                      <w:rPr>
                                        <w:rFonts w:hint="eastAsia"/>
                                      </w:rPr>
                                    </w:pPr>
                                    <w:r>
                                      <w:rPr>
                                        <w:rFonts w:hint="eastAsia"/>
                                      </w:rPr>
                                      <w:t>气源</w:t>
                                    </w:r>
                                  </w:p>
                                </w:txbxContent>
                              </wps:txbx>
                              <wps:bodyPr upright="1"/>
                            </wps:wsp>
                            <wps:wsp>
                              <wps:cNvPr id="3" name="直接连接符 3"/>
                              <wps:cNvCnPr/>
                              <wps:spPr>
                                <a:xfrm flipH="1">
                                  <a:off x="927100" y="396240"/>
                                  <a:ext cx="1270" cy="396875"/>
                                </a:xfrm>
                                <a:prstGeom prst="line">
                                  <a:avLst/>
                                </a:prstGeom>
                                <a:ln w="9525" cap="flat" cmpd="sng">
                                  <a:solidFill>
                                    <a:srgbClr val="000000"/>
                                  </a:solidFill>
                                  <a:prstDash val="solid"/>
                                  <a:headEnd type="none" w="med" len="med"/>
                                  <a:tailEnd type="triangle" w="med" len="med"/>
                                </a:ln>
                              </wps:spPr>
                              <wps:bodyPr upright="1"/>
                            </wps:wsp>
                            <wps:wsp>
                              <wps:cNvPr id="4" name="矩形 4"/>
                              <wps:cNvSpPr/>
                              <wps:spPr>
                                <a:xfrm>
                                  <a:off x="469900" y="5647055"/>
                                  <a:ext cx="913765" cy="3962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bidi w:val="0"/>
                                      <w:ind w:left="0" w:leftChars="0" w:firstLine="0" w:firstLineChars="0"/>
                                      <w:rPr>
                                        <w:rFonts w:hint="eastAsia"/>
                                      </w:rPr>
                                    </w:pPr>
                                    <w:r>
                                      <w:rPr>
                                        <w:rFonts w:hint="eastAsia"/>
                                      </w:rPr>
                                      <w:t>气瓶发出</w:t>
                                    </w:r>
                                  </w:p>
                                </w:txbxContent>
                              </wps:txbx>
                              <wps:bodyPr upright="1"/>
                            </wps:wsp>
                            <wps:wsp>
                              <wps:cNvPr id="6" name="矩形 6"/>
                              <wps:cNvSpPr/>
                              <wps:spPr>
                                <a:xfrm>
                                  <a:off x="2298700" y="1584960"/>
                                  <a:ext cx="915035" cy="3968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bidi w:val="0"/>
                                      <w:ind w:left="0" w:leftChars="0" w:firstLine="240" w:firstLineChars="100"/>
                                      <w:rPr>
                                        <w:rFonts w:hint="eastAsia"/>
                                      </w:rPr>
                                    </w:pPr>
                                    <w:r>
                                      <w:rPr>
                                        <w:rFonts w:hint="eastAsia"/>
                                      </w:rPr>
                                      <w:t>抽残液</w:t>
                                    </w:r>
                                  </w:p>
                                  <w:p>
                                    <w:pPr>
                                      <w:ind w:firstLine="420" w:firstLineChars="150"/>
                                      <w:rPr>
                                        <w:rFonts w:hint="eastAsia"/>
                                        <w:sz w:val="28"/>
                                        <w:szCs w:val="28"/>
                                      </w:rPr>
                                    </w:pPr>
                                  </w:p>
                                </w:txbxContent>
                              </wps:txbx>
                              <wps:bodyPr upright="1"/>
                            </wps:wsp>
                            <wps:wsp>
                              <wps:cNvPr id="7" name="矩形 7"/>
                              <wps:cNvSpPr/>
                              <wps:spPr>
                                <a:xfrm>
                                  <a:off x="2298700" y="792480"/>
                                  <a:ext cx="915035" cy="3968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bidi w:val="0"/>
                                      <w:ind w:left="0" w:leftChars="0" w:firstLine="240" w:firstLineChars="100"/>
                                      <w:rPr>
                                        <w:rFonts w:hint="eastAsia"/>
                                      </w:rPr>
                                    </w:pPr>
                                    <w:r>
                                      <w:rPr>
                                        <w:rFonts w:hint="eastAsia"/>
                                      </w:rPr>
                                      <w:t>检查</w:t>
                                    </w:r>
                                  </w:p>
                                </w:txbxContent>
                              </wps:txbx>
                              <wps:bodyPr upright="1"/>
                            </wps:wsp>
                            <wps:wsp>
                              <wps:cNvPr id="8" name="矩形 8"/>
                              <wps:cNvSpPr/>
                              <wps:spPr>
                                <a:xfrm>
                                  <a:off x="679450" y="792480"/>
                                  <a:ext cx="581025" cy="35750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bidi w:val="0"/>
                                      <w:ind w:left="0" w:leftChars="0" w:firstLine="0" w:firstLineChars="0"/>
                                      <w:rPr>
                                        <w:rFonts w:hint="eastAsia"/>
                                      </w:rPr>
                                    </w:pPr>
                                    <w:r>
                                      <w:rPr>
                                        <w:rFonts w:hint="eastAsia"/>
                                      </w:rPr>
                                      <w:t>卸车</w:t>
                                    </w:r>
                                  </w:p>
                                </w:txbxContent>
                              </wps:txbx>
                              <wps:bodyPr upright="1"/>
                            </wps:wsp>
                            <wps:wsp>
                              <wps:cNvPr id="9" name="矩形 9"/>
                              <wps:cNvSpPr/>
                              <wps:spPr>
                                <a:xfrm>
                                  <a:off x="697865" y="1584960"/>
                                  <a:ext cx="562610" cy="3778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bidi w:val="0"/>
                                      <w:ind w:left="0" w:leftChars="0" w:firstLine="0" w:firstLineChars="0"/>
                                      <w:rPr>
                                        <w:rFonts w:hint="eastAsia"/>
                                      </w:rPr>
                                    </w:pPr>
                                    <w:r>
                                      <w:rPr>
                                        <w:rFonts w:hint="eastAsia"/>
                                      </w:rPr>
                                      <w:t>储存</w:t>
                                    </w:r>
                                  </w:p>
                                </w:txbxContent>
                              </wps:txbx>
                              <wps:bodyPr upright="1"/>
                            </wps:wsp>
                            <wps:wsp>
                              <wps:cNvPr id="10" name="矩形 10"/>
                              <wps:cNvSpPr/>
                              <wps:spPr>
                                <a:xfrm>
                                  <a:off x="678815" y="2377440"/>
                                  <a:ext cx="552450" cy="4165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bidi w:val="0"/>
                                      <w:ind w:left="0" w:leftChars="0" w:firstLine="0" w:firstLineChars="0"/>
                                      <w:rPr>
                                        <w:rFonts w:hint="eastAsia"/>
                                      </w:rPr>
                                    </w:pPr>
                                    <w:r>
                                      <w:rPr>
                                        <w:rFonts w:hint="eastAsia"/>
                                      </w:rPr>
                                      <w:t>充装</w:t>
                                    </w:r>
                                  </w:p>
                                </w:txbxContent>
                              </wps:txbx>
                              <wps:bodyPr upright="1"/>
                            </wps:wsp>
                            <wps:wsp>
                              <wps:cNvPr id="11" name="矩形 11"/>
                              <wps:cNvSpPr/>
                              <wps:spPr>
                                <a:xfrm>
                                  <a:off x="717550" y="3169920"/>
                                  <a:ext cx="513715" cy="3873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bidi w:val="0"/>
                                      <w:ind w:left="0" w:leftChars="0" w:firstLine="0" w:firstLineChars="0"/>
                                      <w:rPr>
                                        <w:rFonts w:hint="eastAsia"/>
                                      </w:rPr>
                                    </w:pPr>
                                    <w:r>
                                      <w:rPr>
                                        <w:rFonts w:hint="eastAsia"/>
                                      </w:rPr>
                                      <w:t>试漏</w:t>
                                    </w:r>
                                  </w:p>
                                </w:txbxContent>
                              </wps:txbx>
                              <wps:bodyPr upright="1"/>
                            </wps:wsp>
                            <wps:wsp>
                              <wps:cNvPr id="12" name="矩形 12"/>
                              <wps:cNvSpPr/>
                              <wps:spPr>
                                <a:xfrm>
                                  <a:off x="717550" y="3962400"/>
                                  <a:ext cx="553085" cy="3968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bidi w:val="0"/>
                                      <w:ind w:left="0" w:leftChars="0" w:firstLine="0" w:firstLineChars="0"/>
                                      <w:rPr>
                                        <w:rFonts w:hint="eastAsia"/>
                                      </w:rPr>
                                    </w:pPr>
                                    <w:r>
                                      <w:rPr>
                                        <w:rFonts w:hint="eastAsia"/>
                                      </w:rPr>
                                      <w:t>复称</w:t>
                                    </w:r>
                                  </w:p>
                                </w:txbxContent>
                              </wps:txbx>
                              <wps:bodyPr upright="1"/>
                            </wps:wsp>
                            <wps:wsp>
                              <wps:cNvPr id="13" name="矩形 13"/>
                              <wps:cNvSpPr/>
                              <wps:spPr>
                                <a:xfrm>
                                  <a:off x="422275" y="4755515"/>
                                  <a:ext cx="1105535" cy="4851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29"/>
                                      <w:bidi w:val="0"/>
                                      <w:rPr>
                                        <w:rFonts w:hint="eastAsia"/>
                                      </w:rPr>
                                    </w:pPr>
                                    <w:r>
                                      <w:rPr>
                                        <w:rFonts w:hint="eastAsia"/>
                                      </w:rPr>
                                      <w:t>粘贴警示标签</w:t>
                                    </w:r>
                                  </w:p>
                                  <w:p>
                                    <w:pPr>
                                      <w:pStyle w:val="29"/>
                                      <w:bidi w:val="0"/>
                                      <w:rPr>
                                        <w:rFonts w:hint="eastAsia"/>
                                      </w:rPr>
                                    </w:pPr>
                                    <w:r>
                                      <w:rPr>
                                        <w:rFonts w:hint="eastAsia"/>
                                      </w:rPr>
                                      <w:t>和充装合格证</w:t>
                                    </w:r>
                                  </w:p>
                                </w:txbxContent>
                              </wps:txbx>
                              <wps:bodyPr upright="1"/>
                            </wps:wsp>
                            <wps:wsp>
                              <wps:cNvPr id="14" name="直接连接符 14"/>
                              <wps:cNvCnPr/>
                              <wps:spPr>
                                <a:xfrm flipH="1">
                                  <a:off x="927100" y="1188720"/>
                                  <a:ext cx="1270" cy="396240"/>
                                </a:xfrm>
                                <a:prstGeom prst="line">
                                  <a:avLst/>
                                </a:prstGeom>
                                <a:ln w="9525" cap="flat" cmpd="sng">
                                  <a:solidFill>
                                    <a:srgbClr val="000000"/>
                                  </a:solidFill>
                                  <a:prstDash val="solid"/>
                                  <a:headEnd type="none" w="med" len="med"/>
                                  <a:tailEnd type="triangle" w="med" len="med"/>
                                </a:ln>
                              </wps:spPr>
                              <wps:bodyPr upright="1"/>
                            </wps:wsp>
                            <wps:wsp>
                              <wps:cNvPr id="15" name="直接连接符 15"/>
                              <wps:cNvCnPr/>
                              <wps:spPr>
                                <a:xfrm flipH="1">
                                  <a:off x="927100" y="2774315"/>
                                  <a:ext cx="1270" cy="394970"/>
                                </a:xfrm>
                                <a:prstGeom prst="line">
                                  <a:avLst/>
                                </a:prstGeom>
                                <a:ln w="9525" cap="flat" cmpd="sng">
                                  <a:solidFill>
                                    <a:srgbClr val="000000"/>
                                  </a:solidFill>
                                  <a:prstDash val="solid"/>
                                  <a:headEnd type="none" w="med" len="med"/>
                                  <a:tailEnd type="triangle" w="med" len="med"/>
                                </a:ln>
                              </wps:spPr>
                              <wps:bodyPr upright="1"/>
                            </wps:wsp>
                            <wps:wsp>
                              <wps:cNvPr id="16" name="直接连接符 16"/>
                              <wps:cNvCnPr/>
                              <wps:spPr>
                                <a:xfrm flipH="1">
                                  <a:off x="927100" y="3566795"/>
                                  <a:ext cx="1270" cy="394970"/>
                                </a:xfrm>
                                <a:prstGeom prst="line">
                                  <a:avLst/>
                                </a:prstGeom>
                                <a:ln w="9525" cap="flat" cmpd="sng">
                                  <a:solidFill>
                                    <a:srgbClr val="000000"/>
                                  </a:solidFill>
                                  <a:prstDash val="solid"/>
                                  <a:headEnd type="none" w="med" len="med"/>
                                  <a:tailEnd type="triangle" w="med" len="med"/>
                                </a:ln>
                              </wps:spPr>
                              <wps:bodyPr upright="1"/>
                            </wps:wsp>
                            <wps:wsp>
                              <wps:cNvPr id="17" name="直接连接符 17"/>
                              <wps:cNvCnPr/>
                              <wps:spPr>
                                <a:xfrm flipH="1">
                                  <a:off x="927100" y="1981835"/>
                                  <a:ext cx="1270" cy="396240"/>
                                </a:xfrm>
                                <a:prstGeom prst="line">
                                  <a:avLst/>
                                </a:prstGeom>
                                <a:ln w="9525" cap="flat" cmpd="sng">
                                  <a:solidFill>
                                    <a:srgbClr val="000000"/>
                                  </a:solidFill>
                                  <a:prstDash val="solid"/>
                                  <a:headEnd type="none" w="med" len="med"/>
                                  <a:tailEnd type="triangle" w="med" len="med"/>
                                </a:ln>
                              </wps:spPr>
                              <wps:bodyPr upright="1"/>
                            </wps:wsp>
                            <wps:wsp>
                              <wps:cNvPr id="18" name="直接连接符 18"/>
                              <wps:cNvCnPr/>
                              <wps:spPr>
                                <a:xfrm flipH="1">
                                  <a:off x="927100" y="4359275"/>
                                  <a:ext cx="1270" cy="394970"/>
                                </a:xfrm>
                                <a:prstGeom prst="line">
                                  <a:avLst/>
                                </a:prstGeom>
                                <a:ln w="9525" cap="flat" cmpd="sng">
                                  <a:solidFill>
                                    <a:srgbClr val="000000"/>
                                  </a:solidFill>
                                  <a:prstDash val="solid"/>
                                  <a:headEnd type="none" w="med" len="med"/>
                                  <a:tailEnd type="triangle" w="med" len="med"/>
                                </a:ln>
                              </wps:spPr>
                              <wps:bodyPr upright="1"/>
                            </wps:wsp>
                            <wps:wsp>
                              <wps:cNvPr id="19" name="直接连接符 19"/>
                              <wps:cNvCnPr/>
                              <wps:spPr>
                                <a:xfrm flipH="1">
                                  <a:off x="2755900" y="396240"/>
                                  <a:ext cx="635" cy="396875"/>
                                </a:xfrm>
                                <a:prstGeom prst="line">
                                  <a:avLst/>
                                </a:prstGeom>
                                <a:ln w="9525" cap="flat" cmpd="sng">
                                  <a:solidFill>
                                    <a:srgbClr val="000000"/>
                                  </a:solidFill>
                                  <a:prstDash val="solid"/>
                                  <a:headEnd type="none" w="med" len="med"/>
                                  <a:tailEnd type="triangle" w="med" len="med"/>
                                </a:ln>
                              </wps:spPr>
                              <wps:bodyPr upright="1"/>
                            </wps:wsp>
                            <wps:wsp>
                              <wps:cNvPr id="20" name="直接连接符 20"/>
                              <wps:cNvCnPr/>
                              <wps:spPr>
                                <a:xfrm flipH="1">
                                  <a:off x="2755900" y="1188720"/>
                                  <a:ext cx="635" cy="396240"/>
                                </a:xfrm>
                                <a:prstGeom prst="line">
                                  <a:avLst/>
                                </a:prstGeom>
                                <a:ln w="9525" cap="flat" cmpd="sng">
                                  <a:solidFill>
                                    <a:srgbClr val="000000"/>
                                  </a:solidFill>
                                  <a:prstDash val="solid"/>
                                  <a:headEnd type="none" w="med" len="med"/>
                                  <a:tailEnd type="triangle" w="med" len="med"/>
                                </a:ln>
                              </wps:spPr>
                              <wps:bodyPr upright="1"/>
                            </wps:wsp>
                            <wps:wsp>
                              <wps:cNvPr id="21" name="直接连接符 21"/>
                              <wps:cNvCnPr/>
                              <wps:spPr>
                                <a:xfrm flipH="1">
                                  <a:off x="927100" y="5250180"/>
                                  <a:ext cx="1270" cy="396875"/>
                                </a:xfrm>
                                <a:prstGeom prst="line">
                                  <a:avLst/>
                                </a:prstGeom>
                                <a:ln w="9525" cap="flat" cmpd="sng">
                                  <a:solidFill>
                                    <a:srgbClr val="000000"/>
                                  </a:solidFill>
                                  <a:prstDash val="solid"/>
                                  <a:headEnd type="none" w="med" len="med"/>
                                  <a:tailEnd type="triangle" w="med" len="med"/>
                                </a:ln>
                              </wps:spPr>
                              <wps:bodyPr upright="1"/>
                            </wps:wsp>
                            <wps:wsp>
                              <wps:cNvPr id="22" name="矩形 22"/>
                              <wps:cNvSpPr/>
                              <wps:spPr>
                                <a:xfrm>
                                  <a:off x="2298700" y="3169920"/>
                                  <a:ext cx="914400" cy="3968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bidi w:val="0"/>
                                      <w:ind w:left="0" w:leftChars="0" w:firstLine="0" w:firstLineChars="0"/>
                                      <w:rPr>
                                        <w:rFonts w:hint="eastAsia"/>
                                      </w:rPr>
                                    </w:pPr>
                                    <w:r>
                                      <w:rPr>
                                        <w:rFonts w:hint="eastAsia"/>
                                      </w:rPr>
                                      <w:t>更新阀垫</w:t>
                                    </w:r>
                                  </w:p>
                                </w:txbxContent>
                              </wps:txbx>
                              <wps:bodyPr upright="1"/>
                            </wps:wsp>
                            <wps:wsp>
                              <wps:cNvPr id="23" name="矩形 23"/>
                              <wps:cNvSpPr/>
                              <wps:spPr>
                                <a:xfrm>
                                  <a:off x="4451350" y="3646170"/>
                                  <a:ext cx="857250" cy="3968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bidi w:val="0"/>
                                      <w:ind w:left="0" w:leftChars="0" w:firstLine="0" w:firstLineChars="0"/>
                                      <w:rPr>
                                        <w:rFonts w:hint="eastAsia"/>
                                      </w:rPr>
                                    </w:pPr>
                                    <w:r>
                                      <w:rPr>
                                        <w:rFonts w:hint="eastAsia"/>
                                      </w:rPr>
                                      <w:t>报废处理</w:t>
                                    </w:r>
                                  </w:p>
                                </w:txbxContent>
                              </wps:txbx>
                              <wps:bodyPr upright="1"/>
                            </wps:wsp>
                            <wps:wsp>
                              <wps:cNvPr id="24" name="矩形 24"/>
                              <wps:cNvSpPr/>
                              <wps:spPr>
                                <a:xfrm>
                                  <a:off x="3517265" y="341630"/>
                                  <a:ext cx="1448435" cy="61087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bidi w:val="0"/>
                                      <w:ind w:left="0" w:leftChars="0" w:firstLine="0" w:firstLineChars="0"/>
                                      <w:rPr>
                                        <w:rFonts w:hint="eastAsia"/>
                                      </w:rPr>
                                    </w:pPr>
                                    <w:r>
                                      <w:rPr>
                                        <w:rFonts w:hint="eastAsia"/>
                                      </w:rPr>
                                      <w:t>超期使用或超期未检等不合格者</w:t>
                                    </w:r>
                                  </w:p>
                                </w:txbxContent>
                              </wps:txbx>
                              <wps:bodyPr upright="1"/>
                            </wps:wsp>
                            <wps:wsp>
                              <wps:cNvPr id="25" name="矩形 25"/>
                              <wps:cNvSpPr/>
                              <wps:spPr>
                                <a:xfrm>
                                  <a:off x="4470400" y="2377440"/>
                                  <a:ext cx="951865" cy="3968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bidi w:val="0"/>
                                      <w:ind w:left="0" w:leftChars="0" w:firstLine="240" w:firstLineChars="100"/>
                                      <w:rPr>
                                        <w:rFonts w:hint="eastAsia"/>
                                      </w:rPr>
                                    </w:pPr>
                                    <w:r>
                                      <w:rPr>
                                        <w:rFonts w:hint="eastAsia"/>
                                      </w:rPr>
                                      <w:t>检验</w:t>
                                    </w:r>
                                  </w:p>
                                </w:txbxContent>
                              </wps:txbx>
                              <wps:bodyPr upright="1"/>
                            </wps:wsp>
                            <wps:wsp>
                              <wps:cNvPr id="26" name="矩形 26"/>
                              <wps:cNvSpPr/>
                              <wps:spPr>
                                <a:xfrm>
                                  <a:off x="2298700" y="0"/>
                                  <a:ext cx="915035" cy="3994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bidi w:val="0"/>
                                      <w:ind w:left="0" w:leftChars="0" w:firstLine="0" w:firstLineChars="0"/>
                                      <w:rPr>
                                        <w:rFonts w:hint="eastAsia"/>
                                      </w:rPr>
                                    </w:pPr>
                                    <w:r>
                                      <w:rPr>
                                        <w:rFonts w:hint="eastAsia"/>
                                      </w:rPr>
                                      <w:t>气瓶收进</w:t>
                                    </w:r>
                                  </w:p>
                                </w:txbxContent>
                              </wps:txbx>
                              <wps:bodyPr upright="1"/>
                            </wps:wsp>
                            <wps:wsp>
                              <wps:cNvPr id="27" name="直接连接符 27"/>
                              <wps:cNvCnPr/>
                              <wps:spPr>
                                <a:xfrm>
                                  <a:off x="3213735" y="990600"/>
                                  <a:ext cx="1713865" cy="635"/>
                                </a:xfrm>
                                <a:prstGeom prst="line">
                                  <a:avLst/>
                                </a:prstGeom>
                                <a:ln w="9525" cap="flat" cmpd="sng">
                                  <a:solidFill>
                                    <a:srgbClr val="000000"/>
                                  </a:solidFill>
                                  <a:prstDash val="solid"/>
                                  <a:headEnd type="none" w="med" len="med"/>
                                  <a:tailEnd type="none" w="med" len="med"/>
                                </a:ln>
                              </wps:spPr>
                              <wps:bodyPr upright="1"/>
                            </wps:wsp>
                            <wps:wsp>
                              <wps:cNvPr id="28" name="直接连接符 28"/>
                              <wps:cNvCnPr/>
                              <wps:spPr>
                                <a:xfrm>
                                  <a:off x="2755900" y="1981835"/>
                                  <a:ext cx="635" cy="594360"/>
                                </a:xfrm>
                                <a:prstGeom prst="line">
                                  <a:avLst/>
                                </a:prstGeom>
                                <a:ln w="9525" cap="flat" cmpd="sng">
                                  <a:solidFill>
                                    <a:srgbClr val="000000"/>
                                  </a:solidFill>
                                  <a:prstDash val="solid"/>
                                  <a:headEnd type="none" w="med" len="med"/>
                                  <a:tailEnd type="none" w="med" len="med"/>
                                </a:ln>
                              </wps:spPr>
                              <wps:bodyPr upright="1"/>
                            </wps:wsp>
                            <wps:wsp>
                              <wps:cNvPr id="29" name="直接连接符 29"/>
                              <wps:cNvCnPr/>
                              <wps:spPr>
                                <a:xfrm>
                                  <a:off x="4927600" y="990600"/>
                                  <a:ext cx="0" cy="1386840"/>
                                </a:xfrm>
                                <a:prstGeom prst="line">
                                  <a:avLst/>
                                </a:prstGeom>
                                <a:ln w="9525" cap="flat" cmpd="sng">
                                  <a:solidFill>
                                    <a:srgbClr val="000000"/>
                                  </a:solidFill>
                                  <a:prstDash val="solid"/>
                                  <a:headEnd type="none" w="med" len="med"/>
                                  <a:tailEnd type="triangle" w="med" len="med"/>
                                </a:ln>
                              </wps:spPr>
                              <wps:bodyPr upright="1"/>
                            </wps:wsp>
                            <wps:wsp>
                              <wps:cNvPr id="30" name="直接连接符 30"/>
                              <wps:cNvCnPr/>
                              <wps:spPr>
                                <a:xfrm>
                                  <a:off x="4927600" y="2774315"/>
                                  <a:ext cx="635" cy="890905"/>
                                </a:xfrm>
                                <a:prstGeom prst="line">
                                  <a:avLst/>
                                </a:prstGeom>
                                <a:ln w="9525" cap="flat" cmpd="sng">
                                  <a:solidFill>
                                    <a:srgbClr val="000000"/>
                                  </a:solidFill>
                                  <a:prstDash val="solid"/>
                                  <a:headEnd type="none" w="med" len="med"/>
                                  <a:tailEnd type="triangle" w="med" len="med"/>
                                </a:ln>
                              </wps:spPr>
                              <wps:bodyPr upright="1"/>
                            </wps:wsp>
                            <wps:wsp>
                              <wps:cNvPr id="31" name="矩形 31"/>
                              <wps:cNvSpPr/>
                              <wps:spPr>
                                <a:xfrm>
                                  <a:off x="5042535" y="2873375"/>
                                  <a:ext cx="342265" cy="713105"/>
                                </a:xfrm>
                                <a:prstGeom prst="rect">
                                  <a:avLst/>
                                </a:prstGeom>
                                <a:solidFill>
                                  <a:srgbClr val="FFFFFF"/>
                                </a:solidFill>
                                <a:ln w="9525" cap="flat" cmpd="sng">
                                  <a:solidFill>
                                    <a:srgbClr val="FFFFFF"/>
                                  </a:solidFill>
                                  <a:prstDash val="solid"/>
                                  <a:miter/>
                                  <a:headEnd type="none" w="med" len="med"/>
                                  <a:tailEnd type="none" w="med" len="med"/>
                                </a:ln>
                              </wps:spPr>
                              <wps:txbx>
                                <w:txbxContent>
                                  <w:p>
                                    <w:pPr>
                                      <w:pStyle w:val="29"/>
                                      <w:bidi w:val="0"/>
                                      <w:rPr>
                                        <w:rFonts w:hint="eastAsia"/>
                                      </w:rPr>
                                    </w:pPr>
                                    <w:r>
                                      <w:rPr>
                                        <w:rFonts w:hint="eastAsia"/>
                                        <w:lang w:eastAsia="zh-CN"/>
                                      </w:rPr>
                                      <w:t>不</w:t>
                                    </w:r>
                                    <w:r>
                                      <w:rPr>
                                        <w:rFonts w:hint="eastAsia"/>
                                      </w:rPr>
                                      <w:t>合格</w:t>
                                    </w:r>
                                  </w:p>
                                </w:txbxContent>
                              </wps:txbx>
                              <wps:bodyPr upright="1"/>
                            </wps:wsp>
                            <wps:wsp>
                              <wps:cNvPr id="33" name="矩形 33"/>
                              <wps:cNvSpPr/>
                              <wps:spPr>
                                <a:xfrm>
                                  <a:off x="1498600" y="3070860"/>
                                  <a:ext cx="685800" cy="39497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ind w:left="0" w:leftChars="0" w:firstLine="0" w:firstLineChars="0"/>
                                      <w:rPr>
                                        <w:rFonts w:hint="eastAsia"/>
                                        <w:szCs w:val="21"/>
                                      </w:rPr>
                                    </w:pPr>
                                    <w:r>
                                      <w:rPr>
                                        <w:rFonts w:hint="eastAsia"/>
                                        <w:szCs w:val="21"/>
                                      </w:rPr>
                                      <w:t>不合格</w:t>
                                    </w:r>
                                  </w:p>
                                </w:txbxContent>
                              </wps:txbx>
                              <wps:bodyPr upright="1"/>
                            </wps:wsp>
                            <wps:wsp>
                              <wps:cNvPr id="34" name="直接连接符 34"/>
                              <wps:cNvCnPr/>
                              <wps:spPr>
                                <a:xfrm>
                                  <a:off x="1289050" y="3368675"/>
                                  <a:ext cx="1009650" cy="635"/>
                                </a:xfrm>
                                <a:prstGeom prst="line">
                                  <a:avLst/>
                                </a:prstGeom>
                                <a:ln w="9525" cap="flat" cmpd="sng">
                                  <a:solidFill>
                                    <a:srgbClr val="000000"/>
                                  </a:solidFill>
                                  <a:prstDash val="solid"/>
                                  <a:headEnd type="none" w="med" len="med"/>
                                  <a:tailEnd type="triangle" w="med" len="med"/>
                                </a:ln>
                              </wps:spPr>
                              <wps:bodyPr upright="1"/>
                            </wps:wsp>
                            <wps:wsp>
                              <wps:cNvPr id="35" name="直接连接符 35"/>
                              <wps:cNvCnPr/>
                              <wps:spPr>
                                <a:xfrm>
                                  <a:off x="1289685" y="4151630"/>
                                  <a:ext cx="1922780" cy="10160"/>
                                </a:xfrm>
                                <a:prstGeom prst="line">
                                  <a:avLst/>
                                </a:prstGeom>
                                <a:ln w="9525" cap="flat" cmpd="sng">
                                  <a:solidFill>
                                    <a:srgbClr val="000000"/>
                                  </a:solidFill>
                                  <a:prstDash val="solid"/>
                                  <a:headEnd type="none" w="med" len="med"/>
                                  <a:tailEnd type="triangle" w="med" len="med"/>
                                </a:ln>
                              </wps:spPr>
                              <wps:bodyPr upright="1"/>
                            </wps:wsp>
                            <wps:wsp>
                              <wps:cNvPr id="36" name="矩形 36"/>
                              <wps:cNvSpPr/>
                              <wps:spPr>
                                <a:xfrm>
                                  <a:off x="3213100" y="3962400"/>
                                  <a:ext cx="914400" cy="3968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bidi w:val="0"/>
                                      <w:ind w:left="0" w:leftChars="0" w:firstLine="0" w:firstLineChars="0"/>
                                      <w:rPr>
                                        <w:rFonts w:hint="eastAsia"/>
                                      </w:rPr>
                                    </w:pPr>
                                    <w:r>
                                      <w:rPr>
                                        <w:rFonts w:hint="eastAsia"/>
                                      </w:rPr>
                                      <w:t>妥善处理</w:t>
                                    </w:r>
                                  </w:p>
                                  <w:p>
                                    <w:pPr>
                                      <w:rPr>
                                        <w:rFonts w:hint="eastAsia"/>
                                        <w:szCs w:val="28"/>
                                      </w:rPr>
                                    </w:pPr>
                                  </w:p>
                                </w:txbxContent>
                              </wps:txbx>
                              <wps:bodyPr upright="1"/>
                            </wps:wsp>
                            <wps:wsp>
                              <wps:cNvPr id="37" name="矩形 37"/>
                              <wps:cNvSpPr/>
                              <wps:spPr>
                                <a:xfrm>
                                  <a:off x="1955800" y="3764280"/>
                                  <a:ext cx="799465" cy="327025"/>
                                </a:xfrm>
                                <a:prstGeom prst="rect">
                                  <a:avLst/>
                                </a:prstGeom>
                                <a:solidFill>
                                  <a:srgbClr val="FFFFFF"/>
                                </a:solidFill>
                                <a:ln w="9525" cap="flat" cmpd="sng">
                                  <a:solidFill>
                                    <a:srgbClr val="FFFFFF"/>
                                  </a:solidFill>
                                  <a:prstDash val="solid"/>
                                  <a:miter/>
                                  <a:headEnd type="none" w="med" len="med"/>
                                  <a:tailEnd type="none" w="med" len="med"/>
                                </a:ln>
                              </wps:spPr>
                              <wps:txbx>
                                <w:txbxContent>
                                  <w:p>
                                    <w:pPr>
                                      <w:ind w:left="0" w:leftChars="0" w:firstLine="0" w:firstLineChars="0"/>
                                      <w:rPr>
                                        <w:rFonts w:hint="eastAsia"/>
                                        <w:szCs w:val="21"/>
                                      </w:rPr>
                                    </w:pPr>
                                    <w:r>
                                      <w:rPr>
                                        <w:rFonts w:hint="eastAsia"/>
                                        <w:szCs w:val="21"/>
                                      </w:rPr>
                                      <w:t>不合格</w:t>
                                    </w:r>
                                  </w:p>
                                </w:txbxContent>
                              </wps:txbx>
                              <wps:bodyPr upright="1"/>
                            </wps:wsp>
                            <wps:wsp>
                              <wps:cNvPr id="38" name="直接连接符 38"/>
                              <wps:cNvCnPr/>
                              <wps:spPr>
                                <a:xfrm flipH="1">
                                  <a:off x="1231900" y="2575560"/>
                                  <a:ext cx="3219450" cy="635"/>
                                </a:xfrm>
                                <a:prstGeom prst="line">
                                  <a:avLst/>
                                </a:prstGeom>
                                <a:ln w="9525" cap="flat" cmpd="sng">
                                  <a:solidFill>
                                    <a:srgbClr val="000000"/>
                                  </a:solidFill>
                                  <a:prstDash val="solid"/>
                                  <a:headEnd type="none" w="med" len="med"/>
                                  <a:tailEnd type="triangle" w="med" len="med"/>
                                </a:ln>
                              </wps:spPr>
                              <wps:bodyPr upright="1"/>
                            </wps:wsp>
                            <wps:wsp>
                              <wps:cNvPr id="39" name="矩形 39"/>
                              <wps:cNvSpPr/>
                              <wps:spPr>
                                <a:xfrm>
                                  <a:off x="3213100" y="2230755"/>
                                  <a:ext cx="800100" cy="335915"/>
                                </a:xfrm>
                                <a:prstGeom prst="rect">
                                  <a:avLst/>
                                </a:prstGeom>
                                <a:noFill/>
                                <a:ln>
                                  <a:noFill/>
                                </a:ln>
                              </wps:spPr>
                              <wps:txbx>
                                <w:txbxContent>
                                  <w:p>
                                    <w:pPr>
                                      <w:ind w:left="0" w:leftChars="0" w:firstLine="0" w:firstLineChars="0"/>
                                      <w:rPr>
                                        <w:rFonts w:hint="eastAsia"/>
                                        <w:szCs w:val="21"/>
                                      </w:rPr>
                                    </w:pPr>
                                    <w:r>
                                      <w:rPr>
                                        <w:rFonts w:hint="eastAsia"/>
                                        <w:szCs w:val="21"/>
                                      </w:rPr>
                                      <w:t>合格</w:t>
                                    </w:r>
                                  </w:p>
                                </w:txbxContent>
                              </wps:txbx>
                              <wps:bodyPr upright="1"/>
                            </wps:wsp>
                          </wpc:wpc>
                        </a:graphicData>
                      </a:graphic>
                    </wp:inline>
                  </w:drawing>
                </mc:Choice>
                <mc:Fallback>
                  <w:pict>
                    <v:group id="_x0000_s1026" o:spid="_x0000_s1026" o:spt="203" style="height:476.4pt;width:422.35pt;" coordsize="5363845,6050280" editas="canvas" o:gfxdata="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">
                      <o:lock v:ext="edit" aspectratio="f"/>
                      <v:shape id="_x0000_s1026" o:spid="_x0000_s1026" style="position:absolute;left:0;top:0;height:6050280;width:5363845;" filled="f" stroked="f" coordsize="21600,21600" o:gfxdata="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">
                        <v:fill on="f" focussize="0,0"/>
                        <v:stroke on="f"/>
                        <v:imagedata o:title=""/>
                        <o:lock v:ext="edit" aspectratio="t"/>
                      </v:shape>
                      <v:rect id="_x0000_s1026" o:spid="_x0000_s1026" o:spt="1" style="position:absolute;left:678815;top:9525;height:387985;width:591185;" fillcolor="#FFFFFF" filled="t" stroked="t" coordsize="21600,21600" o:gfxdata="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eTzX51QAAAAUBAAAPAAAAAAAAAAEAIAAAACIAAABkcnMv&#10;ZG93bnJldi54bWxQSwECFAAUAAAACACHTuJAFRjjqgYCAAAwBAAADgAAAAAAAAABACAAAAAkAQAA&#10;ZHJzL2Uyb0RvYy54bWxQSwUGAAAAAAYABgBZAQAAnAUAAAAA&#10;">
                        <v:fill on="t" focussize="0,0"/>
                        <v:stroke color="#000000" joinstyle="miter"/>
                        <v:imagedata o:title=""/>
                        <o:lock v:ext="edit" aspectratio="f"/>
                        <v:textbox>
                          <w:txbxContent>
                            <w:p>
                              <w:pPr>
                                <w:bidi w:val="0"/>
                                <w:ind w:left="0" w:leftChars="0" w:firstLine="0" w:firstLineChars="0"/>
                                <w:rPr>
                                  <w:rFonts w:hint="eastAsia"/>
                                </w:rPr>
                              </w:pPr>
                              <w:r>
                                <w:rPr>
                                  <w:rFonts w:hint="eastAsia"/>
                                </w:rPr>
                                <w:t>气源</w:t>
                              </w:r>
                            </w:p>
                          </w:txbxContent>
                        </v:textbox>
                      </v:rect>
                      <v:line id="_x0000_s1026" o:spid="_x0000_s1026" o:spt="20" style="position:absolute;left:927100;top:396240;flip:x;height:396875;width:1270;" filled="f" stroked="t" coordsize="21600,21600" o:gfxdata="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eNydg1gAAAAUBAAAPAAAAAAAAAAEAIAAA&#10;ACIAAABkcnMvZG93bnJldi54bWxQSwECFAAUAAAACACHTuJATm1x1g4CAAD+AwAADgAAAAAAAAAB&#10;ACAAAAAlAQAAZHJzL2Uyb0RvYy54bWxQSwUGAAAAAAYABgBZAQAApQUAAAAA&#10;">
                        <v:fill on="f" focussize="0,0"/>
                        <v:stroke color="#000000" joinstyle="round" endarrow="block"/>
                        <v:imagedata o:title=""/>
                        <o:lock v:ext="edit" aspectratio="f"/>
                      </v:line>
                      <v:rect id="_x0000_s1026" o:spid="_x0000_s1026" o:spt="1" style="position:absolute;left:469900;top:5647055;height:396240;width:913765;" fillcolor="#FFFFFF" filled="t" stroked="t" coordsize="21600,21600" o:gfxdata="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5PNfnVAAAABQEAAA8AAAAAAAAAAQAgAAAA&#10;IgAAAGRycy9kb3ducmV2LnhtbFBLAQIUABQAAAAIAIdO4kCAK3/2DgIAADMEAAAOAAAAAAAAAAEA&#10;IAAAACQBAABkcnMvZTJvRG9jLnhtbFBLBQYAAAAABgAGAFkBAACkBQAAAAA=&#10;">
                        <v:fill on="t" focussize="0,0"/>
                        <v:stroke color="#000000" joinstyle="miter"/>
                        <v:imagedata o:title=""/>
                        <o:lock v:ext="edit" aspectratio="f"/>
                        <v:textbox>
                          <w:txbxContent>
                            <w:p>
                              <w:pPr>
                                <w:bidi w:val="0"/>
                                <w:ind w:left="0" w:leftChars="0" w:firstLine="0" w:firstLineChars="0"/>
                                <w:rPr>
                                  <w:rFonts w:hint="eastAsia"/>
                                </w:rPr>
                              </w:pPr>
                              <w:r>
                                <w:rPr>
                                  <w:rFonts w:hint="eastAsia"/>
                                </w:rPr>
                                <w:t>气瓶发出</w:t>
                              </w:r>
                            </w:p>
                          </w:txbxContent>
                        </v:textbox>
                      </v:rect>
                      <v:rect id="_x0000_s1026" o:spid="_x0000_s1026" o:spt="1" style="position:absolute;left:2298700;top:1584960;height:396875;width:915035;" fillcolor="#FFFFFF" filled="t" stroked="t" coordsize="21600,21600" o:gfxdata="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J5PNfnVAAAABQEAAA8AAAAAAAAAAQAgAAAAIgAA&#10;AGRycy9kb3ducmV2LnhtbFBLAQIUABQAAAAIAIdO4kBLMuoqCwIAADQEAAAOAAAAAAAAAAEAIAAA&#10;ACQBAABkcnMvZTJvRG9jLnhtbFBLBQYAAAAABgAGAFkBAAChBQAAAAA=&#10;">
                        <v:fill on="t" focussize="0,0"/>
                        <v:stroke color="#000000" joinstyle="miter"/>
                        <v:imagedata o:title=""/>
                        <o:lock v:ext="edit" aspectratio="f"/>
                        <v:textbox>
                          <w:txbxContent>
                            <w:p>
                              <w:pPr>
                                <w:bidi w:val="0"/>
                                <w:ind w:left="0" w:leftChars="0" w:firstLine="240" w:firstLineChars="100"/>
                                <w:rPr>
                                  <w:rFonts w:hint="eastAsia"/>
                                </w:rPr>
                              </w:pPr>
                              <w:r>
                                <w:rPr>
                                  <w:rFonts w:hint="eastAsia"/>
                                </w:rPr>
                                <w:t>抽残液</w:t>
                              </w:r>
                            </w:p>
                            <w:p>
                              <w:pPr>
                                <w:ind w:firstLine="420" w:firstLineChars="150"/>
                                <w:rPr>
                                  <w:rFonts w:hint="eastAsia"/>
                                  <w:sz w:val="28"/>
                                  <w:szCs w:val="28"/>
                                </w:rPr>
                              </w:pPr>
                            </w:p>
                          </w:txbxContent>
                        </v:textbox>
                      </v:rect>
                      <v:rect id="_x0000_s1026" o:spid="_x0000_s1026" o:spt="1" style="position:absolute;left:2298700;top:792480;height:396875;width:915035;" fillcolor="#FFFFFF" filled="t" stroked="t" coordsize="21600,21600" o:gfxdata="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nk81+dUAAAAFAQAADwAAAAAAAAABACAAAAAiAAAA&#10;ZHJzL2Rvd25yZXYueG1sUEsBAhQAFAAAAAgAh07iQGXUFY0KAgAAMwQAAA4AAAAAAAAAAQAgAAAA&#10;JAEAAGRycy9lMm9Eb2MueG1sUEsFBgAAAAAGAAYAWQEAAKAFAAAAAA==&#10;">
                        <v:fill on="t" focussize="0,0"/>
                        <v:stroke color="#000000" joinstyle="miter"/>
                        <v:imagedata o:title=""/>
                        <o:lock v:ext="edit" aspectratio="f"/>
                        <v:textbox>
                          <w:txbxContent>
                            <w:p>
                              <w:pPr>
                                <w:bidi w:val="0"/>
                                <w:ind w:left="0" w:leftChars="0" w:firstLine="240" w:firstLineChars="100"/>
                                <w:rPr>
                                  <w:rFonts w:hint="eastAsia"/>
                                </w:rPr>
                              </w:pPr>
                              <w:r>
                                <w:rPr>
                                  <w:rFonts w:hint="eastAsia"/>
                                </w:rPr>
                                <w:t>检查</w:t>
                              </w:r>
                            </w:p>
                          </w:txbxContent>
                        </v:textbox>
                      </v:rect>
                      <v:rect id="_x0000_s1026" o:spid="_x0000_s1026" o:spt="1" style="position:absolute;left:679450;top:792480;height:357505;width:581025;" fillcolor="#FFFFFF" filled="t" stroked="t" coordsize="21600,21600" o:gfxdata="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nk81+dUAAAAFAQAADwAAAAAAAAABACAAAAAiAAAA&#10;ZHJzL2Rvd25yZXYueG1sUEsBAhQAFAAAAAgAh07iQHMjCAsKAgAAMgQAAA4AAAAAAAAAAQAgAAAA&#10;JAEAAGRycy9lMm9Eb2MueG1sUEsFBgAAAAAGAAYAWQEAAKAFAAAAAA==&#10;">
                        <v:fill on="t" focussize="0,0"/>
                        <v:stroke color="#000000" joinstyle="miter"/>
                        <v:imagedata o:title=""/>
                        <o:lock v:ext="edit" aspectratio="f"/>
                        <v:textbox>
                          <w:txbxContent>
                            <w:p>
                              <w:pPr>
                                <w:bidi w:val="0"/>
                                <w:ind w:left="0" w:leftChars="0" w:firstLine="0" w:firstLineChars="0"/>
                                <w:rPr>
                                  <w:rFonts w:hint="eastAsia"/>
                                </w:rPr>
                              </w:pPr>
                              <w:r>
                                <w:rPr>
                                  <w:rFonts w:hint="eastAsia"/>
                                </w:rPr>
                                <w:t>卸车</w:t>
                              </w:r>
                            </w:p>
                          </w:txbxContent>
                        </v:textbox>
                      </v:rect>
                      <v:rect id="_x0000_s1026" o:spid="_x0000_s1026" o:spt="1" style="position:absolute;left:697865;top:1584960;height:377825;width:562610;" fillcolor="#FFFFFF" filled="t" stroked="t" coordsize="21600,21600" o:gfxdata="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nk81+dUAAAAFAQAADwAAAAAAAAABACAAAAAiAAAA&#10;ZHJzL2Rvd25yZXYueG1sUEsBAhQAFAAAAAgAh07iQIQNEY0KAgAAMwQAAA4AAAAAAAAAAQAgAAAA&#10;JAEAAGRycy9lMm9Eb2MueG1sUEsFBgAAAAAGAAYAWQEAAKAFAAAAAA==&#10;">
                        <v:fill on="t" focussize="0,0"/>
                        <v:stroke color="#000000" joinstyle="miter"/>
                        <v:imagedata o:title=""/>
                        <o:lock v:ext="edit" aspectratio="f"/>
                        <v:textbox>
                          <w:txbxContent>
                            <w:p>
                              <w:pPr>
                                <w:bidi w:val="0"/>
                                <w:ind w:left="0" w:leftChars="0" w:firstLine="0" w:firstLineChars="0"/>
                                <w:rPr>
                                  <w:rFonts w:hint="eastAsia"/>
                                </w:rPr>
                              </w:pPr>
                              <w:r>
                                <w:rPr>
                                  <w:rFonts w:hint="eastAsia"/>
                                </w:rPr>
                                <w:t>储存</w:t>
                              </w:r>
                            </w:p>
                          </w:txbxContent>
                        </v:textbox>
                      </v:rect>
                      <v:rect id="_x0000_s1026" o:spid="_x0000_s1026" o:spt="1" style="position:absolute;left:678815;top:2377440;height:416560;width:552450;" fillcolor="#FFFFFF" filled="t" stroked="t" coordsize="21600,21600" o:gfxdata="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eTzX51QAAAAUBAAAPAAAAAAAAAAEAIAAA&#10;ACIAAABkcnMvZG93bnJldi54bWxQSwECFAAUAAAACACHTuJAhQAOBQ8CAAA1BAAADgAAAAAAAAAB&#10;ACAAAAAkAQAAZHJzL2Uyb0RvYy54bWxQSwUGAAAAAAYABgBZAQAApQUAAAAA&#10;">
                        <v:fill on="t" focussize="0,0"/>
                        <v:stroke color="#000000" joinstyle="miter"/>
                        <v:imagedata o:title=""/>
                        <o:lock v:ext="edit" aspectratio="f"/>
                        <v:textbox>
                          <w:txbxContent>
                            <w:p>
                              <w:pPr>
                                <w:bidi w:val="0"/>
                                <w:ind w:left="0" w:leftChars="0" w:firstLine="0" w:firstLineChars="0"/>
                                <w:rPr>
                                  <w:rFonts w:hint="eastAsia"/>
                                </w:rPr>
                              </w:pPr>
                              <w:r>
                                <w:rPr>
                                  <w:rFonts w:hint="eastAsia"/>
                                </w:rPr>
                                <w:t>充装</w:t>
                              </w:r>
                            </w:p>
                          </w:txbxContent>
                        </v:textbox>
                      </v:rect>
                      <v:rect id="_x0000_s1026" o:spid="_x0000_s1026" o:spt="1" style="position:absolute;left:717550;top:3169920;height:387350;width:513715;" fillcolor="#FFFFFF" filled="t" stroked="t" coordsize="21600,21600" o:gfxdata="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nk81+dUAAAAFAQAADwAAAAAAAAABACAAAAAiAAAA&#10;ZHJzL2Rvd25yZXYueG1sUEsBAhQAFAAAAAgAh07iQJ+1ktUKAgAANQQAAA4AAAAAAAAAAQAgAAAA&#10;JAEAAGRycy9lMm9Eb2MueG1sUEsFBgAAAAAGAAYAWQEAAKAFAAAAAA==&#10;">
                        <v:fill on="t" focussize="0,0"/>
                        <v:stroke color="#000000" joinstyle="miter"/>
                        <v:imagedata o:title=""/>
                        <o:lock v:ext="edit" aspectratio="f"/>
                        <v:textbox>
                          <w:txbxContent>
                            <w:p>
                              <w:pPr>
                                <w:bidi w:val="0"/>
                                <w:ind w:left="0" w:leftChars="0" w:firstLine="0" w:firstLineChars="0"/>
                                <w:rPr>
                                  <w:rFonts w:hint="eastAsia"/>
                                </w:rPr>
                              </w:pPr>
                              <w:r>
                                <w:rPr>
                                  <w:rFonts w:hint="eastAsia"/>
                                </w:rPr>
                                <w:t>试漏</w:t>
                              </w:r>
                            </w:p>
                          </w:txbxContent>
                        </v:textbox>
                      </v:rect>
                      <v:rect id="_x0000_s1026" o:spid="_x0000_s1026" o:spt="1" style="position:absolute;left:717550;top:3962400;height:396875;width:553085;" fillcolor="#FFFFFF" filled="t" stroked="t" coordsize="21600,21600" o:gfxdata="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nk81+dUAAAAFAQAADwAAAAAAAAABACAAAAAiAAAA&#10;ZHJzL2Rvd25yZXYueG1sUEsBAhQAFAAAAAgAh07iQN9jO5kKAgAANQQAAA4AAAAAAAAAAQAgAAAA&#10;JAEAAGRycy9lMm9Eb2MueG1sUEsFBgAAAAAGAAYAWQEAAKAFAAAAAA==&#10;">
                        <v:fill on="t" focussize="0,0"/>
                        <v:stroke color="#000000" joinstyle="miter"/>
                        <v:imagedata o:title=""/>
                        <o:lock v:ext="edit" aspectratio="f"/>
                        <v:textbox>
                          <w:txbxContent>
                            <w:p>
                              <w:pPr>
                                <w:bidi w:val="0"/>
                                <w:ind w:left="0" w:leftChars="0" w:firstLine="0" w:firstLineChars="0"/>
                                <w:rPr>
                                  <w:rFonts w:hint="eastAsia"/>
                                </w:rPr>
                              </w:pPr>
                              <w:r>
                                <w:rPr>
                                  <w:rFonts w:hint="eastAsia"/>
                                </w:rPr>
                                <w:t>复称</w:t>
                              </w:r>
                            </w:p>
                          </w:txbxContent>
                        </v:textbox>
                      </v:rect>
                      <v:rect id="_x0000_s1026" o:spid="_x0000_s1026" o:spt="1" style="position:absolute;left:422275;top:4755515;height:485140;width:1105535;" fillcolor="#FFFFFF" filled="t" stroked="t" coordsize="21600,21600" o:gfxdata="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5PNfnVAAAABQEAAA8AAAAAAAAAAQAgAAAA&#10;IgAAAGRycy9kb3ducmV2LnhtbFBLAQIUABQAAAAIAIdO4kDm1DCPDgIAADYEAAAOAAAAAAAAAAEA&#10;IAAAACQBAABkcnMvZTJvRG9jLnhtbFBLBQYAAAAABgAGAFkBAACkBQAAAAA=&#10;">
                        <v:fill on="t" focussize="0,0"/>
                        <v:stroke color="#000000" joinstyle="miter"/>
                        <v:imagedata o:title=""/>
                        <o:lock v:ext="edit" aspectratio="f"/>
                        <v:textbox>
                          <w:txbxContent>
                            <w:p>
                              <w:pPr>
                                <w:pStyle w:val="29"/>
                                <w:bidi w:val="0"/>
                                <w:rPr>
                                  <w:rFonts w:hint="eastAsia"/>
                                </w:rPr>
                              </w:pPr>
                              <w:r>
                                <w:rPr>
                                  <w:rFonts w:hint="eastAsia"/>
                                </w:rPr>
                                <w:t>粘贴警示标签</w:t>
                              </w:r>
                            </w:p>
                            <w:p>
                              <w:pPr>
                                <w:pStyle w:val="29"/>
                                <w:bidi w:val="0"/>
                                <w:rPr>
                                  <w:rFonts w:hint="eastAsia"/>
                                </w:rPr>
                              </w:pPr>
                              <w:r>
                                <w:rPr>
                                  <w:rFonts w:hint="eastAsia"/>
                                </w:rPr>
                                <w:t>和充装合格证</w:t>
                              </w:r>
                            </w:p>
                          </w:txbxContent>
                        </v:textbox>
                      </v:rect>
                      <v:line id="_x0000_s1026" o:spid="_x0000_s1026" o:spt="20" style="position:absolute;left:927100;top:1188720;flip:x;height:396240;width:1270;" filled="f" stroked="t" coordsize="21600,21600" o:gfxdata="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Nydg1gAAAAUBAAAPAAAAAAAA&#10;AAEAIAAAACIAAABkcnMvZG93bnJldi54bWxQSwECFAAUAAAACACHTuJARuvQChQCAAABBAAADgAA&#10;AAAAAAABACAAAAAlAQAAZHJzL2Uyb0RvYy54bWxQSwUGAAAAAAYABgBZAQAAqwUAAAAA&#10;">
                        <v:fill on="f" focussize="0,0"/>
                        <v:stroke color="#000000" joinstyle="round" endarrow="block"/>
                        <v:imagedata o:title=""/>
                        <o:lock v:ext="edit" aspectratio="f"/>
                      </v:line>
                      <v:line id="_x0000_s1026" o:spid="_x0000_s1026" o:spt="20" style="position:absolute;left:927100;top:2774315;flip:x;height:394970;width:1270;" filled="f" stroked="t" coordsize="21600,21600" o:gfxdata="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eNydg1gAAAAUBAAAPAAAAAAAAAAEA&#10;IAAAACIAAABkcnMvZG93bnJldi54bWxQSwECFAAUAAAACACHTuJAecs5ZBECAAABBAAADgAAAAAA&#10;AAABACAAAAAlAQAAZHJzL2Uyb0RvYy54bWxQSwUGAAAAAAYABgBZAQAAqAUAAAAA&#10;">
                        <v:fill on="f" focussize="0,0"/>
                        <v:stroke color="#000000" joinstyle="round" endarrow="block"/>
                        <v:imagedata o:title=""/>
                        <o:lock v:ext="edit" aspectratio="f"/>
                      </v:line>
                      <v:line id="_x0000_s1026" o:spid="_x0000_s1026" o:spt="20" style="position:absolute;left:927100;top:3566795;flip:x;height:394970;width:1270;" filled="f" stroked="t" coordsize="21600,21600" o:gfxdata="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eNydg1gAAAAUBAAAPAAAAAAAAAAEA&#10;IAAAACIAAABkcnMvZG93bnJldi54bWxQSwECFAAUAAAACACHTuJAq7iD+RECAAABBAAADgAAAAAA&#10;AAABACAAAAAlAQAAZHJzL2Uyb0RvYy54bWxQSwUGAAAAAAYABgBZAQAAqAUAAAAA&#10;">
                        <v:fill on="f" focussize="0,0"/>
                        <v:stroke color="#000000" joinstyle="round" endarrow="block"/>
                        <v:imagedata o:title=""/>
                        <o:lock v:ext="edit" aspectratio="f"/>
                      </v:line>
                      <v:line id="_x0000_s1026" o:spid="_x0000_s1026" o:spt="20" style="position:absolute;left:927100;top:1981835;flip:x;height:396240;width:1270;" filled="f" stroked="t" coordsize="21600,21600" o:gfxdata="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HjcnYNYAAAAFAQAADwAAAAAA&#10;AAABACAAAAAiAAAAZHJzL2Rvd25yZXYueG1sUEsBAhQAFAAAAAgAh07iQOy0dEEVAgAAAQQAAA4A&#10;AAAAAAAAAQAgAAAAJQEAAGRycy9lMm9Eb2MueG1sUEsFBgAAAAAGAAYAWQEAAKwFAAAAAA==&#10;">
                        <v:fill on="f" focussize="0,0"/>
                        <v:stroke color="#000000" joinstyle="round" endarrow="block"/>
                        <v:imagedata o:title=""/>
                        <o:lock v:ext="edit" aspectratio="f"/>
                      </v:line>
                      <v:line id="_x0000_s1026" o:spid="_x0000_s1026" o:spt="20" style="position:absolute;left:927100;top:4359275;flip:x;height:394970;width:1270;" filled="f" stroked="t" coordsize="21600,21600" o:gfxdata="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eNydg1gAAAAUBAAAPAAAAAAAAAAEA&#10;IAAAACIAAABkcnMvZG93bnJldi54bWxQSwECFAAUAAAACACHTuJALv2OLBECAAABBAAADgAAAAAA&#10;AAABACAAAAAlAQAAZHJzL2Uyb0RvYy54bWxQSwUGAAAAAAYABgBZAQAAqAUAAAAA&#10;">
                        <v:fill on="f" focussize="0,0"/>
                        <v:stroke color="#000000" joinstyle="round" endarrow="block"/>
                        <v:imagedata o:title=""/>
                        <o:lock v:ext="edit" aspectratio="f"/>
                      </v:line>
                      <v:line id="_x0000_s1026" o:spid="_x0000_s1026" o:spt="20" style="position:absolute;left:2755900;top:396240;flip:x;height:396875;width:635;" filled="f" stroked="t" coordsize="21600,21600" o:gfxdata="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43J2DWAAAABQEAAA8AAAAAAAAAAQAg&#10;AAAAIgAAAGRycy9kb3ducmV2LnhtbFBLAQIUABQAAAAIAIdO4kCLQ7SXEAIAAAAEAAAOAAAAAAAA&#10;AAEAIAAAACUBAABkcnMvZTJvRG9jLnhtbFBLBQYAAAAABgAGAFkBAACnBQAAAAA=&#10;">
                        <v:fill on="f" focussize="0,0"/>
                        <v:stroke color="#000000" joinstyle="round" endarrow="block"/>
                        <v:imagedata o:title=""/>
                        <o:lock v:ext="edit" aspectratio="f"/>
                      </v:line>
                      <v:line id="_x0000_s1026" o:spid="_x0000_s1026" o:spt="20" style="position:absolute;left:2755900;top:1188720;flip:x;height:396240;width:635;" filled="f" stroked="t" coordsize="21600,21600" o:gfxdata="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B43J2DWAAAABQEAAA8AAAAAAAAA&#10;AQAgAAAAIgAAAGRycy9kb3ducmV2LnhtbFBLAQIUABQAAAAIAIdO4kBvFZl0EwIAAAEEAAAOAAAA&#10;AAAAAAEAIAAAACUBAABkcnMvZTJvRG9jLnhtbFBLBQYAAAAABgAGAFkBAACqBQAAAAA=&#10;">
                        <v:fill on="f" focussize="0,0"/>
                        <v:stroke color="#000000" joinstyle="round" endarrow="block"/>
                        <v:imagedata o:title=""/>
                        <o:lock v:ext="edit" aspectratio="f"/>
                      </v:line>
                      <v:line id="_x0000_s1026" o:spid="_x0000_s1026" o:spt="20" style="position:absolute;left:927100;top:5250180;flip:x;height:396875;width:1270;" filled="f" stroked="t" coordsize="21600,21600" o:gfxdata="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eNydg1gAAAAUBAAAPAAAAAAAAAAEA&#10;IAAAACIAAABkcnMvZG93bnJldi54bWxQSwECFAAUAAAACACHTuJAqYntWhECAAABBAAADgAAAAAA&#10;AAABACAAAAAlAQAAZHJzL2Uyb0RvYy54bWxQSwUGAAAAAAYABgBZAQAAqAUAAAAA&#10;">
                        <v:fill on="f" focussize="0,0"/>
                        <v:stroke color="#000000" joinstyle="round" endarrow="block"/>
                        <v:imagedata o:title=""/>
                        <o:lock v:ext="edit" aspectratio="f"/>
                      </v:line>
                      <v:rect id="_x0000_s1026" o:spid="_x0000_s1026" o:spt="1" style="position:absolute;left:2298700;top:3169920;height:396875;width:914400;" fillcolor="#FFFFFF" filled="t" stroked="t" coordsize="21600,21600" o:gfxdata="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J5PNfnVAAAABQEAAA8AAAAAAAAAAQAgAAAAIgAA&#10;AGRycy9kb3ducmV2LnhtbFBLAQIUABQAAAAIAIdO4kBTtOOBCwIAADYEAAAOAAAAAAAAAAEAIAAA&#10;ACQBAABkcnMvZTJvRG9jLnhtbFBLBQYAAAAABgAGAFkBAAChBQAAAAA=&#10;">
                        <v:fill on="t" focussize="0,0"/>
                        <v:stroke color="#000000" joinstyle="miter"/>
                        <v:imagedata o:title=""/>
                        <o:lock v:ext="edit" aspectratio="f"/>
                        <v:textbox>
                          <w:txbxContent>
                            <w:p>
                              <w:pPr>
                                <w:bidi w:val="0"/>
                                <w:ind w:left="0" w:leftChars="0" w:firstLine="0" w:firstLineChars="0"/>
                                <w:rPr>
                                  <w:rFonts w:hint="eastAsia"/>
                                </w:rPr>
                              </w:pPr>
                              <w:r>
                                <w:rPr>
                                  <w:rFonts w:hint="eastAsia"/>
                                </w:rPr>
                                <w:t>更新阀垫</w:t>
                              </w:r>
                            </w:p>
                          </w:txbxContent>
                        </v:textbox>
                      </v:rect>
                      <v:rect id="_x0000_s1026" o:spid="_x0000_s1026" o:spt="1" style="position:absolute;left:4451350;top:3646170;height:396875;width:857250;" fillcolor="#FFFFFF" filled="t" stroked="t" coordsize="21600,21600" o:gfxdata="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eTzX51QAAAAUBAAAPAAAAAAAAAAEAIAAAACIA&#10;AABkcnMvZG93bnJldi54bWxQSwECFAAUAAAACACHTuJAUByK5gwCAAA2BAAADgAAAAAAAAABACAA&#10;AAAkAQAAZHJzL2Uyb0RvYy54bWxQSwUGAAAAAAYABgBZAQAAogUAAAAA&#10;">
                        <v:fill on="t" focussize="0,0"/>
                        <v:stroke color="#000000" joinstyle="miter"/>
                        <v:imagedata o:title=""/>
                        <o:lock v:ext="edit" aspectratio="f"/>
                        <v:textbox>
                          <w:txbxContent>
                            <w:p>
                              <w:pPr>
                                <w:bidi w:val="0"/>
                                <w:ind w:left="0" w:leftChars="0" w:firstLine="0" w:firstLineChars="0"/>
                                <w:rPr>
                                  <w:rFonts w:hint="eastAsia"/>
                                </w:rPr>
                              </w:pPr>
                              <w:r>
                                <w:rPr>
                                  <w:rFonts w:hint="eastAsia"/>
                                </w:rPr>
                                <w:t>报废处理</w:t>
                              </w:r>
                            </w:p>
                          </w:txbxContent>
                        </v:textbox>
                      </v:rect>
                      <v:rect id="_x0000_s1026" o:spid="_x0000_s1026" o:spt="1" style="position:absolute;left:3517265;top:341630;height:610870;width:1448435;" fillcolor="#FFFFFF" filled="t" stroked="t" coordsize="21600,21600" o:gfxdata="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w1TgitUAAAAFAQAADwAAAAAAAAABACAAAAAiAAAA&#10;ZHJzL2Rvd25yZXYueG1sUEsBAhQAFAAAAAgAh07iQC0HiAUKAgAANgQAAA4AAAAAAAAAAQAgAAAA&#10;JAEAAGRycy9lMm9Eb2MueG1sUEsFBgAAAAAGAAYAWQEAAKAFAAAAAA==&#10;">
                        <v:fill on="t" focussize="0,0"/>
                        <v:stroke color="#FFFFFF" joinstyle="miter"/>
                        <v:imagedata o:title=""/>
                        <o:lock v:ext="edit" aspectratio="f"/>
                        <v:textbox>
                          <w:txbxContent>
                            <w:p>
                              <w:pPr>
                                <w:bidi w:val="0"/>
                                <w:ind w:left="0" w:leftChars="0" w:firstLine="0" w:firstLineChars="0"/>
                                <w:rPr>
                                  <w:rFonts w:hint="eastAsia"/>
                                </w:rPr>
                              </w:pPr>
                              <w:r>
                                <w:rPr>
                                  <w:rFonts w:hint="eastAsia"/>
                                </w:rPr>
                                <w:t>超期使用或超期未检等不合格者</w:t>
                              </w:r>
                            </w:p>
                          </w:txbxContent>
                        </v:textbox>
                      </v:rect>
                      <v:rect id="_x0000_s1026" o:spid="_x0000_s1026" o:spt="1" style="position:absolute;left:4470400;top:2377440;height:396875;width:951865;" fillcolor="#FFFFFF" filled="t" stroked="t" coordsize="21600,21600" o:gfxdata="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5PNfnVAAAABQEAAA8AAAAAAAAAAQAgAAAA&#10;IgAAAGRycy9kb3ducmV2LnhtbFBLAQIUABQAAAAIAIdO4kAqslnBDgIAADYEAAAOAAAAAAAAAAEA&#10;IAAAACQBAABkcnMvZTJvRG9jLnhtbFBLBQYAAAAABgAGAFkBAACkBQAAAAA=&#10;">
                        <v:fill on="t" focussize="0,0"/>
                        <v:stroke color="#000000" joinstyle="miter"/>
                        <v:imagedata o:title=""/>
                        <o:lock v:ext="edit" aspectratio="f"/>
                        <v:textbox>
                          <w:txbxContent>
                            <w:p>
                              <w:pPr>
                                <w:bidi w:val="0"/>
                                <w:ind w:left="0" w:leftChars="0" w:firstLine="240" w:firstLineChars="100"/>
                                <w:rPr>
                                  <w:rFonts w:hint="eastAsia"/>
                                </w:rPr>
                              </w:pPr>
                              <w:r>
                                <w:rPr>
                                  <w:rFonts w:hint="eastAsia"/>
                                </w:rPr>
                                <w:t>检验</w:t>
                              </w:r>
                            </w:p>
                          </w:txbxContent>
                        </v:textbox>
                      </v:rect>
                      <v:rect id="_x0000_s1026" o:spid="_x0000_s1026" o:spt="1" style="position:absolute;left:2298700;top:0;height:399415;width:915035;" fillcolor="#FFFFFF" filled="t" stroked="t" coordsize="21600,21600" o:gfxdata="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eTzX51QAAAAUBAAAPAAAAAAAAAAEAIAAAACIAAABkcnMv&#10;ZG93bnJldi54bWxQSwECFAAUAAAACACHTuJA8N4BUwYCAAAwBAAADgAAAAAAAAABACAAAAAkAQAA&#10;ZHJzL2Uyb0RvYy54bWxQSwUGAAAAAAYABgBZAQAAnAUAAAAA&#10;">
                        <v:fill on="t" focussize="0,0"/>
                        <v:stroke color="#000000" joinstyle="miter"/>
                        <v:imagedata o:title=""/>
                        <o:lock v:ext="edit" aspectratio="f"/>
                        <v:textbox>
                          <w:txbxContent>
                            <w:p>
                              <w:pPr>
                                <w:bidi w:val="0"/>
                                <w:ind w:left="0" w:leftChars="0" w:firstLine="0" w:firstLineChars="0"/>
                                <w:rPr>
                                  <w:rFonts w:hint="eastAsia"/>
                                </w:rPr>
                              </w:pPr>
                              <w:r>
                                <w:rPr>
                                  <w:rFonts w:hint="eastAsia"/>
                                </w:rPr>
                                <w:t>气瓶收进</w:t>
                              </w:r>
                            </w:p>
                          </w:txbxContent>
                        </v:textbox>
                      </v:rect>
                      <v:line id="_x0000_s1026" o:spid="_x0000_s1026" o:spt="20" style="position:absolute;left:3213735;top:990600;height:635;width:1713865;" filled="f" stroked="t" coordsize="21600,21600" o:gfxdata="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lKxFT1gAAAAUBAAAPAAAAAAAAAAEAIAAAACIAAABkcnMvZG93&#10;bnJldi54bWxQSwECFAAUAAAACACHTuJAS5L5lAICAADzAwAADgAAAAAAAAABACAAAAAlAQAAZHJz&#10;L2Uyb0RvYy54bWxQSwUGAAAAAAYABgBZAQAAmQUAAAAA&#10;">
                        <v:fill on="f" focussize="0,0"/>
                        <v:stroke color="#000000" joinstyle="round"/>
                        <v:imagedata o:title=""/>
                        <o:lock v:ext="edit" aspectratio="f"/>
                      </v:line>
                      <v:line id="_x0000_s1026" o:spid="_x0000_s1026" o:spt="20" style="position:absolute;left:2755900;top:1981835;height:594360;width:635;" filled="f" stroked="t" coordsize="21600,21600" o:gfxdata="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lKxFT1gAAAAUBAAAPAAAAAAAAAAEAIAAAACIAAABkcnMv&#10;ZG93bnJldi54bWxQSwECFAAUAAAACACHTuJAbbTaSwUCAADzAwAADgAAAAAAAAABACAAAAAlAQAA&#10;ZHJzL2Uyb0RvYy54bWxQSwUGAAAAAAYABgBZAQAAnAUAAAAA&#10;">
                        <v:fill on="f" focussize="0,0"/>
                        <v:stroke color="#000000" joinstyle="round"/>
                        <v:imagedata o:title=""/>
                        <o:lock v:ext="edit" aspectratio="f"/>
                      </v:line>
                      <v:line id="_x0000_s1026" o:spid="_x0000_s1026" o:spt="20" style="position:absolute;left:4927600;top:990600;height:1386840;width:0;" filled="f" stroked="t" coordsize="21600,21600" o:gfxdata="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ZfsjPYAAAABQEAAA8AAAAAAAAAAQAgAAAAIgAA&#10;AGRycy9kb3ducmV2LnhtbFBLAQIUABQAAAAIAIdO4kC+OB03CAIAAPUDAAAOAAAAAAAAAAEAIAAA&#10;ACcBAABkcnMvZTJvRG9jLnhtbFBLBQYAAAAABgAGAFkBAAChBQAAAAA=&#10;">
                        <v:fill on="f" focussize="0,0"/>
                        <v:stroke color="#000000" joinstyle="round" endarrow="block"/>
                        <v:imagedata o:title=""/>
                        <o:lock v:ext="edit" aspectratio="f"/>
                      </v:line>
                      <v:line id="_x0000_s1026" o:spid="_x0000_s1026" o:spt="20" style="position:absolute;left:4927600;top:2774315;height:890905;width:635;" filled="f" stroked="t" coordsize="21600,21600" o:gfxdata="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1l+yM9gAAAAFAQAADwAAAAAAAAABACAA&#10;AAAiAAAAZHJzL2Rvd25yZXYueG1sUEsBAhQAFAAAAAgAh07iQFpSVC4NAgAA9wMAAA4AAAAAAAAA&#10;AQAgAAAAJwEAAGRycy9lMm9Eb2MueG1sUEsFBgAAAAAGAAYAWQEAAKYFAAAAAA==&#10;">
                        <v:fill on="f" focussize="0,0"/>
                        <v:stroke color="#000000" joinstyle="round" endarrow="block"/>
                        <v:imagedata o:title=""/>
                        <o:lock v:ext="edit" aspectratio="f"/>
                      </v:line>
                      <v:rect id="_x0000_s1026" o:spid="_x0000_s1026" o:spt="1" style="position:absolute;left:5042535;top:2873375;height:713105;width:342265;" fillcolor="#FFFFFF" filled="t" stroked="t" coordsize="21600,21600" o:gfxdata="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MNU4IrVAAAABQEAAA8AAAAAAAAAAQAgAAAAIgAA&#10;AGRycy9kb3ducmV2LnhtbFBLAQIUABQAAAAIAIdO4kAFamOjCwIAADYEAAAOAAAAAAAAAAEAIAAA&#10;ACQBAABkcnMvZTJvRG9jLnhtbFBLBQYAAAAABgAGAFkBAAChBQAAAAA=&#10;">
                        <v:fill on="t" focussize="0,0"/>
                        <v:stroke color="#FFFFFF" joinstyle="miter"/>
                        <v:imagedata o:title=""/>
                        <o:lock v:ext="edit" aspectratio="f"/>
                        <v:textbox>
                          <w:txbxContent>
                            <w:p>
                              <w:pPr>
                                <w:pStyle w:val="29"/>
                                <w:bidi w:val="0"/>
                                <w:rPr>
                                  <w:rFonts w:hint="eastAsia"/>
                                </w:rPr>
                              </w:pPr>
                              <w:r>
                                <w:rPr>
                                  <w:rFonts w:hint="eastAsia"/>
                                  <w:lang w:eastAsia="zh-CN"/>
                                </w:rPr>
                                <w:t>不</w:t>
                              </w:r>
                              <w:r>
                                <w:rPr>
                                  <w:rFonts w:hint="eastAsia"/>
                                </w:rPr>
                                <w:t>合格</w:t>
                              </w:r>
                            </w:p>
                          </w:txbxContent>
                        </v:textbox>
                      </v:rect>
                      <v:rect id="_x0000_s1026" o:spid="_x0000_s1026" o:spt="1" style="position:absolute;left:1498600;top:3070860;height:394970;width:685800;" fillcolor="#FFFFFF" filled="t" stroked="t" coordsize="21600,21600" o:gfxdata="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DVOCK1QAAAAUBAAAPAAAAAAAAAAEAIAAAACIAAABk&#10;cnMvZG93bnJldi54bWxQSwECFAAUAAAACACHTuJA/d2kyAkCAAA2BAAADgAAAAAAAAABACAAAAAk&#10;AQAAZHJzL2Uyb0RvYy54bWxQSwUGAAAAAAYABgBZAQAAnwUAAAAA&#10;">
                        <v:fill on="t" focussize="0,0"/>
                        <v:stroke color="#FFFFFF" joinstyle="miter"/>
                        <v:imagedata o:title=""/>
                        <o:lock v:ext="edit" aspectratio="f"/>
                        <v:textbox>
                          <w:txbxContent>
                            <w:p>
                              <w:pPr>
                                <w:ind w:left="0" w:leftChars="0" w:firstLine="0" w:firstLineChars="0"/>
                                <w:rPr>
                                  <w:rFonts w:hint="eastAsia"/>
                                  <w:szCs w:val="21"/>
                                </w:rPr>
                              </w:pPr>
                              <w:r>
                                <w:rPr>
                                  <w:rFonts w:hint="eastAsia"/>
                                  <w:szCs w:val="21"/>
                                </w:rPr>
                                <w:t>不合格</w:t>
                              </w:r>
                            </w:p>
                          </w:txbxContent>
                        </v:textbox>
                      </v:rect>
                      <v:line id="_x0000_s1026" o:spid="_x0000_s1026" o:spt="20" style="position:absolute;left:1289050;top:3368675;height:635;width:1009650;" filled="f" stroked="t" coordsize="21600,21600" o:gfxdata="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NZfsjPYAAAABQEAAA8AAAAAAAAAAQAgAAAA&#10;IgAAAGRycy9kb3ducmV2LnhtbFBLAQIUABQAAAAIAIdO4kBhNRVYCwIAAPgDAAAOAAAAAAAAAAEA&#10;IAAAACcBAABkcnMvZTJvRG9jLnhtbFBLBQYAAAAABgAGAFkBAACkBQAAAAA=&#10;">
                        <v:fill on="f" focussize="0,0"/>
                        <v:stroke color="#000000" joinstyle="round" endarrow="block"/>
                        <v:imagedata o:title=""/>
                        <o:lock v:ext="edit" aspectratio="f"/>
                      </v:line>
                      <v:line id="_x0000_s1026" o:spid="_x0000_s1026" o:spt="20" style="position:absolute;left:1289685;top:4151630;height:10160;width:1922780;" filled="f" stroked="t" coordsize="21600,21600" o:gfxdata="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WX7Iz2AAAAAUBAAAPAAAAAAAAAAEA&#10;IAAAACIAAABkcnMvZG93bnJldi54bWxQSwECFAAUAAAACACHTuJA6x3eoQ8CAAD6AwAADgAAAAAA&#10;AAABACAAAAAnAQAAZHJzL2Uyb0RvYy54bWxQSwUGAAAAAAYABgBZAQAAqAUAAAAA&#10;">
                        <v:fill on="f" focussize="0,0"/>
                        <v:stroke color="#000000" joinstyle="round" endarrow="block"/>
                        <v:imagedata o:title=""/>
                        <o:lock v:ext="edit" aspectratio="f"/>
                      </v:line>
                      <v:rect id="_x0000_s1026" o:spid="_x0000_s1026" o:spt="1" style="position:absolute;left:3213100;top:3962400;height:396875;width:914400;" fillcolor="#FFFFFF" filled="t" stroked="t" coordsize="21600,21600" o:gfxdata="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&#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5PNfnVAAAABQEAAA8AAAAAAAAAAQAgAAAAIgAAAGRy&#10;cy9kb3ducmV2LnhtbFBLAQIUABQAAAAIAIdO4kDTTqGKCAIAADYEAAAOAAAAAAAAAAEAIAAAACQB&#10;AABkcnMvZTJvRG9jLnhtbFBLBQYAAAAABgAGAFkBAACeBQAAAAA=&#10;">
                        <v:fill on="t" focussize="0,0"/>
                        <v:stroke color="#000000" joinstyle="miter"/>
                        <v:imagedata o:title=""/>
                        <o:lock v:ext="edit" aspectratio="f"/>
                        <v:textbox>
                          <w:txbxContent>
                            <w:p>
                              <w:pPr>
                                <w:bidi w:val="0"/>
                                <w:ind w:left="0" w:leftChars="0" w:firstLine="0" w:firstLineChars="0"/>
                                <w:rPr>
                                  <w:rFonts w:hint="eastAsia"/>
                                </w:rPr>
                              </w:pPr>
                              <w:r>
                                <w:rPr>
                                  <w:rFonts w:hint="eastAsia"/>
                                </w:rPr>
                                <w:t>妥善处理</w:t>
                              </w:r>
                            </w:p>
                            <w:p>
                              <w:pPr>
                                <w:rPr>
                                  <w:rFonts w:hint="eastAsia"/>
                                  <w:szCs w:val="28"/>
                                </w:rPr>
                              </w:pPr>
                            </w:p>
                          </w:txbxContent>
                        </v:textbox>
                      </v:rect>
                      <v:rect id="_x0000_s1026" o:spid="_x0000_s1026" o:spt="1" style="position:absolute;left:1955800;top:3764280;height:327025;width:799465;" fillcolor="#FFFFFF" filled="t" stroked="t" coordsize="21600,21600" o:gfxdata="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&#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MNU4IrVAAAABQEAAA8AAAAAAAAAAQAgAAAAIgAAAGRy&#10;cy9kb3ducmV2LnhtbFBLAQIUABQAAAAIAIdO4kD0S7BcCAIAADYEAAAOAAAAAAAAAAEAIAAAACQB&#10;AABkcnMvZTJvRG9jLnhtbFBLBQYAAAAABgAGAFkBAACeBQAAAAA=&#10;">
                        <v:fill on="t" focussize="0,0"/>
                        <v:stroke color="#FFFFFF" joinstyle="miter"/>
                        <v:imagedata o:title=""/>
                        <o:lock v:ext="edit" aspectratio="f"/>
                        <v:textbox>
                          <w:txbxContent>
                            <w:p>
                              <w:pPr>
                                <w:ind w:left="0" w:leftChars="0" w:firstLine="0" w:firstLineChars="0"/>
                                <w:rPr>
                                  <w:rFonts w:hint="eastAsia"/>
                                  <w:szCs w:val="21"/>
                                </w:rPr>
                              </w:pPr>
                              <w:r>
                                <w:rPr>
                                  <w:rFonts w:hint="eastAsia"/>
                                  <w:szCs w:val="21"/>
                                </w:rPr>
                                <w:t>不合格</w:t>
                              </w:r>
                            </w:p>
                          </w:txbxContent>
                        </v:textbox>
                      </v:rect>
                      <v:line id="_x0000_s1026" o:spid="_x0000_s1026" o:spt="20" style="position:absolute;left:1231900;top:2575560;flip:x;height:635;width:3219450;" filled="f" stroked="t" coordsize="21600,21600" o:gfxdata="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HjcnYNYAAAAFAQAADwAAAAAAAAAB&#10;ACAAAAAiAAAAZHJzL2Rvd25yZXYueG1sUEsBAhQAFAAAAAgAh07iQHSn4DYSAgAAAgQAAA4AAAAA&#10;AAAAAQAgAAAAJQEAAGRycy9lMm9Eb2MueG1sUEsFBgAAAAAGAAYAWQEAAKkFAAAAAA==&#10;">
                        <v:fill on="f" focussize="0,0"/>
                        <v:stroke color="#000000" joinstyle="round" endarrow="block"/>
                        <v:imagedata o:title=""/>
                        <o:lock v:ext="edit" aspectratio="f"/>
                      </v:line>
                      <v:rect id="_x0000_s1026" o:spid="_x0000_s1026" o:spt="1" style="position:absolute;left:3213100;top:2230755;height:335915;width:800100;" filled="f" stroked="f" coordsize="21600,21600" o:gfxdata="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Wy8vLNgA&#10;AAAFAQAADwAAAAAAAAABACAAAAAiAAAAZHJzL2Rvd25yZXYueG1sUEsBAhQAFAAAAAgAh07iQMcX&#10;L6KtAQAATgMAAA4AAAAAAAAAAQAgAAAAJwEAAGRycy9lMm9Eb2MueG1sUEsFBgAAAAAGAAYAWQEA&#10;AEYFAAAAAA==&#10;">
                        <v:fill on="f" focussize="0,0"/>
                        <v:stroke on="f"/>
                        <v:imagedata o:title=""/>
                        <o:lock v:ext="edit" aspectratio="f"/>
                        <v:textbox>
                          <w:txbxContent>
                            <w:p>
                              <w:pPr>
                                <w:ind w:left="0" w:leftChars="0" w:firstLine="0" w:firstLineChars="0"/>
                                <w:rPr>
                                  <w:rFonts w:hint="eastAsia"/>
                                  <w:szCs w:val="21"/>
                                </w:rPr>
                              </w:pPr>
                              <w:r>
                                <w:rPr>
                                  <w:rFonts w:hint="eastAsia"/>
                                  <w:szCs w:val="21"/>
                                </w:rPr>
                                <w:t>合格</w:t>
                              </w:r>
                            </w:p>
                          </w:txbxContent>
                        </v:textbox>
                      </v:rect>
                      <w10:wrap type="none"/>
                      <w10:anchorlock/>
                    </v:group>
                  </w:pict>
                </mc:Fallback>
              </mc:AlternateContent>
            </w:r>
          </w:p>
          <w:p>
            <w:pPr>
              <w:pStyle w:val="45"/>
              <w:bidi w:val="0"/>
              <w:rPr>
                <w:highlight w:val="none"/>
              </w:rPr>
            </w:pPr>
            <w:r>
              <w:rPr>
                <w:rFonts w:hint="eastAsia"/>
                <w:highlight w:val="none"/>
              </w:rPr>
              <w:t>图</w:t>
            </w:r>
            <w:r>
              <w:rPr>
                <w:rFonts w:hint="eastAsia"/>
                <w:highlight w:val="none"/>
                <w:lang w:val="en-US" w:eastAsia="zh-CN"/>
              </w:rPr>
              <w:t xml:space="preserve">4 </w:t>
            </w:r>
            <w:r>
              <w:rPr>
                <w:rFonts w:hint="eastAsia"/>
                <w:highlight w:val="none"/>
              </w:rPr>
              <w:t>工艺流程及产污环节图</w:t>
            </w:r>
          </w:p>
          <w:p>
            <w:pPr>
              <w:bidi w:val="0"/>
              <w:rPr>
                <w:b/>
                <w:bCs/>
                <w:highlight w:val="none"/>
              </w:rPr>
            </w:pPr>
            <w:r>
              <w:rPr>
                <w:b/>
                <w:bCs/>
                <w:highlight w:val="none"/>
              </w:rPr>
              <w:t>工艺流程简述：</w:t>
            </w:r>
          </w:p>
          <w:p>
            <w:pPr>
              <w:keepNext w:val="0"/>
              <w:keepLines w:val="0"/>
              <w:widowControl/>
              <w:suppressLineNumbers w:val="0"/>
              <w:jc w:val="left"/>
              <w:rPr>
                <w:rFonts w:hint="eastAsia" w:ascii="宋体" w:hAnsi="宋体" w:eastAsia="宋体" w:cs="宋体"/>
                <w:color w:val="000000"/>
                <w:kern w:val="0"/>
                <w:sz w:val="24"/>
                <w:szCs w:val="24"/>
                <w:highlight w:val="none"/>
                <w:lang w:val="en-US" w:eastAsia="zh-CN" w:bidi="ar"/>
              </w:rPr>
            </w:pPr>
            <w:r>
              <w:rPr>
                <w:rFonts w:hint="eastAsia"/>
                <w:highlight w:val="none"/>
                <w:lang w:val="en-US" w:eastAsia="zh-CN"/>
              </w:rPr>
              <w:t>丙烷、二氧化碳液体通过低温液化气体槽车运至厂区内，</w:t>
            </w:r>
            <w:r>
              <w:rPr>
                <w:rFonts w:hint="eastAsia" w:ascii="宋体" w:hAnsi="宋体" w:eastAsia="宋体" w:cs="宋体"/>
                <w:color w:val="000000"/>
                <w:kern w:val="0"/>
                <w:sz w:val="24"/>
                <w:szCs w:val="24"/>
                <w:highlight w:val="none"/>
                <w:lang w:val="en-US" w:eastAsia="zh-CN" w:bidi="ar"/>
              </w:rPr>
              <w:t>经管道直接输送至相应的储罐进行储存，该过程产生噪声，残余气（丙烷、二氧化碳）。</w:t>
            </w:r>
          </w:p>
          <w:p>
            <w:pPr>
              <w:keepNext w:val="0"/>
              <w:keepLines w:val="0"/>
              <w:widowControl/>
              <w:suppressLineNumbers w:val="0"/>
              <w:jc w:val="left"/>
              <w:rPr>
                <w:rFonts w:hint="eastAsia" w:ascii="宋体" w:hAnsi="宋体" w:eastAsia="宋体" w:cs="宋体"/>
                <w:color w:val="000000"/>
                <w:kern w:val="0"/>
                <w:sz w:val="24"/>
                <w:szCs w:val="24"/>
                <w:highlight w:val="none"/>
                <w:lang w:val="en-US" w:eastAsia="zh-CN" w:bidi="ar"/>
              </w:rPr>
            </w:pPr>
            <w:r>
              <w:rPr>
                <w:rFonts w:hint="eastAsia" w:ascii="宋体" w:hAnsi="宋体" w:eastAsia="宋体" w:cs="宋体"/>
                <w:color w:val="000000"/>
                <w:kern w:val="0"/>
                <w:sz w:val="24"/>
                <w:szCs w:val="24"/>
                <w:highlight w:val="none"/>
                <w:lang w:val="en-US" w:eastAsia="zh-CN" w:bidi="ar"/>
              </w:rPr>
              <w:t>气瓶回收后进行检查，合格产品抽出剩余残液后进行充装，超期使用或超期未检等不合格的进行检验，合格则进行充装，不合格按报废处理。本过程产生固体废物。</w:t>
            </w:r>
          </w:p>
          <w:p>
            <w:pPr>
              <w:keepNext w:val="0"/>
              <w:keepLines w:val="0"/>
              <w:widowControl/>
              <w:suppressLineNumbers w:val="0"/>
              <w:ind w:left="0" w:leftChars="0" w:firstLine="480" w:firstLineChars="200"/>
              <w:jc w:val="left"/>
              <w:rPr>
                <w:rFonts w:hint="default" w:ascii="宋体" w:hAnsi="宋体" w:eastAsia="宋体" w:cs="宋体"/>
                <w:color w:val="000000"/>
                <w:kern w:val="0"/>
                <w:sz w:val="24"/>
                <w:szCs w:val="24"/>
                <w:highlight w:val="none"/>
                <w:lang w:val="en-US" w:eastAsia="zh-CN" w:bidi="ar"/>
              </w:rPr>
            </w:pPr>
            <w:r>
              <w:rPr>
                <w:rFonts w:hint="eastAsia" w:ascii="宋体" w:hAnsi="宋体" w:eastAsia="宋体" w:cs="宋体"/>
                <w:color w:val="000000"/>
                <w:kern w:val="0"/>
                <w:sz w:val="24"/>
                <w:szCs w:val="24"/>
                <w:highlight w:val="none"/>
                <w:lang w:val="en-US" w:eastAsia="zh-CN" w:bidi="ar"/>
              </w:rPr>
              <w:t>充装后进行试漏，如不合格进行更换阀垫，合格进行复称后粘贴警示标签和充装合格证，气瓶发出。该过程产生残余气（丙烷、二氧化碳），噪声。</w:t>
            </w:r>
          </w:p>
          <w:p>
            <w:pPr>
              <w:bidi w:val="0"/>
              <w:rPr>
                <w:rFonts w:hint="eastAsia"/>
                <w:b/>
                <w:bCs/>
                <w:highlight w:val="none"/>
                <w:lang w:eastAsia="zh-CN"/>
              </w:rPr>
            </w:pPr>
            <w:r>
              <w:rPr>
                <w:rFonts w:hint="eastAsia"/>
                <w:b/>
                <w:bCs/>
                <w:highlight w:val="none"/>
                <w:lang w:eastAsia="zh-CN"/>
              </w:rPr>
              <w:t>（</w:t>
            </w:r>
            <w:r>
              <w:rPr>
                <w:rFonts w:hint="eastAsia"/>
                <w:b/>
                <w:bCs/>
                <w:highlight w:val="none"/>
                <w:lang w:val="en-US" w:eastAsia="zh-CN"/>
              </w:rPr>
              <w:t>2</w:t>
            </w:r>
            <w:r>
              <w:rPr>
                <w:rFonts w:hint="eastAsia"/>
                <w:b/>
                <w:bCs/>
                <w:highlight w:val="none"/>
                <w:lang w:eastAsia="zh-CN"/>
              </w:rPr>
              <w:t>）氧气、氩气、氮气充装工艺</w:t>
            </w:r>
          </w:p>
          <w:p>
            <w:pPr>
              <w:adjustRightInd w:val="0"/>
              <w:snapToGrid w:val="0"/>
              <w:spacing w:line="360" w:lineRule="auto"/>
              <w:ind w:left="0" w:leftChars="0" w:firstLine="0" w:firstLineChars="0"/>
              <w:jc w:val="center"/>
              <w:textAlignment w:val="baseline"/>
              <w:rPr>
                <w:highlight w:val="none"/>
              </w:rPr>
            </w:pPr>
            <w:r>
              <w:rPr>
                <w:rFonts w:hint="eastAsia" w:ascii="黑体" w:eastAsia="黑体"/>
                <w:b/>
                <w:sz w:val="44"/>
                <w:highlight w:val="none"/>
              </w:rPr>
              <w:drawing>
                <wp:inline distT="0" distB="0" distL="114300" distR="114300">
                  <wp:extent cx="4606290" cy="6750685"/>
                  <wp:effectExtent l="0" t="0" r="11430" b="635"/>
                  <wp:docPr id="41" name="图片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descr="1"/>
                          <pic:cNvPicPr>
                            <a:picLocks noChangeAspect="1"/>
                          </pic:cNvPicPr>
                        </pic:nvPicPr>
                        <pic:blipFill>
                          <a:blip r:embed="rId14"/>
                          <a:srcRect t="2155" b="3323"/>
                          <a:stretch>
                            <a:fillRect/>
                          </a:stretch>
                        </pic:blipFill>
                        <pic:spPr>
                          <a:xfrm>
                            <a:off x="0" y="0"/>
                            <a:ext cx="4606290" cy="6750685"/>
                          </a:xfrm>
                          <a:prstGeom prst="rect">
                            <a:avLst/>
                          </a:prstGeom>
                          <a:solidFill>
                            <a:srgbClr val="000000"/>
                          </a:solidFill>
                          <a:ln>
                            <a:noFill/>
                          </a:ln>
                        </pic:spPr>
                      </pic:pic>
                    </a:graphicData>
                  </a:graphic>
                </wp:inline>
              </w:drawing>
            </w:r>
          </w:p>
          <w:p>
            <w:pPr>
              <w:pStyle w:val="29"/>
              <w:bidi w:val="0"/>
              <w:rPr>
                <w:highlight w:val="none"/>
              </w:rPr>
            </w:pPr>
            <w:r>
              <w:rPr>
                <w:rFonts w:hint="eastAsia"/>
                <w:sz w:val="24"/>
                <w:szCs w:val="24"/>
                <w:highlight w:val="none"/>
              </w:rPr>
              <w:t>图</w:t>
            </w:r>
            <w:r>
              <w:rPr>
                <w:rFonts w:hint="eastAsia"/>
                <w:sz w:val="24"/>
                <w:szCs w:val="24"/>
                <w:highlight w:val="none"/>
                <w:lang w:val="en-US" w:eastAsia="zh-CN"/>
              </w:rPr>
              <w:t xml:space="preserve">5 </w:t>
            </w:r>
            <w:r>
              <w:rPr>
                <w:rFonts w:hint="eastAsia"/>
                <w:sz w:val="24"/>
                <w:szCs w:val="24"/>
                <w:highlight w:val="none"/>
              </w:rPr>
              <w:t>工艺流程及产污环节图</w:t>
            </w:r>
          </w:p>
          <w:p>
            <w:pPr>
              <w:pStyle w:val="4"/>
              <w:bidi w:val="0"/>
              <w:rPr>
                <w:highlight w:val="none"/>
              </w:rPr>
            </w:pPr>
            <w:r>
              <w:rPr>
                <w:highlight w:val="none"/>
              </w:rPr>
              <w:t>工艺流程简述：</w:t>
            </w:r>
          </w:p>
          <w:p>
            <w:pPr>
              <w:bidi w:val="0"/>
              <w:rPr>
                <w:rFonts w:hint="eastAsia" w:ascii="Times New Roman" w:hAnsi="Times New Roman" w:cs="Times New Roman"/>
                <w:highlight w:val="none"/>
                <w:lang w:val="en-US" w:eastAsia="zh-CN"/>
              </w:rPr>
            </w:pPr>
            <w:r>
              <w:rPr>
                <w:rFonts w:hint="eastAsia"/>
                <w:highlight w:val="none"/>
                <w:lang w:eastAsia="zh-CN"/>
              </w:rPr>
              <w:t>低温液体加压至</w:t>
            </w:r>
            <w:r>
              <w:rPr>
                <w:rFonts w:hint="default" w:ascii="Times New Roman" w:hAnsi="Times New Roman" w:cs="Times New Roman"/>
                <w:highlight w:val="none"/>
                <w:lang w:eastAsia="zh-CN"/>
              </w:rPr>
              <w:t>≤</w:t>
            </w:r>
            <w:r>
              <w:rPr>
                <w:rFonts w:hint="eastAsia" w:ascii="Times New Roman" w:hAnsi="Times New Roman" w:cs="Times New Roman"/>
                <w:highlight w:val="none"/>
                <w:lang w:val="en-US" w:eastAsia="zh-CN"/>
              </w:rPr>
              <w:t>16.0MPa变成高压液体，经汽化为高压气体后进行气体分装。</w:t>
            </w:r>
          </w:p>
          <w:p>
            <w:pPr>
              <w:bidi w:val="0"/>
              <w:rPr>
                <w:rFonts w:hint="eastAsia"/>
                <w:highlight w:val="none"/>
                <w:lang w:val="en-US" w:eastAsia="zh-CN"/>
              </w:rPr>
            </w:pPr>
            <w:r>
              <w:rPr>
                <w:rFonts w:hint="eastAsia"/>
                <w:highlight w:val="none"/>
                <w:lang w:val="en-US" w:eastAsia="zh-CN"/>
              </w:rPr>
              <w:t>气瓶回收后进行气瓶登记，登记后进行检查，合格进行气瓶充装，如不合格，进行气瓶隔离，隔离后进行二次检查，若超过使用年限、确认缺陷不能保证安全使用、瓶底座焊封开裂等情况时，按报废处理。该过程产生固废。</w:t>
            </w:r>
          </w:p>
          <w:p>
            <w:pPr>
              <w:bidi w:val="0"/>
              <w:rPr>
                <w:rFonts w:hint="default"/>
                <w:highlight w:val="none"/>
                <w:lang w:val="en-US" w:eastAsia="zh-CN"/>
              </w:rPr>
            </w:pPr>
            <w:r>
              <w:rPr>
                <w:rFonts w:hint="eastAsia"/>
                <w:highlight w:val="none"/>
                <w:lang w:val="en-US" w:eastAsia="zh-CN"/>
              </w:rPr>
              <w:t>气瓶充装后进行检验，</w:t>
            </w:r>
            <w:r>
              <w:rPr>
                <w:rFonts w:hint="eastAsia" w:ascii="宋体" w:hAnsi="宋体" w:eastAsia="宋体" w:cs="宋体"/>
                <w:color w:val="000000"/>
                <w:kern w:val="0"/>
                <w:sz w:val="24"/>
                <w:szCs w:val="24"/>
                <w:highlight w:val="none"/>
                <w:lang w:val="en-US" w:eastAsia="zh-CN" w:bidi="ar"/>
              </w:rPr>
              <w:t>如不合格进行更换阀垫，合格进行复称后粘贴警示标签和充装合格证，气瓶发出。该过程产生残余气（丙烷、二氧化碳），噪声。</w:t>
            </w:r>
          </w:p>
          <w:p>
            <w:pPr>
              <w:pStyle w:val="4"/>
              <w:bidi w:val="0"/>
              <w:rPr>
                <w:rFonts w:hint="eastAsia"/>
                <w:highlight w:val="none"/>
                <w:lang w:eastAsia="zh-CN"/>
              </w:rPr>
            </w:pPr>
            <w:r>
              <w:rPr>
                <w:rFonts w:hint="eastAsia"/>
                <w:highlight w:val="none"/>
                <w:lang w:eastAsia="zh-CN"/>
              </w:rPr>
              <w:t>（</w:t>
            </w:r>
            <w:r>
              <w:rPr>
                <w:rFonts w:hint="eastAsia"/>
                <w:highlight w:val="none"/>
                <w:lang w:val="en-US" w:eastAsia="zh-CN"/>
              </w:rPr>
              <w:t>3</w:t>
            </w:r>
            <w:r>
              <w:rPr>
                <w:rFonts w:hint="eastAsia"/>
                <w:highlight w:val="none"/>
                <w:lang w:eastAsia="zh-CN"/>
              </w:rPr>
              <w:t>）气瓶检验工艺路线</w:t>
            </w:r>
          </w:p>
          <w:p>
            <w:pPr>
              <w:bidi w:val="0"/>
              <w:rPr>
                <w:rFonts w:hint="eastAsia"/>
                <w:highlight w:val="none"/>
                <w:lang w:eastAsia="zh-CN"/>
              </w:rPr>
            </w:pPr>
            <w:r>
              <w:rPr>
                <w:rFonts w:hint="eastAsia"/>
                <w:highlight w:val="none"/>
                <w:lang w:eastAsia="zh-CN"/>
              </w:rPr>
              <w:t>气瓶充装前检查项目包括标记检查、瓶体检查、瓶阀等检查、余压检查。</w:t>
            </w:r>
          </w:p>
          <w:p>
            <w:pPr>
              <w:bidi w:val="0"/>
              <w:rPr>
                <w:rFonts w:hint="eastAsia"/>
                <w:highlight w:val="none"/>
                <w:lang w:eastAsia="zh-CN"/>
              </w:rPr>
            </w:pPr>
            <w:r>
              <w:rPr>
                <w:rFonts w:hint="eastAsia"/>
                <w:highlight w:val="none"/>
                <w:lang w:eastAsia="zh-CN"/>
              </w:rPr>
              <w:t>①标记检查：出厂日期、检验有效期、公称压力、容积、壁厚、充装砌体种类、气瓶漆色。</w:t>
            </w:r>
          </w:p>
          <w:p>
            <w:pPr>
              <w:bidi w:val="0"/>
              <w:rPr>
                <w:rFonts w:hint="eastAsia"/>
                <w:highlight w:val="none"/>
                <w:lang w:eastAsia="zh-CN"/>
              </w:rPr>
            </w:pPr>
            <w:r>
              <w:rPr>
                <w:rFonts w:hint="eastAsia"/>
                <w:highlight w:val="none"/>
                <w:lang w:eastAsia="zh-CN"/>
              </w:rPr>
              <w:t>②瓶体检查：变形、腐蚀、裂纹、泄漏、划痕、凹坑、烧痕、焊疤。</w:t>
            </w:r>
          </w:p>
          <w:p>
            <w:pPr>
              <w:bidi w:val="0"/>
              <w:rPr>
                <w:rFonts w:hint="eastAsia"/>
                <w:highlight w:val="none"/>
              </w:rPr>
            </w:pPr>
            <w:r>
              <w:rPr>
                <w:rFonts w:hint="eastAsia"/>
                <w:highlight w:val="none"/>
                <w:lang w:eastAsia="zh-CN"/>
              </w:rPr>
              <w:t>③瓶阀出口螺纹即旋向、确定气瓶种类、是否有瓶阀损坏、密封泄漏、瓶嘴沾油等异物。</w:t>
            </w:r>
          </w:p>
          <w:p>
            <w:pPr>
              <w:bidi w:val="0"/>
              <w:rPr>
                <w:rFonts w:hint="eastAsia" w:ascii="Times New Roman" w:hAnsi="Times New Roman" w:cs="Times New Roman"/>
                <w:highlight w:val="none"/>
                <w:lang w:val="en-US" w:eastAsia="zh-CN"/>
              </w:rPr>
            </w:pPr>
            <w:r>
              <w:rPr>
                <w:rFonts w:hint="eastAsia"/>
                <w:highlight w:val="none"/>
              </w:rPr>
              <w:t>④</w:t>
            </w:r>
            <w:r>
              <w:rPr>
                <w:rFonts w:hint="eastAsia"/>
                <w:highlight w:val="none"/>
                <w:lang w:eastAsia="zh-CN"/>
              </w:rPr>
              <w:t>瓶内应有</w:t>
            </w:r>
            <w:r>
              <w:rPr>
                <w:rFonts w:hint="default" w:ascii="Times New Roman" w:hAnsi="Times New Roman" w:cs="Times New Roman"/>
                <w:highlight w:val="none"/>
                <w:lang w:eastAsia="zh-CN"/>
              </w:rPr>
              <w:t>≥</w:t>
            </w:r>
            <w:r>
              <w:rPr>
                <w:rFonts w:hint="eastAsia" w:ascii="Times New Roman" w:hAnsi="Times New Roman" w:cs="Times New Roman"/>
                <w:highlight w:val="none"/>
                <w:lang w:val="en-US" w:eastAsia="zh-CN"/>
              </w:rPr>
              <w:t>0.05MPa余压，分析确认瓶内气体种类。</w:t>
            </w:r>
          </w:p>
          <w:p>
            <w:pPr>
              <w:bidi w:val="0"/>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不合格气瓶检验项目包括以下四种检验项目和处理方法。</w:t>
            </w:r>
          </w:p>
          <w:p>
            <w:pPr>
              <w:bidi w:val="0"/>
              <w:rPr>
                <w:rFonts w:hint="default"/>
                <w:highlight w:val="none"/>
                <w:lang w:val="en-US" w:eastAsia="zh-CN"/>
              </w:rPr>
            </w:pPr>
            <w:r>
              <w:rPr>
                <w:rFonts w:hint="eastAsia"/>
                <w:highlight w:val="none"/>
                <w:lang w:eastAsia="zh-CN"/>
              </w:rPr>
              <w:t>①瓶内余压或压力不足或压力低于</w:t>
            </w:r>
            <w:r>
              <w:rPr>
                <w:rFonts w:hint="eastAsia"/>
                <w:highlight w:val="none"/>
                <w:lang w:val="en-US" w:eastAsia="zh-CN"/>
              </w:rPr>
              <w:t>0.05MPa或不能确定瓶内气体种类时进行置换、抽真空可用。</w:t>
            </w:r>
          </w:p>
          <w:p>
            <w:pPr>
              <w:bidi w:val="0"/>
              <w:rPr>
                <w:rFonts w:hint="eastAsia"/>
                <w:highlight w:val="none"/>
                <w:lang w:eastAsia="zh-CN"/>
              </w:rPr>
            </w:pPr>
            <w:r>
              <w:rPr>
                <w:rFonts w:hint="eastAsia"/>
                <w:highlight w:val="none"/>
                <w:lang w:eastAsia="zh-CN"/>
              </w:rPr>
              <w:t>②瓶阀螺纹旋向与所充装气体瓶阀不符，瓶阀损坏，密封泄漏、瓶嘴积碳或焦油等异物时进行修理更换后可用。</w:t>
            </w:r>
          </w:p>
          <w:p>
            <w:pPr>
              <w:bidi w:val="0"/>
              <w:rPr>
                <w:rFonts w:hint="eastAsia"/>
                <w:highlight w:val="none"/>
                <w:lang w:eastAsia="zh-CN"/>
              </w:rPr>
            </w:pPr>
            <w:r>
              <w:rPr>
                <w:rFonts w:hint="eastAsia"/>
                <w:highlight w:val="none"/>
                <w:lang w:eastAsia="zh-CN"/>
              </w:rPr>
              <w:t>③超过检验有效期、不能确认缺陷的安全状况再进行检验，不合格按报废处理，合格则可用。</w:t>
            </w:r>
          </w:p>
          <w:p>
            <w:pPr>
              <w:bidi w:val="0"/>
              <w:rPr>
                <w:rFonts w:hint="eastAsia"/>
                <w:highlight w:val="none"/>
                <w:lang w:eastAsia="zh-CN"/>
              </w:rPr>
            </w:pPr>
            <w:r>
              <w:rPr>
                <w:rFonts w:hint="eastAsia"/>
                <w:highlight w:val="none"/>
              </w:rPr>
              <w:t>④</w:t>
            </w:r>
            <w:r>
              <w:rPr>
                <w:rFonts w:hint="eastAsia"/>
                <w:highlight w:val="none"/>
                <w:lang w:eastAsia="zh-CN"/>
              </w:rPr>
              <w:t>超出使用年限、确认缺陷不能保证安全使用、瓶底座焊缝开裂等情况时按报废处理。</w:t>
            </w:r>
          </w:p>
          <w:p>
            <w:pPr>
              <w:bidi w:val="0"/>
              <w:rPr>
                <w:rFonts w:hint="eastAsia"/>
                <w:highlight w:val="none"/>
                <w:lang w:eastAsia="zh-CN"/>
              </w:rPr>
            </w:pPr>
            <w:r>
              <w:rPr>
                <w:rFonts w:hint="eastAsia"/>
                <w:highlight w:val="none"/>
                <w:lang w:eastAsia="zh-CN"/>
              </w:rPr>
              <w:t>气瓶充装后检查项目包括瓶体检查、瓶阀检查、压力复测。</w:t>
            </w:r>
          </w:p>
          <w:p>
            <w:pPr>
              <w:bidi w:val="0"/>
              <w:rPr>
                <w:rFonts w:hint="eastAsia"/>
                <w:highlight w:val="none"/>
                <w:lang w:eastAsia="zh-CN"/>
              </w:rPr>
            </w:pPr>
            <w:r>
              <w:rPr>
                <w:rFonts w:hint="eastAsia"/>
                <w:highlight w:val="none"/>
                <w:lang w:eastAsia="zh-CN"/>
              </w:rPr>
              <w:t>①瓶体检查：瓶体有无变形、泄漏等。</w:t>
            </w:r>
          </w:p>
          <w:p>
            <w:pPr>
              <w:bidi w:val="0"/>
              <w:rPr>
                <w:rFonts w:hint="eastAsia"/>
                <w:highlight w:val="none"/>
                <w:lang w:eastAsia="zh-CN"/>
              </w:rPr>
            </w:pPr>
            <w:r>
              <w:rPr>
                <w:rFonts w:hint="eastAsia"/>
                <w:highlight w:val="none"/>
                <w:lang w:eastAsia="zh-CN"/>
              </w:rPr>
              <w:t>②瓶阀检查：瓶阀有无泄漏。</w:t>
            </w:r>
          </w:p>
          <w:p>
            <w:pPr>
              <w:bidi w:val="0"/>
              <w:rPr>
                <w:rFonts w:hint="eastAsia"/>
                <w:highlight w:val="none"/>
                <w:lang w:eastAsia="zh-CN"/>
              </w:rPr>
            </w:pPr>
            <w:r>
              <w:rPr>
                <w:rFonts w:hint="eastAsia"/>
                <w:highlight w:val="none"/>
                <w:lang w:eastAsia="zh-CN"/>
              </w:rPr>
              <w:t>③压力复测：压力是否超过规定限值。</w:t>
            </w:r>
          </w:p>
          <w:p>
            <w:pPr>
              <w:bidi w:val="0"/>
              <w:rPr>
                <w:rFonts w:hint="eastAsia"/>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4" w:hRule="atLeast"/>
          <w:jc w:val="center"/>
        </w:trPr>
        <w:tc>
          <w:tcPr>
            <w:tcW w:w="8874" w:type="dxa"/>
          </w:tcPr>
          <w:p>
            <w:pPr>
              <w:pStyle w:val="3"/>
              <w:bidi w:val="0"/>
              <w:rPr>
                <w:highlight w:val="none"/>
              </w:rPr>
            </w:pPr>
            <w:r>
              <w:rPr>
                <w:highlight w:val="none"/>
              </w:rPr>
              <w:t>主要污染工序：</w:t>
            </w:r>
          </w:p>
          <w:p>
            <w:pPr>
              <w:pStyle w:val="4"/>
              <w:bidi w:val="0"/>
              <w:rPr>
                <w:highlight w:val="none"/>
              </w:rPr>
            </w:pPr>
            <w:r>
              <w:rPr>
                <w:highlight w:val="none"/>
              </w:rPr>
              <w:t>（一）施工期</w:t>
            </w:r>
          </w:p>
          <w:p>
            <w:pPr>
              <w:bidi w:val="0"/>
              <w:rPr>
                <w:highlight w:val="none"/>
              </w:rPr>
            </w:pPr>
            <w:r>
              <w:rPr>
                <w:highlight w:val="none"/>
              </w:rPr>
              <w:t>本项目生产为租赁现有厂房，无需新建厂房，故施工期已结束。</w:t>
            </w:r>
          </w:p>
          <w:p>
            <w:pPr>
              <w:pStyle w:val="4"/>
              <w:bidi w:val="0"/>
              <w:rPr>
                <w:highlight w:val="none"/>
              </w:rPr>
            </w:pPr>
            <w:r>
              <w:rPr>
                <w:highlight w:val="none"/>
              </w:rPr>
              <w:t>（二）营运期</w:t>
            </w:r>
          </w:p>
          <w:p>
            <w:pPr>
              <w:bidi w:val="0"/>
              <w:rPr>
                <w:highlight w:val="none"/>
              </w:rPr>
            </w:pPr>
            <w:r>
              <w:rPr>
                <w:highlight w:val="none"/>
              </w:rPr>
              <w:t>本项目建成后主要的污染物有废气</w:t>
            </w:r>
            <w:r>
              <w:rPr>
                <w:rFonts w:hint="eastAsia"/>
                <w:highlight w:val="none"/>
              </w:rPr>
              <w:t>、</w:t>
            </w:r>
            <w:r>
              <w:rPr>
                <w:highlight w:val="none"/>
              </w:rPr>
              <w:t>噪声及固体废物。主要污染工序汇总见</w:t>
            </w:r>
            <w:r>
              <w:rPr>
                <w:rFonts w:hint="eastAsia"/>
                <w:highlight w:val="none"/>
                <w:lang w:eastAsia="zh-CN"/>
              </w:rPr>
              <w:t>下表</w:t>
            </w:r>
            <w:r>
              <w:rPr>
                <w:highlight w:val="none"/>
              </w:rPr>
              <w:t>。</w:t>
            </w:r>
          </w:p>
          <w:p>
            <w:pPr>
              <w:pStyle w:val="29"/>
              <w:bidi w:val="0"/>
              <w:rPr>
                <w:sz w:val="24"/>
                <w:szCs w:val="32"/>
                <w:highlight w:val="none"/>
              </w:rPr>
            </w:pPr>
            <w:r>
              <w:rPr>
                <w:sz w:val="24"/>
                <w:szCs w:val="32"/>
                <w:highlight w:val="none"/>
              </w:rPr>
              <w:t>表</w:t>
            </w:r>
            <w:r>
              <w:rPr>
                <w:rFonts w:hint="eastAsia"/>
                <w:sz w:val="24"/>
                <w:szCs w:val="32"/>
                <w:highlight w:val="none"/>
                <w:lang w:val="en-US" w:eastAsia="zh-CN"/>
              </w:rPr>
              <w:t>34</w:t>
            </w:r>
            <w:r>
              <w:rPr>
                <w:sz w:val="24"/>
                <w:szCs w:val="32"/>
                <w:highlight w:val="none"/>
              </w:rPr>
              <w:t xml:space="preserve">     工程产污环节汇总情况一览表</w:t>
            </w:r>
          </w:p>
          <w:tbl>
            <w:tblPr>
              <w:tblStyle w:val="2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32"/>
              <w:gridCol w:w="2109"/>
              <w:gridCol w:w="2224"/>
              <w:gridCol w:w="306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4" w:type="pct"/>
                  <w:vAlign w:val="center"/>
                </w:tcPr>
                <w:p>
                  <w:pPr>
                    <w:pStyle w:val="29"/>
                    <w:bidi w:val="0"/>
                    <w:rPr>
                      <w:highlight w:val="none"/>
                    </w:rPr>
                  </w:pPr>
                  <w:r>
                    <w:rPr>
                      <w:highlight w:val="none"/>
                    </w:rPr>
                    <w:t>污染类别</w:t>
                  </w:r>
                </w:p>
              </w:tc>
              <w:tc>
                <w:tcPr>
                  <w:tcW w:w="1222" w:type="pct"/>
                  <w:vAlign w:val="center"/>
                </w:tcPr>
                <w:p>
                  <w:pPr>
                    <w:pStyle w:val="29"/>
                    <w:bidi w:val="0"/>
                    <w:rPr>
                      <w:highlight w:val="none"/>
                    </w:rPr>
                  </w:pPr>
                  <w:r>
                    <w:rPr>
                      <w:highlight w:val="none"/>
                    </w:rPr>
                    <w:t>污染源</w:t>
                  </w:r>
                </w:p>
              </w:tc>
              <w:tc>
                <w:tcPr>
                  <w:tcW w:w="1289" w:type="pct"/>
                  <w:vAlign w:val="center"/>
                </w:tcPr>
                <w:p>
                  <w:pPr>
                    <w:pStyle w:val="29"/>
                    <w:bidi w:val="0"/>
                    <w:rPr>
                      <w:highlight w:val="none"/>
                    </w:rPr>
                  </w:pPr>
                  <w:r>
                    <w:rPr>
                      <w:highlight w:val="none"/>
                    </w:rPr>
                    <w:t>产污环节</w:t>
                  </w:r>
                </w:p>
              </w:tc>
              <w:tc>
                <w:tcPr>
                  <w:tcW w:w="1773" w:type="pct"/>
                  <w:vAlign w:val="center"/>
                </w:tcPr>
                <w:p>
                  <w:pPr>
                    <w:pStyle w:val="29"/>
                    <w:bidi w:val="0"/>
                    <w:rPr>
                      <w:highlight w:val="none"/>
                    </w:rPr>
                  </w:pPr>
                  <w:r>
                    <w:rPr>
                      <w:highlight w:val="none"/>
                    </w:rPr>
                    <w:t>污染因子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4" w:type="pct"/>
                  <w:vAlign w:val="center"/>
                </w:tcPr>
                <w:p>
                  <w:pPr>
                    <w:pStyle w:val="29"/>
                    <w:bidi w:val="0"/>
                    <w:rPr>
                      <w:rFonts w:hint="eastAsia" w:eastAsia="宋体"/>
                      <w:highlight w:val="none"/>
                      <w:lang w:val="en-US" w:eastAsia="zh-CN"/>
                    </w:rPr>
                  </w:pPr>
                  <w:r>
                    <w:rPr>
                      <w:rFonts w:hint="eastAsia"/>
                      <w:highlight w:val="none"/>
                      <w:lang w:val="en-US" w:eastAsia="zh-CN"/>
                    </w:rPr>
                    <w:t>废水</w:t>
                  </w:r>
                </w:p>
              </w:tc>
              <w:tc>
                <w:tcPr>
                  <w:tcW w:w="2109" w:type="dxa"/>
                  <w:vAlign w:val="center"/>
                </w:tcPr>
                <w:p>
                  <w:pPr>
                    <w:pStyle w:val="45"/>
                    <w:ind w:firstLine="0" w:firstLineChars="0"/>
                    <w:rPr>
                      <w:rFonts w:hint="eastAsia"/>
                      <w:sz w:val="21"/>
                      <w:szCs w:val="21"/>
                      <w:highlight w:val="none"/>
                    </w:rPr>
                  </w:pPr>
                  <w:r>
                    <w:rPr>
                      <w:sz w:val="21"/>
                      <w:szCs w:val="21"/>
                      <w:highlight w:val="none"/>
                    </w:rPr>
                    <w:t>职工生活</w:t>
                  </w:r>
                </w:p>
              </w:tc>
              <w:tc>
                <w:tcPr>
                  <w:tcW w:w="2224" w:type="dxa"/>
                  <w:vAlign w:val="center"/>
                </w:tcPr>
                <w:p>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sz w:val="21"/>
                      <w:szCs w:val="21"/>
                      <w:highlight w:val="none"/>
                      <w:lang w:eastAsia="zh-CN"/>
                    </w:rPr>
                  </w:pPr>
                  <w:r>
                    <w:rPr>
                      <w:sz w:val="21"/>
                      <w:szCs w:val="21"/>
                      <w:highlight w:val="none"/>
                    </w:rPr>
                    <w:t>生活污水</w:t>
                  </w:r>
                  <w:r>
                    <w:rPr>
                      <w:rFonts w:hint="eastAsia"/>
                      <w:sz w:val="21"/>
                      <w:szCs w:val="21"/>
                      <w:highlight w:val="none"/>
                      <w:lang w:eastAsia="zh-CN"/>
                    </w:rPr>
                    <w:t>（</w:t>
                  </w:r>
                  <w:r>
                    <w:rPr>
                      <w:rFonts w:hint="eastAsia"/>
                      <w:sz w:val="21"/>
                      <w:szCs w:val="21"/>
                      <w:highlight w:val="none"/>
                      <w:lang w:val="en-US" w:eastAsia="zh-CN"/>
                    </w:rPr>
                    <w:t>依托现有项目</w:t>
                  </w:r>
                  <w:r>
                    <w:rPr>
                      <w:rFonts w:hint="eastAsia"/>
                      <w:sz w:val="21"/>
                      <w:szCs w:val="21"/>
                      <w:highlight w:val="none"/>
                      <w:lang w:eastAsia="zh-CN"/>
                    </w:rPr>
                    <w:t>）</w:t>
                  </w:r>
                </w:p>
              </w:tc>
              <w:tc>
                <w:tcPr>
                  <w:tcW w:w="3060" w:type="dxa"/>
                  <w:vAlign w:val="center"/>
                </w:tcPr>
                <w:p>
                  <w:pPr>
                    <w:pStyle w:val="45"/>
                    <w:ind w:firstLine="0" w:firstLineChars="0"/>
                    <w:rPr>
                      <w:rFonts w:hint="eastAsia"/>
                      <w:sz w:val="21"/>
                      <w:szCs w:val="21"/>
                      <w:highlight w:val="none"/>
                    </w:rPr>
                  </w:pPr>
                  <w:r>
                    <w:rPr>
                      <w:sz w:val="21"/>
                      <w:szCs w:val="21"/>
                      <w:highlight w:val="none"/>
                    </w:rPr>
                    <w:t>COD、SS、NH</w:t>
                  </w:r>
                  <w:r>
                    <w:rPr>
                      <w:sz w:val="21"/>
                      <w:szCs w:val="21"/>
                      <w:highlight w:val="none"/>
                      <w:vertAlign w:val="subscript"/>
                    </w:rPr>
                    <w:t>3</w:t>
                  </w:r>
                  <w:r>
                    <w:rPr>
                      <w:sz w:val="21"/>
                      <w:szCs w:val="21"/>
                      <w:highlight w:val="none"/>
                    </w:rPr>
                    <w:t>-N、BOD</w:t>
                  </w:r>
                  <w:r>
                    <w:rPr>
                      <w:sz w:val="21"/>
                      <w:szCs w:val="21"/>
                      <w:highlight w:val="none"/>
                      <w:vertAlign w:val="subscript"/>
                    </w:rPr>
                    <w:t>5</w:t>
                  </w:r>
                  <w:r>
                    <w:rPr>
                      <w:sz w:val="21"/>
                      <w:szCs w:val="21"/>
                      <w:highlight w:val="none"/>
                    </w:rPr>
                    <w:t>、TP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4" w:type="pct"/>
                  <w:vAlign w:val="center"/>
                </w:tcPr>
                <w:p>
                  <w:pPr>
                    <w:pStyle w:val="29"/>
                    <w:bidi w:val="0"/>
                    <w:rPr>
                      <w:highlight w:val="none"/>
                    </w:rPr>
                  </w:pPr>
                  <w:r>
                    <w:rPr>
                      <w:rFonts w:hint="eastAsia"/>
                      <w:highlight w:val="none"/>
                    </w:rPr>
                    <w:t>废气</w:t>
                  </w:r>
                </w:p>
              </w:tc>
              <w:tc>
                <w:tcPr>
                  <w:tcW w:w="1222" w:type="pct"/>
                  <w:vAlign w:val="center"/>
                </w:tcPr>
                <w:p>
                  <w:pPr>
                    <w:pStyle w:val="29"/>
                    <w:bidi w:val="0"/>
                    <w:rPr>
                      <w:highlight w:val="none"/>
                    </w:rPr>
                  </w:pPr>
                  <w:r>
                    <w:rPr>
                      <w:rFonts w:hint="eastAsia"/>
                      <w:highlight w:val="none"/>
                    </w:rPr>
                    <w:t>生产过程</w:t>
                  </w:r>
                </w:p>
              </w:tc>
              <w:tc>
                <w:tcPr>
                  <w:tcW w:w="1289" w:type="pct"/>
                  <w:vAlign w:val="center"/>
                </w:tcPr>
                <w:p>
                  <w:pPr>
                    <w:pStyle w:val="29"/>
                    <w:bidi w:val="0"/>
                    <w:rPr>
                      <w:rFonts w:hint="eastAsia" w:eastAsia="宋体"/>
                      <w:highlight w:val="none"/>
                      <w:lang w:eastAsia="zh-CN"/>
                    </w:rPr>
                  </w:pPr>
                  <w:r>
                    <w:rPr>
                      <w:rFonts w:hint="eastAsia"/>
                      <w:highlight w:val="none"/>
                      <w:lang w:eastAsia="zh-CN"/>
                    </w:rPr>
                    <w:t>运输、充装</w:t>
                  </w:r>
                </w:p>
              </w:tc>
              <w:tc>
                <w:tcPr>
                  <w:tcW w:w="1773" w:type="pct"/>
                  <w:vAlign w:val="center"/>
                </w:tcPr>
                <w:p>
                  <w:pPr>
                    <w:pStyle w:val="29"/>
                    <w:bidi w:val="0"/>
                    <w:rPr>
                      <w:highlight w:val="none"/>
                    </w:rPr>
                  </w:pPr>
                  <w:r>
                    <w:rPr>
                      <w:rFonts w:hint="eastAsia"/>
                      <w:highlight w:val="none"/>
                    </w:rPr>
                    <w:t>丙烷（以非甲烷总烃计）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4" w:type="pct"/>
                  <w:vAlign w:val="center"/>
                </w:tcPr>
                <w:p>
                  <w:pPr>
                    <w:pStyle w:val="29"/>
                    <w:bidi w:val="0"/>
                    <w:rPr>
                      <w:highlight w:val="none"/>
                    </w:rPr>
                  </w:pPr>
                  <w:r>
                    <w:rPr>
                      <w:highlight w:val="none"/>
                    </w:rPr>
                    <w:t>噪声</w:t>
                  </w:r>
                </w:p>
              </w:tc>
              <w:tc>
                <w:tcPr>
                  <w:tcW w:w="1222" w:type="pct"/>
                  <w:vAlign w:val="center"/>
                </w:tcPr>
                <w:p>
                  <w:pPr>
                    <w:pStyle w:val="29"/>
                    <w:bidi w:val="0"/>
                    <w:rPr>
                      <w:highlight w:val="none"/>
                    </w:rPr>
                  </w:pPr>
                  <w:r>
                    <w:rPr>
                      <w:highlight w:val="none"/>
                    </w:rPr>
                    <w:t>生产过程</w:t>
                  </w:r>
                </w:p>
              </w:tc>
              <w:tc>
                <w:tcPr>
                  <w:tcW w:w="1289" w:type="pct"/>
                  <w:vAlign w:val="center"/>
                </w:tcPr>
                <w:p>
                  <w:pPr>
                    <w:pStyle w:val="29"/>
                    <w:bidi w:val="0"/>
                    <w:rPr>
                      <w:highlight w:val="none"/>
                    </w:rPr>
                  </w:pPr>
                  <w:r>
                    <w:rPr>
                      <w:highlight w:val="none"/>
                    </w:rPr>
                    <w:t>设备噪声</w:t>
                  </w:r>
                </w:p>
              </w:tc>
              <w:tc>
                <w:tcPr>
                  <w:tcW w:w="1773" w:type="pct"/>
                  <w:vAlign w:val="center"/>
                </w:tcPr>
                <w:p>
                  <w:pPr>
                    <w:pStyle w:val="29"/>
                    <w:bidi w:val="0"/>
                    <w:rPr>
                      <w:highlight w:val="none"/>
                    </w:rPr>
                  </w:pPr>
                  <w:r>
                    <w:rPr>
                      <w:highlight w:val="none"/>
                    </w:rPr>
                    <w:t>设备噪声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4" w:type="pct"/>
                  <w:vAlign w:val="center"/>
                </w:tcPr>
                <w:p>
                  <w:pPr>
                    <w:pStyle w:val="29"/>
                    <w:bidi w:val="0"/>
                    <w:rPr>
                      <w:highlight w:val="none"/>
                    </w:rPr>
                  </w:pPr>
                  <w:r>
                    <w:rPr>
                      <w:highlight w:val="none"/>
                    </w:rPr>
                    <w:t>固废</w:t>
                  </w:r>
                </w:p>
              </w:tc>
              <w:tc>
                <w:tcPr>
                  <w:tcW w:w="1222" w:type="pct"/>
                  <w:vAlign w:val="center"/>
                </w:tcPr>
                <w:p>
                  <w:pPr>
                    <w:pStyle w:val="29"/>
                    <w:bidi w:val="0"/>
                    <w:ind w:firstLine="0" w:firstLineChars="0"/>
                    <w:rPr>
                      <w:highlight w:val="none"/>
                    </w:rPr>
                  </w:pPr>
                  <w:r>
                    <w:rPr>
                      <w:rFonts w:hint="eastAsia"/>
                      <w:highlight w:val="none"/>
                    </w:rPr>
                    <w:t>废气瓶头和废胶垫</w:t>
                  </w:r>
                </w:p>
              </w:tc>
              <w:tc>
                <w:tcPr>
                  <w:tcW w:w="1289" w:type="pct"/>
                  <w:vAlign w:val="center"/>
                </w:tcPr>
                <w:p>
                  <w:pPr>
                    <w:pStyle w:val="29"/>
                    <w:bidi w:val="0"/>
                    <w:ind w:firstLine="0" w:firstLineChars="0"/>
                    <w:rPr>
                      <w:highlight w:val="none"/>
                    </w:rPr>
                  </w:pPr>
                  <w:r>
                    <w:rPr>
                      <w:rFonts w:hint="eastAsia"/>
                      <w:highlight w:val="none"/>
                      <w:lang w:eastAsia="zh-CN"/>
                    </w:rPr>
                    <w:t>气密性检验</w:t>
                  </w:r>
                </w:p>
              </w:tc>
              <w:tc>
                <w:tcPr>
                  <w:tcW w:w="1773" w:type="pct"/>
                  <w:vAlign w:val="center"/>
                </w:tcPr>
                <w:p>
                  <w:pPr>
                    <w:pStyle w:val="29"/>
                    <w:bidi w:val="0"/>
                    <w:ind w:firstLine="0" w:firstLineChars="0"/>
                    <w:rPr>
                      <w:highlight w:val="none"/>
                    </w:rPr>
                  </w:pPr>
                  <w:r>
                    <w:rPr>
                      <w:highlight w:val="none"/>
                    </w:rPr>
                    <w:t>一般固废</w:t>
                  </w:r>
                </w:p>
              </w:tc>
            </w:tr>
          </w:tbl>
          <w:p>
            <w:pPr>
              <w:pStyle w:val="4"/>
              <w:bidi w:val="0"/>
              <w:rPr>
                <w:highlight w:val="none"/>
              </w:rPr>
            </w:pPr>
            <w:r>
              <w:rPr>
                <w:rFonts w:hint="eastAsia"/>
                <w:highlight w:val="none"/>
              </w:rPr>
              <w:t>1、废气</w:t>
            </w:r>
          </w:p>
          <w:p>
            <w:pPr>
              <w:bidi w:val="0"/>
              <w:rPr>
                <w:highlight w:val="none"/>
              </w:rPr>
            </w:pPr>
            <w:r>
              <w:rPr>
                <w:rFonts w:hint="eastAsia"/>
                <w:highlight w:val="none"/>
                <w:lang w:val="en-US" w:eastAsia="zh-CN"/>
              </w:rPr>
              <w:t>项目气体充装是气、液两相转变的过程，流程短、密闭性好，废气主要来自槽车到储罐、充装过程中产生的废气以及汽车尾气。</w:t>
            </w:r>
          </w:p>
          <w:p>
            <w:pPr>
              <w:pStyle w:val="4"/>
              <w:bidi w:val="0"/>
              <w:rPr>
                <w:highlight w:val="none"/>
              </w:rPr>
            </w:pPr>
            <w:r>
              <w:rPr>
                <w:highlight w:val="none"/>
              </w:rPr>
              <w:t>2、废水</w:t>
            </w:r>
          </w:p>
          <w:p>
            <w:pPr>
              <w:bidi w:val="0"/>
              <w:rPr>
                <w:rFonts w:hint="eastAsia" w:eastAsia="宋体"/>
                <w:highlight w:val="none"/>
                <w:lang w:eastAsia="zh-CN"/>
              </w:rPr>
            </w:pPr>
            <w:r>
              <w:rPr>
                <w:rFonts w:hint="eastAsia"/>
                <w:highlight w:val="none"/>
              </w:rPr>
              <w:t>本项目无生产废水产生，项目依托现有员工，不新增劳动定员，无新增生活污水</w:t>
            </w:r>
            <w:r>
              <w:rPr>
                <w:rFonts w:hint="eastAsia"/>
                <w:highlight w:val="none"/>
                <w:lang w:eastAsia="zh-CN"/>
              </w:rPr>
              <w:t>。</w:t>
            </w:r>
            <w:r>
              <w:rPr>
                <w:rFonts w:hint="eastAsia" w:hAnsi="宋体"/>
                <w:b w:val="0"/>
                <w:bCs/>
                <w:snapToGrid w:val="0"/>
                <w:kern w:val="0"/>
                <w:sz w:val="24"/>
                <w:highlight w:val="none"/>
                <w:lang w:val="en-US" w:eastAsia="zh-CN"/>
              </w:rPr>
              <w:t>现有项目生活污水由定期清运改为进入大召营镇污水处理厂处理。</w:t>
            </w:r>
          </w:p>
          <w:p>
            <w:pPr>
              <w:pStyle w:val="4"/>
              <w:bidi w:val="0"/>
              <w:rPr>
                <w:highlight w:val="none"/>
              </w:rPr>
            </w:pPr>
            <w:r>
              <w:rPr>
                <w:highlight w:val="none"/>
              </w:rPr>
              <w:t>3、噪声</w:t>
            </w:r>
          </w:p>
          <w:p>
            <w:pPr>
              <w:bidi w:val="0"/>
              <w:rPr>
                <w:highlight w:val="none"/>
              </w:rPr>
            </w:pPr>
            <w:r>
              <w:rPr>
                <w:highlight w:val="none"/>
              </w:rPr>
              <w:t>本项目生产过程中产生的噪声主要是设备运行时产生的噪声，工程噪声源强在</w:t>
            </w:r>
            <w:r>
              <w:rPr>
                <w:rFonts w:hint="eastAsia"/>
                <w:highlight w:val="none"/>
              </w:rPr>
              <w:t>7</w:t>
            </w:r>
            <w:r>
              <w:rPr>
                <w:highlight w:val="none"/>
              </w:rPr>
              <w:t>0~</w:t>
            </w:r>
            <w:r>
              <w:rPr>
                <w:rFonts w:hint="eastAsia"/>
                <w:highlight w:val="none"/>
              </w:rPr>
              <w:t>85</w:t>
            </w:r>
            <w:r>
              <w:rPr>
                <w:highlight w:val="none"/>
              </w:rPr>
              <w:t>dB（A）。</w:t>
            </w:r>
          </w:p>
          <w:p>
            <w:pPr>
              <w:pStyle w:val="4"/>
              <w:bidi w:val="0"/>
              <w:rPr>
                <w:highlight w:val="none"/>
              </w:rPr>
            </w:pPr>
            <w:r>
              <w:rPr>
                <w:highlight w:val="none"/>
              </w:rPr>
              <w:t>4、固体废物</w:t>
            </w:r>
          </w:p>
          <w:p>
            <w:pPr>
              <w:bidi w:val="0"/>
              <w:rPr>
                <w:highlight w:val="none"/>
              </w:rPr>
            </w:pPr>
            <w:r>
              <w:rPr>
                <w:highlight w:val="none"/>
              </w:rPr>
              <w:t>本项目固体废物</w:t>
            </w:r>
            <w:r>
              <w:rPr>
                <w:rFonts w:hint="eastAsia"/>
                <w:highlight w:val="none"/>
                <w:lang w:val="en-US" w:eastAsia="zh-CN"/>
              </w:rPr>
              <w:t>主要为</w:t>
            </w:r>
            <w:r>
              <w:rPr>
                <w:highlight w:val="none"/>
              </w:rPr>
              <w:t>一般固体废物。一般固体废物</w:t>
            </w:r>
            <w:r>
              <w:rPr>
                <w:rFonts w:hint="eastAsia"/>
                <w:highlight w:val="none"/>
                <w:lang w:val="en-US" w:eastAsia="zh-CN"/>
              </w:rPr>
              <w:t>主要为</w:t>
            </w:r>
            <w:r>
              <w:rPr>
                <w:highlight w:val="none"/>
              </w:rPr>
              <w:t>生产过程中产生的</w:t>
            </w:r>
            <w:r>
              <w:rPr>
                <w:rFonts w:hint="eastAsia"/>
                <w:highlight w:val="none"/>
                <w:lang w:eastAsia="zh-CN"/>
              </w:rPr>
              <w:t>废气瓶头和废胶垫</w:t>
            </w:r>
            <w:r>
              <w:rPr>
                <w:rFonts w:hint="eastAsia"/>
                <w:highlight w:val="none"/>
              </w:rPr>
              <w:t>。</w:t>
            </w:r>
          </w:p>
          <w:p>
            <w:pPr>
              <w:bidi w:val="0"/>
              <w:jc w:val="left"/>
              <w:rPr>
                <w:highlight w:val="none"/>
              </w:rPr>
            </w:pPr>
          </w:p>
          <w:p>
            <w:pPr>
              <w:bidi w:val="0"/>
              <w:ind w:left="0" w:leftChars="0" w:firstLine="0" w:firstLineChars="0"/>
              <w:rPr>
                <w:highlight w:val="none"/>
              </w:rPr>
            </w:pPr>
          </w:p>
          <w:p>
            <w:pPr>
              <w:bidi w:val="0"/>
              <w:ind w:left="0" w:leftChars="0" w:firstLine="0" w:firstLineChars="0"/>
              <w:rPr>
                <w:highlight w:val="none"/>
              </w:rPr>
            </w:pPr>
          </w:p>
          <w:p>
            <w:pPr>
              <w:bidi w:val="0"/>
              <w:ind w:left="0" w:leftChars="0" w:firstLine="0" w:firstLineChars="0"/>
              <w:jc w:val="left"/>
              <w:rPr>
                <w:rFonts w:hint="eastAsia"/>
                <w:highlight w:val="none"/>
                <w:lang w:eastAsia="zh-CN"/>
              </w:rPr>
            </w:pPr>
          </w:p>
          <w:p>
            <w:pPr>
              <w:bidi w:val="0"/>
              <w:ind w:left="0" w:leftChars="0" w:firstLine="0" w:firstLineChars="0"/>
              <w:jc w:val="left"/>
              <w:rPr>
                <w:rFonts w:hint="eastAsia"/>
                <w:highlight w:val="none"/>
                <w:lang w:eastAsia="zh-CN"/>
              </w:rPr>
            </w:pPr>
          </w:p>
          <w:p>
            <w:pPr>
              <w:bidi w:val="0"/>
              <w:ind w:left="0" w:leftChars="0" w:firstLine="0" w:firstLineChars="0"/>
              <w:jc w:val="left"/>
              <w:rPr>
                <w:rFonts w:hint="eastAsia" w:eastAsia="宋体"/>
                <w:highlight w:val="none"/>
                <w:lang w:eastAsia="zh-CN"/>
              </w:rPr>
            </w:pPr>
          </w:p>
        </w:tc>
      </w:tr>
    </w:tbl>
    <w:p>
      <w:r>
        <w:br w:type="page"/>
      </w:r>
    </w:p>
    <w:p>
      <w:pPr>
        <w:pStyle w:val="2"/>
        <w:keepNext/>
        <w:keepLines/>
        <w:pageBreakBefore w:val="0"/>
        <w:widowControl w:val="0"/>
        <w:kinsoku/>
        <w:wordWrap/>
        <w:overflowPunct/>
        <w:topLinePunct w:val="0"/>
        <w:autoSpaceDE/>
        <w:autoSpaceDN/>
        <w:bidi w:val="0"/>
        <w:adjustRightInd/>
        <w:snapToGrid/>
        <w:spacing w:line="240" w:lineRule="auto"/>
        <w:textAlignment w:val="auto"/>
        <w:rPr>
          <w:highlight w:val="none"/>
        </w:rPr>
      </w:pPr>
      <w:r>
        <w:rPr>
          <w:highlight w:val="none"/>
        </w:rPr>
        <w:t>项目主要污染物产生及预计排放情况</w:t>
      </w:r>
    </w:p>
    <w:tbl>
      <w:tblPr>
        <w:tblStyle w:val="21"/>
        <w:tblW w:w="8977"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Layout w:type="fixed"/>
        <w:tblCellMar>
          <w:top w:w="0" w:type="dxa"/>
          <w:left w:w="108" w:type="dxa"/>
          <w:bottom w:w="0" w:type="dxa"/>
          <w:right w:w="108" w:type="dxa"/>
        </w:tblCellMar>
      </w:tblPr>
      <w:tblGrid>
        <w:gridCol w:w="781"/>
        <w:gridCol w:w="713"/>
        <w:gridCol w:w="841"/>
        <w:gridCol w:w="1639"/>
        <w:gridCol w:w="1224"/>
        <w:gridCol w:w="27"/>
        <w:gridCol w:w="1310"/>
        <w:gridCol w:w="1221"/>
        <w:gridCol w:w="125"/>
        <w:gridCol w:w="1096"/>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23" w:hRule="atLeast"/>
          <w:jc w:val="center"/>
        </w:trPr>
        <w:tc>
          <w:tcPr>
            <w:tcW w:w="781" w:type="dxa"/>
            <w:vMerge w:val="restart"/>
            <w:tcBorders>
              <w:tl2br w:val="single" w:color="auto" w:sz="8" w:space="0"/>
            </w:tcBorders>
          </w:tcPr>
          <w:p>
            <w:pPr>
              <w:pStyle w:val="29"/>
              <w:bidi w:val="0"/>
              <w:rPr>
                <w:b/>
                <w:bCs/>
                <w:sz w:val="21"/>
                <w:szCs w:val="21"/>
                <w:highlight w:val="none"/>
              </w:rPr>
            </w:pPr>
            <w:r>
              <w:rPr>
                <w:b/>
                <w:bCs/>
                <w:sz w:val="21"/>
                <w:szCs w:val="21"/>
                <w:highlight w:val="none"/>
              </w:rPr>
              <w:t>内容</w:t>
            </w:r>
          </w:p>
          <w:p>
            <w:pPr>
              <w:pStyle w:val="29"/>
              <w:bidi w:val="0"/>
              <w:rPr>
                <w:b/>
                <w:bCs/>
                <w:sz w:val="21"/>
                <w:szCs w:val="21"/>
                <w:highlight w:val="none"/>
              </w:rPr>
            </w:pPr>
          </w:p>
          <w:p>
            <w:pPr>
              <w:pStyle w:val="29"/>
              <w:bidi w:val="0"/>
              <w:jc w:val="both"/>
              <w:rPr>
                <w:b/>
                <w:bCs/>
                <w:sz w:val="21"/>
                <w:szCs w:val="21"/>
                <w:highlight w:val="none"/>
              </w:rPr>
            </w:pPr>
            <w:r>
              <w:rPr>
                <w:b/>
                <w:bCs/>
                <w:sz w:val="21"/>
                <w:szCs w:val="21"/>
                <w:highlight w:val="none"/>
              </w:rPr>
              <w:t>类型</w:t>
            </w:r>
          </w:p>
        </w:tc>
        <w:tc>
          <w:tcPr>
            <w:tcW w:w="1554" w:type="dxa"/>
            <w:gridSpan w:val="2"/>
            <w:vMerge w:val="restart"/>
            <w:tcBorders>
              <w:tl2br w:val="nil"/>
              <w:tr2bl w:val="nil"/>
            </w:tcBorders>
            <w:vAlign w:val="center"/>
          </w:tcPr>
          <w:p>
            <w:pPr>
              <w:pStyle w:val="29"/>
              <w:bidi w:val="0"/>
              <w:rPr>
                <w:b/>
                <w:bCs/>
                <w:sz w:val="21"/>
                <w:szCs w:val="21"/>
                <w:highlight w:val="none"/>
              </w:rPr>
            </w:pPr>
            <w:r>
              <w:rPr>
                <w:b/>
                <w:bCs/>
                <w:sz w:val="21"/>
                <w:szCs w:val="21"/>
                <w:highlight w:val="none"/>
              </w:rPr>
              <w:t>排放源</w:t>
            </w:r>
          </w:p>
          <w:p>
            <w:pPr>
              <w:pStyle w:val="29"/>
              <w:bidi w:val="0"/>
              <w:rPr>
                <w:b/>
                <w:bCs/>
                <w:sz w:val="21"/>
                <w:szCs w:val="21"/>
                <w:highlight w:val="none"/>
              </w:rPr>
            </w:pPr>
            <w:r>
              <w:rPr>
                <w:b/>
                <w:bCs/>
                <w:sz w:val="21"/>
                <w:szCs w:val="21"/>
                <w:highlight w:val="none"/>
              </w:rPr>
              <w:t>（编号）</w:t>
            </w:r>
          </w:p>
        </w:tc>
        <w:tc>
          <w:tcPr>
            <w:tcW w:w="1639" w:type="dxa"/>
            <w:vMerge w:val="restart"/>
            <w:tcBorders>
              <w:tl2br w:val="nil"/>
              <w:tr2bl w:val="nil"/>
            </w:tcBorders>
            <w:vAlign w:val="center"/>
          </w:tcPr>
          <w:p>
            <w:pPr>
              <w:pStyle w:val="29"/>
              <w:bidi w:val="0"/>
              <w:rPr>
                <w:b/>
                <w:bCs/>
                <w:sz w:val="21"/>
                <w:szCs w:val="21"/>
                <w:highlight w:val="none"/>
              </w:rPr>
            </w:pPr>
            <w:r>
              <w:rPr>
                <w:b/>
                <w:bCs/>
                <w:sz w:val="21"/>
                <w:szCs w:val="21"/>
                <w:highlight w:val="none"/>
              </w:rPr>
              <w:t>污染物</w:t>
            </w:r>
          </w:p>
          <w:p>
            <w:pPr>
              <w:pStyle w:val="29"/>
              <w:bidi w:val="0"/>
              <w:rPr>
                <w:b/>
                <w:bCs/>
                <w:sz w:val="21"/>
                <w:szCs w:val="21"/>
                <w:highlight w:val="none"/>
              </w:rPr>
            </w:pPr>
            <w:r>
              <w:rPr>
                <w:b/>
                <w:bCs/>
                <w:sz w:val="21"/>
                <w:szCs w:val="21"/>
                <w:highlight w:val="none"/>
              </w:rPr>
              <w:t>名称</w:t>
            </w:r>
          </w:p>
        </w:tc>
        <w:tc>
          <w:tcPr>
            <w:tcW w:w="2561" w:type="dxa"/>
            <w:gridSpan w:val="3"/>
            <w:tcBorders>
              <w:tl2br w:val="nil"/>
              <w:tr2bl w:val="nil"/>
            </w:tcBorders>
            <w:vAlign w:val="center"/>
          </w:tcPr>
          <w:p>
            <w:pPr>
              <w:pStyle w:val="29"/>
              <w:bidi w:val="0"/>
              <w:rPr>
                <w:b/>
                <w:bCs/>
                <w:sz w:val="21"/>
                <w:szCs w:val="21"/>
                <w:highlight w:val="none"/>
              </w:rPr>
            </w:pPr>
            <w:r>
              <w:rPr>
                <w:b/>
                <w:bCs/>
                <w:sz w:val="21"/>
                <w:szCs w:val="21"/>
                <w:highlight w:val="none"/>
              </w:rPr>
              <w:t>产生浓度及产生量</w:t>
            </w:r>
          </w:p>
        </w:tc>
        <w:tc>
          <w:tcPr>
            <w:tcW w:w="2442" w:type="dxa"/>
            <w:gridSpan w:val="3"/>
            <w:tcBorders>
              <w:tl2br w:val="nil"/>
              <w:tr2bl w:val="nil"/>
            </w:tcBorders>
            <w:vAlign w:val="center"/>
          </w:tcPr>
          <w:p>
            <w:pPr>
              <w:pStyle w:val="29"/>
              <w:bidi w:val="0"/>
              <w:rPr>
                <w:b/>
                <w:bCs/>
                <w:sz w:val="21"/>
                <w:szCs w:val="21"/>
                <w:highlight w:val="none"/>
              </w:rPr>
            </w:pPr>
            <w:r>
              <w:rPr>
                <w:b/>
                <w:bCs/>
                <w:sz w:val="21"/>
                <w:szCs w:val="21"/>
                <w:highlight w:val="none"/>
              </w:rPr>
              <w:t>排放浓度及排放量</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23" w:hRule="atLeast"/>
          <w:jc w:val="center"/>
        </w:trPr>
        <w:tc>
          <w:tcPr>
            <w:tcW w:w="781" w:type="dxa"/>
            <w:vMerge w:val="continue"/>
            <w:tcBorders>
              <w:tl2br w:val="nil"/>
              <w:tr2bl w:val="nil"/>
            </w:tcBorders>
          </w:tcPr>
          <w:p>
            <w:pPr>
              <w:pStyle w:val="29"/>
              <w:bidi w:val="0"/>
              <w:rPr>
                <w:b/>
                <w:bCs/>
                <w:sz w:val="21"/>
                <w:szCs w:val="21"/>
                <w:highlight w:val="none"/>
              </w:rPr>
            </w:pPr>
          </w:p>
        </w:tc>
        <w:tc>
          <w:tcPr>
            <w:tcW w:w="1554" w:type="dxa"/>
            <w:gridSpan w:val="2"/>
            <w:vMerge w:val="continue"/>
            <w:tcBorders>
              <w:tl2br w:val="nil"/>
              <w:tr2bl w:val="nil"/>
            </w:tcBorders>
            <w:vAlign w:val="center"/>
          </w:tcPr>
          <w:p>
            <w:pPr>
              <w:pStyle w:val="29"/>
              <w:bidi w:val="0"/>
              <w:rPr>
                <w:b/>
                <w:bCs/>
                <w:sz w:val="21"/>
                <w:szCs w:val="21"/>
                <w:highlight w:val="none"/>
              </w:rPr>
            </w:pPr>
          </w:p>
        </w:tc>
        <w:tc>
          <w:tcPr>
            <w:tcW w:w="1639" w:type="dxa"/>
            <w:vMerge w:val="continue"/>
            <w:tcBorders>
              <w:tl2br w:val="nil"/>
              <w:tr2bl w:val="nil"/>
            </w:tcBorders>
            <w:vAlign w:val="center"/>
          </w:tcPr>
          <w:p>
            <w:pPr>
              <w:pStyle w:val="29"/>
              <w:bidi w:val="0"/>
              <w:rPr>
                <w:b/>
                <w:bCs/>
                <w:sz w:val="21"/>
                <w:szCs w:val="21"/>
                <w:highlight w:val="none"/>
              </w:rPr>
            </w:pPr>
          </w:p>
        </w:tc>
        <w:tc>
          <w:tcPr>
            <w:tcW w:w="1224" w:type="dxa"/>
            <w:tcBorders>
              <w:tl2br w:val="nil"/>
              <w:tr2bl w:val="nil"/>
            </w:tcBorders>
            <w:vAlign w:val="center"/>
          </w:tcPr>
          <w:p>
            <w:pPr>
              <w:pStyle w:val="29"/>
              <w:bidi w:val="0"/>
              <w:rPr>
                <w:b/>
                <w:bCs/>
                <w:sz w:val="21"/>
                <w:szCs w:val="21"/>
                <w:highlight w:val="none"/>
              </w:rPr>
            </w:pPr>
            <w:r>
              <w:rPr>
                <w:b/>
                <w:bCs/>
                <w:sz w:val="21"/>
                <w:szCs w:val="21"/>
                <w:highlight w:val="none"/>
              </w:rPr>
              <w:t>浓度</w:t>
            </w:r>
          </w:p>
          <w:p>
            <w:pPr>
              <w:pStyle w:val="29"/>
              <w:bidi w:val="0"/>
              <w:rPr>
                <w:b/>
                <w:bCs/>
                <w:sz w:val="21"/>
                <w:szCs w:val="21"/>
                <w:highlight w:val="none"/>
              </w:rPr>
            </w:pPr>
            <w:r>
              <w:rPr>
                <w:b/>
                <w:bCs/>
                <w:sz w:val="21"/>
                <w:szCs w:val="21"/>
                <w:highlight w:val="none"/>
              </w:rPr>
              <w:t>（单位）</w:t>
            </w:r>
          </w:p>
        </w:tc>
        <w:tc>
          <w:tcPr>
            <w:tcW w:w="1337" w:type="dxa"/>
            <w:gridSpan w:val="2"/>
            <w:tcBorders>
              <w:tl2br w:val="nil"/>
              <w:tr2bl w:val="nil"/>
            </w:tcBorders>
            <w:vAlign w:val="center"/>
          </w:tcPr>
          <w:p>
            <w:pPr>
              <w:pStyle w:val="29"/>
              <w:bidi w:val="0"/>
              <w:rPr>
                <w:b/>
                <w:bCs/>
                <w:sz w:val="21"/>
                <w:szCs w:val="21"/>
                <w:highlight w:val="none"/>
              </w:rPr>
            </w:pPr>
            <w:r>
              <w:rPr>
                <w:b/>
                <w:bCs/>
                <w:sz w:val="21"/>
                <w:szCs w:val="21"/>
                <w:highlight w:val="none"/>
              </w:rPr>
              <w:t>产生量</w:t>
            </w:r>
          </w:p>
          <w:p>
            <w:pPr>
              <w:pStyle w:val="29"/>
              <w:bidi w:val="0"/>
              <w:rPr>
                <w:b/>
                <w:bCs/>
                <w:sz w:val="21"/>
                <w:szCs w:val="21"/>
                <w:highlight w:val="none"/>
              </w:rPr>
            </w:pPr>
            <w:r>
              <w:rPr>
                <w:b/>
                <w:bCs/>
                <w:sz w:val="21"/>
                <w:szCs w:val="21"/>
                <w:highlight w:val="none"/>
              </w:rPr>
              <w:t>（单位）</w:t>
            </w:r>
          </w:p>
        </w:tc>
        <w:tc>
          <w:tcPr>
            <w:tcW w:w="1346" w:type="dxa"/>
            <w:gridSpan w:val="2"/>
            <w:tcBorders>
              <w:tl2br w:val="nil"/>
              <w:tr2bl w:val="nil"/>
            </w:tcBorders>
            <w:vAlign w:val="center"/>
          </w:tcPr>
          <w:p>
            <w:pPr>
              <w:pStyle w:val="29"/>
              <w:bidi w:val="0"/>
              <w:rPr>
                <w:b/>
                <w:bCs/>
                <w:sz w:val="21"/>
                <w:szCs w:val="21"/>
                <w:highlight w:val="none"/>
              </w:rPr>
            </w:pPr>
            <w:r>
              <w:rPr>
                <w:b/>
                <w:bCs/>
                <w:sz w:val="21"/>
                <w:szCs w:val="21"/>
                <w:highlight w:val="none"/>
              </w:rPr>
              <w:t>浓度</w:t>
            </w:r>
          </w:p>
          <w:p>
            <w:pPr>
              <w:pStyle w:val="29"/>
              <w:bidi w:val="0"/>
              <w:rPr>
                <w:b/>
                <w:bCs/>
                <w:sz w:val="21"/>
                <w:szCs w:val="21"/>
                <w:highlight w:val="none"/>
              </w:rPr>
            </w:pPr>
            <w:r>
              <w:rPr>
                <w:b/>
                <w:bCs/>
                <w:sz w:val="21"/>
                <w:szCs w:val="21"/>
                <w:highlight w:val="none"/>
              </w:rPr>
              <w:t>（单位）</w:t>
            </w:r>
          </w:p>
        </w:tc>
        <w:tc>
          <w:tcPr>
            <w:tcW w:w="1096" w:type="dxa"/>
            <w:tcBorders>
              <w:tl2br w:val="nil"/>
              <w:tr2bl w:val="nil"/>
            </w:tcBorders>
            <w:vAlign w:val="center"/>
          </w:tcPr>
          <w:p>
            <w:pPr>
              <w:pStyle w:val="29"/>
              <w:bidi w:val="0"/>
              <w:rPr>
                <w:b/>
                <w:bCs/>
                <w:sz w:val="21"/>
                <w:szCs w:val="21"/>
                <w:highlight w:val="none"/>
              </w:rPr>
            </w:pPr>
            <w:r>
              <w:rPr>
                <w:b/>
                <w:bCs/>
                <w:sz w:val="21"/>
                <w:szCs w:val="21"/>
                <w:highlight w:val="none"/>
              </w:rPr>
              <w:t>排放量</w:t>
            </w:r>
          </w:p>
          <w:p>
            <w:pPr>
              <w:pStyle w:val="29"/>
              <w:bidi w:val="0"/>
              <w:rPr>
                <w:b/>
                <w:bCs/>
                <w:sz w:val="21"/>
                <w:szCs w:val="21"/>
                <w:highlight w:val="none"/>
              </w:rPr>
            </w:pPr>
            <w:r>
              <w:rPr>
                <w:b/>
                <w:bCs/>
                <w:sz w:val="21"/>
                <w:szCs w:val="21"/>
                <w:highlight w:val="none"/>
              </w:rPr>
              <w:t>（单位）</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cantSplit/>
          <w:trHeight w:val="23" w:hRule="atLeast"/>
          <w:jc w:val="center"/>
        </w:trPr>
        <w:tc>
          <w:tcPr>
            <w:tcW w:w="781" w:type="dxa"/>
            <w:vMerge w:val="restart"/>
            <w:tcBorders>
              <w:tl2br w:val="nil"/>
              <w:tr2bl w:val="nil"/>
            </w:tcBorders>
            <w:vAlign w:val="center"/>
          </w:tcPr>
          <w:p>
            <w:pPr>
              <w:pStyle w:val="29"/>
              <w:bidi w:val="0"/>
              <w:rPr>
                <w:rFonts w:hint="eastAsia" w:eastAsia="宋体"/>
                <w:b/>
                <w:bCs/>
                <w:sz w:val="21"/>
                <w:szCs w:val="21"/>
                <w:highlight w:val="none"/>
                <w:lang w:eastAsia="zh-CN"/>
              </w:rPr>
            </w:pPr>
            <w:r>
              <w:rPr>
                <w:rFonts w:hint="eastAsia"/>
                <w:b/>
                <w:bCs/>
                <w:sz w:val="21"/>
                <w:szCs w:val="21"/>
                <w:highlight w:val="none"/>
                <w:lang w:eastAsia="zh-CN"/>
              </w:rPr>
              <w:t>大气污染物</w:t>
            </w:r>
          </w:p>
        </w:tc>
        <w:tc>
          <w:tcPr>
            <w:tcW w:w="1554" w:type="dxa"/>
            <w:gridSpan w:val="2"/>
            <w:tcBorders>
              <w:tl2br w:val="nil"/>
              <w:tr2bl w:val="nil"/>
            </w:tcBorders>
            <w:vAlign w:val="center"/>
          </w:tcPr>
          <w:p>
            <w:pPr>
              <w:pStyle w:val="29"/>
              <w:bidi w:val="0"/>
              <w:rPr>
                <w:rFonts w:hint="eastAsia" w:eastAsia="宋体"/>
                <w:sz w:val="21"/>
                <w:szCs w:val="21"/>
                <w:highlight w:val="none"/>
                <w:lang w:eastAsia="zh-CN"/>
              </w:rPr>
            </w:pPr>
            <w:r>
              <w:rPr>
                <w:rFonts w:hint="eastAsia" w:eastAsia="宋体"/>
                <w:sz w:val="21"/>
                <w:szCs w:val="21"/>
                <w:highlight w:val="none"/>
                <w:lang w:eastAsia="zh-CN"/>
              </w:rPr>
              <w:t>储罐装卸废气</w:t>
            </w:r>
            <w:r>
              <w:rPr>
                <w:rFonts w:hint="eastAsia"/>
                <w:sz w:val="21"/>
                <w:szCs w:val="21"/>
                <w:highlight w:val="none"/>
                <w:lang w:eastAsia="zh-CN"/>
              </w:rPr>
              <w:t>、</w:t>
            </w:r>
            <w:r>
              <w:rPr>
                <w:rFonts w:hint="eastAsia" w:eastAsia="宋体"/>
                <w:sz w:val="21"/>
                <w:szCs w:val="21"/>
                <w:highlight w:val="none"/>
                <w:lang w:eastAsia="zh-CN"/>
              </w:rPr>
              <w:t>充装</w:t>
            </w:r>
            <w:r>
              <w:rPr>
                <w:rFonts w:hint="eastAsia"/>
                <w:sz w:val="21"/>
                <w:szCs w:val="21"/>
                <w:highlight w:val="none"/>
                <w:lang w:eastAsia="zh-CN"/>
              </w:rPr>
              <w:t>废气</w:t>
            </w:r>
          </w:p>
        </w:tc>
        <w:tc>
          <w:tcPr>
            <w:tcW w:w="1639" w:type="dxa"/>
            <w:tcBorders>
              <w:tl2br w:val="nil"/>
              <w:tr2bl w:val="nil"/>
            </w:tcBorders>
            <w:vAlign w:val="center"/>
          </w:tcPr>
          <w:p>
            <w:pPr>
              <w:pStyle w:val="29"/>
              <w:bidi w:val="0"/>
              <w:rPr>
                <w:rFonts w:hint="eastAsia" w:eastAsia="宋体"/>
                <w:sz w:val="21"/>
                <w:szCs w:val="21"/>
                <w:highlight w:val="none"/>
                <w:lang w:eastAsia="zh-CN"/>
              </w:rPr>
            </w:pPr>
            <w:r>
              <w:rPr>
                <w:rFonts w:hint="eastAsia"/>
                <w:sz w:val="21"/>
                <w:szCs w:val="21"/>
                <w:highlight w:val="none"/>
                <w:lang w:eastAsia="zh-CN"/>
              </w:rPr>
              <w:t>氧气、氮气、氩气、二氧化碳、丙烷（非甲烷总烃）</w:t>
            </w:r>
          </w:p>
        </w:tc>
        <w:tc>
          <w:tcPr>
            <w:tcW w:w="2561" w:type="dxa"/>
            <w:gridSpan w:val="3"/>
            <w:vMerge w:val="restart"/>
            <w:tcBorders>
              <w:tl2br w:val="nil"/>
              <w:tr2bl w:val="nil"/>
            </w:tcBorders>
            <w:vAlign w:val="center"/>
          </w:tcPr>
          <w:p>
            <w:pPr>
              <w:pStyle w:val="29"/>
              <w:bidi w:val="0"/>
              <w:rPr>
                <w:rFonts w:hint="eastAsia" w:eastAsia="宋体"/>
                <w:sz w:val="21"/>
                <w:szCs w:val="21"/>
                <w:highlight w:val="none"/>
                <w:lang w:eastAsia="zh-CN"/>
              </w:rPr>
            </w:pPr>
            <w:r>
              <w:rPr>
                <w:rFonts w:hint="eastAsia"/>
                <w:sz w:val="21"/>
                <w:szCs w:val="21"/>
                <w:highlight w:val="none"/>
                <w:lang w:eastAsia="zh-CN"/>
              </w:rPr>
              <w:t>极少量</w:t>
            </w:r>
          </w:p>
        </w:tc>
        <w:tc>
          <w:tcPr>
            <w:tcW w:w="2442" w:type="dxa"/>
            <w:gridSpan w:val="3"/>
            <w:vMerge w:val="restart"/>
            <w:tcBorders>
              <w:tl2br w:val="nil"/>
              <w:tr2bl w:val="nil"/>
            </w:tcBorders>
            <w:vAlign w:val="center"/>
          </w:tcPr>
          <w:p>
            <w:pPr>
              <w:pStyle w:val="29"/>
              <w:bidi w:val="0"/>
              <w:rPr>
                <w:rFonts w:hint="eastAsia" w:eastAsia="宋体"/>
                <w:sz w:val="21"/>
                <w:szCs w:val="21"/>
                <w:highlight w:val="none"/>
                <w:lang w:eastAsia="zh-CN"/>
              </w:rPr>
            </w:pPr>
            <w:r>
              <w:rPr>
                <w:rFonts w:hint="eastAsia"/>
                <w:sz w:val="21"/>
                <w:szCs w:val="21"/>
                <w:highlight w:val="none"/>
                <w:lang w:eastAsia="zh-CN"/>
              </w:rPr>
              <w:t>极少量</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cantSplit/>
          <w:trHeight w:val="23" w:hRule="atLeast"/>
          <w:jc w:val="center"/>
        </w:trPr>
        <w:tc>
          <w:tcPr>
            <w:tcW w:w="781" w:type="dxa"/>
            <w:vMerge w:val="continue"/>
            <w:tcBorders>
              <w:tl2br w:val="nil"/>
              <w:tr2bl w:val="nil"/>
            </w:tcBorders>
            <w:vAlign w:val="center"/>
          </w:tcPr>
          <w:p>
            <w:pPr>
              <w:pStyle w:val="29"/>
              <w:bidi w:val="0"/>
              <w:rPr>
                <w:rFonts w:hint="eastAsia"/>
                <w:b/>
                <w:bCs/>
                <w:sz w:val="21"/>
                <w:szCs w:val="21"/>
                <w:highlight w:val="none"/>
                <w:lang w:eastAsia="zh-CN"/>
              </w:rPr>
            </w:pPr>
          </w:p>
        </w:tc>
        <w:tc>
          <w:tcPr>
            <w:tcW w:w="1554" w:type="dxa"/>
            <w:gridSpan w:val="2"/>
            <w:tcBorders>
              <w:tl2br w:val="nil"/>
              <w:tr2bl w:val="nil"/>
            </w:tcBorders>
            <w:vAlign w:val="center"/>
          </w:tcPr>
          <w:p>
            <w:pPr>
              <w:pStyle w:val="29"/>
              <w:bidi w:val="0"/>
              <w:rPr>
                <w:rFonts w:hint="eastAsia"/>
                <w:sz w:val="21"/>
                <w:szCs w:val="21"/>
                <w:highlight w:val="none"/>
                <w:lang w:eastAsia="zh-CN"/>
              </w:rPr>
            </w:pPr>
            <w:r>
              <w:rPr>
                <w:rFonts w:hint="eastAsia"/>
                <w:sz w:val="21"/>
                <w:szCs w:val="21"/>
                <w:highlight w:val="none"/>
                <w:lang w:eastAsia="zh-CN"/>
              </w:rPr>
              <w:t>汽车尾气</w:t>
            </w:r>
          </w:p>
        </w:tc>
        <w:tc>
          <w:tcPr>
            <w:tcW w:w="1639" w:type="dxa"/>
            <w:tcBorders>
              <w:tl2br w:val="nil"/>
              <w:tr2bl w:val="nil"/>
            </w:tcBorders>
            <w:vAlign w:val="center"/>
          </w:tcPr>
          <w:p>
            <w:pPr>
              <w:pStyle w:val="29"/>
              <w:bidi w:val="0"/>
              <w:rPr>
                <w:rFonts w:hint="eastAsia"/>
                <w:sz w:val="21"/>
                <w:szCs w:val="21"/>
                <w:highlight w:val="none"/>
                <w:lang w:eastAsia="zh-CN"/>
              </w:rPr>
            </w:pPr>
            <w:r>
              <w:rPr>
                <w:rFonts w:hint="eastAsia"/>
                <w:sz w:val="21"/>
                <w:szCs w:val="21"/>
                <w:highlight w:val="none"/>
                <w:lang w:eastAsia="zh-CN"/>
              </w:rPr>
              <w:t>CO、HC和NOx等</w:t>
            </w:r>
          </w:p>
        </w:tc>
        <w:tc>
          <w:tcPr>
            <w:tcW w:w="2561" w:type="dxa"/>
            <w:gridSpan w:val="3"/>
            <w:vMerge w:val="continue"/>
            <w:tcBorders>
              <w:tl2br w:val="nil"/>
              <w:tr2bl w:val="nil"/>
            </w:tcBorders>
            <w:vAlign w:val="center"/>
          </w:tcPr>
          <w:p>
            <w:pPr>
              <w:pStyle w:val="29"/>
              <w:bidi w:val="0"/>
              <w:rPr>
                <w:rFonts w:hint="eastAsia"/>
                <w:sz w:val="21"/>
                <w:szCs w:val="21"/>
                <w:highlight w:val="none"/>
                <w:lang w:eastAsia="zh-CN"/>
              </w:rPr>
            </w:pPr>
          </w:p>
        </w:tc>
        <w:tc>
          <w:tcPr>
            <w:tcW w:w="2442" w:type="dxa"/>
            <w:gridSpan w:val="3"/>
            <w:vMerge w:val="continue"/>
            <w:tcBorders>
              <w:tl2br w:val="nil"/>
              <w:tr2bl w:val="nil"/>
            </w:tcBorders>
            <w:vAlign w:val="center"/>
          </w:tcPr>
          <w:p>
            <w:pPr>
              <w:pStyle w:val="29"/>
              <w:bidi w:val="0"/>
              <w:rPr>
                <w:rFonts w:hint="eastAsia"/>
                <w:sz w:val="21"/>
                <w:szCs w:val="21"/>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cantSplit/>
          <w:trHeight w:val="23" w:hRule="atLeast"/>
          <w:jc w:val="center"/>
        </w:trPr>
        <w:tc>
          <w:tcPr>
            <w:tcW w:w="781" w:type="dxa"/>
            <w:vMerge w:val="restart"/>
            <w:tcBorders>
              <w:tl2br w:val="nil"/>
              <w:tr2bl w:val="nil"/>
            </w:tcBorders>
            <w:vAlign w:val="center"/>
          </w:tcPr>
          <w:p>
            <w:pPr>
              <w:pStyle w:val="29"/>
              <w:bidi w:val="0"/>
              <w:rPr>
                <w:rFonts w:hint="default"/>
                <w:b/>
                <w:bCs/>
                <w:sz w:val="21"/>
                <w:szCs w:val="21"/>
                <w:highlight w:val="none"/>
                <w:lang w:val="en-US" w:eastAsia="zh-CN"/>
              </w:rPr>
            </w:pPr>
            <w:r>
              <w:rPr>
                <w:rFonts w:hint="eastAsia"/>
                <w:b/>
                <w:bCs/>
                <w:sz w:val="21"/>
                <w:szCs w:val="21"/>
                <w:highlight w:val="none"/>
                <w:lang w:val="en-US" w:eastAsia="zh-CN"/>
              </w:rPr>
              <w:t>水污染物</w:t>
            </w:r>
          </w:p>
        </w:tc>
        <w:tc>
          <w:tcPr>
            <w:tcW w:w="1554" w:type="dxa"/>
            <w:gridSpan w:val="2"/>
            <w:vMerge w:val="restart"/>
            <w:tcBorders>
              <w:tl2br w:val="nil"/>
              <w:tr2bl w:val="nil"/>
            </w:tcBorders>
            <w:vAlign w:val="center"/>
          </w:tcPr>
          <w:p>
            <w:pPr>
              <w:pStyle w:val="29"/>
              <w:bidi w:val="0"/>
              <w:rPr>
                <w:rFonts w:hint="eastAsia"/>
                <w:sz w:val="21"/>
                <w:szCs w:val="21"/>
                <w:highlight w:val="none"/>
                <w:lang w:val="en-US" w:eastAsia="zh-CN"/>
              </w:rPr>
            </w:pPr>
            <w:r>
              <w:rPr>
                <w:rFonts w:hint="eastAsia"/>
                <w:sz w:val="21"/>
                <w:szCs w:val="21"/>
                <w:highlight w:val="none"/>
                <w:lang w:val="en-US" w:eastAsia="zh-CN"/>
              </w:rPr>
              <w:t>生活污水</w:t>
            </w:r>
          </w:p>
          <w:p>
            <w:pPr>
              <w:pStyle w:val="29"/>
              <w:bidi w:val="0"/>
              <w:rPr>
                <w:rFonts w:hint="eastAsia"/>
                <w:sz w:val="21"/>
                <w:szCs w:val="21"/>
                <w:highlight w:val="none"/>
                <w:lang w:eastAsia="zh-CN"/>
              </w:rPr>
            </w:pPr>
            <w:r>
              <w:rPr>
                <w:rFonts w:hint="eastAsia"/>
                <w:sz w:val="21"/>
                <w:szCs w:val="21"/>
                <w:highlight w:val="none"/>
                <w:lang w:val="en-US" w:eastAsia="zh-CN"/>
              </w:rPr>
              <w:t>（依托现有项目）</w:t>
            </w:r>
          </w:p>
        </w:tc>
        <w:tc>
          <w:tcPr>
            <w:tcW w:w="1639" w:type="dxa"/>
            <w:tcBorders>
              <w:tl2br w:val="nil"/>
              <w:tr2bl w:val="nil"/>
            </w:tcBorders>
            <w:vAlign w:val="center"/>
          </w:tcPr>
          <w:p>
            <w:pPr>
              <w:pStyle w:val="45"/>
              <w:ind w:firstLine="0" w:firstLineChars="0"/>
              <w:rPr>
                <w:rFonts w:hint="eastAsia"/>
                <w:sz w:val="21"/>
                <w:szCs w:val="21"/>
                <w:highlight w:val="none"/>
                <w:lang w:eastAsia="zh-CN"/>
              </w:rPr>
            </w:pPr>
            <w:r>
              <w:rPr>
                <w:sz w:val="21"/>
                <w:szCs w:val="21"/>
                <w:highlight w:val="none"/>
              </w:rPr>
              <w:t>水量</w:t>
            </w:r>
          </w:p>
        </w:tc>
        <w:tc>
          <w:tcPr>
            <w:tcW w:w="2561" w:type="dxa"/>
            <w:gridSpan w:val="3"/>
            <w:tcBorders>
              <w:tl2br w:val="nil"/>
              <w:tr2bl w:val="nil"/>
            </w:tcBorders>
            <w:vAlign w:val="center"/>
          </w:tcPr>
          <w:p>
            <w:pPr>
              <w:pStyle w:val="45"/>
              <w:ind w:firstLine="0" w:firstLineChars="0"/>
              <w:rPr>
                <w:rFonts w:hint="eastAsia"/>
                <w:sz w:val="21"/>
                <w:szCs w:val="21"/>
                <w:highlight w:val="none"/>
                <w:lang w:eastAsia="zh-CN"/>
              </w:rPr>
            </w:pPr>
            <w:r>
              <w:rPr>
                <w:sz w:val="21"/>
                <w:szCs w:val="21"/>
                <w:highlight w:val="none"/>
              </w:rPr>
              <w:t>1</w:t>
            </w:r>
            <w:r>
              <w:rPr>
                <w:rFonts w:hint="eastAsia"/>
                <w:sz w:val="21"/>
                <w:szCs w:val="21"/>
                <w:highlight w:val="none"/>
                <w:lang w:val="en-US" w:eastAsia="zh-CN"/>
              </w:rPr>
              <w:t>08</w:t>
            </w:r>
            <w:r>
              <w:rPr>
                <w:sz w:val="21"/>
                <w:szCs w:val="21"/>
                <w:highlight w:val="none"/>
              </w:rPr>
              <w:t>m</w:t>
            </w:r>
            <w:r>
              <w:rPr>
                <w:sz w:val="21"/>
                <w:szCs w:val="21"/>
                <w:highlight w:val="none"/>
                <w:vertAlign w:val="superscript"/>
              </w:rPr>
              <w:t>3</w:t>
            </w:r>
            <w:r>
              <w:rPr>
                <w:sz w:val="21"/>
                <w:szCs w:val="21"/>
                <w:highlight w:val="none"/>
              </w:rPr>
              <w:t>/a</w:t>
            </w:r>
          </w:p>
        </w:tc>
        <w:tc>
          <w:tcPr>
            <w:tcW w:w="2442" w:type="dxa"/>
            <w:gridSpan w:val="3"/>
            <w:tcBorders>
              <w:tl2br w:val="nil"/>
              <w:tr2bl w:val="nil"/>
            </w:tcBorders>
            <w:vAlign w:val="center"/>
          </w:tcPr>
          <w:p>
            <w:pPr>
              <w:pStyle w:val="29"/>
              <w:bidi w:val="0"/>
              <w:rPr>
                <w:rFonts w:hint="eastAsia"/>
                <w:sz w:val="21"/>
                <w:szCs w:val="21"/>
                <w:highlight w:val="none"/>
                <w:lang w:eastAsia="zh-CN"/>
              </w:rPr>
            </w:pPr>
            <w:r>
              <w:rPr>
                <w:sz w:val="21"/>
                <w:szCs w:val="21"/>
                <w:highlight w:val="none"/>
              </w:rPr>
              <w:t>1</w:t>
            </w:r>
            <w:r>
              <w:rPr>
                <w:rFonts w:hint="eastAsia"/>
                <w:sz w:val="21"/>
                <w:szCs w:val="21"/>
                <w:highlight w:val="none"/>
                <w:lang w:val="en-US" w:eastAsia="zh-CN"/>
              </w:rPr>
              <w:t>08</w:t>
            </w:r>
            <w:r>
              <w:rPr>
                <w:sz w:val="21"/>
                <w:szCs w:val="21"/>
                <w:highlight w:val="none"/>
              </w:rPr>
              <w:t>m</w:t>
            </w:r>
            <w:r>
              <w:rPr>
                <w:sz w:val="21"/>
                <w:szCs w:val="21"/>
                <w:highlight w:val="none"/>
                <w:vertAlign w:val="superscript"/>
              </w:rPr>
              <w:t>3</w:t>
            </w:r>
            <w:r>
              <w:rPr>
                <w:sz w:val="21"/>
                <w:szCs w:val="21"/>
                <w:highlight w:val="none"/>
              </w:rPr>
              <w:t>/a</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cantSplit/>
          <w:trHeight w:val="23" w:hRule="atLeast"/>
          <w:jc w:val="center"/>
        </w:trPr>
        <w:tc>
          <w:tcPr>
            <w:tcW w:w="781" w:type="dxa"/>
            <w:vMerge w:val="continue"/>
            <w:tcBorders>
              <w:tl2br w:val="nil"/>
              <w:tr2bl w:val="nil"/>
            </w:tcBorders>
            <w:vAlign w:val="center"/>
          </w:tcPr>
          <w:p>
            <w:pPr>
              <w:pStyle w:val="29"/>
              <w:bidi w:val="0"/>
              <w:rPr>
                <w:rFonts w:hint="eastAsia"/>
                <w:b/>
                <w:bCs/>
                <w:sz w:val="21"/>
                <w:szCs w:val="21"/>
                <w:highlight w:val="none"/>
                <w:lang w:eastAsia="zh-CN"/>
              </w:rPr>
            </w:pPr>
          </w:p>
        </w:tc>
        <w:tc>
          <w:tcPr>
            <w:tcW w:w="1554" w:type="dxa"/>
            <w:gridSpan w:val="2"/>
            <w:vMerge w:val="continue"/>
            <w:tcBorders>
              <w:tl2br w:val="nil"/>
              <w:tr2bl w:val="nil"/>
            </w:tcBorders>
            <w:vAlign w:val="center"/>
          </w:tcPr>
          <w:p>
            <w:pPr>
              <w:pStyle w:val="29"/>
              <w:bidi w:val="0"/>
              <w:rPr>
                <w:rFonts w:hint="eastAsia"/>
                <w:sz w:val="21"/>
                <w:szCs w:val="21"/>
                <w:highlight w:val="none"/>
                <w:lang w:eastAsia="zh-CN"/>
              </w:rPr>
            </w:pPr>
          </w:p>
        </w:tc>
        <w:tc>
          <w:tcPr>
            <w:tcW w:w="1639" w:type="dxa"/>
            <w:tcBorders>
              <w:tl2br w:val="nil"/>
              <w:tr2bl w:val="nil"/>
            </w:tcBorders>
            <w:vAlign w:val="center"/>
          </w:tcPr>
          <w:p>
            <w:pPr>
              <w:pStyle w:val="45"/>
              <w:ind w:firstLine="0" w:firstLineChars="0"/>
              <w:rPr>
                <w:rFonts w:hint="eastAsia"/>
                <w:sz w:val="21"/>
                <w:szCs w:val="21"/>
                <w:highlight w:val="none"/>
                <w:lang w:eastAsia="zh-CN"/>
              </w:rPr>
            </w:pPr>
            <w:r>
              <w:rPr>
                <w:sz w:val="21"/>
                <w:szCs w:val="21"/>
                <w:highlight w:val="none"/>
              </w:rPr>
              <w:t>COD</w:t>
            </w:r>
          </w:p>
        </w:tc>
        <w:tc>
          <w:tcPr>
            <w:tcW w:w="1251" w:type="dxa"/>
            <w:gridSpan w:val="2"/>
            <w:tcBorders>
              <w:tl2br w:val="nil"/>
              <w:tr2bl w:val="nil"/>
            </w:tcBorders>
            <w:vAlign w:val="center"/>
          </w:tcPr>
          <w:p>
            <w:pPr>
              <w:pStyle w:val="45"/>
              <w:ind w:firstLine="0" w:firstLineChars="0"/>
              <w:rPr>
                <w:rFonts w:hint="eastAsia"/>
                <w:sz w:val="21"/>
                <w:szCs w:val="21"/>
                <w:highlight w:val="none"/>
                <w:lang w:eastAsia="zh-CN"/>
              </w:rPr>
            </w:pPr>
            <w:r>
              <w:rPr>
                <w:rFonts w:hint="default"/>
                <w:sz w:val="21"/>
                <w:szCs w:val="21"/>
                <w:highlight w:val="none"/>
              </w:rPr>
              <w:t>300mg/L</w:t>
            </w:r>
          </w:p>
        </w:tc>
        <w:tc>
          <w:tcPr>
            <w:tcW w:w="1310" w:type="dxa"/>
            <w:tcBorders>
              <w:tl2br w:val="nil"/>
              <w:tr2bl w:val="nil"/>
            </w:tcBorders>
            <w:vAlign w:val="center"/>
          </w:tcPr>
          <w:p>
            <w:pPr>
              <w:pStyle w:val="45"/>
              <w:ind w:firstLine="0" w:firstLineChars="0"/>
              <w:rPr>
                <w:rFonts w:hint="eastAsia"/>
                <w:sz w:val="21"/>
                <w:szCs w:val="21"/>
                <w:highlight w:val="none"/>
                <w:lang w:eastAsia="zh-CN"/>
              </w:rPr>
            </w:pPr>
            <w:r>
              <w:rPr>
                <w:sz w:val="21"/>
                <w:szCs w:val="21"/>
                <w:highlight w:val="none"/>
              </w:rPr>
              <w:t>0.0</w:t>
            </w:r>
            <w:r>
              <w:rPr>
                <w:rFonts w:hint="eastAsia"/>
                <w:sz w:val="21"/>
                <w:szCs w:val="21"/>
                <w:highlight w:val="none"/>
                <w:lang w:val="en-US" w:eastAsia="zh-CN"/>
              </w:rPr>
              <w:t>324</w:t>
            </w:r>
            <w:r>
              <w:rPr>
                <w:rFonts w:hint="default"/>
                <w:sz w:val="21"/>
                <w:szCs w:val="21"/>
                <w:highlight w:val="none"/>
              </w:rPr>
              <w:t>t/a</w:t>
            </w:r>
          </w:p>
        </w:tc>
        <w:tc>
          <w:tcPr>
            <w:tcW w:w="1221" w:type="dxa"/>
            <w:tcBorders>
              <w:tl2br w:val="nil"/>
              <w:tr2bl w:val="nil"/>
            </w:tcBorders>
            <w:vAlign w:val="center"/>
          </w:tcPr>
          <w:p>
            <w:pPr>
              <w:pStyle w:val="45"/>
              <w:ind w:firstLine="0" w:firstLineChars="0"/>
              <w:rPr>
                <w:rFonts w:hint="eastAsia"/>
                <w:sz w:val="21"/>
                <w:szCs w:val="21"/>
                <w:highlight w:val="none"/>
                <w:lang w:eastAsia="zh-CN"/>
              </w:rPr>
            </w:pPr>
            <w:r>
              <w:rPr>
                <w:rFonts w:hint="eastAsia"/>
                <w:sz w:val="21"/>
                <w:szCs w:val="21"/>
                <w:highlight w:val="none"/>
                <w:lang w:val="en-US" w:eastAsia="zh-CN"/>
              </w:rPr>
              <w:t>40</w:t>
            </w:r>
            <w:r>
              <w:rPr>
                <w:rFonts w:hint="default"/>
                <w:sz w:val="21"/>
                <w:szCs w:val="21"/>
                <w:highlight w:val="none"/>
              </w:rPr>
              <w:t>mg/L</w:t>
            </w:r>
          </w:p>
        </w:tc>
        <w:tc>
          <w:tcPr>
            <w:tcW w:w="1221" w:type="dxa"/>
            <w:gridSpan w:val="2"/>
            <w:tcBorders>
              <w:tl2br w:val="nil"/>
              <w:tr2bl w:val="nil"/>
            </w:tcBorders>
            <w:vAlign w:val="center"/>
          </w:tcPr>
          <w:p>
            <w:pPr>
              <w:pStyle w:val="45"/>
              <w:ind w:firstLine="0" w:firstLineChars="0"/>
              <w:rPr>
                <w:rFonts w:hint="eastAsia"/>
                <w:sz w:val="21"/>
                <w:szCs w:val="21"/>
                <w:highlight w:val="none"/>
                <w:lang w:eastAsia="zh-CN"/>
              </w:rPr>
            </w:pPr>
            <w:r>
              <w:rPr>
                <w:sz w:val="21"/>
                <w:szCs w:val="21"/>
                <w:highlight w:val="none"/>
              </w:rPr>
              <w:t>0.0</w:t>
            </w:r>
            <w:r>
              <w:rPr>
                <w:rFonts w:hint="eastAsia"/>
                <w:sz w:val="21"/>
                <w:szCs w:val="21"/>
                <w:highlight w:val="none"/>
                <w:lang w:val="en-US" w:eastAsia="zh-CN"/>
              </w:rPr>
              <w:t>043</w:t>
            </w:r>
            <w:r>
              <w:rPr>
                <w:rFonts w:hint="default"/>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cantSplit/>
          <w:trHeight w:val="23" w:hRule="atLeast"/>
          <w:jc w:val="center"/>
        </w:trPr>
        <w:tc>
          <w:tcPr>
            <w:tcW w:w="781" w:type="dxa"/>
            <w:vMerge w:val="continue"/>
            <w:tcBorders>
              <w:tl2br w:val="nil"/>
              <w:tr2bl w:val="nil"/>
            </w:tcBorders>
            <w:vAlign w:val="center"/>
          </w:tcPr>
          <w:p>
            <w:pPr>
              <w:pStyle w:val="29"/>
              <w:bidi w:val="0"/>
              <w:rPr>
                <w:rFonts w:hint="eastAsia"/>
                <w:b/>
                <w:bCs/>
                <w:sz w:val="21"/>
                <w:szCs w:val="21"/>
                <w:highlight w:val="none"/>
                <w:lang w:eastAsia="zh-CN"/>
              </w:rPr>
            </w:pPr>
          </w:p>
        </w:tc>
        <w:tc>
          <w:tcPr>
            <w:tcW w:w="1554" w:type="dxa"/>
            <w:gridSpan w:val="2"/>
            <w:vMerge w:val="continue"/>
            <w:tcBorders>
              <w:tl2br w:val="nil"/>
              <w:tr2bl w:val="nil"/>
            </w:tcBorders>
            <w:vAlign w:val="center"/>
          </w:tcPr>
          <w:p>
            <w:pPr>
              <w:pStyle w:val="29"/>
              <w:bidi w:val="0"/>
              <w:rPr>
                <w:rFonts w:hint="eastAsia"/>
                <w:sz w:val="21"/>
                <w:szCs w:val="21"/>
                <w:highlight w:val="none"/>
                <w:lang w:eastAsia="zh-CN"/>
              </w:rPr>
            </w:pPr>
          </w:p>
        </w:tc>
        <w:tc>
          <w:tcPr>
            <w:tcW w:w="1639" w:type="dxa"/>
            <w:tcBorders>
              <w:tl2br w:val="nil"/>
              <w:tr2bl w:val="nil"/>
            </w:tcBorders>
            <w:vAlign w:val="center"/>
          </w:tcPr>
          <w:p>
            <w:pPr>
              <w:pStyle w:val="45"/>
              <w:ind w:firstLine="0" w:firstLineChars="0"/>
              <w:rPr>
                <w:rFonts w:hint="eastAsia"/>
                <w:sz w:val="21"/>
                <w:szCs w:val="21"/>
                <w:highlight w:val="none"/>
                <w:lang w:eastAsia="zh-CN"/>
              </w:rPr>
            </w:pPr>
            <w:r>
              <w:rPr>
                <w:sz w:val="21"/>
                <w:szCs w:val="21"/>
                <w:highlight w:val="none"/>
              </w:rPr>
              <w:t>SS</w:t>
            </w:r>
          </w:p>
        </w:tc>
        <w:tc>
          <w:tcPr>
            <w:tcW w:w="1251" w:type="dxa"/>
            <w:gridSpan w:val="2"/>
            <w:tcBorders>
              <w:tl2br w:val="nil"/>
              <w:tr2bl w:val="nil"/>
            </w:tcBorders>
            <w:vAlign w:val="center"/>
          </w:tcPr>
          <w:p>
            <w:pPr>
              <w:pStyle w:val="45"/>
              <w:ind w:firstLine="0" w:firstLineChars="0"/>
              <w:rPr>
                <w:rFonts w:hint="eastAsia"/>
                <w:sz w:val="21"/>
                <w:szCs w:val="21"/>
                <w:highlight w:val="none"/>
                <w:lang w:eastAsia="zh-CN"/>
              </w:rPr>
            </w:pPr>
            <w:r>
              <w:rPr>
                <w:sz w:val="21"/>
                <w:szCs w:val="21"/>
                <w:highlight w:val="none"/>
              </w:rPr>
              <w:t>250</w:t>
            </w:r>
            <w:r>
              <w:rPr>
                <w:rFonts w:hint="default"/>
                <w:sz w:val="21"/>
                <w:szCs w:val="21"/>
                <w:highlight w:val="none"/>
              </w:rPr>
              <w:t>mg/L</w:t>
            </w:r>
          </w:p>
        </w:tc>
        <w:tc>
          <w:tcPr>
            <w:tcW w:w="1310" w:type="dxa"/>
            <w:tcBorders>
              <w:tl2br w:val="nil"/>
              <w:tr2bl w:val="nil"/>
            </w:tcBorders>
            <w:vAlign w:val="center"/>
          </w:tcPr>
          <w:p>
            <w:pPr>
              <w:pStyle w:val="45"/>
              <w:ind w:firstLine="0" w:firstLineChars="0"/>
              <w:rPr>
                <w:rFonts w:hint="eastAsia"/>
                <w:sz w:val="21"/>
                <w:szCs w:val="21"/>
                <w:highlight w:val="none"/>
                <w:lang w:eastAsia="zh-CN"/>
              </w:rPr>
            </w:pPr>
            <w:r>
              <w:rPr>
                <w:sz w:val="21"/>
                <w:szCs w:val="21"/>
                <w:highlight w:val="none"/>
              </w:rPr>
              <w:t>0.0</w:t>
            </w:r>
            <w:r>
              <w:rPr>
                <w:rFonts w:hint="eastAsia"/>
                <w:sz w:val="21"/>
                <w:szCs w:val="21"/>
                <w:highlight w:val="none"/>
                <w:lang w:val="en-US" w:eastAsia="zh-CN"/>
              </w:rPr>
              <w:t>270</w:t>
            </w:r>
            <w:r>
              <w:rPr>
                <w:rFonts w:hint="default"/>
                <w:sz w:val="21"/>
                <w:szCs w:val="21"/>
                <w:highlight w:val="none"/>
              </w:rPr>
              <w:t>t/a</w:t>
            </w:r>
          </w:p>
        </w:tc>
        <w:tc>
          <w:tcPr>
            <w:tcW w:w="1221" w:type="dxa"/>
            <w:tcBorders>
              <w:tl2br w:val="nil"/>
              <w:tr2bl w:val="nil"/>
            </w:tcBorders>
            <w:vAlign w:val="center"/>
          </w:tcPr>
          <w:p>
            <w:pPr>
              <w:pStyle w:val="45"/>
              <w:ind w:firstLine="0" w:firstLineChars="0"/>
              <w:rPr>
                <w:rFonts w:hint="eastAsia"/>
                <w:sz w:val="21"/>
                <w:szCs w:val="21"/>
                <w:highlight w:val="none"/>
                <w:lang w:eastAsia="zh-CN"/>
              </w:rPr>
            </w:pPr>
            <w:r>
              <w:rPr>
                <w:rFonts w:hint="eastAsia"/>
                <w:sz w:val="21"/>
                <w:szCs w:val="21"/>
                <w:highlight w:val="none"/>
                <w:lang w:val="en-US" w:eastAsia="zh-CN"/>
              </w:rPr>
              <w:t>10</w:t>
            </w:r>
            <w:r>
              <w:rPr>
                <w:rFonts w:hint="default"/>
                <w:sz w:val="21"/>
                <w:szCs w:val="21"/>
                <w:highlight w:val="none"/>
              </w:rPr>
              <w:t>mg/L</w:t>
            </w:r>
          </w:p>
        </w:tc>
        <w:tc>
          <w:tcPr>
            <w:tcW w:w="1221" w:type="dxa"/>
            <w:gridSpan w:val="2"/>
            <w:tcBorders>
              <w:tl2br w:val="nil"/>
              <w:tr2bl w:val="nil"/>
            </w:tcBorders>
            <w:vAlign w:val="center"/>
          </w:tcPr>
          <w:p>
            <w:pPr>
              <w:pStyle w:val="45"/>
              <w:ind w:firstLine="0" w:firstLineChars="0"/>
              <w:rPr>
                <w:rFonts w:hint="eastAsia"/>
                <w:sz w:val="21"/>
                <w:szCs w:val="21"/>
                <w:highlight w:val="none"/>
                <w:lang w:eastAsia="zh-CN"/>
              </w:rPr>
            </w:pPr>
            <w:r>
              <w:rPr>
                <w:sz w:val="21"/>
                <w:szCs w:val="21"/>
                <w:highlight w:val="none"/>
              </w:rPr>
              <w:t>0.0</w:t>
            </w:r>
            <w:r>
              <w:rPr>
                <w:rFonts w:hint="eastAsia"/>
                <w:sz w:val="21"/>
                <w:szCs w:val="21"/>
                <w:highlight w:val="none"/>
                <w:lang w:val="en-US" w:eastAsia="zh-CN"/>
              </w:rPr>
              <w:t>011</w:t>
            </w:r>
            <w:r>
              <w:rPr>
                <w:rFonts w:hint="default"/>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cantSplit/>
          <w:trHeight w:val="23" w:hRule="atLeast"/>
          <w:jc w:val="center"/>
        </w:trPr>
        <w:tc>
          <w:tcPr>
            <w:tcW w:w="781" w:type="dxa"/>
            <w:vMerge w:val="continue"/>
            <w:tcBorders>
              <w:tl2br w:val="nil"/>
              <w:tr2bl w:val="nil"/>
            </w:tcBorders>
            <w:vAlign w:val="center"/>
          </w:tcPr>
          <w:p>
            <w:pPr>
              <w:pStyle w:val="29"/>
              <w:bidi w:val="0"/>
              <w:rPr>
                <w:rFonts w:hint="eastAsia"/>
                <w:b/>
                <w:bCs/>
                <w:sz w:val="21"/>
                <w:szCs w:val="21"/>
                <w:highlight w:val="none"/>
                <w:lang w:eastAsia="zh-CN"/>
              </w:rPr>
            </w:pPr>
          </w:p>
        </w:tc>
        <w:tc>
          <w:tcPr>
            <w:tcW w:w="1554" w:type="dxa"/>
            <w:gridSpan w:val="2"/>
            <w:vMerge w:val="continue"/>
            <w:tcBorders>
              <w:tl2br w:val="nil"/>
              <w:tr2bl w:val="nil"/>
            </w:tcBorders>
            <w:vAlign w:val="center"/>
          </w:tcPr>
          <w:p>
            <w:pPr>
              <w:pStyle w:val="29"/>
              <w:bidi w:val="0"/>
              <w:rPr>
                <w:rFonts w:hint="eastAsia"/>
                <w:sz w:val="21"/>
                <w:szCs w:val="21"/>
                <w:highlight w:val="none"/>
                <w:lang w:eastAsia="zh-CN"/>
              </w:rPr>
            </w:pPr>
          </w:p>
        </w:tc>
        <w:tc>
          <w:tcPr>
            <w:tcW w:w="1639" w:type="dxa"/>
            <w:tcBorders>
              <w:tl2br w:val="nil"/>
              <w:tr2bl w:val="nil"/>
            </w:tcBorders>
            <w:vAlign w:val="center"/>
          </w:tcPr>
          <w:p>
            <w:pPr>
              <w:pStyle w:val="45"/>
              <w:ind w:firstLine="0" w:firstLineChars="0"/>
              <w:rPr>
                <w:rFonts w:hint="eastAsia"/>
                <w:sz w:val="21"/>
                <w:szCs w:val="21"/>
                <w:highlight w:val="none"/>
                <w:lang w:eastAsia="zh-CN"/>
              </w:rPr>
            </w:pPr>
            <w:r>
              <w:rPr>
                <w:sz w:val="21"/>
                <w:szCs w:val="21"/>
                <w:highlight w:val="none"/>
              </w:rPr>
              <w:t>NH</w:t>
            </w:r>
            <w:r>
              <w:rPr>
                <w:sz w:val="21"/>
                <w:szCs w:val="21"/>
                <w:highlight w:val="none"/>
                <w:vertAlign w:val="subscript"/>
              </w:rPr>
              <w:t>3</w:t>
            </w:r>
            <w:r>
              <w:rPr>
                <w:sz w:val="21"/>
                <w:szCs w:val="21"/>
                <w:highlight w:val="none"/>
              </w:rPr>
              <w:t>-N</w:t>
            </w:r>
          </w:p>
        </w:tc>
        <w:tc>
          <w:tcPr>
            <w:tcW w:w="1251" w:type="dxa"/>
            <w:gridSpan w:val="2"/>
            <w:tcBorders>
              <w:tl2br w:val="nil"/>
              <w:tr2bl w:val="nil"/>
            </w:tcBorders>
            <w:vAlign w:val="center"/>
          </w:tcPr>
          <w:p>
            <w:pPr>
              <w:pStyle w:val="45"/>
              <w:ind w:firstLine="0" w:firstLineChars="0"/>
              <w:rPr>
                <w:rFonts w:hint="eastAsia"/>
                <w:sz w:val="21"/>
                <w:szCs w:val="21"/>
                <w:highlight w:val="none"/>
                <w:lang w:eastAsia="zh-CN"/>
              </w:rPr>
            </w:pPr>
            <w:r>
              <w:rPr>
                <w:sz w:val="21"/>
                <w:szCs w:val="21"/>
                <w:highlight w:val="none"/>
              </w:rPr>
              <w:t>25</w:t>
            </w:r>
            <w:r>
              <w:rPr>
                <w:rFonts w:hint="default"/>
                <w:sz w:val="21"/>
                <w:szCs w:val="21"/>
                <w:highlight w:val="none"/>
              </w:rPr>
              <w:t>mg/L</w:t>
            </w:r>
          </w:p>
        </w:tc>
        <w:tc>
          <w:tcPr>
            <w:tcW w:w="1310" w:type="dxa"/>
            <w:tcBorders>
              <w:tl2br w:val="nil"/>
              <w:tr2bl w:val="nil"/>
            </w:tcBorders>
            <w:vAlign w:val="center"/>
          </w:tcPr>
          <w:p>
            <w:pPr>
              <w:pStyle w:val="45"/>
              <w:ind w:firstLine="0" w:firstLineChars="0"/>
              <w:rPr>
                <w:rFonts w:hint="eastAsia"/>
                <w:sz w:val="21"/>
                <w:szCs w:val="21"/>
                <w:highlight w:val="none"/>
                <w:lang w:eastAsia="zh-CN"/>
              </w:rPr>
            </w:pPr>
            <w:r>
              <w:rPr>
                <w:sz w:val="21"/>
                <w:szCs w:val="21"/>
                <w:highlight w:val="none"/>
              </w:rPr>
              <w:t>0.00</w:t>
            </w:r>
            <w:r>
              <w:rPr>
                <w:rFonts w:hint="eastAsia"/>
                <w:sz w:val="21"/>
                <w:szCs w:val="21"/>
                <w:highlight w:val="none"/>
                <w:lang w:val="en-US" w:eastAsia="zh-CN"/>
              </w:rPr>
              <w:t>27</w:t>
            </w:r>
            <w:r>
              <w:rPr>
                <w:rFonts w:hint="default"/>
                <w:sz w:val="21"/>
                <w:szCs w:val="21"/>
                <w:highlight w:val="none"/>
              </w:rPr>
              <w:t>t/a</w:t>
            </w:r>
          </w:p>
        </w:tc>
        <w:tc>
          <w:tcPr>
            <w:tcW w:w="1221" w:type="dxa"/>
            <w:tcBorders>
              <w:tl2br w:val="nil"/>
              <w:tr2bl w:val="nil"/>
            </w:tcBorders>
            <w:vAlign w:val="center"/>
          </w:tcPr>
          <w:p>
            <w:pPr>
              <w:pStyle w:val="45"/>
              <w:ind w:firstLine="0" w:firstLineChars="0"/>
              <w:rPr>
                <w:rFonts w:hint="eastAsia"/>
                <w:sz w:val="21"/>
                <w:szCs w:val="21"/>
                <w:highlight w:val="none"/>
                <w:lang w:eastAsia="zh-CN"/>
              </w:rPr>
            </w:pPr>
            <w:r>
              <w:rPr>
                <w:rFonts w:hint="eastAsia"/>
                <w:sz w:val="21"/>
                <w:szCs w:val="21"/>
                <w:highlight w:val="none"/>
                <w:lang w:val="en-US" w:eastAsia="zh-CN"/>
              </w:rPr>
              <w:t>2</w:t>
            </w:r>
            <w:r>
              <w:rPr>
                <w:rFonts w:hint="default"/>
                <w:sz w:val="21"/>
                <w:szCs w:val="21"/>
                <w:highlight w:val="none"/>
              </w:rPr>
              <w:t>mg/L</w:t>
            </w:r>
          </w:p>
        </w:tc>
        <w:tc>
          <w:tcPr>
            <w:tcW w:w="1221" w:type="dxa"/>
            <w:gridSpan w:val="2"/>
            <w:tcBorders>
              <w:tl2br w:val="nil"/>
              <w:tr2bl w:val="nil"/>
            </w:tcBorders>
            <w:vAlign w:val="center"/>
          </w:tcPr>
          <w:p>
            <w:pPr>
              <w:pStyle w:val="45"/>
              <w:ind w:firstLine="0" w:firstLineChars="0"/>
              <w:rPr>
                <w:rFonts w:hint="eastAsia"/>
                <w:sz w:val="21"/>
                <w:szCs w:val="21"/>
                <w:highlight w:val="none"/>
                <w:lang w:eastAsia="zh-CN"/>
              </w:rPr>
            </w:pPr>
            <w:r>
              <w:rPr>
                <w:sz w:val="21"/>
                <w:szCs w:val="21"/>
                <w:highlight w:val="none"/>
              </w:rPr>
              <w:t>0.00</w:t>
            </w:r>
            <w:r>
              <w:rPr>
                <w:rFonts w:hint="eastAsia"/>
                <w:sz w:val="21"/>
                <w:szCs w:val="21"/>
                <w:highlight w:val="none"/>
                <w:lang w:val="en-US" w:eastAsia="zh-CN"/>
              </w:rPr>
              <w:t>02</w:t>
            </w:r>
            <w:r>
              <w:rPr>
                <w:rFonts w:hint="default"/>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cantSplit/>
          <w:trHeight w:val="23" w:hRule="atLeast"/>
          <w:jc w:val="center"/>
        </w:trPr>
        <w:tc>
          <w:tcPr>
            <w:tcW w:w="781" w:type="dxa"/>
            <w:vMerge w:val="continue"/>
            <w:tcBorders>
              <w:tl2br w:val="nil"/>
              <w:tr2bl w:val="nil"/>
            </w:tcBorders>
            <w:vAlign w:val="center"/>
          </w:tcPr>
          <w:p>
            <w:pPr>
              <w:pStyle w:val="29"/>
              <w:bidi w:val="0"/>
              <w:rPr>
                <w:rFonts w:hint="eastAsia"/>
                <w:b/>
                <w:bCs/>
                <w:sz w:val="21"/>
                <w:szCs w:val="21"/>
                <w:highlight w:val="none"/>
                <w:lang w:eastAsia="zh-CN"/>
              </w:rPr>
            </w:pPr>
          </w:p>
        </w:tc>
        <w:tc>
          <w:tcPr>
            <w:tcW w:w="1554" w:type="dxa"/>
            <w:gridSpan w:val="2"/>
            <w:vMerge w:val="continue"/>
            <w:tcBorders>
              <w:tl2br w:val="nil"/>
              <w:tr2bl w:val="nil"/>
            </w:tcBorders>
            <w:vAlign w:val="center"/>
          </w:tcPr>
          <w:p>
            <w:pPr>
              <w:pStyle w:val="29"/>
              <w:bidi w:val="0"/>
              <w:rPr>
                <w:rFonts w:hint="eastAsia"/>
                <w:sz w:val="21"/>
                <w:szCs w:val="21"/>
                <w:highlight w:val="none"/>
                <w:lang w:eastAsia="zh-CN"/>
              </w:rPr>
            </w:pPr>
          </w:p>
        </w:tc>
        <w:tc>
          <w:tcPr>
            <w:tcW w:w="1639" w:type="dxa"/>
            <w:tcBorders>
              <w:tl2br w:val="nil"/>
              <w:tr2bl w:val="nil"/>
            </w:tcBorders>
            <w:vAlign w:val="center"/>
          </w:tcPr>
          <w:p>
            <w:pPr>
              <w:pStyle w:val="45"/>
              <w:ind w:firstLine="0" w:firstLineChars="0"/>
              <w:rPr>
                <w:rFonts w:hint="eastAsia"/>
                <w:sz w:val="21"/>
                <w:szCs w:val="21"/>
                <w:highlight w:val="none"/>
                <w:lang w:eastAsia="zh-CN"/>
              </w:rPr>
            </w:pPr>
            <w:r>
              <w:rPr>
                <w:sz w:val="21"/>
                <w:szCs w:val="21"/>
                <w:highlight w:val="none"/>
              </w:rPr>
              <w:t>BOD</w:t>
            </w:r>
            <w:r>
              <w:rPr>
                <w:sz w:val="21"/>
                <w:szCs w:val="21"/>
                <w:highlight w:val="none"/>
                <w:vertAlign w:val="subscript"/>
              </w:rPr>
              <w:t>5</w:t>
            </w:r>
          </w:p>
        </w:tc>
        <w:tc>
          <w:tcPr>
            <w:tcW w:w="1251" w:type="dxa"/>
            <w:gridSpan w:val="2"/>
            <w:tcBorders>
              <w:tl2br w:val="nil"/>
              <w:tr2bl w:val="nil"/>
            </w:tcBorders>
            <w:vAlign w:val="center"/>
          </w:tcPr>
          <w:p>
            <w:pPr>
              <w:pStyle w:val="45"/>
              <w:ind w:firstLine="0" w:firstLineChars="0"/>
              <w:rPr>
                <w:rFonts w:hint="eastAsia"/>
                <w:sz w:val="21"/>
                <w:szCs w:val="21"/>
                <w:highlight w:val="none"/>
                <w:lang w:eastAsia="zh-CN"/>
              </w:rPr>
            </w:pPr>
            <w:r>
              <w:rPr>
                <w:rFonts w:hint="eastAsia"/>
                <w:sz w:val="21"/>
                <w:szCs w:val="21"/>
                <w:highlight w:val="none"/>
                <w:lang w:val="en-US" w:eastAsia="zh-CN"/>
              </w:rPr>
              <w:t>20</w:t>
            </w:r>
            <w:r>
              <w:rPr>
                <w:sz w:val="21"/>
                <w:szCs w:val="21"/>
                <w:highlight w:val="none"/>
              </w:rPr>
              <w:t>0</w:t>
            </w:r>
            <w:r>
              <w:rPr>
                <w:rFonts w:hint="default"/>
                <w:sz w:val="21"/>
                <w:szCs w:val="21"/>
                <w:highlight w:val="none"/>
              </w:rPr>
              <w:t>mg/L</w:t>
            </w:r>
          </w:p>
        </w:tc>
        <w:tc>
          <w:tcPr>
            <w:tcW w:w="1310" w:type="dxa"/>
            <w:tcBorders>
              <w:tl2br w:val="nil"/>
              <w:tr2bl w:val="nil"/>
            </w:tcBorders>
            <w:vAlign w:val="center"/>
          </w:tcPr>
          <w:p>
            <w:pPr>
              <w:pStyle w:val="45"/>
              <w:ind w:firstLine="0" w:firstLineChars="0"/>
              <w:rPr>
                <w:rFonts w:hint="eastAsia"/>
                <w:sz w:val="21"/>
                <w:szCs w:val="21"/>
                <w:highlight w:val="none"/>
                <w:lang w:eastAsia="zh-CN"/>
              </w:rPr>
            </w:pPr>
            <w:r>
              <w:rPr>
                <w:sz w:val="21"/>
                <w:szCs w:val="21"/>
                <w:highlight w:val="none"/>
              </w:rPr>
              <w:t>0.0216</w:t>
            </w:r>
            <w:r>
              <w:rPr>
                <w:rFonts w:hint="default"/>
                <w:sz w:val="21"/>
                <w:szCs w:val="21"/>
                <w:highlight w:val="none"/>
              </w:rPr>
              <w:t>t/a</w:t>
            </w:r>
          </w:p>
        </w:tc>
        <w:tc>
          <w:tcPr>
            <w:tcW w:w="1221" w:type="dxa"/>
            <w:tcBorders>
              <w:tl2br w:val="nil"/>
              <w:tr2bl w:val="nil"/>
            </w:tcBorders>
            <w:vAlign w:val="center"/>
          </w:tcPr>
          <w:p>
            <w:pPr>
              <w:pStyle w:val="45"/>
              <w:ind w:firstLine="0" w:firstLineChars="0"/>
              <w:rPr>
                <w:rFonts w:hint="eastAsia"/>
                <w:sz w:val="21"/>
                <w:szCs w:val="21"/>
                <w:highlight w:val="none"/>
                <w:lang w:eastAsia="zh-CN"/>
              </w:rPr>
            </w:pPr>
            <w:r>
              <w:rPr>
                <w:rFonts w:hint="eastAsia"/>
                <w:sz w:val="21"/>
                <w:szCs w:val="21"/>
                <w:highlight w:val="none"/>
                <w:lang w:val="en-US" w:eastAsia="zh-CN"/>
              </w:rPr>
              <w:t>10</w:t>
            </w:r>
            <w:r>
              <w:rPr>
                <w:rFonts w:hint="default"/>
                <w:sz w:val="21"/>
                <w:szCs w:val="21"/>
                <w:highlight w:val="none"/>
              </w:rPr>
              <w:t>mg/L</w:t>
            </w:r>
          </w:p>
        </w:tc>
        <w:tc>
          <w:tcPr>
            <w:tcW w:w="1221" w:type="dxa"/>
            <w:gridSpan w:val="2"/>
            <w:tcBorders>
              <w:tl2br w:val="nil"/>
              <w:tr2bl w:val="nil"/>
            </w:tcBorders>
            <w:vAlign w:val="center"/>
          </w:tcPr>
          <w:p>
            <w:pPr>
              <w:pStyle w:val="45"/>
              <w:ind w:firstLine="0" w:firstLineChars="0"/>
              <w:rPr>
                <w:rFonts w:hint="eastAsia"/>
                <w:sz w:val="21"/>
                <w:szCs w:val="21"/>
                <w:highlight w:val="none"/>
                <w:lang w:eastAsia="zh-CN"/>
              </w:rPr>
            </w:pPr>
            <w:r>
              <w:rPr>
                <w:sz w:val="21"/>
                <w:szCs w:val="21"/>
                <w:highlight w:val="none"/>
              </w:rPr>
              <w:t>0.0</w:t>
            </w:r>
            <w:r>
              <w:rPr>
                <w:rFonts w:hint="eastAsia"/>
                <w:sz w:val="21"/>
                <w:szCs w:val="21"/>
                <w:highlight w:val="none"/>
                <w:lang w:val="en-US" w:eastAsia="zh-CN"/>
              </w:rPr>
              <w:t>011</w:t>
            </w:r>
            <w:r>
              <w:rPr>
                <w:rFonts w:hint="default"/>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cantSplit/>
          <w:trHeight w:val="23" w:hRule="atLeast"/>
          <w:jc w:val="center"/>
        </w:trPr>
        <w:tc>
          <w:tcPr>
            <w:tcW w:w="781" w:type="dxa"/>
            <w:vMerge w:val="continue"/>
            <w:tcBorders>
              <w:tl2br w:val="nil"/>
              <w:tr2bl w:val="nil"/>
            </w:tcBorders>
            <w:vAlign w:val="center"/>
          </w:tcPr>
          <w:p>
            <w:pPr>
              <w:pStyle w:val="29"/>
              <w:bidi w:val="0"/>
              <w:rPr>
                <w:rFonts w:hint="eastAsia"/>
                <w:b/>
                <w:bCs/>
                <w:sz w:val="21"/>
                <w:szCs w:val="21"/>
                <w:highlight w:val="none"/>
                <w:lang w:eastAsia="zh-CN"/>
              </w:rPr>
            </w:pPr>
          </w:p>
        </w:tc>
        <w:tc>
          <w:tcPr>
            <w:tcW w:w="1554" w:type="dxa"/>
            <w:gridSpan w:val="2"/>
            <w:vMerge w:val="continue"/>
            <w:tcBorders>
              <w:tl2br w:val="nil"/>
              <w:tr2bl w:val="nil"/>
            </w:tcBorders>
            <w:vAlign w:val="center"/>
          </w:tcPr>
          <w:p>
            <w:pPr>
              <w:pStyle w:val="29"/>
              <w:bidi w:val="0"/>
              <w:rPr>
                <w:rFonts w:hint="eastAsia"/>
                <w:sz w:val="21"/>
                <w:szCs w:val="21"/>
                <w:highlight w:val="none"/>
                <w:lang w:eastAsia="zh-CN"/>
              </w:rPr>
            </w:pPr>
          </w:p>
        </w:tc>
        <w:tc>
          <w:tcPr>
            <w:tcW w:w="1639" w:type="dxa"/>
            <w:tcBorders>
              <w:tl2br w:val="nil"/>
              <w:tr2bl w:val="nil"/>
            </w:tcBorders>
            <w:vAlign w:val="center"/>
          </w:tcPr>
          <w:p>
            <w:pPr>
              <w:pStyle w:val="45"/>
              <w:ind w:firstLine="0" w:firstLineChars="0"/>
              <w:rPr>
                <w:rFonts w:hint="eastAsia"/>
                <w:sz w:val="21"/>
                <w:szCs w:val="21"/>
                <w:highlight w:val="none"/>
                <w:lang w:eastAsia="zh-CN"/>
              </w:rPr>
            </w:pPr>
            <w:r>
              <w:rPr>
                <w:sz w:val="21"/>
                <w:szCs w:val="21"/>
                <w:highlight w:val="none"/>
              </w:rPr>
              <w:t>TP</w:t>
            </w:r>
          </w:p>
        </w:tc>
        <w:tc>
          <w:tcPr>
            <w:tcW w:w="1251" w:type="dxa"/>
            <w:gridSpan w:val="2"/>
            <w:tcBorders>
              <w:tl2br w:val="nil"/>
              <w:tr2bl w:val="nil"/>
            </w:tcBorders>
            <w:vAlign w:val="center"/>
          </w:tcPr>
          <w:p>
            <w:pPr>
              <w:pStyle w:val="45"/>
              <w:ind w:firstLine="0" w:firstLineChars="0"/>
              <w:rPr>
                <w:rFonts w:hint="eastAsia"/>
                <w:sz w:val="21"/>
                <w:szCs w:val="21"/>
                <w:highlight w:val="none"/>
                <w:lang w:eastAsia="zh-CN"/>
              </w:rPr>
            </w:pPr>
            <w:r>
              <w:rPr>
                <w:sz w:val="21"/>
                <w:szCs w:val="21"/>
                <w:highlight w:val="none"/>
              </w:rPr>
              <w:t>4</w:t>
            </w:r>
            <w:r>
              <w:rPr>
                <w:rFonts w:hint="default"/>
                <w:sz w:val="21"/>
                <w:szCs w:val="21"/>
                <w:highlight w:val="none"/>
              </w:rPr>
              <w:t>mg/L</w:t>
            </w:r>
          </w:p>
        </w:tc>
        <w:tc>
          <w:tcPr>
            <w:tcW w:w="1310" w:type="dxa"/>
            <w:tcBorders>
              <w:tl2br w:val="nil"/>
              <w:tr2bl w:val="nil"/>
            </w:tcBorders>
            <w:vAlign w:val="center"/>
          </w:tcPr>
          <w:p>
            <w:pPr>
              <w:pStyle w:val="45"/>
              <w:ind w:firstLine="0" w:firstLineChars="0"/>
              <w:rPr>
                <w:rFonts w:hint="eastAsia"/>
                <w:sz w:val="21"/>
                <w:szCs w:val="21"/>
                <w:highlight w:val="none"/>
                <w:lang w:eastAsia="zh-CN"/>
              </w:rPr>
            </w:pPr>
            <w:r>
              <w:rPr>
                <w:sz w:val="21"/>
                <w:szCs w:val="21"/>
                <w:highlight w:val="none"/>
              </w:rPr>
              <w:t>0.000</w:t>
            </w:r>
            <w:r>
              <w:rPr>
                <w:rFonts w:hint="eastAsia"/>
                <w:sz w:val="21"/>
                <w:szCs w:val="21"/>
                <w:highlight w:val="none"/>
                <w:lang w:val="en-US" w:eastAsia="zh-CN"/>
              </w:rPr>
              <w:t>4</w:t>
            </w:r>
            <w:r>
              <w:rPr>
                <w:rFonts w:hint="default"/>
                <w:sz w:val="21"/>
                <w:szCs w:val="21"/>
                <w:highlight w:val="none"/>
              </w:rPr>
              <w:t>t/a</w:t>
            </w:r>
          </w:p>
        </w:tc>
        <w:tc>
          <w:tcPr>
            <w:tcW w:w="1221" w:type="dxa"/>
            <w:tcBorders>
              <w:tl2br w:val="nil"/>
              <w:tr2bl w:val="nil"/>
            </w:tcBorders>
            <w:vAlign w:val="center"/>
          </w:tcPr>
          <w:p>
            <w:pPr>
              <w:pStyle w:val="45"/>
              <w:ind w:firstLine="0" w:firstLineChars="0"/>
              <w:rPr>
                <w:rFonts w:hint="eastAsia"/>
                <w:sz w:val="21"/>
                <w:szCs w:val="21"/>
                <w:highlight w:val="none"/>
                <w:lang w:eastAsia="zh-CN"/>
              </w:rPr>
            </w:pPr>
            <w:r>
              <w:rPr>
                <w:rFonts w:hint="eastAsia"/>
                <w:sz w:val="21"/>
                <w:szCs w:val="21"/>
                <w:highlight w:val="none"/>
                <w:lang w:val="en-US" w:eastAsia="zh-CN"/>
              </w:rPr>
              <w:t>0.</w:t>
            </w:r>
            <w:r>
              <w:rPr>
                <w:sz w:val="21"/>
                <w:szCs w:val="21"/>
                <w:highlight w:val="none"/>
              </w:rPr>
              <w:t>4</w:t>
            </w:r>
            <w:r>
              <w:rPr>
                <w:rFonts w:hint="default"/>
                <w:sz w:val="21"/>
                <w:szCs w:val="21"/>
                <w:highlight w:val="none"/>
              </w:rPr>
              <w:t>mg/L</w:t>
            </w:r>
          </w:p>
        </w:tc>
        <w:tc>
          <w:tcPr>
            <w:tcW w:w="1221" w:type="dxa"/>
            <w:gridSpan w:val="2"/>
            <w:tcBorders>
              <w:tl2br w:val="nil"/>
              <w:tr2bl w:val="nil"/>
            </w:tcBorders>
            <w:vAlign w:val="center"/>
          </w:tcPr>
          <w:p>
            <w:pPr>
              <w:pStyle w:val="45"/>
              <w:ind w:firstLine="0" w:firstLineChars="0"/>
              <w:rPr>
                <w:rFonts w:hint="eastAsia"/>
                <w:sz w:val="21"/>
                <w:szCs w:val="21"/>
                <w:highlight w:val="none"/>
                <w:lang w:eastAsia="zh-CN"/>
              </w:rPr>
            </w:pPr>
            <w:r>
              <w:rPr>
                <w:sz w:val="21"/>
                <w:szCs w:val="21"/>
                <w:highlight w:val="none"/>
              </w:rPr>
              <w:t>0.000</w:t>
            </w:r>
            <w:r>
              <w:rPr>
                <w:rFonts w:hint="eastAsia"/>
                <w:sz w:val="21"/>
                <w:szCs w:val="21"/>
                <w:highlight w:val="none"/>
                <w:lang w:val="en-US" w:eastAsia="zh-CN"/>
              </w:rPr>
              <w:t>04</w:t>
            </w:r>
            <w:r>
              <w:rPr>
                <w:rFonts w:hint="default"/>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cantSplit/>
          <w:trHeight w:val="23" w:hRule="atLeast"/>
          <w:jc w:val="center"/>
        </w:trPr>
        <w:tc>
          <w:tcPr>
            <w:tcW w:w="781" w:type="dxa"/>
            <w:tcBorders>
              <w:tl2br w:val="nil"/>
              <w:tr2bl w:val="nil"/>
            </w:tcBorders>
            <w:vAlign w:val="center"/>
          </w:tcPr>
          <w:p>
            <w:pPr>
              <w:pStyle w:val="29"/>
              <w:bidi w:val="0"/>
              <w:rPr>
                <w:b/>
                <w:bCs/>
                <w:sz w:val="21"/>
                <w:szCs w:val="21"/>
                <w:highlight w:val="none"/>
              </w:rPr>
            </w:pPr>
            <w:r>
              <w:rPr>
                <w:b/>
                <w:bCs/>
                <w:sz w:val="21"/>
                <w:szCs w:val="21"/>
                <w:highlight w:val="none"/>
              </w:rPr>
              <w:t>固废</w:t>
            </w:r>
          </w:p>
        </w:tc>
        <w:tc>
          <w:tcPr>
            <w:tcW w:w="713" w:type="dxa"/>
            <w:tcBorders>
              <w:tl2br w:val="nil"/>
              <w:tr2bl w:val="nil"/>
            </w:tcBorders>
            <w:vAlign w:val="center"/>
          </w:tcPr>
          <w:p>
            <w:pPr>
              <w:pStyle w:val="29"/>
              <w:bidi w:val="0"/>
              <w:rPr>
                <w:sz w:val="21"/>
                <w:szCs w:val="21"/>
                <w:highlight w:val="none"/>
              </w:rPr>
            </w:pPr>
            <w:r>
              <w:rPr>
                <w:sz w:val="21"/>
                <w:szCs w:val="21"/>
                <w:highlight w:val="none"/>
              </w:rPr>
              <w:t>一般固废</w:t>
            </w:r>
          </w:p>
        </w:tc>
        <w:tc>
          <w:tcPr>
            <w:tcW w:w="841" w:type="dxa"/>
            <w:tcBorders>
              <w:tl2br w:val="nil"/>
              <w:tr2bl w:val="nil"/>
            </w:tcBorders>
            <w:vAlign w:val="center"/>
          </w:tcPr>
          <w:p>
            <w:pPr>
              <w:pStyle w:val="29"/>
              <w:bidi w:val="0"/>
              <w:rPr>
                <w:sz w:val="21"/>
                <w:szCs w:val="21"/>
                <w:highlight w:val="none"/>
              </w:rPr>
            </w:pPr>
            <w:r>
              <w:rPr>
                <w:sz w:val="21"/>
                <w:szCs w:val="21"/>
                <w:highlight w:val="none"/>
              </w:rPr>
              <w:t>生产工序</w:t>
            </w:r>
          </w:p>
        </w:tc>
        <w:tc>
          <w:tcPr>
            <w:tcW w:w="1639" w:type="dxa"/>
            <w:tcBorders>
              <w:bottom w:val="single" w:color="auto" w:sz="4" w:space="0"/>
              <w:tl2br w:val="nil"/>
              <w:tr2bl w:val="nil"/>
            </w:tcBorders>
            <w:vAlign w:val="center"/>
          </w:tcPr>
          <w:p>
            <w:pPr>
              <w:pStyle w:val="29"/>
              <w:bidi w:val="0"/>
              <w:ind w:firstLine="0" w:firstLineChars="0"/>
              <w:rPr>
                <w:sz w:val="21"/>
                <w:szCs w:val="21"/>
                <w:highlight w:val="none"/>
              </w:rPr>
            </w:pPr>
            <w:r>
              <w:rPr>
                <w:rFonts w:hint="eastAsia"/>
                <w:sz w:val="21"/>
                <w:szCs w:val="21"/>
                <w:highlight w:val="none"/>
                <w:lang w:eastAsia="zh-CN"/>
              </w:rPr>
              <w:t>废气瓶头和废胶垫</w:t>
            </w:r>
          </w:p>
        </w:tc>
        <w:tc>
          <w:tcPr>
            <w:tcW w:w="2561" w:type="dxa"/>
            <w:gridSpan w:val="3"/>
            <w:tcBorders>
              <w:bottom w:val="single" w:color="auto" w:sz="4" w:space="0"/>
              <w:tl2br w:val="nil"/>
              <w:tr2bl w:val="nil"/>
            </w:tcBorders>
            <w:vAlign w:val="center"/>
          </w:tcPr>
          <w:p>
            <w:pPr>
              <w:pStyle w:val="29"/>
              <w:bidi w:val="0"/>
              <w:ind w:firstLine="0" w:firstLineChars="0"/>
              <w:rPr>
                <w:rFonts w:hint="eastAsia" w:eastAsia="宋体"/>
                <w:sz w:val="21"/>
                <w:szCs w:val="21"/>
                <w:highlight w:val="none"/>
                <w:lang w:eastAsia="zh-CN"/>
              </w:rPr>
            </w:pPr>
            <w:r>
              <w:rPr>
                <w:rFonts w:hint="eastAsia"/>
                <w:sz w:val="21"/>
                <w:szCs w:val="21"/>
                <w:highlight w:val="none"/>
              </w:rPr>
              <w:t>0.</w:t>
            </w:r>
            <w:r>
              <w:rPr>
                <w:rFonts w:hint="eastAsia"/>
                <w:sz w:val="21"/>
                <w:szCs w:val="21"/>
                <w:highlight w:val="none"/>
                <w:lang w:val="en-US" w:eastAsia="zh-CN"/>
              </w:rPr>
              <w:t>5</w:t>
            </w:r>
            <w:r>
              <w:rPr>
                <w:sz w:val="21"/>
                <w:szCs w:val="21"/>
                <w:highlight w:val="none"/>
              </w:rPr>
              <w:t>t/a</w:t>
            </w:r>
          </w:p>
        </w:tc>
        <w:tc>
          <w:tcPr>
            <w:tcW w:w="2442" w:type="dxa"/>
            <w:gridSpan w:val="3"/>
            <w:tcBorders>
              <w:tl2br w:val="nil"/>
              <w:tr2bl w:val="nil"/>
            </w:tcBorders>
            <w:vAlign w:val="center"/>
          </w:tcPr>
          <w:p>
            <w:pPr>
              <w:pStyle w:val="29"/>
              <w:bidi w:val="0"/>
              <w:rPr>
                <w:sz w:val="21"/>
                <w:szCs w:val="21"/>
                <w:highlight w:val="none"/>
              </w:rPr>
            </w:pPr>
            <w:r>
              <w:rPr>
                <w:sz w:val="21"/>
                <w:szCs w:val="21"/>
                <w:highlight w:val="none"/>
              </w:rPr>
              <w:t>0t/a</w:t>
            </w:r>
          </w:p>
          <w:p>
            <w:pPr>
              <w:pStyle w:val="29"/>
              <w:bidi w:val="0"/>
              <w:rPr>
                <w:sz w:val="21"/>
                <w:szCs w:val="21"/>
                <w:highlight w:val="none"/>
              </w:rPr>
            </w:pPr>
            <w:r>
              <w:rPr>
                <w:sz w:val="21"/>
                <w:szCs w:val="21"/>
                <w:highlight w:val="none"/>
              </w:rPr>
              <w:t>（外售</w:t>
            </w:r>
            <w:r>
              <w:rPr>
                <w:rFonts w:hint="eastAsia"/>
                <w:sz w:val="21"/>
                <w:szCs w:val="21"/>
                <w:highlight w:val="none"/>
              </w:rPr>
              <w:t>综合利用</w:t>
            </w:r>
            <w:r>
              <w:rPr>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cantSplit/>
          <w:trHeight w:val="23" w:hRule="atLeast"/>
          <w:jc w:val="center"/>
        </w:trPr>
        <w:tc>
          <w:tcPr>
            <w:tcW w:w="781" w:type="dxa"/>
            <w:tcBorders>
              <w:tl2br w:val="nil"/>
              <w:tr2bl w:val="nil"/>
            </w:tcBorders>
            <w:vAlign w:val="center"/>
          </w:tcPr>
          <w:p>
            <w:pPr>
              <w:pStyle w:val="29"/>
              <w:bidi w:val="0"/>
              <w:rPr>
                <w:b/>
                <w:bCs/>
                <w:sz w:val="21"/>
                <w:szCs w:val="21"/>
                <w:highlight w:val="none"/>
              </w:rPr>
            </w:pPr>
            <w:r>
              <w:rPr>
                <w:b/>
                <w:bCs/>
                <w:sz w:val="21"/>
                <w:szCs w:val="21"/>
                <w:highlight w:val="none"/>
              </w:rPr>
              <w:t>噪声</w:t>
            </w:r>
          </w:p>
        </w:tc>
        <w:tc>
          <w:tcPr>
            <w:tcW w:w="8196" w:type="dxa"/>
            <w:gridSpan w:val="9"/>
            <w:tcBorders>
              <w:tl2br w:val="nil"/>
              <w:tr2bl w:val="nil"/>
            </w:tcBorders>
            <w:vAlign w:val="center"/>
          </w:tcPr>
          <w:p>
            <w:pPr>
              <w:pStyle w:val="29"/>
              <w:bidi w:val="0"/>
              <w:rPr>
                <w:sz w:val="21"/>
                <w:szCs w:val="21"/>
                <w:highlight w:val="none"/>
              </w:rPr>
            </w:pPr>
            <w:r>
              <w:rPr>
                <w:sz w:val="21"/>
                <w:szCs w:val="21"/>
                <w:highlight w:val="none"/>
              </w:rPr>
              <w:t>本项目在生产过程所有设备均置于生产车间内，采用加大减震基础，安装减震装置等措施，经厂房隔声、距离衰减后，厂界噪声能满足《工业企业厂界环境噪声排放标准》（GB12348-2008）</w:t>
            </w:r>
            <w:r>
              <w:rPr>
                <w:rFonts w:hint="eastAsia"/>
                <w:sz w:val="21"/>
                <w:szCs w:val="21"/>
                <w:highlight w:val="none"/>
                <w:lang w:val="en-US" w:eastAsia="zh-CN"/>
              </w:rPr>
              <w:t>3</w:t>
            </w:r>
            <w:r>
              <w:rPr>
                <w:sz w:val="21"/>
                <w:szCs w:val="21"/>
                <w:highlight w:val="none"/>
              </w:rPr>
              <w:t>类标准的要求。</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cantSplit/>
          <w:trHeight w:val="23" w:hRule="atLeast"/>
          <w:jc w:val="center"/>
        </w:trPr>
        <w:tc>
          <w:tcPr>
            <w:tcW w:w="8977" w:type="dxa"/>
            <w:gridSpan w:val="10"/>
            <w:tcBorders>
              <w:tl2br w:val="nil"/>
              <w:tr2bl w:val="nil"/>
            </w:tcBorders>
          </w:tcPr>
          <w:p>
            <w:pPr>
              <w:pStyle w:val="3"/>
              <w:bidi w:val="0"/>
              <w:rPr>
                <w:sz w:val="21"/>
                <w:szCs w:val="21"/>
                <w:highlight w:val="none"/>
              </w:rPr>
            </w:pPr>
            <w:r>
              <w:rPr>
                <w:sz w:val="21"/>
                <w:szCs w:val="21"/>
                <w:highlight w:val="none"/>
              </w:rPr>
              <w:t>主要生态影响：</w:t>
            </w:r>
          </w:p>
          <w:p>
            <w:pPr>
              <w:bidi w:val="0"/>
              <w:rPr>
                <w:rFonts w:hint="default"/>
                <w:sz w:val="21"/>
                <w:szCs w:val="21"/>
                <w:highlight w:val="none"/>
              </w:rPr>
            </w:pPr>
            <w:r>
              <w:rPr>
                <w:sz w:val="21"/>
                <w:szCs w:val="21"/>
                <w:highlight w:val="none"/>
              </w:rPr>
              <w:t>根据现场调查，项目生产车间已建成，不再进行土建，施工期对周围生态环境的影响已结束，评价建议项目建成后应加强厂区绿化，以起到美化环境和降噪的作用。</w:t>
            </w:r>
          </w:p>
          <w:p>
            <w:pPr>
              <w:bidi w:val="0"/>
              <w:rPr>
                <w:rFonts w:hint="default"/>
                <w:sz w:val="21"/>
                <w:szCs w:val="21"/>
                <w:highlight w:val="none"/>
              </w:rPr>
            </w:pPr>
          </w:p>
          <w:p>
            <w:pPr>
              <w:pStyle w:val="29"/>
              <w:bidi w:val="0"/>
              <w:rPr>
                <w:sz w:val="21"/>
                <w:szCs w:val="21"/>
                <w:highlight w:val="none"/>
              </w:rPr>
            </w:pPr>
          </w:p>
          <w:p>
            <w:pPr>
              <w:pStyle w:val="29"/>
              <w:bidi w:val="0"/>
              <w:rPr>
                <w:sz w:val="21"/>
                <w:szCs w:val="21"/>
                <w:highlight w:val="none"/>
              </w:rPr>
            </w:pPr>
          </w:p>
          <w:p>
            <w:pPr>
              <w:pStyle w:val="29"/>
              <w:bidi w:val="0"/>
              <w:rPr>
                <w:rFonts w:hint="eastAsia"/>
                <w:sz w:val="21"/>
                <w:szCs w:val="21"/>
                <w:highlight w:val="none"/>
                <w:lang w:eastAsia="zh-CN"/>
              </w:rPr>
            </w:pPr>
          </w:p>
          <w:p>
            <w:pPr>
              <w:pStyle w:val="29"/>
              <w:bidi w:val="0"/>
              <w:rPr>
                <w:rFonts w:hint="eastAsia"/>
                <w:sz w:val="21"/>
                <w:szCs w:val="21"/>
                <w:highlight w:val="none"/>
                <w:lang w:eastAsia="zh-CN"/>
              </w:rPr>
            </w:pPr>
          </w:p>
          <w:p>
            <w:pPr>
              <w:pStyle w:val="29"/>
              <w:bidi w:val="0"/>
              <w:jc w:val="both"/>
              <w:rPr>
                <w:rFonts w:hint="eastAsia" w:eastAsia="宋体"/>
                <w:sz w:val="21"/>
                <w:szCs w:val="21"/>
                <w:highlight w:val="none"/>
                <w:lang w:eastAsia="zh-CN"/>
              </w:rPr>
            </w:pPr>
          </w:p>
          <w:p>
            <w:pPr>
              <w:pStyle w:val="29"/>
              <w:bidi w:val="0"/>
              <w:jc w:val="both"/>
              <w:rPr>
                <w:rFonts w:hint="eastAsia"/>
                <w:sz w:val="21"/>
                <w:szCs w:val="21"/>
                <w:highlight w:val="none"/>
                <w:lang w:eastAsia="zh-CN"/>
              </w:rPr>
            </w:pPr>
          </w:p>
          <w:p>
            <w:pPr>
              <w:pStyle w:val="29"/>
              <w:bidi w:val="0"/>
              <w:jc w:val="both"/>
              <w:rPr>
                <w:rFonts w:hint="eastAsia"/>
                <w:sz w:val="21"/>
                <w:szCs w:val="21"/>
                <w:highlight w:val="none"/>
                <w:lang w:eastAsia="zh-CN"/>
              </w:rPr>
            </w:pPr>
          </w:p>
          <w:p>
            <w:pPr>
              <w:pStyle w:val="29"/>
              <w:bidi w:val="0"/>
              <w:jc w:val="both"/>
              <w:rPr>
                <w:rFonts w:hint="eastAsia"/>
                <w:sz w:val="21"/>
                <w:szCs w:val="21"/>
                <w:highlight w:val="none"/>
                <w:lang w:eastAsia="zh-CN"/>
              </w:rPr>
            </w:pPr>
          </w:p>
          <w:p>
            <w:pPr>
              <w:pStyle w:val="29"/>
              <w:bidi w:val="0"/>
              <w:jc w:val="both"/>
              <w:rPr>
                <w:rFonts w:hint="eastAsia"/>
                <w:sz w:val="21"/>
                <w:szCs w:val="21"/>
                <w:highlight w:val="none"/>
                <w:lang w:eastAsia="zh-CN"/>
              </w:rPr>
            </w:pPr>
          </w:p>
          <w:p>
            <w:pPr>
              <w:pStyle w:val="29"/>
              <w:bidi w:val="0"/>
              <w:jc w:val="both"/>
              <w:rPr>
                <w:rFonts w:hint="eastAsia"/>
                <w:sz w:val="21"/>
                <w:szCs w:val="21"/>
                <w:highlight w:val="none"/>
                <w:lang w:eastAsia="zh-CN"/>
              </w:rPr>
            </w:pPr>
          </w:p>
          <w:p>
            <w:pPr>
              <w:pStyle w:val="29"/>
              <w:bidi w:val="0"/>
              <w:jc w:val="both"/>
              <w:rPr>
                <w:rFonts w:hint="eastAsia"/>
                <w:sz w:val="21"/>
                <w:szCs w:val="21"/>
                <w:highlight w:val="none"/>
                <w:lang w:eastAsia="zh-CN"/>
              </w:rPr>
            </w:pPr>
          </w:p>
          <w:p>
            <w:pPr>
              <w:pStyle w:val="29"/>
              <w:bidi w:val="0"/>
              <w:jc w:val="both"/>
              <w:rPr>
                <w:rFonts w:hint="eastAsia" w:eastAsia="宋体"/>
                <w:sz w:val="21"/>
                <w:szCs w:val="21"/>
                <w:highlight w:val="none"/>
                <w:lang w:eastAsia="zh-CN"/>
              </w:rPr>
            </w:pPr>
          </w:p>
        </w:tc>
      </w:tr>
    </w:tbl>
    <w:p>
      <w:r>
        <w:br w:type="page"/>
      </w:r>
    </w:p>
    <w:p>
      <w:pPr>
        <w:pStyle w:val="2"/>
        <w:bidi w:val="0"/>
        <w:rPr>
          <w:highlight w:val="none"/>
        </w:rPr>
      </w:pPr>
      <w:r>
        <w:rPr>
          <w:highlight w:val="none"/>
        </w:rPr>
        <w:t>环境影响分析</w:t>
      </w:r>
    </w:p>
    <w:tbl>
      <w:tblPr>
        <w:tblStyle w:val="22"/>
        <w:tblW w:w="907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26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079" w:type="dxa"/>
          </w:tcPr>
          <w:p>
            <w:pPr>
              <w:pStyle w:val="4"/>
              <w:bidi w:val="0"/>
              <w:ind w:left="0" w:leftChars="0" w:firstLine="0" w:firstLineChars="0"/>
              <w:rPr>
                <w:highlight w:val="none"/>
              </w:rPr>
            </w:pPr>
            <w:r>
              <w:rPr>
                <w:highlight w:val="none"/>
              </w:rPr>
              <w:t>施工期环境影响分析</w:t>
            </w:r>
          </w:p>
          <w:p>
            <w:pPr>
              <w:bidi w:val="0"/>
              <w:rPr>
                <w:highlight w:val="none"/>
              </w:rPr>
            </w:pPr>
            <w:r>
              <w:rPr>
                <w:highlight w:val="none"/>
              </w:rPr>
              <w:t>本项目生产厂房</w:t>
            </w:r>
            <w:r>
              <w:rPr>
                <w:rFonts w:hint="eastAsia"/>
                <w:highlight w:val="none"/>
              </w:rPr>
              <w:t>利用</w:t>
            </w:r>
            <w:r>
              <w:rPr>
                <w:rFonts w:hint="eastAsia"/>
                <w:highlight w:val="none"/>
                <w:lang w:eastAsia="zh-CN"/>
              </w:rPr>
              <w:t>现有项目</w:t>
            </w:r>
            <w:r>
              <w:rPr>
                <w:highlight w:val="none"/>
              </w:rPr>
              <w:t>厂房，无土建工程，因此不再对施工期环境影响进行分析评价</w:t>
            </w:r>
            <w:r>
              <w:rPr>
                <w:rFonts w:hint="eastAsia"/>
                <w:highlight w:val="none"/>
              </w:rPr>
              <w:t>。</w:t>
            </w:r>
          </w:p>
          <w:p>
            <w:pPr>
              <w:pStyle w:val="4"/>
              <w:bidi w:val="0"/>
              <w:ind w:left="0" w:leftChars="0" w:firstLine="0" w:firstLineChars="0"/>
              <w:rPr>
                <w:highlight w:val="none"/>
              </w:rPr>
            </w:pPr>
            <w:r>
              <w:rPr>
                <w:highlight w:val="none"/>
              </w:rPr>
              <w:t>营运期环境影响分析</w:t>
            </w:r>
          </w:p>
          <w:p>
            <w:pPr>
              <w:pStyle w:val="4"/>
              <w:bidi w:val="0"/>
              <w:rPr>
                <w:highlight w:val="none"/>
              </w:rPr>
            </w:pPr>
            <w:r>
              <w:rPr>
                <w:highlight w:val="none"/>
              </w:rPr>
              <w:t>（一）</w:t>
            </w:r>
            <w:r>
              <w:rPr>
                <w:rFonts w:hint="eastAsia"/>
                <w:highlight w:val="none"/>
              </w:rPr>
              <w:t>大气环境</w:t>
            </w:r>
            <w:r>
              <w:rPr>
                <w:highlight w:val="none"/>
              </w:rPr>
              <w:t>影响分析</w:t>
            </w:r>
          </w:p>
          <w:p>
            <w:pPr>
              <w:pStyle w:val="4"/>
              <w:bidi w:val="0"/>
              <w:rPr>
                <w:highlight w:val="none"/>
              </w:rPr>
            </w:pPr>
            <w:r>
              <w:rPr>
                <w:rFonts w:hint="eastAsia"/>
                <w:highlight w:val="none"/>
              </w:rPr>
              <w:t>1.1大气污染源强核算</w:t>
            </w:r>
          </w:p>
          <w:p>
            <w:pPr>
              <w:bidi w:val="0"/>
              <w:rPr>
                <w:highlight w:val="none"/>
              </w:rPr>
            </w:pPr>
            <w:r>
              <w:rPr>
                <w:rFonts w:hint="eastAsia"/>
                <w:highlight w:val="none"/>
              </w:rPr>
              <w:t>项目气体充装是气、液两相转变的过程，流程短、密闭性好，废气主要来自槽车到储罐、充装过程中产生的废气以及汽车尾气。</w:t>
            </w:r>
          </w:p>
          <w:p>
            <w:pPr>
              <w:keepNext w:val="0"/>
              <w:keepLines w:val="0"/>
              <w:widowControl/>
              <w:suppressLineNumbers w:val="0"/>
              <w:jc w:val="left"/>
              <w:rPr>
                <w:b w:val="0"/>
                <w:bCs w:val="0"/>
                <w:highlight w:val="none"/>
                <w:u w:val="none"/>
              </w:rPr>
            </w:pPr>
            <w:r>
              <w:rPr>
                <w:rFonts w:hint="eastAsia" w:ascii="宋体" w:hAnsi="宋体" w:eastAsia="宋体" w:cs="宋体"/>
                <w:b w:val="0"/>
                <w:bCs w:val="0"/>
                <w:color w:val="000000"/>
                <w:kern w:val="0"/>
                <w:sz w:val="24"/>
                <w:szCs w:val="24"/>
                <w:highlight w:val="none"/>
                <w:u w:val="none"/>
                <w:lang w:val="en-US" w:eastAsia="zh-CN" w:bidi="ar"/>
              </w:rPr>
              <w:t>①储罐装卸废气</w:t>
            </w:r>
          </w:p>
          <w:p>
            <w:pPr>
              <w:keepNext w:val="0"/>
              <w:keepLines w:val="0"/>
              <w:widowControl/>
              <w:suppressLineNumbers w:val="0"/>
              <w:jc w:val="left"/>
              <w:rPr>
                <w:rFonts w:hint="eastAsia" w:ascii="宋体" w:hAnsi="宋体" w:eastAsia="宋体" w:cs="宋体"/>
                <w:b w:val="0"/>
                <w:bCs w:val="0"/>
                <w:color w:val="000000"/>
                <w:kern w:val="0"/>
                <w:sz w:val="24"/>
                <w:szCs w:val="24"/>
                <w:highlight w:val="none"/>
                <w:u w:val="none"/>
                <w:lang w:val="en-US" w:eastAsia="zh-CN" w:bidi="ar"/>
              </w:rPr>
            </w:pPr>
            <w:r>
              <w:rPr>
                <w:rFonts w:hint="eastAsia" w:ascii="宋体" w:hAnsi="宋体" w:eastAsia="宋体" w:cs="宋体"/>
                <w:b w:val="0"/>
                <w:bCs w:val="0"/>
                <w:color w:val="000000"/>
                <w:kern w:val="0"/>
                <w:sz w:val="24"/>
                <w:szCs w:val="24"/>
                <w:highlight w:val="none"/>
                <w:u w:val="none"/>
                <w:lang w:val="en-US" w:eastAsia="zh-CN" w:bidi="ar"/>
              </w:rPr>
              <w:t>项目外购的气体（液化的）经专用槽车运至厂内，分别经管道吹扫合格后通过泵打入专门的储罐，</w:t>
            </w:r>
            <w:r>
              <w:rPr>
                <w:rFonts w:hint="eastAsia" w:ascii="宋体" w:hAnsi="宋体" w:cs="宋体"/>
                <w:b w:val="0"/>
                <w:bCs w:val="0"/>
                <w:color w:val="000000"/>
                <w:kern w:val="0"/>
                <w:sz w:val="24"/>
                <w:szCs w:val="24"/>
                <w:highlight w:val="none"/>
                <w:u w:val="none"/>
                <w:lang w:val="en-US" w:eastAsia="zh-CN" w:bidi="ar"/>
              </w:rPr>
              <w:t>整个装卸过程采取硬管连接，密闭性好，</w:t>
            </w:r>
            <w:r>
              <w:rPr>
                <w:rFonts w:hint="eastAsia" w:ascii="宋体" w:hAnsi="宋体" w:eastAsia="宋体" w:cs="宋体"/>
                <w:b w:val="0"/>
                <w:bCs w:val="0"/>
                <w:color w:val="000000"/>
                <w:kern w:val="0"/>
                <w:sz w:val="24"/>
                <w:szCs w:val="24"/>
                <w:highlight w:val="none"/>
                <w:u w:val="none"/>
                <w:lang w:val="en-US" w:eastAsia="zh-CN" w:bidi="ar"/>
              </w:rPr>
              <w:t>在装卸过程中</w:t>
            </w:r>
            <w:r>
              <w:rPr>
                <w:rFonts w:hint="eastAsia" w:ascii="宋体" w:hAnsi="宋体" w:cs="宋体"/>
                <w:b w:val="0"/>
                <w:bCs w:val="0"/>
                <w:color w:val="000000"/>
                <w:kern w:val="0"/>
                <w:sz w:val="24"/>
                <w:szCs w:val="24"/>
                <w:highlight w:val="none"/>
                <w:u w:val="none"/>
                <w:lang w:val="en-US" w:eastAsia="zh-CN" w:bidi="ar"/>
              </w:rPr>
              <w:t>仅</w:t>
            </w:r>
            <w:r>
              <w:rPr>
                <w:rFonts w:hint="eastAsia" w:ascii="宋体" w:hAnsi="宋体" w:eastAsia="宋体" w:cs="宋体"/>
                <w:b w:val="0"/>
                <w:bCs w:val="0"/>
                <w:color w:val="000000"/>
                <w:kern w:val="0"/>
                <w:sz w:val="24"/>
                <w:szCs w:val="24"/>
                <w:highlight w:val="none"/>
                <w:u w:val="none"/>
                <w:lang w:val="en-US" w:eastAsia="zh-CN" w:bidi="ar"/>
              </w:rPr>
              <w:t>有少量气体以无组织的形式扩散到大气中。废气的主要成分为氧气、氮气、氩气、二氧化碳和丙烷（以非甲烷总烃计）。氧气、氮气、氩气和二氧化碳均为大气环境中主要气体成分，产生量极少，在低浓度时均无毒无害，也无具体的排放标准和排放要求，因此，不对该废气做定量分析。</w:t>
            </w:r>
          </w:p>
          <w:p>
            <w:pPr>
              <w:keepNext w:val="0"/>
              <w:keepLines w:val="0"/>
              <w:widowControl/>
              <w:suppressLineNumbers w:val="0"/>
              <w:jc w:val="left"/>
              <w:rPr>
                <w:b w:val="0"/>
                <w:bCs w:val="0"/>
                <w:highlight w:val="none"/>
                <w:u w:val="none"/>
              </w:rPr>
            </w:pPr>
            <w:r>
              <w:rPr>
                <w:rFonts w:hint="eastAsia" w:ascii="宋体" w:hAnsi="宋体" w:eastAsia="宋体" w:cs="宋体"/>
                <w:b w:val="0"/>
                <w:bCs w:val="0"/>
                <w:color w:val="000000"/>
                <w:kern w:val="0"/>
                <w:sz w:val="24"/>
                <w:szCs w:val="24"/>
                <w:highlight w:val="none"/>
                <w:u w:val="none"/>
                <w:lang w:val="en-US" w:eastAsia="zh-CN" w:bidi="ar"/>
              </w:rPr>
              <w:t>装卸过程产生的少量丙烷（以非甲烷总烃计），与其产生量与操作技术等因素有关；本项目丙烷在装卸过程中有少量气体以无组织形式扩散到大气中。由于其产生量极少，故不对该废气进行定量分析。</w:t>
            </w:r>
          </w:p>
          <w:p>
            <w:pPr>
              <w:keepNext w:val="0"/>
              <w:keepLines w:val="0"/>
              <w:widowControl/>
              <w:suppressLineNumbers w:val="0"/>
              <w:jc w:val="left"/>
              <w:rPr>
                <w:b w:val="0"/>
                <w:bCs w:val="0"/>
                <w:highlight w:val="none"/>
                <w:u w:val="none"/>
              </w:rPr>
            </w:pPr>
            <w:r>
              <w:rPr>
                <w:rFonts w:hint="eastAsia" w:ascii="宋体" w:hAnsi="宋体" w:eastAsia="宋体" w:cs="宋体"/>
                <w:b w:val="0"/>
                <w:bCs w:val="0"/>
                <w:color w:val="000000"/>
                <w:kern w:val="0"/>
                <w:sz w:val="24"/>
                <w:szCs w:val="24"/>
                <w:highlight w:val="none"/>
                <w:u w:val="none"/>
                <w:lang w:val="en-US" w:eastAsia="zh-CN" w:bidi="ar"/>
              </w:rPr>
              <w:t>②充装工序释放气体</w:t>
            </w:r>
          </w:p>
          <w:p>
            <w:pPr>
              <w:keepNext w:val="0"/>
              <w:keepLines w:val="0"/>
              <w:widowControl/>
              <w:suppressLineNumbers w:val="0"/>
              <w:jc w:val="left"/>
              <w:rPr>
                <w:b w:val="0"/>
                <w:bCs w:val="0"/>
                <w:highlight w:val="none"/>
                <w:u w:val="none"/>
              </w:rPr>
            </w:pPr>
            <w:r>
              <w:rPr>
                <w:rFonts w:hint="eastAsia" w:ascii="宋体" w:hAnsi="宋体" w:eastAsia="宋体" w:cs="宋体"/>
                <w:b w:val="0"/>
                <w:bCs w:val="0"/>
                <w:color w:val="000000"/>
                <w:kern w:val="0"/>
                <w:sz w:val="24"/>
                <w:szCs w:val="24"/>
                <w:highlight w:val="none"/>
                <w:u w:val="none"/>
                <w:lang w:val="en-US" w:eastAsia="zh-CN" w:bidi="ar"/>
              </w:rPr>
              <w:t>项目气体充装是气、液两相转变的过程</w:t>
            </w:r>
            <w:r>
              <w:rPr>
                <w:rFonts w:hint="eastAsia" w:ascii="宋体" w:hAnsi="宋体" w:cs="宋体"/>
                <w:b w:val="0"/>
                <w:bCs w:val="0"/>
                <w:color w:val="000000"/>
                <w:kern w:val="0"/>
                <w:sz w:val="24"/>
                <w:szCs w:val="24"/>
                <w:highlight w:val="none"/>
                <w:u w:val="none"/>
                <w:lang w:val="en-US" w:eastAsia="zh-CN" w:bidi="ar"/>
              </w:rPr>
              <w:t>，</w:t>
            </w:r>
            <w:r>
              <w:rPr>
                <w:rFonts w:hint="eastAsia" w:ascii="宋体" w:hAnsi="宋体" w:eastAsia="宋体" w:cs="宋体"/>
                <w:b w:val="0"/>
                <w:bCs w:val="0"/>
                <w:color w:val="000000"/>
                <w:kern w:val="0"/>
                <w:sz w:val="24"/>
                <w:szCs w:val="24"/>
                <w:highlight w:val="none"/>
                <w:u w:val="none"/>
                <w:lang w:val="en-US" w:eastAsia="zh-CN" w:bidi="ar"/>
              </w:rPr>
              <w:t>流程短、密闭性好，充装废气主要来自充装排充装过程中产生的废气以及气瓶检验时产生的废气（只进行气密性的检查），其排放方式为偶然瞬时排放，产生量极小，不对该废气做定量分析。</w:t>
            </w:r>
          </w:p>
          <w:p>
            <w:pPr>
              <w:keepNext w:val="0"/>
              <w:keepLines w:val="0"/>
              <w:widowControl/>
              <w:suppressLineNumbers w:val="0"/>
              <w:jc w:val="left"/>
              <w:rPr>
                <w:rFonts w:hint="default" w:ascii="Times New Roman" w:hAnsi="Times New Roman" w:eastAsia="宋体" w:cs="Times New Roman"/>
                <w:color w:val="000000"/>
                <w:kern w:val="0"/>
                <w:sz w:val="24"/>
                <w:szCs w:val="24"/>
                <w:highlight w:val="none"/>
                <w:vertAlign w:val="baseline"/>
                <w:lang w:val="en-US" w:eastAsia="zh-CN" w:bidi="ar"/>
              </w:rPr>
            </w:pPr>
            <w:r>
              <w:rPr>
                <w:rFonts w:hint="default" w:ascii="Times New Roman" w:hAnsi="Times New Roman" w:cs="Times New Roman"/>
                <w:color w:val="000000"/>
                <w:kern w:val="0"/>
                <w:sz w:val="24"/>
                <w:szCs w:val="24"/>
                <w:highlight w:val="none"/>
                <w:lang w:val="en-US" w:eastAsia="zh-CN" w:bidi="ar"/>
              </w:rPr>
              <w:t>项目所涉及丙烷（</w:t>
            </w:r>
            <w:r>
              <w:rPr>
                <w:rFonts w:hint="default" w:ascii="Times New Roman" w:hAnsi="Times New Roman" w:eastAsia="宋体" w:cs="Times New Roman"/>
                <w:b w:val="0"/>
                <w:bCs w:val="0"/>
                <w:color w:val="000000"/>
                <w:kern w:val="0"/>
                <w:sz w:val="24"/>
                <w:szCs w:val="24"/>
                <w:highlight w:val="none"/>
                <w:u w:val="none"/>
                <w:lang w:val="en-US" w:eastAsia="zh-CN" w:bidi="ar"/>
              </w:rPr>
              <w:t>以非甲烷总烃计</w:t>
            </w:r>
            <w:r>
              <w:rPr>
                <w:rFonts w:hint="default" w:ascii="Times New Roman" w:hAnsi="Times New Roman" w:cs="Times New Roman"/>
                <w:color w:val="000000"/>
                <w:kern w:val="0"/>
                <w:sz w:val="24"/>
                <w:szCs w:val="24"/>
                <w:highlight w:val="none"/>
                <w:lang w:val="en-US" w:eastAsia="zh-CN" w:bidi="ar"/>
              </w:rPr>
              <w:t>）应满足</w:t>
            </w:r>
            <w:r>
              <w:rPr>
                <w:rFonts w:hint="default" w:ascii="Times New Roman" w:hAnsi="Times New Roman" w:eastAsia="宋体" w:cs="Times New Roman"/>
                <w:color w:val="000000"/>
                <w:kern w:val="0"/>
                <w:sz w:val="24"/>
                <w:szCs w:val="24"/>
                <w:highlight w:val="none"/>
                <w:lang w:val="en-US" w:eastAsia="zh-CN" w:bidi="ar"/>
              </w:rPr>
              <w:t>《关于全省开展工业企业挥发性有机物专项治理工作中排放建议值的通知》豫环攻坚办【2017】162号文</w:t>
            </w:r>
            <w:r>
              <w:rPr>
                <w:rFonts w:hint="default" w:ascii="Times New Roman" w:hAnsi="Times New Roman" w:cs="Times New Roman"/>
                <w:sz w:val="24"/>
                <w:szCs w:val="24"/>
                <w:highlight w:val="none"/>
              </w:rPr>
              <w:t>厂界无组织排放</w:t>
            </w:r>
            <w:r>
              <w:rPr>
                <w:rFonts w:hint="default" w:ascii="Times New Roman" w:hAnsi="Times New Roman" w:cs="Times New Roman"/>
                <w:sz w:val="24"/>
                <w:szCs w:val="24"/>
                <w:highlight w:val="none"/>
                <w:lang w:val="en-US" w:eastAsia="zh-CN"/>
              </w:rPr>
              <w:t>2.0</w:t>
            </w:r>
            <w:r>
              <w:rPr>
                <w:rFonts w:hint="default" w:ascii="Times New Roman" w:hAnsi="Times New Roman" w:cs="Times New Roman"/>
                <w:sz w:val="24"/>
                <w:szCs w:val="24"/>
                <w:highlight w:val="none"/>
              </w:rPr>
              <w:t>mg/m</w:t>
            </w:r>
            <w:r>
              <w:rPr>
                <w:rFonts w:hint="default" w:ascii="Times New Roman" w:hAnsi="Times New Roman" w:cs="Times New Roman"/>
                <w:sz w:val="24"/>
                <w:szCs w:val="24"/>
                <w:highlight w:val="none"/>
                <w:vertAlign w:val="superscript"/>
              </w:rPr>
              <w:t>3</w:t>
            </w:r>
            <w:r>
              <w:rPr>
                <w:rFonts w:hint="default" w:ascii="Times New Roman" w:hAnsi="Times New Roman" w:cs="Times New Roman"/>
                <w:sz w:val="24"/>
                <w:szCs w:val="24"/>
                <w:highlight w:val="none"/>
                <w:vertAlign w:val="baseline"/>
                <w:lang w:val="en-US" w:eastAsia="zh-CN"/>
              </w:rPr>
              <w:t>标准要求。</w:t>
            </w:r>
          </w:p>
          <w:p>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③汽车尾气</w:t>
            </w:r>
          </w:p>
          <w:p>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汽车尾气主要是指汽车进出厂区内行驶时，汽车启动、怠速、慢速（＜</w:t>
            </w:r>
            <w:r>
              <w:rPr>
                <w:rFonts w:hint="default" w:ascii="TimesNewRomanPSMT" w:hAnsi="TimesNewRomanPSMT" w:eastAsia="TimesNewRomanPSMT" w:cs="TimesNewRomanPSMT"/>
                <w:color w:val="000000"/>
                <w:kern w:val="0"/>
                <w:sz w:val="24"/>
                <w:szCs w:val="24"/>
                <w:highlight w:val="none"/>
                <w:lang w:val="en-US" w:eastAsia="zh-CN" w:bidi="ar"/>
              </w:rPr>
              <w:t>5km/h</w:t>
            </w:r>
            <w:r>
              <w:rPr>
                <w:rFonts w:hint="eastAsia" w:ascii="宋体" w:hAnsi="宋体" w:eastAsia="宋体" w:cs="宋体"/>
                <w:color w:val="000000"/>
                <w:kern w:val="0"/>
                <w:sz w:val="24"/>
                <w:szCs w:val="24"/>
                <w:highlight w:val="none"/>
                <w:lang w:val="en-US" w:eastAsia="zh-CN" w:bidi="ar"/>
              </w:rPr>
              <w:t>）状态下尾气的排放，此时的汽车尾气浓度最高，废气中主要污染因子为</w:t>
            </w:r>
            <w:r>
              <w:rPr>
                <w:rFonts w:hint="default" w:ascii="TimesNewRomanPSMT" w:hAnsi="TimesNewRomanPSMT" w:eastAsia="TimesNewRomanPSMT" w:cs="TimesNewRomanPSMT"/>
                <w:color w:val="000000"/>
                <w:kern w:val="0"/>
                <w:sz w:val="24"/>
                <w:szCs w:val="24"/>
                <w:highlight w:val="none"/>
                <w:lang w:val="en-US" w:eastAsia="zh-CN" w:bidi="ar"/>
              </w:rPr>
              <w:t>CO</w:t>
            </w:r>
            <w:r>
              <w:rPr>
                <w:rFonts w:hint="eastAsia" w:ascii="宋体" w:hAnsi="宋体" w:eastAsia="宋体" w:cs="宋体"/>
                <w:color w:val="000000"/>
                <w:kern w:val="0"/>
                <w:sz w:val="24"/>
                <w:szCs w:val="24"/>
                <w:highlight w:val="none"/>
                <w:lang w:val="en-US" w:eastAsia="zh-CN" w:bidi="ar"/>
              </w:rPr>
              <w:t>、</w:t>
            </w:r>
            <w:r>
              <w:rPr>
                <w:rFonts w:hint="default" w:ascii="TimesNewRomanPSMT" w:hAnsi="TimesNewRomanPSMT" w:eastAsia="TimesNewRomanPSMT" w:cs="TimesNewRomanPSMT"/>
                <w:color w:val="000000"/>
                <w:kern w:val="0"/>
                <w:sz w:val="24"/>
                <w:szCs w:val="24"/>
                <w:highlight w:val="none"/>
                <w:lang w:val="en-US" w:eastAsia="zh-CN" w:bidi="ar"/>
              </w:rPr>
              <w:t>HC</w:t>
            </w:r>
            <w:r>
              <w:rPr>
                <w:rFonts w:hint="eastAsia" w:ascii="宋体" w:hAnsi="宋体" w:eastAsia="宋体" w:cs="宋体"/>
                <w:color w:val="000000"/>
                <w:kern w:val="0"/>
                <w:sz w:val="24"/>
                <w:szCs w:val="24"/>
                <w:highlight w:val="none"/>
                <w:lang w:val="en-US" w:eastAsia="zh-CN" w:bidi="ar"/>
              </w:rPr>
              <w:t>和</w:t>
            </w:r>
            <w:r>
              <w:rPr>
                <w:rFonts w:hint="default" w:ascii="TimesNewRomanPSMT" w:hAnsi="TimesNewRomanPSMT" w:eastAsia="TimesNewRomanPSMT" w:cs="TimesNewRomanPSMT"/>
                <w:color w:val="000000"/>
                <w:kern w:val="0"/>
                <w:sz w:val="24"/>
                <w:szCs w:val="24"/>
                <w:highlight w:val="none"/>
                <w:lang w:val="en-US" w:eastAsia="zh-CN" w:bidi="ar"/>
              </w:rPr>
              <w:t>NOx</w:t>
            </w:r>
            <w:r>
              <w:rPr>
                <w:rFonts w:hint="eastAsia" w:ascii="宋体" w:hAnsi="宋体" w:eastAsia="宋体" w:cs="宋体"/>
                <w:color w:val="000000"/>
                <w:kern w:val="0"/>
                <w:sz w:val="24"/>
                <w:szCs w:val="24"/>
                <w:highlight w:val="none"/>
                <w:lang w:val="en-US" w:eastAsia="zh-CN" w:bidi="ar"/>
              </w:rPr>
              <w:t>等，其排放量主要取决于停车数量、车辆在行驶里程、怠速条件下的等候时间等参数。项目均为地面停车位，车辆启动时间短，因此汽车尾气产生量小；在露天空旷条件下易扩散，对周围环境影响较小。</w:t>
            </w:r>
          </w:p>
          <w:p>
            <w:pPr>
              <w:pStyle w:val="4"/>
              <w:bidi w:val="0"/>
              <w:rPr>
                <w:highlight w:val="none"/>
              </w:rPr>
            </w:pPr>
            <w:r>
              <w:rPr>
                <w:highlight w:val="none"/>
              </w:rPr>
              <w:t>（二）</w:t>
            </w:r>
            <w:r>
              <w:rPr>
                <w:rFonts w:hint="eastAsia"/>
                <w:highlight w:val="none"/>
              </w:rPr>
              <w:t>水</w:t>
            </w:r>
            <w:r>
              <w:rPr>
                <w:highlight w:val="none"/>
              </w:rPr>
              <w:t>环境的影响</w:t>
            </w:r>
          </w:p>
          <w:p>
            <w:pPr>
              <w:keepNext w:val="0"/>
              <w:keepLines w:val="0"/>
              <w:pageBreakBefore w:val="0"/>
              <w:widowControl w:val="0"/>
              <w:kinsoku/>
              <w:wordWrap/>
              <w:overflowPunct/>
              <w:topLinePunct w:val="0"/>
              <w:autoSpaceDE/>
              <w:autoSpaceDN/>
              <w:bidi w:val="0"/>
              <w:textAlignment w:val="auto"/>
              <w:rPr>
                <w:highlight w:val="none"/>
              </w:rPr>
            </w:pPr>
            <w:r>
              <w:rPr>
                <w:rFonts w:hint="eastAsia"/>
                <w:highlight w:val="none"/>
              </w:rPr>
              <w:t>（1）地表水环境</w:t>
            </w:r>
          </w:p>
          <w:p>
            <w:pPr>
              <w:ind w:firstLine="480"/>
              <w:rPr>
                <w:rFonts w:hint="default"/>
                <w:highlight w:val="none"/>
                <w:lang w:val="en-US"/>
              </w:rPr>
            </w:pPr>
            <w:r>
              <w:rPr>
                <w:rFonts w:hint="eastAsia" w:hAnsi="宋体"/>
                <w:b w:val="0"/>
                <w:bCs/>
                <w:snapToGrid w:val="0"/>
                <w:kern w:val="0"/>
                <w:sz w:val="24"/>
                <w:highlight w:val="none"/>
                <w:lang w:val="en-US" w:eastAsia="zh-CN"/>
              </w:rPr>
              <w:t>本项目无生产废水产生，项目依托现有项目员工，不新增劳动定员，无新增生活污水。现有项目生活污水由定期清运改为进入大召营镇污水处理厂处理。</w:t>
            </w:r>
            <w:r>
              <w:rPr>
                <w:rFonts w:hint="eastAsia"/>
                <w:highlight w:val="none"/>
                <w:lang w:val="en-US" w:eastAsia="zh-CN"/>
              </w:rPr>
              <w:t>现有</w:t>
            </w:r>
            <w:r>
              <w:rPr>
                <w:highlight w:val="none"/>
              </w:rPr>
              <w:t>项目劳动定员</w:t>
            </w:r>
            <w:r>
              <w:rPr>
                <w:rFonts w:hint="eastAsia"/>
                <w:highlight w:val="none"/>
                <w:lang w:val="en-US" w:eastAsia="zh-CN"/>
              </w:rPr>
              <w:t>15</w:t>
            </w:r>
            <w:r>
              <w:rPr>
                <w:highlight w:val="none"/>
              </w:rPr>
              <w:t>人，均不在厂区食宿，年工作日300天。职工生活用水定额按30L/(人·d)计，则生活用水量为</w:t>
            </w:r>
            <w:r>
              <w:rPr>
                <w:rFonts w:hint="eastAsia"/>
                <w:highlight w:val="none"/>
                <w:lang w:val="en-US" w:eastAsia="zh-CN"/>
              </w:rPr>
              <w:t>0.45</w:t>
            </w:r>
            <w:r>
              <w:rPr>
                <w:highlight w:val="none"/>
              </w:rPr>
              <w:t>m</w:t>
            </w:r>
            <w:r>
              <w:rPr>
                <w:rFonts w:hint="eastAsia"/>
                <w:highlight w:val="none"/>
                <w:vertAlign w:val="superscript"/>
              </w:rPr>
              <w:t>3</w:t>
            </w:r>
            <w:r>
              <w:rPr>
                <w:highlight w:val="none"/>
              </w:rPr>
              <w:t>/d（</w:t>
            </w:r>
            <w:r>
              <w:rPr>
                <w:rFonts w:hint="eastAsia"/>
                <w:highlight w:val="none"/>
                <w:lang w:val="en-US" w:eastAsia="zh-CN"/>
              </w:rPr>
              <w:t>135</w:t>
            </w:r>
            <w:r>
              <w:rPr>
                <w:highlight w:val="none"/>
              </w:rPr>
              <w:t>m</w:t>
            </w:r>
            <w:r>
              <w:rPr>
                <w:highlight w:val="none"/>
                <w:vertAlign w:val="superscript"/>
              </w:rPr>
              <w:t>3</w:t>
            </w:r>
            <w:r>
              <w:rPr>
                <w:highlight w:val="none"/>
              </w:rPr>
              <w:t>/a），生活污水产污系数按0.8计，则生活污水产生量为</w:t>
            </w:r>
            <w:r>
              <w:rPr>
                <w:rFonts w:hint="eastAsia"/>
                <w:highlight w:val="none"/>
              </w:rPr>
              <w:t>0.</w:t>
            </w:r>
            <w:r>
              <w:rPr>
                <w:rFonts w:hint="eastAsia"/>
                <w:highlight w:val="none"/>
                <w:lang w:val="en-US" w:eastAsia="zh-CN"/>
              </w:rPr>
              <w:t>36</w:t>
            </w:r>
            <w:r>
              <w:rPr>
                <w:highlight w:val="none"/>
              </w:rPr>
              <w:t>m</w:t>
            </w:r>
            <w:r>
              <w:rPr>
                <w:rFonts w:hint="eastAsia"/>
                <w:highlight w:val="none"/>
                <w:vertAlign w:val="superscript"/>
              </w:rPr>
              <w:t>3</w:t>
            </w:r>
            <w:r>
              <w:rPr>
                <w:highlight w:val="none"/>
              </w:rPr>
              <w:t>/d（</w:t>
            </w:r>
            <w:r>
              <w:rPr>
                <w:rFonts w:hint="eastAsia"/>
                <w:highlight w:val="none"/>
              </w:rPr>
              <w:t>1</w:t>
            </w:r>
            <w:r>
              <w:rPr>
                <w:rFonts w:hint="eastAsia"/>
                <w:highlight w:val="none"/>
                <w:lang w:val="en-US" w:eastAsia="zh-CN"/>
              </w:rPr>
              <w:t>08</w:t>
            </w:r>
            <w:r>
              <w:rPr>
                <w:highlight w:val="none"/>
              </w:rPr>
              <w:t>m</w:t>
            </w:r>
            <w:r>
              <w:rPr>
                <w:rFonts w:hint="eastAsia"/>
                <w:highlight w:val="none"/>
                <w:vertAlign w:val="superscript"/>
              </w:rPr>
              <w:t>3</w:t>
            </w:r>
            <w:r>
              <w:rPr>
                <w:highlight w:val="none"/>
              </w:rPr>
              <w:t>/a），主要污染因子为COD、SS、NH</w:t>
            </w:r>
            <w:r>
              <w:rPr>
                <w:rFonts w:hint="eastAsia"/>
                <w:highlight w:val="none"/>
                <w:vertAlign w:val="subscript"/>
              </w:rPr>
              <w:t>3</w:t>
            </w:r>
            <w:r>
              <w:rPr>
                <w:highlight w:val="none"/>
              </w:rPr>
              <w:t>-N、BOD</w:t>
            </w:r>
            <w:r>
              <w:rPr>
                <w:rFonts w:hint="eastAsia"/>
                <w:highlight w:val="none"/>
                <w:vertAlign w:val="subscript"/>
              </w:rPr>
              <w:t>5</w:t>
            </w:r>
            <w:r>
              <w:rPr>
                <w:highlight w:val="none"/>
              </w:rPr>
              <w:t>和TP等。废水中各污染物浓度分别为COD 300mg/L、SS 250mg/L、NH</w:t>
            </w:r>
            <w:r>
              <w:rPr>
                <w:highlight w:val="none"/>
                <w:vertAlign w:val="subscript"/>
              </w:rPr>
              <w:t>3</w:t>
            </w:r>
            <w:r>
              <w:rPr>
                <w:highlight w:val="none"/>
              </w:rPr>
              <w:t>-N 25mg/L，BOD</w:t>
            </w:r>
            <w:r>
              <w:rPr>
                <w:highlight w:val="none"/>
                <w:vertAlign w:val="subscript"/>
              </w:rPr>
              <w:t>5</w:t>
            </w:r>
            <w:r>
              <w:rPr>
                <w:rFonts w:hint="eastAsia"/>
                <w:highlight w:val="none"/>
              </w:rPr>
              <w:t xml:space="preserve"> </w:t>
            </w:r>
            <w:r>
              <w:rPr>
                <w:rFonts w:hint="eastAsia"/>
                <w:highlight w:val="none"/>
                <w:lang w:val="en-US" w:eastAsia="zh-CN"/>
              </w:rPr>
              <w:t>200</w:t>
            </w:r>
            <w:r>
              <w:rPr>
                <w:highlight w:val="none"/>
              </w:rPr>
              <w:t>mg/L，TP</w:t>
            </w:r>
            <w:r>
              <w:rPr>
                <w:rFonts w:hint="eastAsia"/>
                <w:highlight w:val="none"/>
              </w:rPr>
              <w:t xml:space="preserve"> </w:t>
            </w:r>
            <w:r>
              <w:rPr>
                <w:highlight w:val="none"/>
              </w:rPr>
              <w:t>4mg/L。污染物产生量分别为COD 0.0</w:t>
            </w:r>
            <w:r>
              <w:rPr>
                <w:rFonts w:hint="eastAsia"/>
                <w:highlight w:val="none"/>
                <w:lang w:val="en-US" w:eastAsia="zh-CN"/>
              </w:rPr>
              <w:t>324</w:t>
            </w:r>
            <w:r>
              <w:rPr>
                <w:highlight w:val="none"/>
              </w:rPr>
              <w:t>t/a、SS 0.0</w:t>
            </w:r>
            <w:r>
              <w:rPr>
                <w:rFonts w:hint="eastAsia"/>
                <w:highlight w:val="none"/>
                <w:lang w:val="en-US" w:eastAsia="zh-CN"/>
              </w:rPr>
              <w:t>27</w:t>
            </w:r>
            <w:r>
              <w:rPr>
                <w:rFonts w:hint="eastAsia"/>
                <w:highlight w:val="none"/>
              </w:rPr>
              <w:t>0</w:t>
            </w:r>
            <w:r>
              <w:rPr>
                <w:highlight w:val="none"/>
              </w:rPr>
              <w:t>t/a、NH</w:t>
            </w:r>
            <w:r>
              <w:rPr>
                <w:rFonts w:hint="eastAsia"/>
                <w:highlight w:val="none"/>
                <w:vertAlign w:val="subscript"/>
              </w:rPr>
              <w:t>3</w:t>
            </w:r>
            <w:r>
              <w:rPr>
                <w:highlight w:val="none"/>
              </w:rPr>
              <w:t>-N 0.00</w:t>
            </w:r>
            <w:r>
              <w:rPr>
                <w:rFonts w:hint="eastAsia"/>
                <w:highlight w:val="none"/>
                <w:lang w:val="en-US" w:eastAsia="zh-CN"/>
              </w:rPr>
              <w:t>27</w:t>
            </w:r>
            <w:r>
              <w:rPr>
                <w:highlight w:val="none"/>
              </w:rPr>
              <w:t>t/a</w:t>
            </w:r>
            <w:r>
              <w:rPr>
                <w:rFonts w:hint="eastAsia"/>
                <w:highlight w:val="none"/>
                <w:lang w:eastAsia="zh-CN"/>
              </w:rPr>
              <w:t>、</w:t>
            </w:r>
            <w:r>
              <w:rPr>
                <w:highlight w:val="none"/>
              </w:rPr>
              <w:t>BOD</w:t>
            </w:r>
            <w:r>
              <w:rPr>
                <w:rFonts w:hint="eastAsia"/>
                <w:highlight w:val="none"/>
                <w:vertAlign w:val="subscript"/>
              </w:rPr>
              <w:t xml:space="preserve">5 </w:t>
            </w:r>
            <w:r>
              <w:rPr>
                <w:highlight w:val="none"/>
              </w:rPr>
              <w:t>0.0</w:t>
            </w:r>
            <w:r>
              <w:rPr>
                <w:rFonts w:hint="eastAsia"/>
                <w:highlight w:val="none"/>
                <w:lang w:val="en-US" w:eastAsia="zh-CN"/>
              </w:rPr>
              <w:t>216</w:t>
            </w:r>
            <w:r>
              <w:rPr>
                <w:highlight w:val="none"/>
              </w:rPr>
              <w:t>t/a、TP</w:t>
            </w:r>
            <w:r>
              <w:rPr>
                <w:rFonts w:hint="eastAsia"/>
                <w:highlight w:val="none"/>
              </w:rPr>
              <w:t xml:space="preserve"> </w:t>
            </w:r>
            <w:r>
              <w:rPr>
                <w:highlight w:val="none"/>
              </w:rPr>
              <w:t>0.00</w:t>
            </w:r>
            <w:r>
              <w:rPr>
                <w:rFonts w:hint="eastAsia"/>
                <w:highlight w:val="none"/>
              </w:rPr>
              <w:t>0</w:t>
            </w:r>
            <w:r>
              <w:rPr>
                <w:rFonts w:hint="eastAsia"/>
                <w:highlight w:val="none"/>
                <w:lang w:val="en-US" w:eastAsia="zh-CN"/>
              </w:rPr>
              <w:t>4</w:t>
            </w:r>
            <w:r>
              <w:rPr>
                <w:highlight w:val="none"/>
              </w:rPr>
              <w:t>t/a</w:t>
            </w:r>
            <w:r>
              <w:rPr>
                <w:rFonts w:hint="eastAsia"/>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sz w:val="24"/>
              </w:rPr>
            </w:pPr>
            <w:r>
              <w:rPr>
                <w:rFonts w:hint="eastAsia"/>
                <w:sz w:val="24"/>
                <w:lang w:val="en-US" w:eastAsia="zh-CN"/>
              </w:rPr>
              <w:t>1、</w:t>
            </w:r>
            <w:r>
              <w:rPr>
                <w:sz w:val="24"/>
              </w:rPr>
              <w:t>污水处理厂依托可行性分析</w:t>
            </w:r>
          </w:p>
          <w:p>
            <w:pPr>
              <w:spacing w:line="360" w:lineRule="auto"/>
              <w:ind w:firstLine="480" w:firstLineChars="200"/>
              <w:rPr>
                <w:sz w:val="24"/>
              </w:rPr>
            </w:pPr>
            <w:r>
              <w:rPr>
                <w:sz w:val="24"/>
              </w:rPr>
              <w:t>根据《环境影响评价技术导则 地表水环境》（HJ2.3-2018），</w:t>
            </w:r>
            <w:r>
              <w:rPr>
                <w:rFonts w:hint="eastAsia"/>
                <w:sz w:val="24"/>
                <w:lang w:val="en-US" w:eastAsia="zh-CN"/>
              </w:rPr>
              <w:t>现有</w:t>
            </w:r>
            <w:r>
              <w:rPr>
                <w:sz w:val="24"/>
              </w:rPr>
              <w:t>项目废水</w:t>
            </w:r>
            <w:r>
              <w:rPr>
                <w:rFonts w:hint="eastAsia"/>
                <w:sz w:val="24"/>
                <w:lang w:val="en-US" w:eastAsia="zh-CN"/>
              </w:rPr>
              <w:t>改</w:t>
            </w:r>
            <w:r>
              <w:rPr>
                <w:sz w:val="24"/>
              </w:rPr>
              <w:t>为间接排放建设项目，评价等级为三级B。需对污水处理厂的依托可行性进行分析。</w:t>
            </w:r>
          </w:p>
          <w:p>
            <w:pPr>
              <w:spacing w:line="520" w:lineRule="exact"/>
              <w:ind w:firstLine="480" w:firstLineChars="200"/>
              <w:rPr>
                <w:sz w:val="24"/>
              </w:rPr>
            </w:pPr>
            <w:r>
              <w:rPr>
                <w:rFonts w:hint="eastAsia"/>
                <w:kern w:val="0"/>
                <w:sz w:val="24"/>
              </w:rPr>
              <w:t>大召营镇污水处理厂</w:t>
            </w:r>
            <w:r>
              <w:rPr>
                <w:sz w:val="24"/>
              </w:rPr>
              <w:t>厂址位于新乡县大召营镇区北部胡韦公路与六支排交叉口西北角，项目建设规模为1万</w:t>
            </w:r>
            <w:r>
              <w:rPr>
                <w:rFonts w:hint="eastAsia"/>
                <w:sz w:val="24"/>
              </w:rPr>
              <w:t>m</w:t>
            </w:r>
            <w:r>
              <w:rPr>
                <w:rFonts w:hint="eastAsia"/>
                <w:sz w:val="24"/>
                <w:vertAlign w:val="superscript"/>
              </w:rPr>
              <w:t>3</w:t>
            </w:r>
            <w:r>
              <w:rPr>
                <w:sz w:val="24"/>
              </w:rPr>
              <w:t>/</w:t>
            </w:r>
            <w:r>
              <w:rPr>
                <w:rFonts w:hint="eastAsia"/>
                <w:sz w:val="24"/>
              </w:rPr>
              <w:t>d</w:t>
            </w:r>
            <w:r>
              <w:rPr>
                <w:sz w:val="24"/>
              </w:rPr>
              <w:t>，</w:t>
            </w:r>
            <w:r>
              <w:rPr>
                <w:rFonts w:hint="eastAsia"/>
                <w:sz w:val="24"/>
              </w:rPr>
              <w:t>项目分两期建设，一期设计规模为0.5万m</w:t>
            </w:r>
            <w:r>
              <w:rPr>
                <w:rFonts w:hint="eastAsia"/>
                <w:sz w:val="24"/>
                <w:vertAlign w:val="superscript"/>
              </w:rPr>
              <w:t>3</w:t>
            </w:r>
            <w:r>
              <w:rPr>
                <w:rFonts w:hint="eastAsia"/>
                <w:sz w:val="24"/>
              </w:rPr>
              <w:t>/d，二期设计规模为0.5万m</w:t>
            </w:r>
            <w:r>
              <w:rPr>
                <w:rFonts w:hint="eastAsia"/>
                <w:sz w:val="24"/>
                <w:vertAlign w:val="superscript"/>
              </w:rPr>
              <w:t>3</w:t>
            </w:r>
            <w:r>
              <w:rPr>
                <w:rFonts w:hint="eastAsia"/>
                <w:sz w:val="24"/>
              </w:rPr>
              <w:t>/d。目前，一期工程已建成，主要道路管道已铺设完成，污水处理厂正处于调试阶段。服务范围为北至文高路北，西至中州路，南至新焦铁路，东至中央大道，规划总用地6.23km</w:t>
            </w:r>
            <w:r>
              <w:rPr>
                <w:rFonts w:hint="eastAsia"/>
                <w:sz w:val="24"/>
                <w:vertAlign w:val="superscript"/>
              </w:rPr>
              <w:t>2</w:t>
            </w:r>
            <w:r>
              <w:rPr>
                <w:rFonts w:hint="eastAsia"/>
                <w:sz w:val="24"/>
              </w:rPr>
              <w:t>。采用“二级生物处理和深度处理相结合的处理工艺，二级生物处理采用改良型氧化沟工艺，深度处理采用混凝、沉淀、过滤工艺”，处理达标后的尾水排入六支排，最终汇入卫河。</w:t>
            </w:r>
            <w:r>
              <w:rPr>
                <w:sz w:val="24"/>
              </w:rPr>
              <w:t>设计进水水质COD400ml/L、氨氮</w:t>
            </w:r>
            <w:r>
              <w:rPr>
                <w:rFonts w:hint="eastAsia"/>
                <w:sz w:val="24"/>
              </w:rPr>
              <w:t>35</w:t>
            </w:r>
            <w:r>
              <w:rPr>
                <w:sz w:val="24"/>
              </w:rPr>
              <w:t>mg/L、SS</w:t>
            </w:r>
            <w:r>
              <w:rPr>
                <w:rFonts w:hint="eastAsia"/>
                <w:sz w:val="24"/>
              </w:rPr>
              <w:t>30</w:t>
            </w:r>
            <w:r>
              <w:rPr>
                <w:sz w:val="24"/>
              </w:rPr>
              <w:t>0mg/L</w:t>
            </w:r>
            <w:r>
              <w:rPr>
                <w:rFonts w:hint="eastAsia"/>
                <w:sz w:val="24"/>
              </w:rPr>
              <w:t>，总磷4.5</w:t>
            </w:r>
            <w:r>
              <w:rPr>
                <w:sz w:val="24"/>
              </w:rPr>
              <w:t>mg/L，出水水质满足《城镇污水厂污染物排放标准》（GB18918-2002）一级A标准</w:t>
            </w:r>
            <w:r>
              <w:rPr>
                <w:rFonts w:hint="eastAsia"/>
                <w:sz w:val="24"/>
              </w:rPr>
              <w:t>（其中COD、BOD</w:t>
            </w:r>
            <w:r>
              <w:rPr>
                <w:rFonts w:hint="eastAsia"/>
                <w:sz w:val="24"/>
                <w:vertAlign w:val="subscript"/>
              </w:rPr>
              <w:t>5</w:t>
            </w:r>
            <w:r>
              <w:rPr>
                <w:rFonts w:hint="eastAsia"/>
                <w:sz w:val="24"/>
              </w:rPr>
              <w:t>、氨氮、总磷执行《地表水环境质量标准》（GB3838-2002）</w:t>
            </w:r>
            <w:r>
              <w:rPr>
                <w:rFonts w:eastAsia="微软雅黑"/>
                <w:sz w:val="24"/>
              </w:rPr>
              <w:t>Ⅴ</w:t>
            </w:r>
            <w:r>
              <w:rPr>
                <w:rFonts w:hint="eastAsia"/>
                <w:sz w:val="24"/>
              </w:rPr>
              <w:t>类）</w:t>
            </w:r>
            <w:r>
              <w:rPr>
                <w:sz w:val="24"/>
              </w:rPr>
              <w:t>，项目所在区域位于</w:t>
            </w:r>
            <w:r>
              <w:rPr>
                <w:rFonts w:hint="eastAsia"/>
                <w:kern w:val="0"/>
                <w:sz w:val="24"/>
              </w:rPr>
              <w:t>大召营镇污水处理厂</w:t>
            </w:r>
            <w:r>
              <w:rPr>
                <w:sz w:val="24"/>
              </w:rPr>
              <w:t>收水范围之内，项目废水经化粪池处理后废水水质为COD240mg/L、BOD</w:t>
            </w:r>
            <w:r>
              <w:rPr>
                <w:rFonts w:hint="eastAsia"/>
                <w:sz w:val="24"/>
                <w:vertAlign w:val="subscript"/>
              </w:rPr>
              <w:t>5</w:t>
            </w:r>
            <w:r>
              <w:rPr>
                <w:sz w:val="24"/>
              </w:rPr>
              <w:t>162mg/L、SS140mg/L、NH</w:t>
            </w:r>
            <w:r>
              <w:rPr>
                <w:sz w:val="24"/>
                <w:vertAlign w:val="subscript"/>
              </w:rPr>
              <w:t>3</w:t>
            </w:r>
            <w:r>
              <w:rPr>
                <w:sz w:val="24"/>
              </w:rPr>
              <w:t>-N25mg/L，满足</w:t>
            </w:r>
            <w:r>
              <w:rPr>
                <w:rFonts w:hint="eastAsia"/>
                <w:kern w:val="0"/>
                <w:sz w:val="24"/>
              </w:rPr>
              <w:t>大召营镇污水处理厂</w:t>
            </w:r>
            <w:r>
              <w:rPr>
                <w:sz w:val="24"/>
              </w:rPr>
              <w:t>的进水指标。因此，项目废水排入</w:t>
            </w:r>
            <w:r>
              <w:rPr>
                <w:rFonts w:hint="eastAsia"/>
                <w:kern w:val="0"/>
                <w:sz w:val="24"/>
              </w:rPr>
              <w:t>大召营镇污水处理厂</w:t>
            </w:r>
            <w:r>
              <w:rPr>
                <w:sz w:val="24"/>
              </w:rPr>
              <w:t>是可行的。</w:t>
            </w:r>
          </w:p>
          <w:p>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sz w:val="24"/>
              </w:rPr>
            </w:pPr>
            <w:r>
              <w:rPr>
                <w:rFonts w:hint="eastAsia"/>
                <w:sz w:val="24"/>
                <w:lang w:val="en-US" w:eastAsia="zh-CN"/>
              </w:rPr>
              <w:t>2、</w:t>
            </w:r>
            <w:r>
              <w:rPr>
                <w:sz w:val="24"/>
              </w:rPr>
              <w:t>建设项目污染物排放信息</w:t>
            </w:r>
          </w:p>
          <w:p>
            <w:pPr>
              <w:spacing w:line="520" w:lineRule="exact"/>
              <w:ind w:firstLine="480" w:firstLineChars="200"/>
              <w:rPr>
                <w:sz w:val="24"/>
              </w:rPr>
            </w:pPr>
            <w:r>
              <w:rPr>
                <w:sz w:val="24"/>
              </w:rPr>
              <w:t>①废水类别、污染物及污染治理设施信息</w:t>
            </w:r>
          </w:p>
          <w:p>
            <w:pPr>
              <w:pStyle w:val="28"/>
              <w:spacing w:line="520" w:lineRule="exact"/>
              <w:jc w:val="center"/>
              <w:rPr>
                <w:rFonts w:hint="default" w:ascii="Times New Roman" w:hAnsi="Times New Roman" w:cs="Times New Roman" w:eastAsiaTheme="minorEastAsia"/>
                <w:b w:val="0"/>
                <w:bCs/>
                <w:color w:val="auto"/>
              </w:rPr>
            </w:pPr>
            <w:r>
              <w:rPr>
                <w:rFonts w:hint="default" w:ascii="Times New Roman" w:hAnsi="Times New Roman" w:cs="Times New Roman" w:eastAsiaTheme="minorEastAsia"/>
                <w:b w:val="0"/>
                <w:bCs/>
                <w:color w:val="auto"/>
                <w:kern w:val="2"/>
              </w:rPr>
              <w:t>表</w:t>
            </w:r>
            <w:r>
              <w:rPr>
                <w:rFonts w:hint="eastAsia" w:ascii="Times New Roman" w:hAnsi="Times New Roman" w:cs="Times New Roman" w:eastAsiaTheme="minorEastAsia"/>
                <w:b w:val="0"/>
                <w:bCs/>
                <w:color w:val="auto"/>
                <w:kern w:val="2"/>
                <w:lang w:val="en-US" w:eastAsia="zh-CN"/>
              </w:rPr>
              <w:t>35</w:t>
            </w:r>
            <w:r>
              <w:rPr>
                <w:rFonts w:hint="default" w:ascii="Times New Roman" w:hAnsi="Times New Roman" w:cs="Times New Roman" w:eastAsiaTheme="minorEastAsia"/>
                <w:b w:val="0"/>
                <w:bCs/>
                <w:color w:val="auto"/>
                <w:kern w:val="2"/>
              </w:rPr>
              <w:t xml:space="preserve">  废水类别、污染物及污染治理设施信息表</w:t>
            </w:r>
          </w:p>
          <w:tbl>
            <w:tblPr>
              <w:tblStyle w:val="21"/>
              <w:tblW w:w="0" w:type="auto"/>
              <w:tblInd w:w="-5"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428"/>
              <w:gridCol w:w="452"/>
              <w:gridCol w:w="1019"/>
              <w:gridCol w:w="866"/>
              <w:gridCol w:w="1068"/>
              <w:gridCol w:w="858"/>
              <w:gridCol w:w="698"/>
              <w:gridCol w:w="654"/>
              <w:gridCol w:w="1053"/>
              <w:gridCol w:w="911"/>
              <w:gridCol w:w="1008"/>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12" w:hRule="atLeast"/>
              </w:trPr>
              <w:tc>
                <w:tcPr>
                  <w:tcW w:w="428" w:type="dxa"/>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序号</w:t>
                  </w:r>
                </w:p>
              </w:tc>
              <w:tc>
                <w:tcPr>
                  <w:tcW w:w="456" w:type="dxa"/>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废水类别</w:t>
                  </w:r>
                </w:p>
              </w:tc>
              <w:tc>
                <w:tcPr>
                  <w:tcW w:w="1044" w:type="dxa"/>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污染物种类</w:t>
                  </w:r>
                </w:p>
              </w:tc>
              <w:tc>
                <w:tcPr>
                  <w:tcW w:w="940" w:type="dxa"/>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排放去向</w:t>
                  </w:r>
                </w:p>
              </w:tc>
              <w:tc>
                <w:tcPr>
                  <w:tcW w:w="1175" w:type="dxa"/>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排放规律</w:t>
                  </w:r>
                </w:p>
              </w:tc>
              <w:tc>
                <w:tcPr>
                  <w:tcW w:w="2180" w:type="dxa"/>
                  <w:gridSpan w:val="3"/>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污染治理设施</w:t>
                  </w:r>
                </w:p>
              </w:tc>
              <w:tc>
                <w:tcPr>
                  <w:tcW w:w="1082" w:type="dxa"/>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排放口编号</w:t>
                  </w:r>
                </w:p>
              </w:tc>
              <w:tc>
                <w:tcPr>
                  <w:tcW w:w="992" w:type="dxa"/>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排放口设置是否符合要求</w:t>
                  </w:r>
                </w:p>
              </w:tc>
              <w:tc>
                <w:tcPr>
                  <w:tcW w:w="1105" w:type="dxa"/>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排放口类型</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12" w:hRule="atLeast"/>
              </w:trPr>
              <w:tc>
                <w:tcPr>
                  <w:tcW w:w="428" w:type="dxa"/>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rPr>
                  </w:pPr>
                </w:p>
              </w:tc>
              <w:tc>
                <w:tcPr>
                  <w:tcW w:w="456" w:type="dxa"/>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rPr>
                  </w:pPr>
                </w:p>
              </w:tc>
              <w:tc>
                <w:tcPr>
                  <w:tcW w:w="1044" w:type="dxa"/>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rPr>
                  </w:pPr>
                </w:p>
              </w:tc>
              <w:tc>
                <w:tcPr>
                  <w:tcW w:w="940" w:type="dxa"/>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rPr>
                  </w:pPr>
                </w:p>
              </w:tc>
              <w:tc>
                <w:tcPr>
                  <w:tcW w:w="1175" w:type="dxa"/>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rPr>
                  </w:pPr>
                </w:p>
              </w:tc>
              <w:tc>
                <w:tcPr>
                  <w:tcW w:w="744" w:type="dxa"/>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污染治理设施编号</w:t>
                  </w:r>
                </w:p>
              </w:tc>
              <w:tc>
                <w:tcPr>
                  <w:tcW w:w="744" w:type="dxa"/>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污染治理设施名称</w:t>
                  </w:r>
                </w:p>
              </w:tc>
              <w:tc>
                <w:tcPr>
                  <w:tcW w:w="692" w:type="dxa"/>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污染治理设施工艺</w:t>
                  </w:r>
                </w:p>
              </w:tc>
              <w:tc>
                <w:tcPr>
                  <w:tcW w:w="1082" w:type="dxa"/>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rPr>
                  </w:pPr>
                </w:p>
              </w:tc>
              <w:tc>
                <w:tcPr>
                  <w:tcW w:w="992" w:type="dxa"/>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rPr>
                  </w:pPr>
                </w:p>
              </w:tc>
              <w:tc>
                <w:tcPr>
                  <w:tcW w:w="1105" w:type="dxa"/>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67" w:hRule="atLeast"/>
              </w:trPr>
              <w:tc>
                <w:tcPr>
                  <w:tcW w:w="428" w:type="dxa"/>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w:t>
                  </w:r>
                </w:p>
              </w:tc>
              <w:tc>
                <w:tcPr>
                  <w:tcW w:w="456" w:type="dxa"/>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生活污水</w:t>
                  </w:r>
                </w:p>
              </w:tc>
              <w:tc>
                <w:tcPr>
                  <w:tcW w:w="1044" w:type="dxa"/>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COD、NH</w:t>
                  </w:r>
                  <w:r>
                    <w:rPr>
                      <w:rFonts w:hint="default" w:ascii="Times New Roman" w:hAnsi="Times New Roman" w:cs="Times New Roman" w:eastAsiaTheme="minorEastAsia"/>
                      <w:color w:val="auto"/>
                      <w:sz w:val="21"/>
                      <w:szCs w:val="21"/>
                      <w:vertAlign w:val="subscript"/>
                    </w:rPr>
                    <w:t>3</w:t>
                  </w:r>
                  <w:r>
                    <w:rPr>
                      <w:rFonts w:hint="default" w:ascii="Times New Roman" w:hAnsi="Times New Roman" w:cs="Times New Roman" w:eastAsiaTheme="minorEastAsia"/>
                      <w:color w:val="auto"/>
                      <w:sz w:val="21"/>
                      <w:szCs w:val="21"/>
                    </w:rPr>
                    <w:t>-N</w:t>
                  </w:r>
                </w:p>
              </w:tc>
              <w:tc>
                <w:tcPr>
                  <w:tcW w:w="940" w:type="dxa"/>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大召营镇污水处理厂</w:t>
                  </w:r>
                </w:p>
              </w:tc>
              <w:tc>
                <w:tcPr>
                  <w:tcW w:w="1175" w:type="dxa"/>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间接排放</w:t>
                  </w:r>
                </w:p>
              </w:tc>
              <w:tc>
                <w:tcPr>
                  <w:tcW w:w="744" w:type="dxa"/>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TW001</w:t>
                  </w:r>
                </w:p>
              </w:tc>
              <w:tc>
                <w:tcPr>
                  <w:tcW w:w="744" w:type="dxa"/>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生活污水处理系统</w:t>
                  </w:r>
                </w:p>
              </w:tc>
              <w:tc>
                <w:tcPr>
                  <w:tcW w:w="692" w:type="dxa"/>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化粪池</w:t>
                  </w:r>
                </w:p>
              </w:tc>
              <w:tc>
                <w:tcPr>
                  <w:tcW w:w="1082" w:type="dxa"/>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DW001</w:t>
                  </w:r>
                </w:p>
              </w:tc>
              <w:tc>
                <w:tcPr>
                  <w:tcW w:w="992" w:type="dxa"/>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是</w:t>
                  </w:r>
                </w:p>
              </w:tc>
              <w:tc>
                <w:tcPr>
                  <w:tcW w:w="1105" w:type="dxa"/>
                  <w:tcBorders>
                    <w:tl2br w:val="nil"/>
                    <w:tr2bl w:val="nil"/>
                  </w:tcBorders>
                  <w:noWrap w:val="0"/>
                  <w:vAlign w:val="center"/>
                </w:tcPr>
                <w:p>
                  <w:pPr>
                    <w:pStyle w:val="28"/>
                    <w:jc w:val="center"/>
                    <w:rPr>
                      <w:rFonts w:hint="eastAsia"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rPr>
                    <w:t>企业总排</w:t>
                  </w:r>
                  <w:r>
                    <w:rPr>
                      <w:rFonts w:hint="eastAsia" w:ascii="Times New Roman" w:hAnsi="Times New Roman" w:cs="Times New Roman" w:eastAsiaTheme="minorEastAsia"/>
                      <w:color w:val="auto"/>
                      <w:sz w:val="21"/>
                      <w:szCs w:val="21"/>
                      <w:lang w:val="en-US" w:eastAsia="zh-CN"/>
                    </w:rPr>
                    <w:t>口</w:t>
                  </w:r>
                </w:p>
              </w:tc>
            </w:tr>
          </w:tbl>
          <w:p>
            <w:pPr>
              <w:spacing w:line="520" w:lineRule="exact"/>
              <w:ind w:firstLine="480" w:firstLineChars="200"/>
              <w:rPr>
                <w:sz w:val="24"/>
              </w:rPr>
            </w:pPr>
            <w:r>
              <w:rPr>
                <w:sz w:val="24"/>
              </w:rPr>
              <w:t>②废水间接排放口基本情况</w:t>
            </w:r>
          </w:p>
          <w:p>
            <w:pPr>
              <w:pStyle w:val="28"/>
              <w:spacing w:line="520" w:lineRule="exact"/>
              <w:jc w:val="center"/>
              <w:rPr>
                <w:rFonts w:ascii="Times New Roman" w:cs="Times New Roman"/>
                <w:b w:val="0"/>
                <w:bCs/>
                <w:color w:val="auto"/>
              </w:rPr>
            </w:pPr>
            <w:r>
              <w:rPr>
                <w:rFonts w:hint="default" w:ascii="Times New Roman" w:hAnsi="Times New Roman" w:cs="Times New Roman" w:eastAsiaTheme="minorEastAsia"/>
                <w:b w:val="0"/>
                <w:bCs/>
                <w:color w:val="auto"/>
                <w:kern w:val="2"/>
              </w:rPr>
              <w:t>表</w:t>
            </w:r>
            <w:r>
              <w:rPr>
                <w:rFonts w:hint="eastAsia" w:ascii="Times New Roman" w:hAnsi="Times New Roman" w:cs="Times New Roman" w:eastAsiaTheme="minorEastAsia"/>
                <w:b w:val="0"/>
                <w:bCs/>
                <w:color w:val="auto"/>
                <w:kern w:val="2"/>
                <w:lang w:val="en-US" w:eastAsia="zh-CN"/>
              </w:rPr>
              <w:t>36</w:t>
            </w:r>
            <w:r>
              <w:rPr>
                <w:rFonts w:hint="default" w:ascii="Times New Roman" w:hAnsi="Times New Roman" w:cs="Times New Roman" w:eastAsiaTheme="minorEastAsia"/>
                <w:b w:val="0"/>
                <w:bCs/>
                <w:color w:val="auto"/>
                <w:kern w:val="2"/>
              </w:rPr>
              <w:t xml:space="preserve">  废水间接排放口基本情况表</w:t>
            </w:r>
          </w:p>
          <w:tbl>
            <w:tblPr>
              <w:tblStyle w:val="21"/>
              <w:tblW w:w="0" w:type="auto"/>
              <w:tblInd w:w="-5"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426"/>
              <w:gridCol w:w="881"/>
              <w:gridCol w:w="1298"/>
              <w:gridCol w:w="1193"/>
              <w:gridCol w:w="798"/>
              <w:gridCol w:w="594"/>
              <w:gridCol w:w="715"/>
              <w:gridCol w:w="569"/>
              <w:gridCol w:w="498"/>
              <w:gridCol w:w="816"/>
              <w:gridCol w:w="1227"/>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12" w:hRule="atLeast"/>
              </w:trPr>
              <w:tc>
                <w:tcPr>
                  <w:tcW w:w="362" w:type="dxa"/>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序号</w:t>
                  </w:r>
                </w:p>
              </w:tc>
              <w:tc>
                <w:tcPr>
                  <w:tcW w:w="562" w:type="dxa"/>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排放口编号</w:t>
                  </w:r>
                </w:p>
              </w:tc>
              <w:tc>
                <w:tcPr>
                  <w:tcW w:w="1631" w:type="dxa"/>
                  <w:gridSpan w:val="2"/>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排放口地理位置坐标</w:t>
                  </w:r>
                </w:p>
              </w:tc>
              <w:tc>
                <w:tcPr>
                  <w:tcW w:w="809" w:type="dxa"/>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废水排放量/（万t/a）</w:t>
                  </w:r>
                </w:p>
              </w:tc>
              <w:tc>
                <w:tcPr>
                  <w:tcW w:w="1044" w:type="dxa"/>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排放去向</w:t>
                  </w:r>
                </w:p>
              </w:tc>
              <w:tc>
                <w:tcPr>
                  <w:tcW w:w="927" w:type="dxa"/>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排放规律</w:t>
                  </w:r>
                </w:p>
              </w:tc>
              <w:tc>
                <w:tcPr>
                  <w:tcW w:w="952" w:type="dxa"/>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间歇排放时段</w:t>
                  </w:r>
                </w:p>
              </w:tc>
              <w:tc>
                <w:tcPr>
                  <w:tcW w:w="3115" w:type="dxa"/>
                  <w:gridSpan w:val="3"/>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受纳污水处理厂信息</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12" w:hRule="atLeast"/>
              </w:trPr>
              <w:tc>
                <w:tcPr>
                  <w:tcW w:w="362" w:type="dxa"/>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p>
              </w:tc>
              <w:tc>
                <w:tcPr>
                  <w:tcW w:w="562" w:type="dxa"/>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p>
              </w:tc>
              <w:tc>
                <w:tcPr>
                  <w:tcW w:w="822" w:type="dxa"/>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经度</w:t>
                  </w:r>
                </w:p>
              </w:tc>
              <w:tc>
                <w:tcPr>
                  <w:tcW w:w="809" w:type="dxa"/>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纬度</w:t>
                  </w:r>
                </w:p>
              </w:tc>
              <w:tc>
                <w:tcPr>
                  <w:tcW w:w="809" w:type="dxa"/>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p>
              </w:tc>
              <w:tc>
                <w:tcPr>
                  <w:tcW w:w="1044" w:type="dxa"/>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p>
              </w:tc>
              <w:tc>
                <w:tcPr>
                  <w:tcW w:w="927" w:type="dxa"/>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p>
              </w:tc>
              <w:tc>
                <w:tcPr>
                  <w:tcW w:w="952" w:type="dxa"/>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p>
              </w:tc>
              <w:tc>
                <w:tcPr>
                  <w:tcW w:w="692" w:type="dxa"/>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名称</w:t>
                  </w:r>
                </w:p>
              </w:tc>
              <w:tc>
                <w:tcPr>
                  <w:tcW w:w="835" w:type="dxa"/>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污染物种类</w:t>
                  </w:r>
                </w:p>
              </w:tc>
              <w:tc>
                <w:tcPr>
                  <w:tcW w:w="1588" w:type="dxa"/>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国家或地方污染物排放标准浓度限值/（mg/L）</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166" w:hRule="atLeast"/>
              </w:trPr>
              <w:tc>
                <w:tcPr>
                  <w:tcW w:w="362" w:type="dxa"/>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w:t>
                  </w:r>
                </w:p>
              </w:tc>
              <w:tc>
                <w:tcPr>
                  <w:tcW w:w="562" w:type="dxa"/>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DW001</w:t>
                  </w:r>
                </w:p>
              </w:tc>
              <w:tc>
                <w:tcPr>
                  <w:tcW w:w="822" w:type="dxa"/>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113.772596°</w:t>
                  </w:r>
                </w:p>
              </w:tc>
              <w:tc>
                <w:tcPr>
                  <w:tcW w:w="809" w:type="dxa"/>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35.282841°</w:t>
                  </w:r>
                </w:p>
              </w:tc>
              <w:tc>
                <w:tcPr>
                  <w:tcW w:w="809" w:type="dxa"/>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0.0</w:t>
                  </w:r>
                  <w:r>
                    <w:rPr>
                      <w:rFonts w:hint="eastAsia" w:ascii="Times New Roman" w:hAnsi="Times New Roman" w:cs="Times New Roman" w:eastAsiaTheme="minorEastAsia"/>
                      <w:color w:val="auto"/>
                      <w:sz w:val="21"/>
                      <w:szCs w:val="21"/>
                      <w:highlight w:val="none"/>
                      <w:lang w:val="en-US" w:eastAsia="zh-CN"/>
                    </w:rPr>
                    <w:t>108</w:t>
                  </w:r>
                </w:p>
              </w:tc>
              <w:tc>
                <w:tcPr>
                  <w:tcW w:w="1044" w:type="dxa"/>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大召营镇污水处理厂</w:t>
                  </w:r>
                </w:p>
              </w:tc>
              <w:tc>
                <w:tcPr>
                  <w:tcW w:w="927" w:type="dxa"/>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连续排放，流量稳定</w:t>
                  </w:r>
                </w:p>
              </w:tc>
              <w:tc>
                <w:tcPr>
                  <w:tcW w:w="952" w:type="dxa"/>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w:t>
                  </w:r>
                </w:p>
              </w:tc>
              <w:tc>
                <w:tcPr>
                  <w:tcW w:w="692" w:type="dxa"/>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大召营镇污水处理厂</w:t>
                  </w:r>
                </w:p>
              </w:tc>
              <w:tc>
                <w:tcPr>
                  <w:tcW w:w="835" w:type="dxa"/>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COD</w:t>
                  </w:r>
                </w:p>
              </w:tc>
              <w:tc>
                <w:tcPr>
                  <w:tcW w:w="1588" w:type="dxa"/>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40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686" w:hRule="atLeast"/>
              </w:trPr>
              <w:tc>
                <w:tcPr>
                  <w:tcW w:w="362" w:type="dxa"/>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rPr>
                  </w:pPr>
                </w:p>
              </w:tc>
              <w:tc>
                <w:tcPr>
                  <w:tcW w:w="562" w:type="dxa"/>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rPr>
                  </w:pPr>
                </w:p>
              </w:tc>
              <w:tc>
                <w:tcPr>
                  <w:tcW w:w="822" w:type="dxa"/>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rPr>
                  </w:pPr>
                </w:p>
              </w:tc>
              <w:tc>
                <w:tcPr>
                  <w:tcW w:w="809" w:type="dxa"/>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rPr>
                  </w:pPr>
                </w:p>
              </w:tc>
              <w:tc>
                <w:tcPr>
                  <w:tcW w:w="809" w:type="dxa"/>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rPr>
                  </w:pPr>
                </w:p>
              </w:tc>
              <w:tc>
                <w:tcPr>
                  <w:tcW w:w="1044" w:type="dxa"/>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rPr>
                  </w:pPr>
                </w:p>
              </w:tc>
              <w:tc>
                <w:tcPr>
                  <w:tcW w:w="927" w:type="dxa"/>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rPr>
                  </w:pPr>
                </w:p>
              </w:tc>
              <w:tc>
                <w:tcPr>
                  <w:tcW w:w="952" w:type="dxa"/>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rPr>
                  </w:pPr>
                </w:p>
              </w:tc>
              <w:tc>
                <w:tcPr>
                  <w:tcW w:w="692" w:type="dxa"/>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rPr>
                  </w:pPr>
                </w:p>
              </w:tc>
              <w:tc>
                <w:tcPr>
                  <w:tcW w:w="835" w:type="dxa"/>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NH</w:t>
                  </w:r>
                  <w:r>
                    <w:rPr>
                      <w:rFonts w:hint="default" w:ascii="Times New Roman" w:hAnsi="Times New Roman" w:cs="Times New Roman" w:eastAsiaTheme="minorEastAsia"/>
                      <w:color w:val="auto"/>
                      <w:sz w:val="21"/>
                      <w:szCs w:val="21"/>
                      <w:vertAlign w:val="subscript"/>
                    </w:rPr>
                    <w:t>3</w:t>
                  </w:r>
                  <w:r>
                    <w:rPr>
                      <w:rFonts w:hint="default" w:ascii="Times New Roman" w:hAnsi="Times New Roman" w:cs="Times New Roman" w:eastAsiaTheme="minorEastAsia"/>
                      <w:color w:val="auto"/>
                      <w:sz w:val="21"/>
                      <w:szCs w:val="21"/>
                    </w:rPr>
                    <w:t>-N</w:t>
                  </w:r>
                </w:p>
              </w:tc>
              <w:tc>
                <w:tcPr>
                  <w:tcW w:w="1588" w:type="dxa"/>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2.0</w:t>
                  </w:r>
                </w:p>
              </w:tc>
            </w:tr>
          </w:tbl>
          <w:p>
            <w:pPr>
              <w:spacing w:line="520" w:lineRule="exact"/>
              <w:ind w:firstLine="480" w:firstLineChars="200"/>
              <w:rPr>
                <w:sz w:val="24"/>
              </w:rPr>
            </w:pPr>
            <w:r>
              <w:rPr>
                <w:sz w:val="24"/>
              </w:rPr>
              <w:t>③废水污染物排放执行标准表</w:t>
            </w:r>
          </w:p>
          <w:p>
            <w:pPr>
              <w:pStyle w:val="28"/>
              <w:spacing w:line="520" w:lineRule="exact"/>
              <w:jc w:val="center"/>
              <w:rPr>
                <w:rFonts w:hint="default" w:ascii="Times New Roman" w:hAnsi="Times New Roman" w:cs="Times New Roman" w:eastAsiaTheme="minorEastAsia"/>
                <w:b w:val="0"/>
                <w:bCs/>
                <w:color w:val="auto"/>
              </w:rPr>
            </w:pPr>
            <w:r>
              <w:rPr>
                <w:rFonts w:hint="default" w:ascii="Times New Roman" w:hAnsi="Times New Roman" w:cs="Times New Roman" w:eastAsiaTheme="minorEastAsia"/>
                <w:b w:val="0"/>
                <w:bCs/>
                <w:color w:val="auto"/>
                <w:kern w:val="2"/>
              </w:rPr>
              <w:t>表</w:t>
            </w:r>
            <w:r>
              <w:rPr>
                <w:rFonts w:hint="eastAsia" w:ascii="Times New Roman" w:hAnsi="Times New Roman" w:cs="Times New Roman" w:eastAsiaTheme="minorEastAsia"/>
                <w:b w:val="0"/>
                <w:bCs/>
                <w:color w:val="auto"/>
                <w:kern w:val="2"/>
                <w:lang w:val="en-US" w:eastAsia="zh-CN"/>
              </w:rPr>
              <w:t>37</w:t>
            </w:r>
            <w:r>
              <w:rPr>
                <w:rFonts w:hint="default" w:ascii="Times New Roman" w:hAnsi="Times New Roman" w:cs="Times New Roman" w:eastAsiaTheme="minorEastAsia"/>
                <w:b w:val="0"/>
                <w:bCs/>
                <w:color w:val="auto"/>
                <w:kern w:val="2"/>
              </w:rPr>
              <w:t xml:space="preserve">  废水污染物排放执行标准表</w:t>
            </w:r>
          </w:p>
          <w:tbl>
            <w:tblPr>
              <w:tblStyle w:val="21"/>
              <w:tblW w:w="4998" w:type="pct"/>
              <w:tblInd w:w="-5"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574"/>
              <w:gridCol w:w="891"/>
              <w:gridCol w:w="905"/>
              <w:gridCol w:w="4643"/>
              <w:gridCol w:w="1998"/>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12" w:hRule="atLeast"/>
              </w:trPr>
              <w:tc>
                <w:tcPr>
                  <w:tcW w:w="319" w:type="pct"/>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序号</w:t>
                  </w:r>
                </w:p>
              </w:tc>
              <w:tc>
                <w:tcPr>
                  <w:tcW w:w="494" w:type="pct"/>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排放口编号</w:t>
                  </w:r>
                </w:p>
              </w:tc>
              <w:tc>
                <w:tcPr>
                  <w:tcW w:w="502" w:type="pct"/>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污染物种类</w:t>
                  </w:r>
                </w:p>
              </w:tc>
              <w:tc>
                <w:tcPr>
                  <w:tcW w:w="3683" w:type="pct"/>
                  <w:gridSpan w:val="2"/>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国家或地方污染物排放标准及其他按规定商定的排放协议</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12" w:hRule="atLeast"/>
              </w:trPr>
              <w:tc>
                <w:tcPr>
                  <w:tcW w:w="319" w:type="pct"/>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p>
              </w:tc>
              <w:tc>
                <w:tcPr>
                  <w:tcW w:w="494" w:type="pct"/>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p>
              </w:tc>
              <w:tc>
                <w:tcPr>
                  <w:tcW w:w="502" w:type="pct"/>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p>
              </w:tc>
              <w:tc>
                <w:tcPr>
                  <w:tcW w:w="2575" w:type="pc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名称</w:t>
                  </w:r>
                </w:p>
              </w:tc>
              <w:tc>
                <w:tcPr>
                  <w:tcW w:w="1107" w:type="pc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浓度限值/（mg/L）</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44" w:hRule="atLeast"/>
              </w:trPr>
              <w:tc>
                <w:tcPr>
                  <w:tcW w:w="319" w:type="pct"/>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w:t>
                  </w:r>
                </w:p>
              </w:tc>
              <w:tc>
                <w:tcPr>
                  <w:tcW w:w="494" w:type="pct"/>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DW001</w:t>
                  </w:r>
                </w:p>
              </w:tc>
              <w:tc>
                <w:tcPr>
                  <w:tcW w:w="502" w:type="pc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COD</w:t>
                  </w:r>
                </w:p>
              </w:tc>
              <w:tc>
                <w:tcPr>
                  <w:tcW w:w="2575" w:type="pct"/>
                  <w:vMerge w:val="restar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大召营镇污水处理厂的进水指标</w:t>
                  </w:r>
                </w:p>
              </w:tc>
              <w:tc>
                <w:tcPr>
                  <w:tcW w:w="1107" w:type="pc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400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11" w:hRule="atLeast"/>
              </w:trPr>
              <w:tc>
                <w:tcPr>
                  <w:tcW w:w="319" w:type="pct"/>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rPr>
                  </w:pPr>
                </w:p>
              </w:tc>
              <w:tc>
                <w:tcPr>
                  <w:tcW w:w="494" w:type="pct"/>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rPr>
                  </w:pPr>
                </w:p>
              </w:tc>
              <w:tc>
                <w:tcPr>
                  <w:tcW w:w="502" w:type="pct"/>
                  <w:tcBorders>
                    <w:tl2br w:val="nil"/>
                    <w:tr2bl w:val="nil"/>
                  </w:tcBorders>
                  <w:noWrap w:val="0"/>
                  <w:vAlign w:val="center"/>
                </w:tcPr>
                <w:p>
                  <w:pPr>
                    <w:pStyle w:val="28"/>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sz w:val="21"/>
                      <w:szCs w:val="21"/>
                    </w:rPr>
                    <w:t>NH</w:t>
                  </w:r>
                  <w:r>
                    <w:rPr>
                      <w:rFonts w:hint="default" w:ascii="Times New Roman" w:hAnsi="Times New Roman" w:cs="Times New Roman" w:eastAsiaTheme="minorEastAsia"/>
                      <w:color w:val="auto"/>
                      <w:sz w:val="21"/>
                      <w:szCs w:val="21"/>
                      <w:vertAlign w:val="subscript"/>
                    </w:rPr>
                    <w:t>3</w:t>
                  </w:r>
                  <w:r>
                    <w:rPr>
                      <w:rFonts w:hint="default" w:ascii="Times New Roman" w:hAnsi="Times New Roman" w:cs="Times New Roman" w:eastAsiaTheme="minorEastAsia"/>
                      <w:color w:val="auto"/>
                      <w:sz w:val="21"/>
                      <w:szCs w:val="21"/>
                    </w:rPr>
                    <w:t>-N</w:t>
                  </w:r>
                </w:p>
              </w:tc>
              <w:tc>
                <w:tcPr>
                  <w:tcW w:w="2575" w:type="pct"/>
                  <w:vMerge w:val="continue"/>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p>
              </w:tc>
              <w:tc>
                <w:tcPr>
                  <w:tcW w:w="1107" w:type="pc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35</w:t>
                  </w:r>
                </w:p>
              </w:tc>
            </w:tr>
          </w:tbl>
          <w:p>
            <w:pPr>
              <w:spacing w:line="520" w:lineRule="exact"/>
              <w:ind w:firstLine="480" w:firstLineChars="200"/>
              <w:rPr>
                <w:rFonts w:ascii="Times New Roman" w:cs="Times New Roman"/>
                <w:b/>
                <w:color w:val="auto"/>
                <w:kern w:val="2"/>
              </w:rPr>
            </w:pPr>
            <w:r>
              <w:rPr>
                <w:sz w:val="24"/>
              </w:rPr>
              <w:t>④废水污染物排放信息表</w:t>
            </w:r>
          </w:p>
          <w:p>
            <w:pPr>
              <w:pStyle w:val="28"/>
              <w:spacing w:line="520" w:lineRule="exact"/>
              <w:jc w:val="center"/>
              <w:rPr>
                <w:rFonts w:hint="default" w:ascii="Times New Roman" w:hAnsi="Times New Roman" w:cs="Times New Roman" w:eastAsiaTheme="minorEastAsia"/>
                <w:b w:val="0"/>
                <w:bCs/>
                <w:color w:val="auto"/>
                <w:kern w:val="2"/>
              </w:rPr>
            </w:pPr>
          </w:p>
          <w:p>
            <w:pPr>
              <w:pStyle w:val="28"/>
              <w:spacing w:line="520" w:lineRule="exact"/>
              <w:jc w:val="center"/>
              <w:rPr>
                <w:rFonts w:hint="default" w:ascii="Times New Roman" w:hAnsi="Times New Roman" w:cs="Times New Roman" w:eastAsiaTheme="minorEastAsia"/>
                <w:b w:val="0"/>
                <w:bCs/>
                <w:color w:val="auto"/>
              </w:rPr>
            </w:pPr>
            <w:r>
              <w:rPr>
                <w:rFonts w:hint="default" w:ascii="Times New Roman" w:hAnsi="Times New Roman" w:cs="Times New Roman" w:eastAsiaTheme="minorEastAsia"/>
                <w:b w:val="0"/>
                <w:bCs/>
                <w:color w:val="auto"/>
                <w:kern w:val="2"/>
              </w:rPr>
              <w:t>表</w:t>
            </w:r>
            <w:r>
              <w:rPr>
                <w:rFonts w:hint="eastAsia" w:ascii="Times New Roman" w:hAnsi="Times New Roman" w:cs="Times New Roman" w:eastAsiaTheme="minorEastAsia"/>
                <w:b w:val="0"/>
                <w:bCs/>
                <w:color w:val="auto"/>
                <w:kern w:val="2"/>
                <w:lang w:val="en-US" w:eastAsia="zh-CN"/>
              </w:rPr>
              <w:t>38</w:t>
            </w:r>
            <w:r>
              <w:rPr>
                <w:rFonts w:hint="default" w:ascii="Times New Roman" w:hAnsi="Times New Roman" w:cs="Times New Roman" w:eastAsiaTheme="minorEastAsia"/>
                <w:b w:val="0"/>
                <w:bCs/>
                <w:color w:val="auto"/>
                <w:kern w:val="2"/>
              </w:rPr>
              <w:t xml:space="preserve">  废水污染物排放执行标准表</w:t>
            </w:r>
          </w:p>
          <w:tbl>
            <w:tblPr>
              <w:tblStyle w:val="21"/>
              <w:tblW w:w="4998" w:type="pct"/>
              <w:tblInd w:w="-5"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1022"/>
              <w:gridCol w:w="1583"/>
              <w:gridCol w:w="1608"/>
              <w:gridCol w:w="1606"/>
              <w:gridCol w:w="1593"/>
              <w:gridCol w:w="1599"/>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567" w:type="pc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序号</w:t>
                  </w:r>
                </w:p>
              </w:tc>
              <w:tc>
                <w:tcPr>
                  <w:tcW w:w="877" w:type="pc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排放口编号</w:t>
                  </w:r>
                </w:p>
              </w:tc>
              <w:tc>
                <w:tcPr>
                  <w:tcW w:w="892" w:type="pct"/>
                  <w:tcBorders>
                    <w:tl2br w:val="nil"/>
                    <w:tr2bl w:val="nil"/>
                  </w:tcBorders>
                  <w:noWrap w:val="0"/>
                  <w:vAlign w:val="center"/>
                </w:tcPr>
                <w:p>
                  <w:pPr>
                    <w:pStyle w:val="28"/>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color w:val="auto"/>
                      <w:sz w:val="21"/>
                      <w:szCs w:val="21"/>
                    </w:rPr>
                    <w:t>污染物种类</w:t>
                  </w:r>
                </w:p>
              </w:tc>
              <w:tc>
                <w:tcPr>
                  <w:tcW w:w="891" w:type="pc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排放浓度（mg/L）</w:t>
                  </w:r>
                </w:p>
              </w:tc>
              <w:tc>
                <w:tcPr>
                  <w:tcW w:w="884" w:type="pc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日排放量/（t/d）</w:t>
                  </w:r>
                </w:p>
              </w:tc>
              <w:tc>
                <w:tcPr>
                  <w:tcW w:w="887" w:type="pc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年排放量/（t/a）</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567" w:type="pct"/>
                  <w:vMerge w:val="restart"/>
                  <w:tcBorders>
                    <w:tl2br w:val="nil"/>
                    <w:tr2bl w:val="nil"/>
                  </w:tcBorders>
                  <w:noWrap w:val="0"/>
                  <w:vAlign w:val="center"/>
                </w:tcPr>
                <w:p>
                  <w:pPr>
                    <w:pStyle w:val="28"/>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1</w:t>
                  </w:r>
                </w:p>
              </w:tc>
              <w:tc>
                <w:tcPr>
                  <w:tcW w:w="877" w:type="pct"/>
                  <w:vMerge w:val="restart"/>
                  <w:tcBorders>
                    <w:tl2br w:val="nil"/>
                    <w:tr2bl w:val="nil"/>
                  </w:tcBorders>
                  <w:noWrap w:val="0"/>
                  <w:vAlign w:val="center"/>
                </w:tcPr>
                <w:p>
                  <w:pPr>
                    <w:pStyle w:val="28"/>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color w:val="auto"/>
                      <w:sz w:val="21"/>
                      <w:szCs w:val="21"/>
                      <w:highlight w:val="none"/>
                    </w:rPr>
                    <w:t>DW001</w:t>
                  </w:r>
                </w:p>
              </w:tc>
              <w:tc>
                <w:tcPr>
                  <w:tcW w:w="892" w:type="pct"/>
                  <w:tcBorders>
                    <w:tl2br w:val="nil"/>
                    <w:tr2bl w:val="nil"/>
                  </w:tcBorders>
                  <w:noWrap w:val="0"/>
                  <w:vAlign w:val="center"/>
                </w:tcPr>
                <w:p>
                  <w:pPr>
                    <w:pStyle w:val="28"/>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color w:val="auto"/>
                      <w:sz w:val="21"/>
                      <w:szCs w:val="21"/>
                      <w:highlight w:val="none"/>
                    </w:rPr>
                    <w:t>COD</w:t>
                  </w:r>
                </w:p>
              </w:tc>
              <w:tc>
                <w:tcPr>
                  <w:tcW w:w="891" w:type="pc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240</w:t>
                  </w:r>
                </w:p>
              </w:tc>
              <w:tc>
                <w:tcPr>
                  <w:tcW w:w="884" w:type="pct"/>
                  <w:tcBorders>
                    <w:tl2br w:val="nil"/>
                    <w:tr2bl w:val="nil"/>
                  </w:tcBorders>
                  <w:noWrap w:val="0"/>
                  <w:vAlign w:val="center"/>
                </w:tcPr>
                <w:p>
                  <w:pPr>
                    <w:pStyle w:val="28"/>
                    <w:jc w:val="center"/>
                    <w:rPr>
                      <w:rFonts w:hint="eastAsia" w:ascii="Times New Roman" w:hAnsi="Times New Roman" w:cs="Times New Roman" w:eastAsiaTheme="minorEastAsia"/>
                      <w:color w:val="auto"/>
                      <w:sz w:val="21"/>
                      <w:szCs w:val="21"/>
                      <w:highlight w:val="yellow"/>
                      <w:lang w:eastAsia="zh-CN"/>
                    </w:rPr>
                  </w:pPr>
                  <w:r>
                    <w:rPr>
                      <w:rFonts w:hint="default" w:ascii="Times New Roman" w:hAnsi="Times New Roman" w:cs="Times New Roman" w:eastAsiaTheme="minorEastAsia"/>
                      <w:color w:val="auto"/>
                      <w:sz w:val="21"/>
                      <w:szCs w:val="21"/>
                      <w:highlight w:val="none"/>
                    </w:rPr>
                    <w:t>0.000</w:t>
                  </w:r>
                  <w:r>
                    <w:rPr>
                      <w:rFonts w:hint="eastAsia" w:ascii="Times New Roman" w:hAnsi="Times New Roman" w:cs="Times New Roman" w:eastAsiaTheme="minorEastAsia"/>
                      <w:color w:val="auto"/>
                      <w:sz w:val="21"/>
                      <w:szCs w:val="21"/>
                      <w:highlight w:val="none"/>
                      <w:lang w:val="en-US" w:eastAsia="zh-CN"/>
                    </w:rPr>
                    <w:t>0</w:t>
                  </w:r>
                  <w:r>
                    <w:rPr>
                      <w:rFonts w:hint="default" w:ascii="Times New Roman" w:hAnsi="Times New Roman" w:cs="Times New Roman" w:eastAsiaTheme="minorEastAsia"/>
                      <w:color w:val="auto"/>
                      <w:sz w:val="21"/>
                      <w:szCs w:val="21"/>
                      <w:highlight w:val="none"/>
                    </w:rPr>
                    <w:t>8</w:t>
                  </w:r>
                  <w:r>
                    <w:rPr>
                      <w:rFonts w:hint="eastAsia" w:ascii="Times New Roman" w:hAnsi="Times New Roman" w:cs="Times New Roman" w:eastAsiaTheme="minorEastAsia"/>
                      <w:color w:val="auto"/>
                      <w:sz w:val="21"/>
                      <w:szCs w:val="21"/>
                      <w:highlight w:val="none"/>
                      <w:lang w:val="en-US" w:eastAsia="zh-CN"/>
                    </w:rPr>
                    <w:t>6</w:t>
                  </w:r>
                </w:p>
              </w:tc>
              <w:tc>
                <w:tcPr>
                  <w:tcW w:w="887" w:type="pc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0.0</w:t>
                  </w:r>
                  <w:r>
                    <w:rPr>
                      <w:rFonts w:hint="eastAsia" w:ascii="Times New Roman" w:hAnsi="Times New Roman" w:cs="Times New Roman" w:eastAsiaTheme="minorEastAsia"/>
                      <w:color w:val="auto"/>
                      <w:sz w:val="21"/>
                      <w:szCs w:val="21"/>
                      <w:highlight w:val="none"/>
                      <w:lang w:val="en-US" w:eastAsia="zh-CN"/>
                    </w:rPr>
                    <w:t>259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567" w:type="pct"/>
                  <w:vMerge w:val="continue"/>
                  <w:tcBorders>
                    <w:tl2br w:val="nil"/>
                    <w:tr2bl w:val="nil"/>
                  </w:tcBorders>
                  <w:noWrap w:val="0"/>
                  <w:vAlign w:val="center"/>
                </w:tcPr>
                <w:p>
                  <w:pPr>
                    <w:pStyle w:val="28"/>
                    <w:jc w:val="center"/>
                    <w:rPr>
                      <w:rFonts w:hint="default" w:ascii="Times New Roman" w:hAnsi="Times New Roman" w:cs="Times New Roman" w:eastAsiaTheme="minorEastAsia"/>
                      <w:sz w:val="21"/>
                      <w:szCs w:val="21"/>
                    </w:rPr>
                  </w:pPr>
                </w:p>
              </w:tc>
              <w:tc>
                <w:tcPr>
                  <w:tcW w:w="877" w:type="pct"/>
                  <w:vMerge w:val="continue"/>
                  <w:tcBorders>
                    <w:tl2br w:val="nil"/>
                    <w:tr2bl w:val="nil"/>
                  </w:tcBorders>
                  <w:noWrap w:val="0"/>
                  <w:vAlign w:val="center"/>
                </w:tcPr>
                <w:p>
                  <w:pPr>
                    <w:pStyle w:val="28"/>
                    <w:jc w:val="center"/>
                    <w:rPr>
                      <w:rFonts w:hint="default" w:ascii="Times New Roman" w:hAnsi="Times New Roman" w:cs="Times New Roman" w:eastAsiaTheme="minorEastAsia"/>
                      <w:sz w:val="21"/>
                      <w:szCs w:val="21"/>
                      <w:highlight w:val="none"/>
                    </w:rPr>
                  </w:pPr>
                </w:p>
              </w:tc>
              <w:tc>
                <w:tcPr>
                  <w:tcW w:w="892" w:type="pct"/>
                  <w:tcBorders>
                    <w:tl2br w:val="nil"/>
                    <w:tr2bl w:val="nil"/>
                  </w:tcBorders>
                  <w:noWrap w:val="0"/>
                  <w:vAlign w:val="center"/>
                </w:tcPr>
                <w:p>
                  <w:pPr>
                    <w:pStyle w:val="28"/>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color w:val="auto"/>
                      <w:sz w:val="21"/>
                      <w:szCs w:val="21"/>
                      <w:highlight w:val="none"/>
                    </w:rPr>
                    <w:t>NH</w:t>
                  </w:r>
                  <w:r>
                    <w:rPr>
                      <w:rFonts w:hint="default" w:ascii="Times New Roman" w:hAnsi="Times New Roman" w:cs="Times New Roman" w:eastAsiaTheme="minorEastAsia"/>
                      <w:color w:val="auto"/>
                      <w:sz w:val="21"/>
                      <w:szCs w:val="21"/>
                      <w:highlight w:val="none"/>
                      <w:vertAlign w:val="subscript"/>
                    </w:rPr>
                    <w:t>3</w:t>
                  </w:r>
                  <w:r>
                    <w:rPr>
                      <w:rFonts w:hint="default" w:ascii="Times New Roman" w:hAnsi="Times New Roman" w:cs="Times New Roman" w:eastAsiaTheme="minorEastAsia"/>
                      <w:color w:val="auto"/>
                      <w:sz w:val="21"/>
                      <w:szCs w:val="21"/>
                      <w:highlight w:val="none"/>
                    </w:rPr>
                    <w:t>-N</w:t>
                  </w:r>
                </w:p>
              </w:tc>
              <w:tc>
                <w:tcPr>
                  <w:tcW w:w="891" w:type="pc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25</w:t>
                  </w:r>
                </w:p>
              </w:tc>
              <w:tc>
                <w:tcPr>
                  <w:tcW w:w="884" w:type="pc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highlight w:val="yellow"/>
                      <w:lang w:val="en-US" w:eastAsia="zh-CN"/>
                    </w:rPr>
                  </w:pPr>
                  <w:r>
                    <w:rPr>
                      <w:rFonts w:hint="default" w:ascii="Times New Roman" w:hAnsi="Times New Roman" w:cs="Times New Roman" w:eastAsiaTheme="minorEastAsia"/>
                      <w:color w:val="auto"/>
                      <w:sz w:val="21"/>
                      <w:szCs w:val="21"/>
                      <w:highlight w:val="none"/>
                    </w:rPr>
                    <w:t>0.0000</w:t>
                  </w:r>
                  <w:r>
                    <w:rPr>
                      <w:rFonts w:hint="eastAsia" w:ascii="Times New Roman" w:hAnsi="Times New Roman" w:cs="Times New Roman" w:eastAsiaTheme="minorEastAsia"/>
                      <w:color w:val="auto"/>
                      <w:sz w:val="21"/>
                      <w:szCs w:val="21"/>
                      <w:highlight w:val="none"/>
                      <w:lang w:val="en-US" w:eastAsia="zh-CN"/>
                    </w:rPr>
                    <w:t>09</w:t>
                  </w:r>
                </w:p>
              </w:tc>
              <w:tc>
                <w:tcPr>
                  <w:tcW w:w="887" w:type="pct"/>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highlight w:val="yellow"/>
                      <w:lang w:val="en-US" w:eastAsia="zh-CN"/>
                    </w:rPr>
                  </w:pPr>
                  <w:r>
                    <w:rPr>
                      <w:rFonts w:hint="default" w:ascii="Times New Roman" w:hAnsi="Times New Roman" w:cs="Times New Roman" w:eastAsiaTheme="minorEastAsia"/>
                      <w:color w:val="auto"/>
                      <w:sz w:val="21"/>
                      <w:szCs w:val="21"/>
                      <w:highlight w:val="none"/>
                    </w:rPr>
                    <w:t>0.00</w:t>
                  </w:r>
                  <w:r>
                    <w:rPr>
                      <w:rFonts w:hint="eastAsia" w:ascii="Times New Roman" w:hAnsi="Times New Roman" w:cs="Times New Roman" w:eastAsiaTheme="minorEastAsia"/>
                      <w:color w:val="auto"/>
                      <w:sz w:val="21"/>
                      <w:szCs w:val="21"/>
                      <w:highlight w:val="none"/>
                      <w:lang w:val="en-US" w:eastAsia="zh-CN"/>
                    </w:rPr>
                    <w:t>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1445" w:type="pct"/>
                  <w:gridSpan w:val="2"/>
                  <w:vMerge w:val="restart"/>
                  <w:tcBorders>
                    <w:tl2br w:val="nil"/>
                    <w:tr2bl w:val="nil"/>
                  </w:tcBorders>
                  <w:noWrap w:val="0"/>
                  <w:vAlign w:val="center"/>
                </w:tcPr>
                <w:p>
                  <w:pPr>
                    <w:pStyle w:val="28"/>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全厂排放口合计</w:t>
                  </w:r>
                </w:p>
              </w:tc>
              <w:tc>
                <w:tcPr>
                  <w:tcW w:w="2665" w:type="pct"/>
                  <w:gridSpan w:val="3"/>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COD</w:t>
                  </w:r>
                </w:p>
              </w:tc>
              <w:tc>
                <w:tcPr>
                  <w:tcW w:w="1600" w:type="dxa"/>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highlight w:val="yellow"/>
                    </w:rPr>
                  </w:pPr>
                  <w:r>
                    <w:rPr>
                      <w:rFonts w:hint="default" w:ascii="Times New Roman" w:hAnsi="Times New Roman" w:cs="Times New Roman" w:eastAsiaTheme="minorEastAsia"/>
                      <w:color w:val="auto"/>
                      <w:sz w:val="21"/>
                      <w:szCs w:val="21"/>
                      <w:highlight w:val="none"/>
                    </w:rPr>
                    <w:t>0.0</w:t>
                  </w:r>
                  <w:r>
                    <w:rPr>
                      <w:rFonts w:hint="eastAsia" w:ascii="Times New Roman" w:hAnsi="Times New Roman" w:cs="Times New Roman" w:eastAsiaTheme="minorEastAsia"/>
                      <w:color w:val="auto"/>
                      <w:sz w:val="21"/>
                      <w:szCs w:val="21"/>
                      <w:highlight w:val="none"/>
                      <w:lang w:val="en-US" w:eastAsia="zh-CN"/>
                    </w:rPr>
                    <w:t>259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1445" w:type="pct"/>
                  <w:gridSpan w:val="2"/>
                  <w:vMerge w:val="continue"/>
                  <w:tcBorders>
                    <w:tl2br w:val="nil"/>
                    <w:tr2bl w:val="nil"/>
                  </w:tcBorders>
                  <w:noWrap w:val="0"/>
                  <w:vAlign w:val="center"/>
                </w:tcPr>
                <w:p>
                  <w:pPr>
                    <w:pStyle w:val="28"/>
                    <w:jc w:val="center"/>
                    <w:rPr>
                      <w:rFonts w:hint="default" w:ascii="Times New Roman" w:hAnsi="Times New Roman" w:cs="Times New Roman" w:eastAsiaTheme="minorEastAsia"/>
                      <w:sz w:val="21"/>
                      <w:szCs w:val="21"/>
                      <w:highlight w:val="none"/>
                    </w:rPr>
                  </w:pPr>
                </w:p>
              </w:tc>
              <w:tc>
                <w:tcPr>
                  <w:tcW w:w="2665" w:type="pct"/>
                  <w:gridSpan w:val="3"/>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NH</w:t>
                  </w:r>
                  <w:r>
                    <w:rPr>
                      <w:rFonts w:hint="default" w:ascii="Times New Roman" w:hAnsi="Times New Roman" w:cs="Times New Roman" w:eastAsiaTheme="minorEastAsia"/>
                      <w:color w:val="auto"/>
                      <w:sz w:val="21"/>
                      <w:szCs w:val="21"/>
                      <w:highlight w:val="none"/>
                      <w:vertAlign w:val="subscript"/>
                    </w:rPr>
                    <w:t>3</w:t>
                  </w:r>
                  <w:r>
                    <w:rPr>
                      <w:rFonts w:hint="default" w:ascii="Times New Roman" w:hAnsi="Times New Roman" w:cs="Times New Roman" w:eastAsiaTheme="minorEastAsia"/>
                      <w:color w:val="auto"/>
                      <w:sz w:val="21"/>
                      <w:szCs w:val="21"/>
                      <w:highlight w:val="none"/>
                    </w:rPr>
                    <w:t>-N</w:t>
                  </w:r>
                </w:p>
              </w:tc>
              <w:tc>
                <w:tcPr>
                  <w:tcW w:w="1600" w:type="dxa"/>
                  <w:tcBorders>
                    <w:tl2br w:val="nil"/>
                    <w:tr2bl w:val="nil"/>
                  </w:tcBorders>
                  <w:noWrap w:val="0"/>
                  <w:vAlign w:val="center"/>
                </w:tcPr>
                <w:p>
                  <w:pPr>
                    <w:pStyle w:val="28"/>
                    <w:jc w:val="center"/>
                    <w:rPr>
                      <w:rFonts w:hint="default" w:ascii="Times New Roman" w:hAnsi="Times New Roman" w:cs="Times New Roman" w:eastAsiaTheme="minorEastAsia"/>
                      <w:color w:val="auto"/>
                      <w:sz w:val="21"/>
                      <w:szCs w:val="21"/>
                      <w:highlight w:val="yellow"/>
                    </w:rPr>
                  </w:pPr>
                  <w:r>
                    <w:rPr>
                      <w:rFonts w:hint="default" w:ascii="Times New Roman" w:hAnsi="Times New Roman" w:cs="Times New Roman" w:eastAsiaTheme="minorEastAsia"/>
                      <w:color w:val="auto"/>
                      <w:sz w:val="21"/>
                      <w:szCs w:val="21"/>
                      <w:highlight w:val="none"/>
                    </w:rPr>
                    <w:t>0.00</w:t>
                  </w:r>
                  <w:r>
                    <w:rPr>
                      <w:rFonts w:hint="eastAsia" w:ascii="Times New Roman" w:hAnsi="Times New Roman" w:cs="Times New Roman" w:eastAsiaTheme="minorEastAsia"/>
                      <w:color w:val="auto"/>
                      <w:sz w:val="21"/>
                      <w:szCs w:val="21"/>
                      <w:highlight w:val="none"/>
                      <w:lang w:val="en-US" w:eastAsia="zh-CN"/>
                    </w:rPr>
                    <w:t>27</w:t>
                  </w:r>
                </w:p>
              </w:tc>
            </w:tr>
          </w:tbl>
          <w:p>
            <w:pPr>
              <w:spacing w:line="520" w:lineRule="exact"/>
              <w:ind w:firstLine="480" w:firstLineChars="200"/>
              <w:rPr>
                <w:bCs/>
                <w:spacing w:val="6"/>
                <w:sz w:val="24"/>
                <w:szCs w:val="28"/>
                <w:highlight w:val="yellow"/>
              </w:rPr>
            </w:pPr>
            <w:r>
              <w:rPr>
                <w:rFonts w:hint="eastAsia"/>
                <w:sz w:val="24"/>
                <w:highlight w:val="none"/>
              </w:rPr>
              <w:t>综上，</w:t>
            </w:r>
            <w:r>
              <w:rPr>
                <w:sz w:val="24"/>
                <w:highlight w:val="none"/>
              </w:rPr>
              <w:t>生活污水经厂区现有化粪池处理后排入污水管网，之后进入大召营镇污水处理厂处理</w:t>
            </w:r>
            <w:r>
              <w:rPr>
                <w:rFonts w:hint="eastAsia"/>
                <w:sz w:val="24"/>
                <w:highlight w:val="none"/>
              </w:rPr>
              <w:t>，</w:t>
            </w:r>
            <w:r>
              <w:rPr>
                <w:sz w:val="24"/>
                <w:highlight w:val="none"/>
              </w:rPr>
              <w:t>污染物排放总量为：COD0.0</w:t>
            </w:r>
            <w:r>
              <w:rPr>
                <w:rFonts w:hint="eastAsia"/>
                <w:sz w:val="24"/>
                <w:highlight w:val="none"/>
                <w:lang w:val="en-US" w:eastAsia="zh-CN"/>
              </w:rPr>
              <w:t>043</w:t>
            </w:r>
            <w:r>
              <w:rPr>
                <w:sz w:val="24"/>
                <w:highlight w:val="none"/>
              </w:rPr>
              <w:t>t/a，氨氮0.00</w:t>
            </w:r>
            <w:r>
              <w:rPr>
                <w:rFonts w:hint="eastAsia"/>
                <w:sz w:val="24"/>
                <w:highlight w:val="none"/>
              </w:rPr>
              <w:t>0</w:t>
            </w:r>
            <w:r>
              <w:rPr>
                <w:rFonts w:hint="eastAsia"/>
                <w:sz w:val="24"/>
                <w:highlight w:val="none"/>
                <w:lang w:val="en-US" w:eastAsia="zh-CN"/>
              </w:rPr>
              <w:t>2</w:t>
            </w:r>
            <w:r>
              <w:rPr>
                <w:sz w:val="24"/>
                <w:highlight w:val="none"/>
              </w:rPr>
              <w:t>t/a</w:t>
            </w:r>
            <w:r>
              <w:rPr>
                <w:bCs/>
                <w:spacing w:val="6"/>
                <w:sz w:val="24"/>
                <w:szCs w:val="28"/>
                <w:highlight w:val="none"/>
              </w:rPr>
              <w:t>。</w:t>
            </w:r>
          </w:p>
          <w:p>
            <w:pPr>
              <w:bidi w:val="0"/>
              <w:rPr>
                <w:highlight w:val="none"/>
              </w:rPr>
            </w:pPr>
            <w:r>
              <w:rPr>
                <w:rFonts w:hint="eastAsia"/>
                <w:highlight w:val="none"/>
                <w:lang w:eastAsia="zh-CN"/>
              </w:rPr>
              <w:t>（</w:t>
            </w:r>
            <w:r>
              <w:rPr>
                <w:rFonts w:hint="eastAsia"/>
                <w:highlight w:val="none"/>
                <w:lang w:val="en-US" w:eastAsia="zh-CN"/>
              </w:rPr>
              <w:t>2</w:t>
            </w:r>
            <w:r>
              <w:rPr>
                <w:rFonts w:hint="eastAsia"/>
                <w:highlight w:val="none"/>
                <w:lang w:eastAsia="zh-CN"/>
              </w:rPr>
              <w:t>）</w:t>
            </w:r>
            <w:r>
              <w:rPr>
                <w:rFonts w:hint="eastAsia"/>
                <w:highlight w:val="none"/>
              </w:rPr>
              <w:t>地下水环境</w:t>
            </w:r>
          </w:p>
          <w:p>
            <w:pPr>
              <w:bidi w:val="0"/>
              <w:rPr>
                <w:highlight w:val="none"/>
              </w:rPr>
            </w:pPr>
            <w:r>
              <w:rPr>
                <w:highlight w:val="none"/>
              </w:rPr>
              <w:t>根据《环境影响评价技术导则（地下水环境）》（HJ610-2016）规定，地下水评价工作等级的划分依据建设项目行业分类和地下水环境敏感程度分级进行判定。</w:t>
            </w:r>
          </w:p>
          <w:p>
            <w:pPr>
              <w:bidi w:val="0"/>
              <w:rPr>
                <w:highlight w:val="none"/>
              </w:rPr>
            </w:pPr>
            <w:r>
              <w:rPr>
                <w:highlight w:val="none"/>
              </w:rPr>
              <w:t>地下水环境影响评价项目类别：根据《环境影响评价技术导则地下水环境》（HJ610-2016）附录A</w:t>
            </w:r>
            <w:r>
              <w:rPr>
                <w:rFonts w:hint="eastAsia"/>
                <w:highlight w:val="none"/>
              </w:rPr>
              <w:t>“地下水环境影响评价行业分类表”</w:t>
            </w:r>
            <w:r>
              <w:rPr>
                <w:highlight w:val="none"/>
              </w:rPr>
              <w:t>，本项目属于</w:t>
            </w:r>
            <w:r>
              <w:rPr>
                <w:rFonts w:hint="eastAsia"/>
                <w:highlight w:val="none"/>
                <w:lang w:eastAsia="zh-CN"/>
              </w:rPr>
              <w:t>“</w:t>
            </w:r>
            <w:r>
              <w:rPr>
                <w:rFonts w:hint="eastAsia"/>
                <w:highlight w:val="none"/>
              </w:rPr>
              <w:t>U 城镇基础设施及房地产</w:t>
            </w:r>
            <w:r>
              <w:rPr>
                <w:highlight w:val="none"/>
              </w:rPr>
              <w:t xml:space="preserve"> </w:t>
            </w:r>
            <w:r>
              <w:rPr>
                <w:rFonts w:hint="eastAsia"/>
                <w:highlight w:val="none"/>
              </w:rPr>
              <w:t>154、仓储（不含油库、气库、煤炭储存）</w:t>
            </w:r>
            <w:r>
              <w:rPr>
                <w:rFonts w:hint="eastAsia"/>
                <w:highlight w:val="none"/>
                <w:lang w:eastAsia="zh-CN"/>
              </w:rPr>
              <w:t>”</w:t>
            </w:r>
            <w:r>
              <w:rPr>
                <w:highlight w:val="none"/>
              </w:rPr>
              <w:t>，本项目为</w:t>
            </w:r>
            <w:r>
              <w:rPr>
                <w:rFonts w:hint="eastAsia"/>
                <w:highlight w:val="none"/>
                <w:lang w:eastAsia="zh-CN"/>
              </w:rPr>
              <w:t>仓储</w:t>
            </w:r>
            <w:r>
              <w:rPr>
                <w:highlight w:val="none"/>
              </w:rPr>
              <w:t>项目，</w:t>
            </w:r>
            <w:r>
              <w:rPr>
                <w:rFonts w:hint="eastAsia"/>
                <w:highlight w:val="none"/>
              </w:rPr>
              <w:t>不涉及有毒、有害及危险品的仓储、物流配送项目，</w:t>
            </w:r>
            <w:r>
              <w:rPr>
                <w:highlight w:val="none"/>
              </w:rPr>
              <w:t>应编制报告表，属于Ⅳ类项目</w:t>
            </w:r>
            <w:r>
              <w:rPr>
                <w:rFonts w:hint="eastAsia"/>
                <w:highlight w:val="none"/>
              </w:rPr>
              <w:t>，不开展地下水环境影响评价</w:t>
            </w:r>
            <w:r>
              <w:rPr>
                <w:highlight w:val="none"/>
              </w:rPr>
              <w:t>。</w:t>
            </w:r>
          </w:p>
          <w:p>
            <w:pPr>
              <w:pStyle w:val="4"/>
              <w:bidi w:val="0"/>
              <w:rPr>
                <w:highlight w:val="none"/>
              </w:rPr>
            </w:pPr>
            <w:r>
              <w:rPr>
                <w:highlight w:val="none"/>
              </w:rPr>
              <w:t>（三）、噪声对环境的影响</w:t>
            </w:r>
          </w:p>
          <w:p>
            <w:pPr>
              <w:bidi w:val="0"/>
              <w:rPr>
                <w:highlight w:val="none"/>
              </w:rPr>
            </w:pPr>
            <w:r>
              <w:rPr>
                <w:highlight w:val="none"/>
              </w:rPr>
              <w:drawing>
                <wp:anchor distT="0" distB="0" distL="114300" distR="114300" simplePos="0" relativeHeight="251655168" behindDoc="1" locked="0" layoutInCell="1" allowOverlap="1">
                  <wp:simplePos x="0" y="0"/>
                  <wp:positionH relativeFrom="column">
                    <wp:posOffset>175895</wp:posOffset>
                  </wp:positionH>
                  <wp:positionV relativeFrom="paragraph">
                    <wp:posOffset>816610</wp:posOffset>
                  </wp:positionV>
                  <wp:extent cx="5337175" cy="2885440"/>
                  <wp:effectExtent l="0" t="0" r="12065" b="10160"/>
                  <wp:wrapNone/>
                  <wp:docPr id="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pic:cNvPicPr>
                            <a:picLocks noChangeAspect="1"/>
                          </pic:cNvPicPr>
                        </pic:nvPicPr>
                        <pic:blipFill>
                          <a:blip r:embed="rId15" cstate="print"/>
                          <a:srcRect t="6373" b="2311"/>
                          <a:stretch>
                            <a:fillRect/>
                          </a:stretch>
                        </pic:blipFill>
                        <pic:spPr>
                          <a:xfrm>
                            <a:off x="0" y="0"/>
                            <a:ext cx="5337175" cy="2885440"/>
                          </a:xfrm>
                          <a:prstGeom prst="rect">
                            <a:avLst/>
                          </a:prstGeom>
                          <a:noFill/>
                          <a:ln>
                            <a:noFill/>
                          </a:ln>
                        </pic:spPr>
                      </pic:pic>
                    </a:graphicData>
                  </a:graphic>
                </wp:anchor>
              </w:drawing>
            </w:r>
            <w:r>
              <w:rPr>
                <w:highlight w:val="none"/>
              </w:rPr>
              <w:t>本项目夜间不生产，噪声主要来源于机械设备产生的噪声，其噪声源强一般在70～8</w:t>
            </w:r>
            <w:r>
              <w:rPr>
                <w:rFonts w:hint="eastAsia"/>
                <w:highlight w:val="none"/>
              </w:rPr>
              <w:t>5</w:t>
            </w:r>
            <w:r>
              <w:rPr>
                <w:highlight w:val="none"/>
              </w:rPr>
              <w:t>dB(A)之间。根据《环境影响评价技术导则 声环境》（HJ2.4-2009），项目可按照面声源预测模式进行预测。</w:t>
            </w:r>
          </w:p>
          <w:p>
            <w:pPr>
              <w:bidi w:val="0"/>
              <w:rPr>
                <w:highlight w:val="none"/>
              </w:rPr>
            </w:pPr>
          </w:p>
          <w:p>
            <w:pPr>
              <w:bidi w:val="0"/>
              <w:rPr>
                <w:highlight w:val="none"/>
              </w:rPr>
            </w:pPr>
          </w:p>
          <w:p>
            <w:pPr>
              <w:bidi w:val="0"/>
              <w:rPr>
                <w:highlight w:val="none"/>
              </w:rPr>
            </w:pPr>
          </w:p>
          <w:p>
            <w:pPr>
              <w:bidi w:val="0"/>
              <w:rPr>
                <w:rFonts w:hint="eastAsia"/>
                <w:highlight w:val="none"/>
                <w:lang w:eastAsia="zh-CN"/>
              </w:rPr>
            </w:pPr>
          </w:p>
          <w:p>
            <w:pPr>
              <w:bidi w:val="0"/>
              <w:rPr>
                <w:rFonts w:hint="eastAsia"/>
                <w:highlight w:val="none"/>
                <w:lang w:eastAsia="zh-CN"/>
              </w:rPr>
            </w:pPr>
          </w:p>
          <w:p>
            <w:pPr>
              <w:bidi w:val="0"/>
              <w:rPr>
                <w:rFonts w:hint="eastAsia"/>
                <w:highlight w:val="none"/>
                <w:lang w:eastAsia="zh-CN"/>
              </w:rPr>
            </w:pPr>
          </w:p>
          <w:p>
            <w:pPr>
              <w:bidi w:val="0"/>
              <w:rPr>
                <w:rFonts w:hint="eastAsia" w:eastAsia="宋体"/>
                <w:highlight w:val="none"/>
                <w:lang w:eastAsia="zh-CN"/>
              </w:rPr>
            </w:pPr>
          </w:p>
          <w:p>
            <w:pPr>
              <w:pStyle w:val="2"/>
              <w:rPr>
                <w:rFonts w:hint="eastAsia" w:eastAsia="宋体"/>
                <w:highlight w:val="none"/>
                <w:lang w:eastAsia="zh-CN"/>
              </w:rPr>
            </w:pPr>
          </w:p>
          <w:p>
            <w:pPr>
              <w:rPr>
                <w:rFonts w:hint="eastAsia" w:eastAsia="宋体"/>
                <w:highlight w:val="none"/>
                <w:lang w:eastAsia="zh-CN"/>
              </w:rPr>
            </w:pPr>
          </w:p>
          <w:p>
            <w:pPr>
              <w:pStyle w:val="2"/>
              <w:rPr>
                <w:rFonts w:hint="eastAsia"/>
                <w:lang w:eastAsia="zh-CN"/>
              </w:rPr>
            </w:pPr>
          </w:p>
          <w:p>
            <w:pPr>
              <w:bidi w:val="0"/>
              <w:rPr>
                <w:highlight w:val="none"/>
              </w:rPr>
            </w:pPr>
            <w:r>
              <w:rPr>
                <w:highlight w:val="none"/>
              </w:rPr>
              <w:t>预测点和面声源中心距离r处于以下条件时，可按下述方法近似计算：</w:t>
            </w:r>
          </w:p>
          <w:p>
            <w:pPr>
              <w:bidi w:val="0"/>
              <w:rPr>
                <w:highlight w:val="none"/>
              </w:rPr>
            </w:pPr>
            <w:r>
              <w:rPr>
                <w:highlight w:val="none"/>
              </w:rPr>
              <w:t>r＜a/π时，几乎不衰减；</w:t>
            </w:r>
          </w:p>
          <w:p>
            <w:pPr>
              <w:bidi w:val="0"/>
              <w:rPr>
                <w:highlight w:val="none"/>
              </w:rPr>
            </w:pPr>
            <w:r>
              <w:rPr>
                <w:highlight w:val="none"/>
              </w:rPr>
              <w:t>a/π＜r＜b/π时，距离加倍衰减3dB左右，类似线声源衰减特性；</w:t>
            </w:r>
          </w:p>
          <w:p>
            <w:pPr>
              <w:bidi w:val="0"/>
              <w:rPr>
                <w:highlight w:val="none"/>
              </w:rPr>
            </w:pPr>
            <w:r>
              <w:rPr>
                <w:highlight w:val="none"/>
              </w:rPr>
              <w:t>r＞b/π时，距离加倍衰减6dB左右，类似点声源衰减特性。</w:t>
            </w:r>
          </w:p>
          <w:p>
            <w:pPr>
              <w:bidi w:val="0"/>
              <w:rPr>
                <w:highlight w:val="none"/>
              </w:rPr>
            </w:pPr>
            <w:r>
              <w:rPr>
                <w:highlight w:val="none"/>
              </w:rPr>
              <w:drawing>
                <wp:anchor distT="0" distB="0" distL="114300" distR="114300" simplePos="0" relativeHeight="251662336" behindDoc="0" locked="0" layoutInCell="1" allowOverlap="1">
                  <wp:simplePos x="0" y="0"/>
                  <wp:positionH relativeFrom="column">
                    <wp:posOffset>1828800</wp:posOffset>
                  </wp:positionH>
                  <wp:positionV relativeFrom="paragraph">
                    <wp:posOffset>274320</wp:posOffset>
                  </wp:positionV>
                  <wp:extent cx="1206500" cy="431800"/>
                  <wp:effectExtent l="0" t="0" r="0" b="10795"/>
                  <wp:wrapSquare wrapText="bothSides"/>
                  <wp:docPr id="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
                          <pic:cNvPicPr>
                            <a:picLocks noChangeAspect="1"/>
                          </pic:cNvPicPr>
                        </pic:nvPicPr>
                        <pic:blipFill>
                          <a:blip r:embed="rId16"/>
                          <a:stretch>
                            <a:fillRect/>
                          </a:stretch>
                        </pic:blipFill>
                        <pic:spPr>
                          <a:xfrm>
                            <a:off x="0" y="0"/>
                            <a:ext cx="1206500" cy="431800"/>
                          </a:xfrm>
                          <a:prstGeom prst="rect">
                            <a:avLst/>
                          </a:prstGeom>
                          <a:noFill/>
                          <a:ln>
                            <a:noFill/>
                          </a:ln>
                        </pic:spPr>
                      </pic:pic>
                    </a:graphicData>
                  </a:graphic>
                </wp:anchor>
              </w:drawing>
            </w:r>
            <w:r>
              <w:rPr>
                <w:highlight w:val="none"/>
              </w:rPr>
              <w:t>噪声叠加模式：</w:t>
            </w:r>
          </w:p>
          <w:p>
            <w:pPr>
              <w:bidi w:val="0"/>
              <w:rPr>
                <w:highlight w:val="none"/>
              </w:rPr>
            </w:pPr>
          </w:p>
          <w:p>
            <w:pPr>
              <w:bidi w:val="0"/>
              <w:rPr>
                <w:highlight w:val="none"/>
              </w:rPr>
            </w:pPr>
          </w:p>
          <w:p>
            <w:pPr>
              <w:bidi w:val="0"/>
              <w:rPr>
                <w:highlight w:val="none"/>
              </w:rPr>
            </w:pPr>
            <w:r>
              <w:rPr>
                <w:highlight w:val="none"/>
              </w:rPr>
              <w:t>式中：L</w:t>
            </w:r>
            <w:r>
              <w:rPr>
                <w:highlight w:val="none"/>
                <w:vertAlign w:val="subscript"/>
              </w:rPr>
              <w:t>p</w:t>
            </w:r>
            <w:r>
              <w:rPr>
                <w:highlight w:val="none"/>
              </w:rPr>
              <w:t>—预测点噪声叠加值，dB(A)；</w:t>
            </w:r>
          </w:p>
          <w:p>
            <w:pPr>
              <w:bidi w:val="0"/>
              <w:rPr>
                <w:highlight w:val="none"/>
              </w:rPr>
            </w:pPr>
            <w:r>
              <w:rPr>
                <w:highlight w:val="none"/>
              </w:rPr>
              <w:t>L</w:t>
            </w:r>
            <w:r>
              <w:rPr>
                <w:highlight w:val="none"/>
                <w:vertAlign w:val="subscript"/>
              </w:rPr>
              <w:t>i</w:t>
            </w:r>
            <w:r>
              <w:rPr>
                <w:highlight w:val="none"/>
              </w:rPr>
              <w:t>—第i个声源的声压级，dB(A)。</w:t>
            </w:r>
          </w:p>
          <w:p>
            <w:pPr>
              <w:bidi w:val="0"/>
              <w:rPr>
                <w:highlight w:val="none"/>
              </w:rPr>
            </w:pPr>
            <w:r>
              <w:rPr>
                <w:highlight w:val="none"/>
              </w:rPr>
              <w:t>本项目所有生产设备均位于生产车间之内，全部设备噪声源叠加到声源中心后的噪声叠加值见下表。</w:t>
            </w:r>
          </w:p>
          <w:p>
            <w:pPr>
              <w:bidi w:val="0"/>
              <w:jc w:val="center"/>
              <w:rPr>
                <w:highlight w:val="none"/>
              </w:rPr>
            </w:pPr>
            <w:r>
              <w:rPr>
                <w:highlight w:val="none"/>
              </w:rPr>
              <w:t>表</w:t>
            </w:r>
            <w:r>
              <w:rPr>
                <w:rFonts w:hint="eastAsia"/>
                <w:highlight w:val="none"/>
                <w:lang w:val="en-US" w:eastAsia="zh-CN"/>
              </w:rPr>
              <w:t>39</w:t>
            </w:r>
            <w:r>
              <w:rPr>
                <w:highlight w:val="none"/>
              </w:rPr>
              <w:t xml:space="preserve">       主要设备噪声及治理措施</w:t>
            </w:r>
          </w:p>
          <w:tbl>
            <w:tblPr>
              <w:tblStyle w:val="21"/>
              <w:tblW w:w="4998"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709"/>
              <w:gridCol w:w="2582"/>
              <w:gridCol w:w="939"/>
              <w:gridCol w:w="1453"/>
              <w:gridCol w:w="3328"/>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393" w:type="pct"/>
                  <w:tcBorders>
                    <w:tl2br w:val="nil"/>
                    <w:tr2bl w:val="nil"/>
                  </w:tcBorders>
                  <w:vAlign w:val="center"/>
                </w:tcPr>
                <w:p>
                  <w:pPr>
                    <w:pStyle w:val="29"/>
                    <w:bidi w:val="0"/>
                    <w:rPr>
                      <w:highlight w:val="none"/>
                    </w:rPr>
                  </w:pPr>
                  <w:r>
                    <w:rPr>
                      <w:highlight w:val="none"/>
                    </w:rPr>
                    <w:t>序号</w:t>
                  </w:r>
                </w:p>
              </w:tc>
              <w:tc>
                <w:tcPr>
                  <w:tcW w:w="1432" w:type="pct"/>
                  <w:tcBorders>
                    <w:tl2br w:val="nil"/>
                    <w:tr2bl w:val="nil"/>
                  </w:tcBorders>
                  <w:vAlign w:val="center"/>
                </w:tcPr>
                <w:p>
                  <w:pPr>
                    <w:pStyle w:val="29"/>
                    <w:bidi w:val="0"/>
                    <w:rPr>
                      <w:highlight w:val="none"/>
                    </w:rPr>
                  </w:pPr>
                  <w:r>
                    <w:rPr>
                      <w:highlight w:val="none"/>
                    </w:rPr>
                    <w:t>噪声源</w:t>
                  </w:r>
                </w:p>
              </w:tc>
              <w:tc>
                <w:tcPr>
                  <w:tcW w:w="521" w:type="pct"/>
                  <w:tcBorders>
                    <w:tl2br w:val="nil"/>
                    <w:tr2bl w:val="nil"/>
                  </w:tcBorders>
                  <w:vAlign w:val="center"/>
                </w:tcPr>
                <w:p>
                  <w:pPr>
                    <w:pStyle w:val="29"/>
                    <w:bidi w:val="0"/>
                    <w:rPr>
                      <w:highlight w:val="none"/>
                    </w:rPr>
                  </w:pPr>
                  <w:r>
                    <w:rPr>
                      <w:highlight w:val="none"/>
                    </w:rPr>
                    <w:t>数量(台、套)</w:t>
                  </w:r>
                </w:p>
              </w:tc>
              <w:tc>
                <w:tcPr>
                  <w:tcW w:w="806" w:type="pct"/>
                  <w:tcBorders>
                    <w:tl2br w:val="nil"/>
                    <w:tr2bl w:val="nil"/>
                  </w:tcBorders>
                  <w:vAlign w:val="center"/>
                </w:tcPr>
                <w:p>
                  <w:pPr>
                    <w:pStyle w:val="29"/>
                    <w:bidi w:val="0"/>
                    <w:rPr>
                      <w:highlight w:val="none"/>
                    </w:rPr>
                  </w:pPr>
                  <w:r>
                    <w:rPr>
                      <w:highlight w:val="none"/>
                    </w:rPr>
                    <w:t>源强dB(A)</w:t>
                  </w:r>
                </w:p>
              </w:tc>
              <w:tc>
                <w:tcPr>
                  <w:tcW w:w="1846" w:type="pct"/>
                  <w:tcBorders>
                    <w:tl2br w:val="nil"/>
                    <w:tr2bl w:val="nil"/>
                  </w:tcBorders>
                  <w:vAlign w:val="center"/>
                </w:tcPr>
                <w:p>
                  <w:pPr>
                    <w:pStyle w:val="29"/>
                    <w:bidi w:val="0"/>
                    <w:rPr>
                      <w:highlight w:val="none"/>
                    </w:rPr>
                  </w:pPr>
                  <w:r>
                    <w:rPr>
                      <w:highlight w:val="none"/>
                    </w:rPr>
                    <w:t>设备噪声在声源中心叠加后的噪声值[dB（A）]</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393" w:type="pct"/>
                  <w:tcBorders>
                    <w:tl2br w:val="nil"/>
                    <w:tr2bl w:val="nil"/>
                  </w:tcBorders>
                  <w:vAlign w:val="center"/>
                </w:tcPr>
                <w:p>
                  <w:pPr>
                    <w:pStyle w:val="29"/>
                    <w:bidi w:val="0"/>
                    <w:rPr>
                      <w:rFonts w:hint="eastAsia"/>
                      <w:highlight w:val="none"/>
                      <w:lang w:eastAsia="zh-CN"/>
                    </w:rPr>
                  </w:pPr>
                  <w:r>
                    <w:rPr>
                      <w:rFonts w:hint="eastAsia"/>
                      <w:highlight w:val="none"/>
                      <w:lang w:val="en-US" w:eastAsia="zh-CN"/>
                    </w:rPr>
                    <w:t>1</w:t>
                  </w:r>
                </w:p>
              </w:tc>
              <w:tc>
                <w:tcPr>
                  <w:tcW w:w="1432" w:type="pct"/>
                  <w:tcBorders>
                    <w:tl2br w:val="nil"/>
                    <w:tr2bl w:val="nil"/>
                  </w:tcBorders>
                  <w:vAlign w:val="top"/>
                </w:tcPr>
                <w:p>
                  <w:pPr>
                    <w:pStyle w:val="29"/>
                    <w:bidi w:val="0"/>
                    <w:rPr>
                      <w:highlight w:val="none"/>
                    </w:rPr>
                  </w:pPr>
                  <w:r>
                    <w:rPr>
                      <w:rFonts w:hint="eastAsia"/>
                      <w:highlight w:val="none"/>
                    </w:rPr>
                    <w:t>石油丙烷气循环压缩机</w:t>
                  </w:r>
                </w:p>
              </w:tc>
              <w:tc>
                <w:tcPr>
                  <w:tcW w:w="521" w:type="pct"/>
                  <w:tcBorders>
                    <w:tl2br w:val="nil"/>
                    <w:tr2bl w:val="nil"/>
                  </w:tcBorders>
                  <w:vAlign w:val="top"/>
                </w:tcPr>
                <w:p>
                  <w:pPr>
                    <w:pStyle w:val="29"/>
                    <w:bidi w:val="0"/>
                    <w:rPr>
                      <w:highlight w:val="none"/>
                    </w:rPr>
                  </w:pPr>
                  <w:r>
                    <w:rPr>
                      <w:rFonts w:hint="eastAsia"/>
                      <w:highlight w:val="none"/>
                    </w:rPr>
                    <w:t>1</w:t>
                  </w:r>
                </w:p>
              </w:tc>
              <w:tc>
                <w:tcPr>
                  <w:tcW w:w="806" w:type="pct"/>
                  <w:tcBorders>
                    <w:tl2br w:val="nil"/>
                    <w:tr2bl w:val="nil"/>
                  </w:tcBorders>
                  <w:vAlign w:val="center"/>
                </w:tcPr>
                <w:p>
                  <w:pPr>
                    <w:pStyle w:val="29"/>
                    <w:bidi w:val="0"/>
                    <w:rPr>
                      <w:rFonts w:hint="eastAsia" w:eastAsia="宋体"/>
                      <w:highlight w:val="none"/>
                      <w:lang w:val="en-US" w:eastAsia="zh-CN"/>
                    </w:rPr>
                  </w:pPr>
                  <w:r>
                    <w:rPr>
                      <w:rFonts w:hint="eastAsia"/>
                      <w:highlight w:val="none"/>
                    </w:rPr>
                    <w:t>8</w:t>
                  </w:r>
                  <w:r>
                    <w:rPr>
                      <w:rFonts w:hint="eastAsia"/>
                      <w:highlight w:val="none"/>
                      <w:lang w:val="en-US" w:eastAsia="zh-CN"/>
                    </w:rPr>
                    <w:t>5</w:t>
                  </w:r>
                </w:p>
              </w:tc>
              <w:tc>
                <w:tcPr>
                  <w:tcW w:w="1846" w:type="pct"/>
                  <w:vMerge w:val="restart"/>
                  <w:tcBorders>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86.7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393" w:type="pct"/>
                  <w:tcBorders>
                    <w:tl2br w:val="nil"/>
                    <w:tr2bl w:val="nil"/>
                  </w:tcBorders>
                  <w:vAlign w:val="center"/>
                </w:tcPr>
                <w:p>
                  <w:pPr>
                    <w:pStyle w:val="29"/>
                    <w:bidi w:val="0"/>
                    <w:rPr>
                      <w:rFonts w:hint="eastAsia"/>
                      <w:highlight w:val="none"/>
                      <w:lang w:eastAsia="zh-CN"/>
                    </w:rPr>
                  </w:pPr>
                  <w:r>
                    <w:rPr>
                      <w:rFonts w:hint="eastAsia"/>
                      <w:highlight w:val="none"/>
                      <w:lang w:val="en-US" w:eastAsia="zh-CN"/>
                    </w:rPr>
                    <w:t>2</w:t>
                  </w:r>
                </w:p>
              </w:tc>
              <w:tc>
                <w:tcPr>
                  <w:tcW w:w="1432" w:type="pct"/>
                  <w:tcBorders>
                    <w:tl2br w:val="nil"/>
                    <w:tr2bl w:val="nil"/>
                  </w:tcBorders>
                  <w:vAlign w:val="top"/>
                </w:tcPr>
                <w:p>
                  <w:pPr>
                    <w:pStyle w:val="29"/>
                    <w:bidi w:val="0"/>
                    <w:rPr>
                      <w:highlight w:val="none"/>
                    </w:rPr>
                  </w:pPr>
                  <w:r>
                    <w:rPr>
                      <w:rFonts w:hint="eastAsia"/>
                      <w:highlight w:val="none"/>
                    </w:rPr>
                    <w:t>烃泵</w:t>
                  </w:r>
                </w:p>
              </w:tc>
              <w:tc>
                <w:tcPr>
                  <w:tcW w:w="521" w:type="pct"/>
                  <w:tcBorders>
                    <w:tl2br w:val="nil"/>
                    <w:tr2bl w:val="nil"/>
                  </w:tcBorders>
                  <w:vAlign w:val="top"/>
                </w:tcPr>
                <w:p>
                  <w:pPr>
                    <w:pStyle w:val="29"/>
                    <w:bidi w:val="0"/>
                    <w:rPr>
                      <w:highlight w:val="none"/>
                    </w:rPr>
                  </w:pPr>
                  <w:r>
                    <w:rPr>
                      <w:rFonts w:hint="eastAsia"/>
                      <w:highlight w:val="none"/>
                    </w:rPr>
                    <w:t>3</w:t>
                  </w:r>
                </w:p>
              </w:tc>
              <w:tc>
                <w:tcPr>
                  <w:tcW w:w="806" w:type="pct"/>
                  <w:tcBorders>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70</w:t>
                  </w:r>
                </w:p>
              </w:tc>
              <w:tc>
                <w:tcPr>
                  <w:tcW w:w="1846" w:type="pct"/>
                  <w:vMerge w:val="continue"/>
                  <w:tcBorders>
                    <w:tl2br w:val="nil"/>
                    <w:tr2bl w:val="nil"/>
                  </w:tcBorders>
                  <w:vAlign w:val="center"/>
                </w:tcPr>
                <w:p>
                  <w:pPr>
                    <w:pStyle w:val="29"/>
                    <w:bidi w:val="0"/>
                    <w:rPr>
                      <w:highlight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393" w:type="pct"/>
                  <w:tcBorders>
                    <w:tl2br w:val="nil"/>
                    <w:tr2bl w:val="nil"/>
                  </w:tcBorders>
                  <w:vAlign w:val="center"/>
                </w:tcPr>
                <w:p>
                  <w:pPr>
                    <w:pStyle w:val="29"/>
                    <w:bidi w:val="0"/>
                    <w:rPr>
                      <w:rFonts w:hint="eastAsia"/>
                      <w:highlight w:val="none"/>
                      <w:lang w:eastAsia="zh-CN"/>
                    </w:rPr>
                  </w:pPr>
                  <w:r>
                    <w:rPr>
                      <w:rFonts w:hint="eastAsia"/>
                      <w:highlight w:val="none"/>
                      <w:lang w:val="en-US" w:eastAsia="zh-CN"/>
                    </w:rPr>
                    <w:t>3</w:t>
                  </w:r>
                </w:p>
              </w:tc>
              <w:tc>
                <w:tcPr>
                  <w:tcW w:w="1432" w:type="pct"/>
                  <w:tcBorders>
                    <w:tl2br w:val="nil"/>
                    <w:tr2bl w:val="nil"/>
                  </w:tcBorders>
                  <w:vAlign w:val="center"/>
                </w:tcPr>
                <w:p>
                  <w:pPr>
                    <w:pStyle w:val="29"/>
                    <w:bidi w:val="0"/>
                    <w:rPr>
                      <w:highlight w:val="none"/>
                    </w:rPr>
                  </w:pPr>
                  <w:r>
                    <w:rPr>
                      <w:highlight w:val="none"/>
                    </w:rPr>
                    <w:t>低温液体泵</w:t>
                  </w:r>
                </w:p>
              </w:tc>
              <w:tc>
                <w:tcPr>
                  <w:tcW w:w="521" w:type="pct"/>
                  <w:tcBorders>
                    <w:tl2br w:val="nil"/>
                    <w:tr2bl w:val="nil"/>
                  </w:tcBorders>
                  <w:vAlign w:val="top"/>
                </w:tcPr>
                <w:p>
                  <w:pPr>
                    <w:pStyle w:val="29"/>
                    <w:bidi w:val="0"/>
                    <w:rPr>
                      <w:highlight w:val="none"/>
                    </w:rPr>
                  </w:pPr>
                  <w:r>
                    <w:rPr>
                      <w:rFonts w:hint="eastAsia"/>
                      <w:highlight w:val="none"/>
                    </w:rPr>
                    <w:t>4</w:t>
                  </w:r>
                </w:p>
              </w:tc>
              <w:tc>
                <w:tcPr>
                  <w:tcW w:w="806" w:type="pct"/>
                  <w:tcBorders>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75</w:t>
                  </w:r>
                </w:p>
              </w:tc>
              <w:tc>
                <w:tcPr>
                  <w:tcW w:w="1846" w:type="pct"/>
                  <w:vMerge w:val="continue"/>
                  <w:tcBorders>
                    <w:tl2br w:val="nil"/>
                    <w:tr2bl w:val="nil"/>
                  </w:tcBorders>
                  <w:vAlign w:val="center"/>
                </w:tcPr>
                <w:p>
                  <w:pPr>
                    <w:pStyle w:val="29"/>
                    <w:bidi w:val="0"/>
                    <w:rPr>
                      <w:highlight w:val="none"/>
                    </w:rPr>
                  </w:pPr>
                </w:p>
              </w:tc>
            </w:tr>
          </w:tbl>
          <w:p>
            <w:pPr>
              <w:bidi w:val="0"/>
              <w:rPr>
                <w:highlight w:val="none"/>
              </w:rPr>
            </w:pPr>
            <w:r>
              <w:rPr>
                <w:highlight w:val="none"/>
              </w:rPr>
              <w:t>本项目厂房结构能有效降低噪声，墙体可使噪声减少10dB（A）；各机械设备置于车间内并设置基础减震，基础减震可使噪声减少10dB（A）。采取以上措施后噪声可减小20dB（A）。按《环境影响评价技术导致（声环境）》（HJ2.4-2009），可选择点声源预测模式Stueber公示噪声预测来模拟本项目整体声源的中心随距离的衰减变化规律。</w:t>
            </w:r>
          </w:p>
          <w:p>
            <w:pPr>
              <w:bidi w:val="0"/>
              <w:rPr>
                <w:highlight w:val="none"/>
              </w:rPr>
            </w:pPr>
            <w:r>
              <w:rPr>
                <w:highlight w:val="none"/>
              </w:rPr>
              <w:t>对本项目厂界白天噪声影响进行预测，预测结果见</w:t>
            </w:r>
            <w:r>
              <w:rPr>
                <w:rFonts w:hint="eastAsia"/>
                <w:highlight w:val="none"/>
                <w:lang w:eastAsia="zh-CN"/>
              </w:rPr>
              <w:t>下表</w:t>
            </w:r>
            <w:r>
              <w:rPr>
                <w:highlight w:val="none"/>
              </w:rPr>
              <w:t>。</w:t>
            </w:r>
          </w:p>
          <w:p>
            <w:pPr>
              <w:bidi w:val="0"/>
              <w:jc w:val="center"/>
              <w:rPr>
                <w:highlight w:val="none"/>
              </w:rPr>
            </w:pPr>
            <w:r>
              <w:rPr>
                <w:highlight w:val="none"/>
              </w:rPr>
              <w:t>表</w:t>
            </w:r>
            <w:r>
              <w:rPr>
                <w:rFonts w:hint="eastAsia"/>
                <w:highlight w:val="none"/>
                <w:lang w:val="en-US" w:eastAsia="zh-CN"/>
              </w:rPr>
              <w:t>40</w:t>
            </w:r>
            <w:r>
              <w:rPr>
                <w:highlight w:val="none"/>
              </w:rPr>
              <w:t xml:space="preserve">       噪声预测结果表</w:t>
            </w:r>
          </w:p>
          <w:tbl>
            <w:tblPr>
              <w:tblStyle w:val="21"/>
              <w:tblW w:w="4997" w:type="pct"/>
              <w:jc w:val="center"/>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Layout w:type="autofit"/>
              <w:tblCellMar>
                <w:top w:w="0" w:type="dxa"/>
                <w:left w:w="0" w:type="dxa"/>
                <w:bottom w:w="0" w:type="dxa"/>
                <w:right w:w="0" w:type="dxa"/>
              </w:tblCellMar>
            </w:tblPr>
            <w:tblGrid>
              <w:gridCol w:w="1082"/>
              <w:gridCol w:w="1228"/>
              <w:gridCol w:w="1023"/>
              <w:gridCol w:w="1363"/>
              <w:gridCol w:w="1082"/>
              <w:gridCol w:w="1839"/>
              <w:gridCol w:w="1393"/>
            </w:tblGrid>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CellMar>
                  <w:top w:w="0" w:type="dxa"/>
                  <w:left w:w="0" w:type="dxa"/>
                  <w:bottom w:w="0" w:type="dxa"/>
                  <w:right w:w="0" w:type="dxa"/>
                </w:tblCellMar>
              </w:tblPrEx>
              <w:trPr>
                <w:trHeight w:val="283" w:hRule="atLeast"/>
                <w:jc w:val="center"/>
              </w:trPr>
              <w:tc>
                <w:tcPr>
                  <w:tcW w:w="600" w:type="pct"/>
                  <w:vMerge w:val="restart"/>
                  <w:tcBorders>
                    <w:tl2br w:val="nil"/>
                    <w:tr2bl w:val="nil"/>
                  </w:tcBorders>
                  <w:vAlign w:val="center"/>
                </w:tcPr>
                <w:p>
                  <w:pPr>
                    <w:pStyle w:val="29"/>
                    <w:bidi w:val="0"/>
                    <w:rPr>
                      <w:highlight w:val="none"/>
                    </w:rPr>
                  </w:pPr>
                  <w:r>
                    <w:rPr>
                      <w:highlight w:val="none"/>
                    </w:rPr>
                    <w:t>预测点位</w:t>
                  </w:r>
                </w:p>
              </w:tc>
              <w:tc>
                <w:tcPr>
                  <w:tcW w:w="681" w:type="pct"/>
                  <w:vMerge w:val="restart"/>
                  <w:tcBorders>
                    <w:tl2br w:val="nil"/>
                    <w:tr2bl w:val="nil"/>
                  </w:tcBorders>
                  <w:vAlign w:val="center"/>
                </w:tcPr>
                <w:p>
                  <w:pPr>
                    <w:pStyle w:val="29"/>
                    <w:bidi w:val="0"/>
                    <w:rPr>
                      <w:highlight w:val="none"/>
                    </w:rPr>
                  </w:pPr>
                  <w:r>
                    <w:rPr>
                      <w:highlight w:val="none"/>
                    </w:rPr>
                    <w:t>整体声源的中心</w:t>
                  </w:r>
                </w:p>
              </w:tc>
              <w:tc>
                <w:tcPr>
                  <w:tcW w:w="567" w:type="pct"/>
                  <w:vMerge w:val="restart"/>
                  <w:tcBorders>
                    <w:tl2br w:val="nil"/>
                    <w:tr2bl w:val="nil"/>
                  </w:tcBorders>
                  <w:vAlign w:val="center"/>
                </w:tcPr>
                <w:p>
                  <w:pPr>
                    <w:pStyle w:val="29"/>
                    <w:bidi w:val="0"/>
                    <w:rPr>
                      <w:highlight w:val="none"/>
                    </w:rPr>
                  </w:pPr>
                  <w:r>
                    <w:rPr>
                      <w:highlight w:val="none"/>
                    </w:rPr>
                    <w:t>源强</w:t>
                  </w:r>
                </w:p>
                <w:p>
                  <w:pPr>
                    <w:pStyle w:val="29"/>
                    <w:bidi w:val="0"/>
                    <w:rPr>
                      <w:highlight w:val="none"/>
                    </w:rPr>
                  </w:pPr>
                  <w:r>
                    <w:rPr>
                      <w:highlight w:val="none"/>
                    </w:rPr>
                    <w:t>dB(A)</w:t>
                  </w:r>
                </w:p>
              </w:tc>
              <w:tc>
                <w:tcPr>
                  <w:tcW w:w="756" w:type="pct"/>
                  <w:vMerge w:val="restart"/>
                  <w:tcBorders>
                    <w:left w:val="single" w:color="auto" w:sz="4" w:space="0"/>
                    <w:tl2br w:val="nil"/>
                    <w:tr2bl w:val="nil"/>
                  </w:tcBorders>
                  <w:vAlign w:val="center"/>
                </w:tcPr>
                <w:p>
                  <w:pPr>
                    <w:pStyle w:val="29"/>
                    <w:bidi w:val="0"/>
                    <w:rPr>
                      <w:highlight w:val="none"/>
                    </w:rPr>
                  </w:pPr>
                  <w:r>
                    <w:rPr>
                      <w:highlight w:val="none"/>
                    </w:rPr>
                    <w:t>声源中心距厂界距离(m)</w:t>
                  </w:r>
                </w:p>
              </w:tc>
              <w:tc>
                <w:tcPr>
                  <w:tcW w:w="600" w:type="pct"/>
                  <w:vMerge w:val="restart"/>
                  <w:tcBorders>
                    <w:left w:val="single" w:color="auto" w:sz="4" w:space="0"/>
                    <w:tl2br w:val="nil"/>
                    <w:tr2bl w:val="nil"/>
                  </w:tcBorders>
                  <w:vAlign w:val="center"/>
                </w:tcPr>
                <w:p>
                  <w:pPr>
                    <w:pStyle w:val="29"/>
                    <w:bidi w:val="0"/>
                    <w:rPr>
                      <w:highlight w:val="none"/>
                    </w:rPr>
                  </w:pPr>
                  <w:r>
                    <w:rPr>
                      <w:highlight w:val="none"/>
                    </w:rPr>
                    <w:t>处理措施</w:t>
                  </w:r>
                </w:p>
              </w:tc>
              <w:tc>
                <w:tcPr>
                  <w:tcW w:w="1020" w:type="pct"/>
                  <w:tcBorders>
                    <w:bottom w:val="single" w:color="auto" w:sz="4" w:space="0"/>
                    <w:right w:val="single" w:color="auto" w:sz="4" w:space="0"/>
                    <w:tl2br w:val="nil"/>
                    <w:tr2bl w:val="nil"/>
                  </w:tcBorders>
                  <w:vAlign w:val="center"/>
                </w:tcPr>
                <w:p>
                  <w:pPr>
                    <w:pStyle w:val="29"/>
                    <w:bidi w:val="0"/>
                    <w:rPr>
                      <w:highlight w:val="none"/>
                    </w:rPr>
                  </w:pPr>
                  <w:r>
                    <w:rPr>
                      <w:highlight w:val="none"/>
                    </w:rPr>
                    <w:t>厂界贡献值dB(A)</w:t>
                  </w:r>
                </w:p>
              </w:tc>
              <w:tc>
                <w:tcPr>
                  <w:tcW w:w="772" w:type="pct"/>
                  <w:tcBorders>
                    <w:bottom w:val="single" w:color="auto" w:sz="4" w:space="0"/>
                    <w:tl2br w:val="nil"/>
                    <w:tr2bl w:val="nil"/>
                  </w:tcBorders>
                  <w:vAlign w:val="center"/>
                </w:tcPr>
                <w:p>
                  <w:pPr>
                    <w:pStyle w:val="29"/>
                    <w:bidi w:val="0"/>
                    <w:rPr>
                      <w:highlight w:val="none"/>
                    </w:rPr>
                  </w:pPr>
                  <w:r>
                    <w:rPr>
                      <w:highlight w:val="none"/>
                    </w:rPr>
                    <w:t>标准值dB(A)</w:t>
                  </w:r>
                </w:p>
              </w:tc>
            </w:tr>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CellMar>
                  <w:top w:w="0" w:type="dxa"/>
                  <w:left w:w="0" w:type="dxa"/>
                  <w:bottom w:w="0" w:type="dxa"/>
                  <w:right w:w="0" w:type="dxa"/>
                </w:tblCellMar>
              </w:tblPrEx>
              <w:trPr>
                <w:trHeight w:val="283" w:hRule="atLeast"/>
                <w:jc w:val="center"/>
              </w:trPr>
              <w:tc>
                <w:tcPr>
                  <w:tcW w:w="600" w:type="pct"/>
                  <w:vMerge w:val="continue"/>
                  <w:tcBorders>
                    <w:tl2br w:val="nil"/>
                    <w:tr2bl w:val="nil"/>
                  </w:tcBorders>
                  <w:vAlign w:val="center"/>
                </w:tcPr>
                <w:p>
                  <w:pPr>
                    <w:pStyle w:val="29"/>
                    <w:bidi w:val="0"/>
                    <w:rPr>
                      <w:highlight w:val="none"/>
                    </w:rPr>
                  </w:pPr>
                </w:p>
              </w:tc>
              <w:tc>
                <w:tcPr>
                  <w:tcW w:w="681" w:type="pct"/>
                  <w:vMerge w:val="continue"/>
                  <w:tcBorders>
                    <w:tl2br w:val="nil"/>
                    <w:tr2bl w:val="nil"/>
                  </w:tcBorders>
                  <w:vAlign w:val="center"/>
                </w:tcPr>
                <w:p>
                  <w:pPr>
                    <w:pStyle w:val="29"/>
                    <w:bidi w:val="0"/>
                    <w:rPr>
                      <w:highlight w:val="none"/>
                    </w:rPr>
                  </w:pPr>
                </w:p>
              </w:tc>
              <w:tc>
                <w:tcPr>
                  <w:tcW w:w="567" w:type="pct"/>
                  <w:vMerge w:val="continue"/>
                  <w:tcBorders>
                    <w:tl2br w:val="nil"/>
                    <w:tr2bl w:val="nil"/>
                  </w:tcBorders>
                  <w:vAlign w:val="center"/>
                </w:tcPr>
                <w:p>
                  <w:pPr>
                    <w:pStyle w:val="29"/>
                    <w:bidi w:val="0"/>
                    <w:rPr>
                      <w:highlight w:val="none"/>
                    </w:rPr>
                  </w:pPr>
                </w:p>
              </w:tc>
              <w:tc>
                <w:tcPr>
                  <w:tcW w:w="756" w:type="pct"/>
                  <w:vMerge w:val="continue"/>
                  <w:tcBorders>
                    <w:left w:val="single" w:color="auto" w:sz="4" w:space="0"/>
                    <w:tl2br w:val="nil"/>
                    <w:tr2bl w:val="nil"/>
                  </w:tcBorders>
                  <w:vAlign w:val="center"/>
                </w:tcPr>
                <w:p>
                  <w:pPr>
                    <w:pStyle w:val="29"/>
                    <w:bidi w:val="0"/>
                    <w:rPr>
                      <w:highlight w:val="none"/>
                    </w:rPr>
                  </w:pPr>
                </w:p>
              </w:tc>
              <w:tc>
                <w:tcPr>
                  <w:tcW w:w="600" w:type="pct"/>
                  <w:vMerge w:val="continue"/>
                  <w:tcBorders>
                    <w:left w:val="single" w:color="auto" w:sz="4" w:space="0"/>
                    <w:tl2br w:val="nil"/>
                    <w:tr2bl w:val="nil"/>
                  </w:tcBorders>
                  <w:vAlign w:val="center"/>
                </w:tcPr>
                <w:p>
                  <w:pPr>
                    <w:pStyle w:val="29"/>
                    <w:bidi w:val="0"/>
                    <w:rPr>
                      <w:highlight w:val="none"/>
                    </w:rPr>
                  </w:pPr>
                </w:p>
              </w:tc>
              <w:tc>
                <w:tcPr>
                  <w:tcW w:w="1020" w:type="pct"/>
                  <w:tcBorders>
                    <w:top w:val="single" w:color="auto" w:sz="4" w:space="0"/>
                    <w:right w:val="single" w:color="auto" w:sz="4" w:space="0"/>
                    <w:tl2br w:val="nil"/>
                    <w:tr2bl w:val="nil"/>
                  </w:tcBorders>
                  <w:vAlign w:val="center"/>
                </w:tcPr>
                <w:p>
                  <w:pPr>
                    <w:pStyle w:val="29"/>
                    <w:bidi w:val="0"/>
                    <w:rPr>
                      <w:highlight w:val="none"/>
                    </w:rPr>
                  </w:pPr>
                  <w:r>
                    <w:rPr>
                      <w:highlight w:val="none"/>
                    </w:rPr>
                    <w:t>昼间</w:t>
                  </w:r>
                </w:p>
              </w:tc>
              <w:tc>
                <w:tcPr>
                  <w:tcW w:w="772" w:type="pct"/>
                  <w:tcBorders>
                    <w:top w:val="single" w:color="auto" w:sz="4" w:space="0"/>
                    <w:tl2br w:val="nil"/>
                    <w:tr2bl w:val="nil"/>
                  </w:tcBorders>
                  <w:vAlign w:val="center"/>
                </w:tcPr>
                <w:p>
                  <w:pPr>
                    <w:pStyle w:val="29"/>
                    <w:bidi w:val="0"/>
                    <w:rPr>
                      <w:highlight w:val="none"/>
                    </w:rPr>
                  </w:pPr>
                  <w:r>
                    <w:rPr>
                      <w:highlight w:val="none"/>
                    </w:rPr>
                    <w:t>昼间</w:t>
                  </w:r>
                </w:p>
              </w:tc>
            </w:tr>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CellMar>
                  <w:top w:w="0" w:type="dxa"/>
                  <w:left w:w="0" w:type="dxa"/>
                  <w:bottom w:w="0" w:type="dxa"/>
                  <w:right w:w="0" w:type="dxa"/>
                </w:tblCellMar>
              </w:tblPrEx>
              <w:trPr>
                <w:trHeight w:val="283" w:hRule="atLeast"/>
                <w:jc w:val="center"/>
              </w:trPr>
              <w:tc>
                <w:tcPr>
                  <w:tcW w:w="600" w:type="pct"/>
                  <w:tcBorders>
                    <w:tl2br w:val="nil"/>
                    <w:tr2bl w:val="nil"/>
                  </w:tcBorders>
                  <w:vAlign w:val="center"/>
                </w:tcPr>
                <w:p>
                  <w:pPr>
                    <w:pStyle w:val="29"/>
                    <w:bidi w:val="0"/>
                    <w:rPr>
                      <w:highlight w:val="none"/>
                    </w:rPr>
                  </w:pPr>
                  <w:r>
                    <w:rPr>
                      <w:highlight w:val="none"/>
                    </w:rPr>
                    <w:t>东厂界</w:t>
                  </w:r>
                </w:p>
              </w:tc>
              <w:tc>
                <w:tcPr>
                  <w:tcW w:w="681" w:type="pct"/>
                  <w:tcBorders>
                    <w:tl2br w:val="nil"/>
                    <w:tr2bl w:val="nil"/>
                  </w:tcBorders>
                  <w:vAlign w:val="center"/>
                </w:tcPr>
                <w:p>
                  <w:pPr>
                    <w:pStyle w:val="29"/>
                    <w:bidi w:val="0"/>
                    <w:rPr>
                      <w:highlight w:val="none"/>
                    </w:rPr>
                  </w:pPr>
                  <w:r>
                    <w:rPr>
                      <w:highlight w:val="none"/>
                    </w:rPr>
                    <w:t>声源中心</w:t>
                  </w:r>
                </w:p>
              </w:tc>
              <w:tc>
                <w:tcPr>
                  <w:tcW w:w="567" w:type="pct"/>
                  <w:tcBorders>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86.7</w:t>
                  </w:r>
                </w:p>
              </w:tc>
              <w:tc>
                <w:tcPr>
                  <w:tcW w:w="756" w:type="pct"/>
                  <w:tcBorders>
                    <w:left w:val="single" w:color="auto" w:sz="4" w:space="0"/>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28</w:t>
                  </w:r>
                </w:p>
              </w:tc>
              <w:tc>
                <w:tcPr>
                  <w:tcW w:w="600" w:type="pct"/>
                  <w:vMerge w:val="restart"/>
                  <w:tcBorders>
                    <w:left w:val="single" w:color="auto" w:sz="4" w:space="0"/>
                    <w:tl2br w:val="nil"/>
                    <w:tr2bl w:val="nil"/>
                  </w:tcBorders>
                  <w:vAlign w:val="center"/>
                </w:tcPr>
                <w:p>
                  <w:pPr>
                    <w:pStyle w:val="29"/>
                    <w:bidi w:val="0"/>
                    <w:jc w:val="center"/>
                    <w:rPr>
                      <w:highlight w:val="none"/>
                    </w:rPr>
                  </w:pPr>
                  <w:r>
                    <w:rPr>
                      <w:highlight w:val="none"/>
                    </w:rPr>
                    <w:t>墙体隔声、基础减震</w:t>
                  </w:r>
                </w:p>
              </w:tc>
              <w:tc>
                <w:tcPr>
                  <w:tcW w:w="1020" w:type="pct"/>
                  <w:tcBorders>
                    <w:right w:val="single" w:color="auto" w:sz="4" w:space="0"/>
                    <w:tl2br w:val="nil"/>
                    <w:tr2bl w:val="nil"/>
                  </w:tcBorders>
                  <w:vAlign w:val="center"/>
                </w:tcPr>
                <w:p>
                  <w:pPr>
                    <w:pStyle w:val="29"/>
                    <w:bidi w:val="0"/>
                    <w:jc w:val="center"/>
                    <w:rPr>
                      <w:highlight w:val="none"/>
                    </w:rPr>
                  </w:pPr>
                  <w:r>
                    <w:rPr>
                      <w:highlight w:val="none"/>
                    </w:rPr>
                    <w:t>49.4</w:t>
                  </w:r>
                </w:p>
              </w:tc>
              <w:tc>
                <w:tcPr>
                  <w:tcW w:w="772" w:type="pct"/>
                  <w:tcBorders>
                    <w:tl2br w:val="nil"/>
                    <w:tr2bl w:val="nil"/>
                  </w:tcBorders>
                  <w:vAlign w:val="center"/>
                </w:tcPr>
                <w:p>
                  <w:pPr>
                    <w:pStyle w:val="29"/>
                    <w:bidi w:val="0"/>
                    <w:jc w:val="center"/>
                    <w:rPr>
                      <w:rFonts w:hint="default" w:eastAsia="宋体"/>
                      <w:highlight w:val="none"/>
                      <w:lang w:val="en-US" w:eastAsia="zh-CN"/>
                    </w:rPr>
                  </w:pPr>
                  <w:r>
                    <w:rPr>
                      <w:rFonts w:hint="eastAsia"/>
                      <w:highlight w:val="none"/>
                      <w:lang w:val="en-US" w:eastAsia="zh-CN"/>
                    </w:rPr>
                    <w:t>65</w:t>
                  </w:r>
                </w:p>
              </w:tc>
            </w:tr>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CellMar>
                  <w:top w:w="0" w:type="dxa"/>
                  <w:left w:w="0" w:type="dxa"/>
                  <w:bottom w:w="0" w:type="dxa"/>
                  <w:right w:w="0" w:type="dxa"/>
                </w:tblCellMar>
              </w:tblPrEx>
              <w:trPr>
                <w:trHeight w:val="283" w:hRule="atLeast"/>
                <w:jc w:val="center"/>
              </w:trPr>
              <w:tc>
                <w:tcPr>
                  <w:tcW w:w="600" w:type="pct"/>
                  <w:tcBorders>
                    <w:tl2br w:val="nil"/>
                    <w:tr2bl w:val="nil"/>
                  </w:tcBorders>
                  <w:vAlign w:val="center"/>
                </w:tcPr>
                <w:p>
                  <w:pPr>
                    <w:pStyle w:val="29"/>
                    <w:bidi w:val="0"/>
                    <w:rPr>
                      <w:highlight w:val="none"/>
                    </w:rPr>
                  </w:pPr>
                  <w:r>
                    <w:rPr>
                      <w:highlight w:val="none"/>
                    </w:rPr>
                    <w:t>西厂界</w:t>
                  </w:r>
                </w:p>
              </w:tc>
              <w:tc>
                <w:tcPr>
                  <w:tcW w:w="681" w:type="pct"/>
                  <w:tcBorders>
                    <w:tl2br w:val="nil"/>
                    <w:tr2bl w:val="nil"/>
                  </w:tcBorders>
                  <w:vAlign w:val="center"/>
                </w:tcPr>
                <w:p>
                  <w:pPr>
                    <w:pStyle w:val="29"/>
                    <w:bidi w:val="0"/>
                    <w:rPr>
                      <w:highlight w:val="none"/>
                    </w:rPr>
                  </w:pPr>
                  <w:r>
                    <w:rPr>
                      <w:highlight w:val="none"/>
                    </w:rPr>
                    <w:t>声源中心</w:t>
                  </w:r>
                </w:p>
              </w:tc>
              <w:tc>
                <w:tcPr>
                  <w:tcW w:w="567" w:type="pct"/>
                  <w:tcBorders>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86.7</w:t>
                  </w:r>
                </w:p>
              </w:tc>
              <w:tc>
                <w:tcPr>
                  <w:tcW w:w="756" w:type="pct"/>
                  <w:tcBorders>
                    <w:left w:val="single" w:color="auto" w:sz="4" w:space="0"/>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28</w:t>
                  </w:r>
                </w:p>
              </w:tc>
              <w:tc>
                <w:tcPr>
                  <w:tcW w:w="600" w:type="pct"/>
                  <w:vMerge w:val="continue"/>
                  <w:tcBorders>
                    <w:left w:val="single" w:color="auto" w:sz="4" w:space="0"/>
                    <w:tl2br w:val="nil"/>
                    <w:tr2bl w:val="nil"/>
                  </w:tcBorders>
                  <w:vAlign w:val="center"/>
                </w:tcPr>
                <w:p>
                  <w:pPr>
                    <w:pStyle w:val="29"/>
                    <w:bidi w:val="0"/>
                    <w:jc w:val="center"/>
                    <w:rPr>
                      <w:highlight w:val="none"/>
                    </w:rPr>
                  </w:pPr>
                </w:p>
              </w:tc>
              <w:tc>
                <w:tcPr>
                  <w:tcW w:w="1020" w:type="pct"/>
                  <w:tcBorders>
                    <w:right w:val="single" w:color="auto" w:sz="4" w:space="0"/>
                    <w:tl2br w:val="nil"/>
                    <w:tr2bl w:val="nil"/>
                  </w:tcBorders>
                  <w:vAlign w:val="center"/>
                </w:tcPr>
                <w:p>
                  <w:pPr>
                    <w:pStyle w:val="29"/>
                    <w:bidi w:val="0"/>
                    <w:jc w:val="center"/>
                    <w:rPr>
                      <w:highlight w:val="none"/>
                    </w:rPr>
                  </w:pPr>
                  <w:r>
                    <w:rPr>
                      <w:highlight w:val="none"/>
                    </w:rPr>
                    <w:t>49.4</w:t>
                  </w:r>
                </w:p>
              </w:tc>
              <w:tc>
                <w:tcPr>
                  <w:tcW w:w="772" w:type="pct"/>
                  <w:tcBorders>
                    <w:tl2br w:val="nil"/>
                    <w:tr2bl w:val="nil"/>
                  </w:tcBorders>
                  <w:vAlign w:val="center"/>
                </w:tcPr>
                <w:p>
                  <w:pPr>
                    <w:pStyle w:val="29"/>
                    <w:bidi w:val="0"/>
                    <w:jc w:val="center"/>
                    <w:rPr>
                      <w:rFonts w:hint="default" w:eastAsia="宋体"/>
                      <w:highlight w:val="none"/>
                      <w:lang w:val="en-US" w:eastAsia="zh-CN"/>
                    </w:rPr>
                  </w:pPr>
                  <w:r>
                    <w:rPr>
                      <w:rFonts w:hint="eastAsia"/>
                      <w:highlight w:val="none"/>
                      <w:lang w:val="en-US" w:eastAsia="zh-CN"/>
                    </w:rPr>
                    <w:t>65</w:t>
                  </w:r>
                </w:p>
              </w:tc>
            </w:tr>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CellMar>
                  <w:top w:w="0" w:type="dxa"/>
                  <w:left w:w="0" w:type="dxa"/>
                  <w:bottom w:w="0" w:type="dxa"/>
                  <w:right w:w="0" w:type="dxa"/>
                </w:tblCellMar>
              </w:tblPrEx>
              <w:trPr>
                <w:trHeight w:val="283" w:hRule="atLeast"/>
                <w:jc w:val="center"/>
              </w:trPr>
              <w:tc>
                <w:tcPr>
                  <w:tcW w:w="600" w:type="pct"/>
                  <w:tcBorders>
                    <w:tl2br w:val="nil"/>
                    <w:tr2bl w:val="nil"/>
                  </w:tcBorders>
                  <w:vAlign w:val="center"/>
                </w:tcPr>
                <w:p>
                  <w:pPr>
                    <w:pStyle w:val="29"/>
                    <w:bidi w:val="0"/>
                    <w:rPr>
                      <w:highlight w:val="none"/>
                    </w:rPr>
                  </w:pPr>
                  <w:r>
                    <w:rPr>
                      <w:highlight w:val="none"/>
                    </w:rPr>
                    <w:t>南厂界</w:t>
                  </w:r>
                </w:p>
              </w:tc>
              <w:tc>
                <w:tcPr>
                  <w:tcW w:w="681" w:type="pct"/>
                  <w:tcBorders>
                    <w:tl2br w:val="nil"/>
                    <w:tr2bl w:val="nil"/>
                  </w:tcBorders>
                  <w:vAlign w:val="center"/>
                </w:tcPr>
                <w:p>
                  <w:pPr>
                    <w:pStyle w:val="29"/>
                    <w:bidi w:val="0"/>
                    <w:rPr>
                      <w:highlight w:val="none"/>
                    </w:rPr>
                  </w:pPr>
                  <w:r>
                    <w:rPr>
                      <w:highlight w:val="none"/>
                    </w:rPr>
                    <w:t>声源中心</w:t>
                  </w:r>
                </w:p>
              </w:tc>
              <w:tc>
                <w:tcPr>
                  <w:tcW w:w="567" w:type="pct"/>
                  <w:tcBorders>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86.7</w:t>
                  </w:r>
                </w:p>
              </w:tc>
              <w:tc>
                <w:tcPr>
                  <w:tcW w:w="756" w:type="pct"/>
                  <w:tcBorders>
                    <w:left w:val="single" w:color="auto" w:sz="4" w:space="0"/>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10</w:t>
                  </w:r>
                </w:p>
              </w:tc>
              <w:tc>
                <w:tcPr>
                  <w:tcW w:w="600" w:type="pct"/>
                  <w:vMerge w:val="continue"/>
                  <w:tcBorders>
                    <w:left w:val="single" w:color="auto" w:sz="4" w:space="0"/>
                    <w:tl2br w:val="nil"/>
                    <w:tr2bl w:val="nil"/>
                  </w:tcBorders>
                  <w:vAlign w:val="center"/>
                </w:tcPr>
                <w:p>
                  <w:pPr>
                    <w:pStyle w:val="29"/>
                    <w:bidi w:val="0"/>
                    <w:jc w:val="center"/>
                    <w:rPr>
                      <w:highlight w:val="none"/>
                    </w:rPr>
                  </w:pPr>
                </w:p>
              </w:tc>
              <w:tc>
                <w:tcPr>
                  <w:tcW w:w="1020" w:type="pct"/>
                  <w:tcBorders>
                    <w:right w:val="single" w:color="auto" w:sz="4" w:space="0"/>
                    <w:tl2br w:val="nil"/>
                    <w:tr2bl w:val="nil"/>
                  </w:tcBorders>
                  <w:vAlign w:val="center"/>
                </w:tcPr>
                <w:p>
                  <w:pPr>
                    <w:pStyle w:val="29"/>
                    <w:bidi w:val="0"/>
                    <w:jc w:val="center"/>
                    <w:rPr>
                      <w:highlight w:val="none"/>
                    </w:rPr>
                  </w:pPr>
                  <w:r>
                    <w:rPr>
                      <w:highlight w:val="none"/>
                    </w:rPr>
                    <w:t>53.6</w:t>
                  </w:r>
                </w:p>
              </w:tc>
              <w:tc>
                <w:tcPr>
                  <w:tcW w:w="772" w:type="pct"/>
                  <w:tcBorders>
                    <w:tl2br w:val="nil"/>
                    <w:tr2bl w:val="nil"/>
                  </w:tcBorders>
                  <w:vAlign w:val="center"/>
                </w:tcPr>
                <w:p>
                  <w:pPr>
                    <w:pStyle w:val="29"/>
                    <w:bidi w:val="0"/>
                    <w:jc w:val="center"/>
                    <w:rPr>
                      <w:rFonts w:hint="default" w:eastAsia="宋体"/>
                      <w:highlight w:val="none"/>
                      <w:lang w:val="en-US" w:eastAsia="zh-CN"/>
                    </w:rPr>
                  </w:pPr>
                  <w:r>
                    <w:rPr>
                      <w:rFonts w:hint="eastAsia"/>
                      <w:highlight w:val="none"/>
                      <w:lang w:val="en-US" w:eastAsia="zh-CN"/>
                    </w:rPr>
                    <w:t>65</w:t>
                  </w:r>
                </w:p>
              </w:tc>
            </w:tr>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CellMar>
                  <w:top w:w="0" w:type="dxa"/>
                  <w:left w:w="0" w:type="dxa"/>
                  <w:bottom w:w="0" w:type="dxa"/>
                  <w:right w:w="0" w:type="dxa"/>
                </w:tblCellMar>
              </w:tblPrEx>
              <w:trPr>
                <w:trHeight w:val="283" w:hRule="atLeast"/>
                <w:jc w:val="center"/>
              </w:trPr>
              <w:tc>
                <w:tcPr>
                  <w:tcW w:w="600" w:type="pct"/>
                  <w:tcBorders>
                    <w:tl2br w:val="nil"/>
                    <w:tr2bl w:val="nil"/>
                  </w:tcBorders>
                  <w:vAlign w:val="center"/>
                </w:tcPr>
                <w:p>
                  <w:pPr>
                    <w:pStyle w:val="29"/>
                    <w:bidi w:val="0"/>
                    <w:rPr>
                      <w:highlight w:val="none"/>
                    </w:rPr>
                  </w:pPr>
                  <w:r>
                    <w:rPr>
                      <w:highlight w:val="none"/>
                    </w:rPr>
                    <w:t>北厂界</w:t>
                  </w:r>
                </w:p>
              </w:tc>
              <w:tc>
                <w:tcPr>
                  <w:tcW w:w="681" w:type="pct"/>
                  <w:tcBorders>
                    <w:tl2br w:val="nil"/>
                    <w:tr2bl w:val="nil"/>
                  </w:tcBorders>
                  <w:vAlign w:val="center"/>
                </w:tcPr>
                <w:p>
                  <w:pPr>
                    <w:pStyle w:val="29"/>
                    <w:bidi w:val="0"/>
                    <w:rPr>
                      <w:highlight w:val="none"/>
                    </w:rPr>
                  </w:pPr>
                  <w:r>
                    <w:rPr>
                      <w:highlight w:val="none"/>
                    </w:rPr>
                    <w:t>声源中心</w:t>
                  </w:r>
                </w:p>
              </w:tc>
              <w:tc>
                <w:tcPr>
                  <w:tcW w:w="567" w:type="pct"/>
                  <w:tcBorders>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86.7</w:t>
                  </w:r>
                </w:p>
              </w:tc>
              <w:tc>
                <w:tcPr>
                  <w:tcW w:w="756" w:type="pct"/>
                  <w:tcBorders>
                    <w:left w:val="single" w:color="auto" w:sz="4" w:space="0"/>
                    <w:tl2br w:val="nil"/>
                    <w:tr2bl w:val="nil"/>
                  </w:tcBorders>
                  <w:vAlign w:val="center"/>
                </w:tcPr>
                <w:p>
                  <w:pPr>
                    <w:pStyle w:val="29"/>
                    <w:bidi w:val="0"/>
                    <w:rPr>
                      <w:rFonts w:hint="default" w:eastAsia="宋体"/>
                      <w:highlight w:val="none"/>
                      <w:lang w:val="en-US" w:eastAsia="zh-CN"/>
                    </w:rPr>
                  </w:pPr>
                  <w:r>
                    <w:rPr>
                      <w:rFonts w:hint="eastAsia"/>
                      <w:highlight w:val="none"/>
                      <w:lang w:val="en-US" w:eastAsia="zh-CN"/>
                    </w:rPr>
                    <w:t>10</w:t>
                  </w:r>
                </w:p>
              </w:tc>
              <w:tc>
                <w:tcPr>
                  <w:tcW w:w="600" w:type="pct"/>
                  <w:vMerge w:val="continue"/>
                  <w:tcBorders>
                    <w:left w:val="single" w:color="auto" w:sz="4" w:space="0"/>
                    <w:tl2br w:val="nil"/>
                    <w:tr2bl w:val="nil"/>
                  </w:tcBorders>
                  <w:vAlign w:val="center"/>
                </w:tcPr>
                <w:p>
                  <w:pPr>
                    <w:pStyle w:val="29"/>
                    <w:bidi w:val="0"/>
                    <w:jc w:val="center"/>
                    <w:rPr>
                      <w:highlight w:val="none"/>
                    </w:rPr>
                  </w:pPr>
                </w:p>
              </w:tc>
              <w:tc>
                <w:tcPr>
                  <w:tcW w:w="1020" w:type="pct"/>
                  <w:tcBorders>
                    <w:right w:val="single" w:color="auto" w:sz="4" w:space="0"/>
                    <w:tl2br w:val="nil"/>
                    <w:tr2bl w:val="nil"/>
                  </w:tcBorders>
                  <w:vAlign w:val="center"/>
                </w:tcPr>
                <w:p>
                  <w:pPr>
                    <w:pStyle w:val="29"/>
                    <w:bidi w:val="0"/>
                    <w:jc w:val="center"/>
                    <w:rPr>
                      <w:highlight w:val="none"/>
                    </w:rPr>
                  </w:pPr>
                  <w:r>
                    <w:rPr>
                      <w:highlight w:val="none"/>
                    </w:rPr>
                    <w:t>53.6</w:t>
                  </w:r>
                </w:p>
              </w:tc>
              <w:tc>
                <w:tcPr>
                  <w:tcW w:w="772" w:type="pct"/>
                  <w:tcBorders>
                    <w:tl2br w:val="nil"/>
                    <w:tr2bl w:val="nil"/>
                  </w:tcBorders>
                  <w:vAlign w:val="center"/>
                </w:tcPr>
                <w:p>
                  <w:pPr>
                    <w:pStyle w:val="29"/>
                    <w:bidi w:val="0"/>
                    <w:jc w:val="center"/>
                    <w:rPr>
                      <w:rFonts w:hint="default" w:eastAsia="宋体"/>
                      <w:highlight w:val="none"/>
                      <w:lang w:val="en-US" w:eastAsia="zh-CN"/>
                    </w:rPr>
                  </w:pPr>
                  <w:r>
                    <w:rPr>
                      <w:rFonts w:hint="eastAsia"/>
                      <w:highlight w:val="none"/>
                      <w:lang w:val="en-US" w:eastAsia="zh-CN"/>
                    </w:rPr>
                    <w:t>65</w:t>
                  </w:r>
                </w:p>
              </w:tc>
            </w:tr>
          </w:tbl>
          <w:p>
            <w:pPr>
              <w:bidi w:val="0"/>
              <w:rPr>
                <w:highlight w:val="none"/>
              </w:rPr>
            </w:pPr>
            <w:r>
              <w:rPr>
                <w:highlight w:val="none"/>
              </w:rPr>
              <w:t>由上表预测结果可知，项目生产噪声对厂界噪声贡献值可以满足《工业企业厂界环境噪声排放标准》（GB12348-2008）</w:t>
            </w:r>
            <w:r>
              <w:rPr>
                <w:rFonts w:hint="eastAsia"/>
                <w:highlight w:val="none"/>
                <w:lang w:val="en-US" w:eastAsia="zh-CN"/>
              </w:rPr>
              <w:t>3</w:t>
            </w:r>
            <w:r>
              <w:rPr>
                <w:highlight w:val="none"/>
              </w:rPr>
              <w:t>类区昼间6</w:t>
            </w:r>
            <w:r>
              <w:rPr>
                <w:rFonts w:hint="eastAsia"/>
                <w:highlight w:val="none"/>
                <w:lang w:val="en-US" w:eastAsia="zh-CN"/>
              </w:rPr>
              <w:t>5</w:t>
            </w:r>
            <w:r>
              <w:rPr>
                <w:highlight w:val="none"/>
              </w:rPr>
              <w:t>dB（A）标准要求，项目对区域声环境影响较小。</w:t>
            </w:r>
          </w:p>
          <w:p>
            <w:pPr>
              <w:bidi w:val="0"/>
              <w:rPr>
                <w:highlight w:val="none"/>
              </w:rPr>
            </w:pPr>
            <w:r>
              <w:rPr>
                <w:highlight w:val="none"/>
              </w:rPr>
              <w:t>采取以上防噪措施后，项目营运期产生的噪声对周围环境影响较小。</w:t>
            </w:r>
          </w:p>
          <w:p>
            <w:pPr>
              <w:pStyle w:val="4"/>
              <w:bidi w:val="0"/>
              <w:rPr>
                <w:highlight w:val="none"/>
              </w:rPr>
            </w:pPr>
            <w:r>
              <w:rPr>
                <w:highlight w:val="none"/>
              </w:rPr>
              <w:t>（四）、固废对环境的影响</w:t>
            </w:r>
          </w:p>
          <w:p>
            <w:pPr>
              <w:bidi w:val="0"/>
              <w:rPr>
                <w:highlight w:val="none"/>
              </w:rPr>
            </w:pPr>
            <w:r>
              <w:rPr>
                <w:highlight w:val="none"/>
              </w:rPr>
              <w:t>本项目固体废物</w:t>
            </w:r>
            <w:r>
              <w:rPr>
                <w:rFonts w:hint="eastAsia"/>
                <w:highlight w:val="none"/>
              </w:rPr>
              <w:t>包括</w:t>
            </w:r>
            <w:r>
              <w:rPr>
                <w:highlight w:val="none"/>
              </w:rPr>
              <w:t>一般固体废物。一般固体废物</w:t>
            </w:r>
            <w:r>
              <w:rPr>
                <w:rFonts w:hint="eastAsia"/>
                <w:highlight w:val="none"/>
                <w:lang w:val="en-US" w:eastAsia="zh-CN"/>
              </w:rPr>
              <w:t>主要为</w:t>
            </w:r>
            <w:r>
              <w:rPr>
                <w:highlight w:val="none"/>
              </w:rPr>
              <w:t>生产过程中产生</w:t>
            </w:r>
            <w:r>
              <w:rPr>
                <w:rFonts w:hint="eastAsia"/>
                <w:sz w:val="24"/>
                <w:szCs w:val="24"/>
                <w:highlight w:val="none"/>
                <w:lang w:eastAsia="zh-CN"/>
              </w:rPr>
              <w:t>废气瓶头和废胶垫</w:t>
            </w:r>
            <w:r>
              <w:rPr>
                <w:rFonts w:hint="eastAsia"/>
                <w:highlight w:val="none"/>
              </w:rPr>
              <w:t>。</w:t>
            </w:r>
          </w:p>
          <w:p>
            <w:pPr>
              <w:bidi w:val="0"/>
              <w:rPr>
                <w:highlight w:val="none"/>
              </w:rPr>
            </w:pPr>
            <w:r>
              <w:rPr>
                <w:rFonts w:hint="eastAsia"/>
                <w:highlight w:val="none"/>
              </w:rPr>
              <w:t>一般固废：</w:t>
            </w:r>
          </w:p>
          <w:p>
            <w:pPr>
              <w:numPr>
                <w:ilvl w:val="0"/>
                <w:numId w:val="4"/>
              </w:numPr>
              <w:bidi w:val="0"/>
              <w:rPr>
                <w:rFonts w:hint="eastAsia"/>
                <w:b w:val="0"/>
                <w:bCs w:val="0"/>
                <w:highlight w:val="none"/>
                <w:u w:val="none"/>
                <w:lang w:val="en-US" w:eastAsia="zh-CN"/>
              </w:rPr>
            </w:pPr>
            <w:r>
              <w:rPr>
                <w:rFonts w:hint="eastAsia"/>
                <w:b w:val="0"/>
                <w:bCs w:val="0"/>
                <w:highlight w:val="none"/>
                <w:u w:val="none"/>
                <w:lang w:eastAsia="zh-CN"/>
              </w:rPr>
              <w:t>报废气瓶</w:t>
            </w:r>
            <w:r>
              <w:rPr>
                <w:b w:val="0"/>
                <w:bCs w:val="0"/>
                <w:highlight w:val="none"/>
                <w:u w:val="none"/>
              </w:rPr>
              <w:t>：</w:t>
            </w:r>
            <w:r>
              <w:rPr>
                <w:rFonts w:hint="eastAsia"/>
                <w:b w:val="0"/>
                <w:bCs w:val="0"/>
                <w:highlight w:val="none"/>
                <w:u w:val="none"/>
                <w:lang w:eastAsia="zh-CN"/>
              </w:rPr>
              <w:t>本</w:t>
            </w:r>
            <w:r>
              <w:rPr>
                <w:rFonts w:hint="eastAsia"/>
                <w:b w:val="0"/>
                <w:bCs w:val="0"/>
                <w:highlight w:val="none"/>
                <w:u w:val="none"/>
              </w:rPr>
              <w:t>项目对</w:t>
            </w:r>
            <w:r>
              <w:rPr>
                <w:rFonts w:hint="eastAsia"/>
                <w:b w:val="0"/>
                <w:bCs w:val="0"/>
                <w:highlight w:val="none"/>
                <w:u w:val="none"/>
                <w:lang w:eastAsia="zh-CN"/>
              </w:rPr>
              <w:t>气瓶</w:t>
            </w:r>
            <w:r>
              <w:rPr>
                <w:rFonts w:hint="eastAsia"/>
                <w:b w:val="0"/>
                <w:bCs w:val="0"/>
                <w:highlight w:val="none"/>
                <w:u w:val="none"/>
              </w:rPr>
              <w:t>进行质检，会有</w:t>
            </w:r>
            <w:r>
              <w:rPr>
                <w:rFonts w:hint="eastAsia"/>
                <w:b w:val="0"/>
                <w:bCs w:val="0"/>
                <w:highlight w:val="none"/>
                <w:u w:val="none"/>
                <w:lang w:eastAsia="zh-CN"/>
              </w:rPr>
              <w:t>报废</w:t>
            </w:r>
            <w:r>
              <w:rPr>
                <w:rFonts w:hint="eastAsia"/>
                <w:b w:val="0"/>
                <w:bCs w:val="0"/>
                <w:highlight w:val="none"/>
                <w:u w:val="none"/>
              </w:rPr>
              <w:t>产生。</w:t>
            </w:r>
            <w:r>
              <w:rPr>
                <w:rFonts w:hint="eastAsia"/>
                <w:b w:val="0"/>
                <w:bCs w:val="0"/>
                <w:highlight w:val="none"/>
                <w:u w:val="none"/>
                <w:lang w:eastAsia="zh-CN"/>
              </w:rPr>
              <w:t>报废气瓶的使用年限为</w:t>
            </w:r>
            <w:r>
              <w:rPr>
                <w:rFonts w:hint="eastAsia"/>
                <w:b w:val="0"/>
                <w:bCs w:val="0"/>
                <w:highlight w:val="none"/>
                <w:u w:val="none"/>
                <w:lang w:val="en-US" w:eastAsia="zh-CN"/>
              </w:rPr>
              <w:t>30年。目前暂无报废气瓶产生，当有废气瓶产生时，交由第三方报废机构进行处理。</w:t>
            </w:r>
          </w:p>
          <w:p>
            <w:pPr>
              <w:bidi w:val="0"/>
              <w:rPr>
                <w:rFonts w:hint="default" w:eastAsia="宋体"/>
                <w:b w:val="0"/>
                <w:bCs w:val="0"/>
                <w:highlight w:val="none"/>
                <w:u w:val="none"/>
                <w:lang w:val="en-US" w:eastAsia="zh-CN"/>
              </w:rPr>
            </w:pPr>
            <w:r>
              <w:rPr>
                <w:b w:val="0"/>
                <w:bCs w:val="0"/>
                <w:highlight w:val="none"/>
                <w:u w:val="none"/>
              </w:rPr>
              <w:t>（</w:t>
            </w:r>
            <w:r>
              <w:rPr>
                <w:rFonts w:hint="eastAsia"/>
                <w:b w:val="0"/>
                <w:bCs w:val="0"/>
                <w:highlight w:val="none"/>
                <w:u w:val="none"/>
                <w:lang w:val="en-US" w:eastAsia="zh-CN"/>
              </w:rPr>
              <w:t>2</w:t>
            </w:r>
            <w:r>
              <w:rPr>
                <w:b w:val="0"/>
                <w:bCs w:val="0"/>
                <w:highlight w:val="none"/>
                <w:u w:val="none"/>
              </w:rPr>
              <w:t>）</w:t>
            </w:r>
            <w:r>
              <w:rPr>
                <w:rFonts w:hint="eastAsia"/>
                <w:b w:val="0"/>
                <w:bCs w:val="0"/>
                <w:highlight w:val="none"/>
                <w:u w:val="none"/>
                <w:lang w:eastAsia="zh-CN"/>
              </w:rPr>
              <w:t>废气瓶头和废胶垫：本项目对气瓶充装前后进行的检查，会有破损废气瓶头和废胶垫。根据建设单位提供的资料，项目废气瓶头和废胶垫的产生量为</w:t>
            </w:r>
            <w:r>
              <w:rPr>
                <w:rFonts w:hint="eastAsia"/>
                <w:b w:val="0"/>
                <w:bCs w:val="0"/>
                <w:highlight w:val="none"/>
                <w:u w:val="none"/>
                <w:lang w:val="en-US" w:eastAsia="zh-CN"/>
              </w:rPr>
              <w:t>0.5t/a。厂区固废间集中收集后外售综合利用。</w:t>
            </w:r>
          </w:p>
          <w:p>
            <w:pPr>
              <w:bidi w:val="0"/>
              <w:rPr>
                <w:rFonts w:hint="default" w:eastAsia="宋体"/>
                <w:b w:val="0"/>
                <w:bCs w:val="0"/>
                <w:highlight w:val="none"/>
                <w:u w:val="none"/>
                <w:lang w:val="en-US" w:eastAsia="zh-CN"/>
              </w:rPr>
            </w:pPr>
            <w:r>
              <w:rPr>
                <w:rFonts w:hint="eastAsia"/>
                <w:b w:val="0"/>
                <w:bCs w:val="0"/>
                <w:highlight w:val="none"/>
                <w:u w:val="none"/>
                <w:lang w:val="en-US" w:eastAsia="zh-CN"/>
              </w:rPr>
              <w:t>本项目依托现有项目固废暂存间（面积20m</w:t>
            </w:r>
            <w:r>
              <w:rPr>
                <w:rFonts w:hint="eastAsia"/>
                <w:b w:val="0"/>
                <w:bCs w:val="0"/>
                <w:highlight w:val="none"/>
                <w:u w:val="none"/>
                <w:vertAlign w:val="superscript"/>
                <w:lang w:val="en-US" w:eastAsia="zh-CN"/>
              </w:rPr>
              <w:t>2</w:t>
            </w:r>
            <w:r>
              <w:rPr>
                <w:rFonts w:hint="eastAsia"/>
                <w:b w:val="0"/>
                <w:bCs w:val="0"/>
                <w:highlight w:val="none"/>
                <w:u w:val="none"/>
                <w:lang w:val="en-US" w:eastAsia="zh-CN"/>
              </w:rPr>
              <w:t>），其严格按照《一般工业固体废物贮存、处置场污染控制标准》（GB18599-2001）及2013年修改单的相关要求建设，做到防风、防雨、防扬散、防流失、防渗漏等措施，防渗层渗透系数＜10</w:t>
            </w:r>
            <w:r>
              <w:rPr>
                <w:rFonts w:hint="eastAsia"/>
                <w:b w:val="0"/>
                <w:bCs w:val="0"/>
                <w:highlight w:val="none"/>
                <w:u w:val="none"/>
                <w:vertAlign w:val="superscript"/>
                <w:lang w:val="en-US" w:eastAsia="zh-CN"/>
              </w:rPr>
              <w:t>-7</w:t>
            </w:r>
            <w:r>
              <w:rPr>
                <w:rFonts w:hint="eastAsia"/>
                <w:b w:val="0"/>
                <w:bCs w:val="0"/>
                <w:highlight w:val="none"/>
                <w:u w:val="none"/>
                <w:lang w:val="en-US" w:eastAsia="zh-CN"/>
              </w:rPr>
              <w:t>cm/s，并进行场地硬化。</w:t>
            </w:r>
          </w:p>
          <w:p>
            <w:pPr>
              <w:bidi w:val="0"/>
              <w:rPr>
                <w:highlight w:val="none"/>
              </w:rPr>
            </w:pPr>
            <w:r>
              <w:rPr>
                <w:highlight w:val="none"/>
              </w:rPr>
              <w:t>评价认为，建设项目固体废物全部妥善处置，能够避免固体废物排放对环境的二次污染，不会对当地的景观环境和生态环境产生不利影响。</w:t>
            </w:r>
          </w:p>
          <w:p>
            <w:pPr>
              <w:pStyle w:val="4"/>
              <w:bidi w:val="0"/>
              <w:rPr>
                <w:highlight w:val="none"/>
              </w:rPr>
            </w:pPr>
            <w:r>
              <w:rPr>
                <w:highlight w:val="none"/>
              </w:rPr>
              <w:t>（五）、</w:t>
            </w:r>
            <w:r>
              <w:rPr>
                <w:rFonts w:hint="eastAsia"/>
                <w:highlight w:val="none"/>
              </w:rPr>
              <w:t>土壤</w:t>
            </w:r>
            <w:r>
              <w:rPr>
                <w:highlight w:val="none"/>
              </w:rPr>
              <w:t>境影响分析</w:t>
            </w:r>
          </w:p>
          <w:p>
            <w:pPr>
              <w:bidi w:val="0"/>
              <w:rPr>
                <w:highlight w:val="none"/>
              </w:rPr>
            </w:pPr>
            <w:r>
              <w:rPr>
                <w:highlight w:val="none"/>
              </w:rPr>
              <w:t>（1）土壤环境影响评价项目类别</w:t>
            </w:r>
          </w:p>
          <w:p>
            <w:pPr>
              <w:bidi w:val="0"/>
              <w:rPr>
                <w:highlight w:val="none"/>
              </w:rPr>
            </w:pPr>
            <w:r>
              <w:rPr>
                <w:highlight w:val="none"/>
              </w:rPr>
              <w:t>根据《环境影响评价技术导则·土壤环境（试行）》(HJ964--2018)中附录A土壤环境影响评价项目类别，本项目属于</w:t>
            </w:r>
            <w:r>
              <w:rPr>
                <w:rFonts w:hint="eastAsia"/>
                <w:highlight w:val="none"/>
              </w:rPr>
              <w:t>“</w:t>
            </w:r>
            <w:r>
              <w:rPr>
                <w:rFonts w:hint="eastAsia"/>
                <w:highlight w:val="none"/>
                <w:lang w:eastAsia="zh-CN"/>
              </w:rPr>
              <w:t>交通运输仓储邮政业</w:t>
            </w:r>
            <w:r>
              <w:rPr>
                <w:highlight w:val="none"/>
              </w:rPr>
              <w:t>-</w:t>
            </w:r>
            <w:r>
              <w:rPr>
                <w:rFonts w:hint="eastAsia"/>
                <w:highlight w:val="none"/>
                <w:lang w:eastAsia="zh-CN"/>
              </w:rPr>
              <w:t>油库（不含加油站的油库）；机场的供油工程及油库；涉及危险品、化学品、石油、成品油储罐区的码头及仓储；石油及成品油的输送管线</w:t>
            </w:r>
            <w:r>
              <w:rPr>
                <w:rFonts w:hint="eastAsia"/>
                <w:highlight w:val="none"/>
              </w:rPr>
              <w:t>”</w:t>
            </w:r>
            <w:r>
              <w:rPr>
                <w:highlight w:val="none"/>
              </w:rPr>
              <w:t>，土壤环境影响评价项目类别为Ⅲ类。</w:t>
            </w:r>
          </w:p>
          <w:p>
            <w:pPr>
              <w:bidi w:val="0"/>
              <w:rPr>
                <w:highlight w:val="none"/>
              </w:rPr>
            </w:pPr>
            <w:r>
              <w:rPr>
                <w:highlight w:val="none"/>
              </w:rPr>
              <w:t>（2）占地规模</w:t>
            </w:r>
          </w:p>
          <w:p>
            <w:pPr>
              <w:bidi w:val="0"/>
              <w:rPr>
                <w:highlight w:val="none"/>
              </w:rPr>
            </w:pPr>
            <w:r>
              <w:rPr>
                <w:highlight w:val="none"/>
              </w:rPr>
              <w:t>经分析，本项目属于污染影响型项目，占地面积</w:t>
            </w:r>
            <w:r>
              <w:rPr>
                <w:rFonts w:hint="eastAsia"/>
                <w:highlight w:val="none"/>
                <w:lang w:val="en-US" w:eastAsia="zh-CN"/>
              </w:rPr>
              <w:t>2300</w:t>
            </w:r>
            <w:r>
              <w:rPr>
                <w:highlight w:val="none"/>
              </w:rPr>
              <w:t>m</w:t>
            </w:r>
            <w:r>
              <w:rPr>
                <w:highlight w:val="none"/>
                <w:vertAlign w:val="superscript"/>
              </w:rPr>
              <w:t>2</w:t>
            </w:r>
            <w:r>
              <w:rPr>
                <w:highlight w:val="none"/>
              </w:rPr>
              <w:t>，占地规模为</w:t>
            </w:r>
            <w:r>
              <w:rPr>
                <w:rFonts w:hint="eastAsia"/>
                <w:highlight w:val="none"/>
              </w:rPr>
              <w:t>小</w:t>
            </w:r>
            <w:r>
              <w:rPr>
                <w:highlight w:val="none"/>
              </w:rPr>
              <w:t>型。</w:t>
            </w:r>
          </w:p>
          <w:p>
            <w:pPr>
              <w:bidi w:val="0"/>
              <w:rPr>
                <w:highlight w:val="none"/>
              </w:rPr>
            </w:pPr>
            <w:r>
              <w:rPr>
                <w:highlight w:val="none"/>
              </w:rPr>
              <w:t>（3）土壤环境敏感程度</w:t>
            </w:r>
          </w:p>
          <w:p>
            <w:pPr>
              <w:bidi w:val="0"/>
              <w:rPr>
                <w:highlight w:val="none"/>
              </w:rPr>
            </w:pPr>
            <w:r>
              <w:rPr>
                <w:highlight w:val="none"/>
              </w:rPr>
              <w:t>经现场调查，项目周边</w:t>
            </w:r>
            <w:r>
              <w:rPr>
                <w:rFonts w:hint="eastAsia"/>
                <w:highlight w:val="none"/>
              </w:rPr>
              <w:t>有</w:t>
            </w:r>
            <w:r>
              <w:rPr>
                <w:highlight w:val="none"/>
              </w:rPr>
              <w:t>农田，土壤环境敏感程度属敏感。</w:t>
            </w:r>
          </w:p>
          <w:p>
            <w:pPr>
              <w:bidi w:val="0"/>
              <w:ind w:left="0" w:leftChars="0" w:firstLine="0" w:firstLineChars="0"/>
              <w:jc w:val="center"/>
              <w:rPr>
                <w:highlight w:val="none"/>
              </w:rPr>
            </w:pPr>
          </w:p>
          <w:p>
            <w:pPr>
              <w:bidi w:val="0"/>
              <w:ind w:left="0" w:leftChars="0" w:firstLine="0" w:firstLineChars="0"/>
              <w:jc w:val="center"/>
              <w:rPr>
                <w:highlight w:val="none"/>
              </w:rPr>
            </w:pPr>
            <w:r>
              <w:rPr>
                <w:highlight w:val="none"/>
              </w:rPr>
              <w:t>表</w:t>
            </w:r>
            <w:r>
              <w:rPr>
                <w:rFonts w:hint="eastAsia"/>
                <w:highlight w:val="none"/>
                <w:lang w:val="en-US" w:eastAsia="zh-CN"/>
              </w:rPr>
              <w:t xml:space="preserve">41     </w:t>
            </w:r>
            <w:r>
              <w:rPr>
                <w:highlight w:val="none"/>
              </w:rPr>
              <w:t>污染影响型敏感程度分级表</w:t>
            </w:r>
          </w:p>
          <w:tbl>
            <w:tblPr>
              <w:tblStyle w:val="2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28"/>
              <w:gridCol w:w="5816"/>
              <w:gridCol w:w="196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1" w:type="pct"/>
                  <w:tcBorders>
                    <w:tl2br w:val="nil"/>
                    <w:tr2bl w:val="nil"/>
                  </w:tcBorders>
                  <w:vAlign w:val="center"/>
                </w:tcPr>
                <w:p>
                  <w:pPr>
                    <w:pStyle w:val="29"/>
                    <w:bidi w:val="0"/>
                    <w:rPr>
                      <w:highlight w:val="none"/>
                    </w:rPr>
                  </w:pPr>
                  <w:r>
                    <w:rPr>
                      <w:highlight w:val="none"/>
                    </w:rPr>
                    <w:t>敏感程度</w:t>
                  </w:r>
                </w:p>
              </w:tc>
              <w:tc>
                <w:tcPr>
                  <w:tcW w:w="3226" w:type="pct"/>
                  <w:tcBorders>
                    <w:tl2br w:val="nil"/>
                    <w:tr2bl w:val="nil"/>
                  </w:tcBorders>
                  <w:vAlign w:val="center"/>
                </w:tcPr>
                <w:p>
                  <w:pPr>
                    <w:pStyle w:val="29"/>
                    <w:bidi w:val="0"/>
                    <w:rPr>
                      <w:highlight w:val="none"/>
                    </w:rPr>
                  </w:pPr>
                  <w:r>
                    <w:rPr>
                      <w:highlight w:val="none"/>
                    </w:rPr>
                    <w:t>判别依据</w:t>
                  </w:r>
                </w:p>
              </w:tc>
              <w:tc>
                <w:tcPr>
                  <w:tcW w:w="1091" w:type="pct"/>
                  <w:tcBorders>
                    <w:tl2br w:val="nil"/>
                    <w:tr2bl w:val="nil"/>
                  </w:tcBorders>
                  <w:vAlign w:val="center"/>
                </w:tcPr>
                <w:p>
                  <w:pPr>
                    <w:pStyle w:val="29"/>
                    <w:bidi w:val="0"/>
                    <w:rPr>
                      <w:highlight w:val="none"/>
                    </w:rPr>
                  </w:pPr>
                  <w:r>
                    <w:rPr>
                      <w:highlight w:val="none"/>
                    </w:rPr>
                    <w:t>项目属性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1" w:type="pct"/>
                  <w:tcBorders>
                    <w:tl2br w:val="nil"/>
                    <w:tr2bl w:val="nil"/>
                  </w:tcBorders>
                  <w:vAlign w:val="center"/>
                </w:tcPr>
                <w:p>
                  <w:pPr>
                    <w:pStyle w:val="29"/>
                    <w:bidi w:val="0"/>
                    <w:rPr>
                      <w:highlight w:val="none"/>
                    </w:rPr>
                  </w:pPr>
                  <w:r>
                    <w:rPr>
                      <w:highlight w:val="none"/>
                    </w:rPr>
                    <w:t>敏感</w:t>
                  </w:r>
                </w:p>
              </w:tc>
              <w:tc>
                <w:tcPr>
                  <w:tcW w:w="3226" w:type="pct"/>
                  <w:tcBorders>
                    <w:tl2br w:val="nil"/>
                    <w:tr2bl w:val="nil"/>
                  </w:tcBorders>
                  <w:vAlign w:val="center"/>
                </w:tcPr>
                <w:p>
                  <w:pPr>
                    <w:pStyle w:val="29"/>
                    <w:bidi w:val="0"/>
                    <w:rPr>
                      <w:highlight w:val="none"/>
                    </w:rPr>
                  </w:pPr>
                  <w:r>
                    <w:rPr>
                      <w:highlight w:val="none"/>
                    </w:rPr>
                    <w:t>建设项目周边存在耕地、园地、牧草地、饮用水水源地或居民区、学校医院、疗养院、养老院等土壤环境敏感目标的</w:t>
                  </w:r>
                </w:p>
              </w:tc>
              <w:tc>
                <w:tcPr>
                  <w:tcW w:w="1091" w:type="pct"/>
                  <w:vMerge w:val="restart"/>
                  <w:tcBorders>
                    <w:tl2br w:val="nil"/>
                    <w:tr2bl w:val="nil"/>
                  </w:tcBorders>
                  <w:vAlign w:val="center"/>
                </w:tcPr>
                <w:p>
                  <w:pPr>
                    <w:pStyle w:val="29"/>
                    <w:bidi w:val="0"/>
                    <w:rPr>
                      <w:highlight w:val="none"/>
                    </w:rPr>
                  </w:pPr>
                  <w:r>
                    <w:rPr>
                      <w:rFonts w:hint="eastAsia"/>
                      <w:highlight w:val="none"/>
                    </w:rPr>
                    <w:t>本项目</w:t>
                  </w:r>
                  <w:r>
                    <w:rPr>
                      <w:rFonts w:hint="eastAsia"/>
                      <w:highlight w:val="none"/>
                      <w:lang w:eastAsia="zh-CN"/>
                    </w:rPr>
                    <w:t>在园区内</w:t>
                  </w:r>
                  <w:r>
                    <w:rPr>
                      <w:highlight w:val="none"/>
                    </w:rPr>
                    <w:t>，因而敏感程度为</w:t>
                  </w:r>
                  <w:r>
                    <w:rPr>
                      <w:rFonts w:hint="eastAsia"/>
                      <w:highlight w:val="none"/>
                      <w:lang w:eastAsia="zh-CN"/>
                    </w:rPr>
                    <w:t>不</w:t>
                  </w:r>
                  <w:r>
                    <w:rPr>
                      <w:highlight w:val="none"/>
                    </w:rPr>
                    <w:t>敏感。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1" w:type="pct"/>
                  <w:tcBorders>
                    <w:tl2br w:val="nil"/>
                    <w:tr2bl w:val="nil"/>
                  </w:tcBorders>
                  <w:vAlign w:val="center"/>
                </w:tcPr>
                <w:p>
                  <w:pPr>
                    <w:pStyle w:val="29"/>
                    <w:bidi w:val="0"/>
                    <w:rPr>
                      <w:highlight w:val="none"/>
                    </w:rPr>
                  </w:pPr>
                  <w:r>
                    <w:rPr>
                      <w:highlight w:val="none"/>
                    </w:rPr>
                    <w:t>较敏感</w:t>
                  </w:r>
                </w:p>
              </w:tc>
              <w:tc>
                <w:tcPr>
                  <w:tcW w:w="3226" w:type="pct"/>
                  <w:tcBorders>
                    <w:tl2br w:val="nil"/>
                    <w:tr2bl w:val="nil"/>
                  </w:tcBorders>
                  <w:vAlign w:val="center"/>
                </w:tcPr>
                <w:p>
                  <w:pPr>
                    <w:pStyle w:val="29"/>
                    <w:bidi w:val="0"/>
                    <w:rPr>
                      <w:highlight w:val="none"/>
                    </w:rPr>
                  </w:pPr>
                  <w:r>
                    <w:rPr>
                      <w:highlight w:val="none"/>
                    </w:rPr>
                    <w:t>建设项目周边存在其他土壤环境敏感目标的</w:t>
                  </w:r>
                </w:p>
              </w:tc>
              <w:tc>
                <w:tcPr>
                  <w:tcW w:w="1091" w:type="pct"/>
                  <w:vMerge w:val="continue"/>
                  <w:tcBorders>
                    <w:tl2br w:val="nil"/>
                    <w:tr2bl w:val="nil"/>
                  </w:tcBorders>
                  <w:vAlign w:val="center"/>
                </w:tcPr>
                <w:p>
                  <w:pPr>
                    <w:pStyle w:val="29"/>
                    <w:bidi w:val="0"/>
                    <w:rPr>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1" w:type="pct"/>
                  <w:tcBorders>
                    <w:tl2br w:val="nil"/>
                    <w:tr2bl w:val="nil"/>
                  </w:tcBorders>
                  <w:vAlign w:val="center"/>
                </w:tcPr>
                <w:p>
                  <w:pPr>
                    <w:pStyle w:val="29"/>
                    <w:bidi w:val="0"/>
                    <w:rPr>
                      <w:highlight w:val="none"/>
                    </w:rPr>
                  </w:pPr>
                  <w:r>
                    <w:rPr>
                      <w:highlight w:val="none"/>
                    </w:rPr>
                    <w:t>不敏感</w:t>
                  </w:r>
                </w:p>
              </w:tc>
              <w:tc>
                <w:tcPr>
                  <w:tcW w:w="3226" w:type="pct"/>
                  <w:tcBorders>
                    <w:tl2br w:val="nil"/>
                    <w:tr2bl w:val="nil"/>
                  </w:tcBorders>
                  <w:vAlign w:val="center"/>
                </w:tcPr>
                <w:p>
                  <w:pPr>
                    <w:pStyle w:val="29"/>
                    <w:bidi w:val="0"/>
                    <w:rPr>
                      <w:highlight w:val="none"/>
                    </w:rPr>
                  </w:pPr>
                  <w:r>
                    <w:rPr>
                      <w:highlight w:val="none"/>
                    </w:rPr>
                    <w:t>其他情况</w:t>
                  </w:r>
                </w:p>
              </w:tc>
              <w:tc>
                <w:tcPr>
                  <w:tcW w:w="1091" w:type="pct"/>
                  <w:vMerge w:val="continue"/>
                  <w:tcBorders>
                    <w:tl2br w:val="nil"/>
                    <w:tr2bl w:val="nil"/>
                  </w:tcBorders>
                  <w:vAlign w:val="center"/>
                </w:tcPr>
                <w:p>
                  <w:pPr>
                    <w:pStyle w:val="29"/>
                    <w:bidi w:val="0"/>
                    <w:rPr>
                      <w:highlight w:val="none"/>
                    </w:rPr>
                  </w:pPr>
                </w:p>
              </w:tc>
            </w:tr>
          </w:tbl>
          <w:p>
            <w:pPr>
              <w:bidi w:val="0"/>
              <w:ind w:left="0" w:leftChars="0" w:firstLine="0" w:firstLineChars="0"/>
              <w:jc w:val="center"/>
              <w:rPr>
                <w:highlight w:val="none"/>
              </w:rPr>
            </w:pPr>
            <w:r>
              <w:rPr>
                <w:highlight w:val="none"/>
              </w:rPr>
              <w:t>表</w:t>
            </w:r>
            <w:r>
              <w:rPr>
                <w:rFonts w:hint="eastAsia"/>
                <w:highlight w:val="none"/>
                <w:lang w:val="en-US" w:eastAsia="zh-CN"/>
              </w:rPr>
              <w:t xml:space="preserve">42       </w:t>
            </w:r>
            <w:r>
              <w:rPr>
                <w:highlight w:val="none"/>
              </w:rPr>
              <w:t>土壤环境影响评价项目类别</w:t>
            </w:r>
          </w:p>
          <w:tbl>
            <w:tblPr>
              <w:tblStyle w:val="21"/>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Layout w:type="autofit"/>
              <w:tblCellMar>
                <w:top w:w="0" w:type="dxa"/>
                <w:left w:w="108" w:type="dxa"/>
                <w:bottom w:w="0" w:type="dxa"/>
                <w:right w:w="108" w:type="dxa"/>
              </w:tblCellMar>
            </w:tblPr>
            <w:tblGrid>
              <w:gridCol w:w="1302"/>
              <w:gridCol w:w="869"/>
              <w:gridCol w:w="4695"/>
              <w:gridCol w:w="1359"/>
              <w:gridCol w:w="78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23" w:hRule="atLeast"/>
                <w:jc w:val="center"/>
              </w:trPr>
              <w:tc>
                <w:tcPr>
                  <w:tcW w:w="722" w:type="pct"/>
                  <w:vMerge w:val="restart"/>
                  <w:tcBorders>
                    <w:tl2br w:val="nil"/>
                    <w:tr2bl w:val="nil"/>
                  </w:tcBorders>
                  <w:vAlign w:val="center"/>
                </w:tcPr>
                <w:p>
                  <w:pPr>
                    <w:pStyle w:val="29"/>
                    <w:bidi w:val="0"/>
                    <w:rPr>
                      <w:highlight w:val="none"/>
                    </w:rPr>
                  </w:pPr>
                  <w:r>
                    <w:rPr>
                      <w:highlight w:val="none"/>
                    </w:rPr>
                    <w:t>行业类别</w:t>
                  </w:r>
                </w:p>
              </w:tc>
              <w:tc>
                <w:tcPr>
                  <w:tcW w:w="4277" w:type="pct"/>
                  <w:gridSpan w:val="4"/>
                  <w:tcBorders>
                    <w:tl2br w:val="nil"/>
                    <w:tr2bl w:val="nil"/>
                  </w:tcBorders>
                  <w:vAlign w:val="center"/>
                </w:tcPr>
                <w:p>
                  <w:pPr>
                    <w:pStyle w:val="29"/>
                    <w:bidi w:val="0"/>
                    <w:rPr>
                      <w:highlight w:val="none"/>
                    </w:rPr>
                  </w:pPr>
                  <w:r>
                    <w:rPr>
                      <w:highlight w:val="none"/>
                    </w:rPr>
                    <w:t>项目类别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23" w:hRule="atLeast"/>
                <w:jc w:val="center"/>
              </w:trPr>
              <w:tc>
                <w:tcPr>
                  <w:tcW w:w="722" w:type="pct"/>
                  <w:vMerge w:val="continue"/>
                  <w:tcBorders>
                    <w:tl2br w:val="nil"/>
                    <w:tr2bl w:val="nil"/>
                  </w:tcBorders>
                  <w:vAlign w:val="center"/>
                </w:tcPr>
                <w:p>
                  <w:pPr>
                    <w:pStyle w:val="29"/>
                    <w:bidi w:val="0"/>
                    <w:rPr>
                      <w:highlight w:val="none"/>
                    </w:rPr>
                  </w:pPr>
                </w:p>
              </w:tc>
              <w:tc>
                <w:tcPr>
                  <w:tcW w:w="482" w:type="pct"/>
                  <w:tcBorders>
                    <w:tl2br w:val="nil"/>
                    <w:tr2bl w:val="nil"/>
                  </w:tcBorders>
                  <w:vAlign w:val="center"/>
                </w:tcPr>
                <w:p>
                  <w:pPr>
                    <w:pStyle w:val="29"/>
                    <w:bidi w:val="0"/>
                    <w:rPr>
                      <w:highlight w:val="none"/>
                    </w:rPr>
                  </w:pPr>
                  <w:r>
                    <w:rPr>
                      <w:highlight w:val="none"/>
                    </w:rPr>
                    <w:fldChar w:fldCharType="begin"/>
                  </w:r>
                  <w:r>
                    <w:rPr>
                      <w:highlight w:val="none"/>
                    </w:rPr>
                    <w:instrText xml:space="preserve"> = 1 \* ROMAN </w:instrText>
                  </w:r>
                  <w:r>
                    <w:rPr>
                      <w:highlight w:val="none"/>
                    </w:rPr>
                    <w:fldChar w:fldCharType="separate"/>
                  </w:r>
                  <w:r>
                    <w:rPr>
                      <w:highlight w:val="none"/>
                    </w:rPr>
                    <w:t>I</w:t>
                  </w:r>
                  <w:r>
                    <w:rPr>
                      <w:highlight w:val="none"/>
                    </w:rPr>
                    <w:fldChar w:fldCharType="end"/>
                  </w:r>
                  <w:r>
                    <w:rPr>
                      <w:highlight w:val="none"/>
                    </w:rPr>
                    <w:t>类</w:t>
                  </w:r>
                </w:p>
              </w:tc>
              <w:tc>
                <w:tcPr>
                  <w:tcW w:w="2604" w:type="pct"/>
                  <w:tcBorders>
                    <w:tl2br w:val="nil"/>
                    <w:tr2bl w:val="nil"/>
                  </w:tcBorders>
                  <w:vAlign w:val="center"/>
                </w:tcPr>
                <w:p>
                  <w:pPr>
                    <w:pStyle w:val="29"/>
                    <w:bidi w:val="0"/>
                    <w:rPr>
                      <w:highlight w:val="none"/>
                    </w:rPr>
                  </w:pPr>
                  <w:r>
                    <w:rPr>
                      <w:highlight w:val="none"/>
                    </w:rPr>
                    <w:fldChar w:fldCharType="begin"/>
                  </w:r>
                  <w:r>
                    <w:rPr>
                      <w:highlight w:val="none"/>
                    </w:rPr>
                    <w:instrText xml:space="preserve"> = 2 \* ROMAN </w:instrText>
                  </w:r>
                  <w:r>
                    <w:rPr>
                      <w:highlight w:val="none"/>
                    </w:rPr>
                    <w:fldChar w:fldCharType="separate"/>
                  </w:r>
                  <w:r>
                    <w:rPr>
                      <w:highlight w:val="none"/>
                    </w:rPr>
                    <w:t>II</w:t>
                  </w:r>
                  <w:r>
                    <w:rPr>
                      <w:highlight w:val="none"/>
                    </w:rPr>
                    <w:fldChar w:fldCharType="end"/>
                  </w:r>
                  <w:r>
                    <w:rPr>
                      <w:highlight w:val="none"/>
                    </w:rPr>
                    <w:t>类</w:t>
                  </w:r>
                </w:p>
              </w:tc>
              <w:tc>
                <w:tcPr>
                  <w:tcW w:w="754" w:type="pct"/>
                  <w:tcBorders>
                    <w:tl2br w:val="nil"/>
                    <w:tr2bl w:val="nil"/>
                  </w:tcBorders>
                  <w:vAlign w:val="center"/>
                </w:tcPr>
                <w:p>
                  <w:pPr>
                    <w:pStyle w:val="29"/>
                    <w:bidi w:val="0"/>
                    <w:rPr>
                      <w:highlight w:val="none"/>
                    </w:rPr>
                  </w:pPr>
                  <w:r>
                    <w:rPr>
                      <w:highlight w:val="none"/>
                    </w:rPr>
                    <w:fldChar w:fldCharType="begin"/>
                  </w:r>
                  <w:r>
                    <w:rPr>
                      <w:highlight w:val="none"/>
                    </w:rPr>
                    <w:instrText xml:space="preserve"> = 3 \* ROMAN </w:instrText>
                  </w:r>
                  <w:r>
                    <w:rPr>
                      <w:highlight w:val="none"/>
                    </w:rPr>
                    <w:fldChar w:fldCharType="separate"/>
                  </w:r>
                  <w:r>
                    <w:rPr>
                      <w:highlight w:val="none"/>
                    </w:rPr>
                    <w:t>III</w:t>
                  </w:r>
                  <w:r>
                    <w:rPr>
                      <w:highlight w:val="none"/>
                    </w:rPr>
                    <w:fldChar w:fldCharType="end"/>
                  </w:r>
                  <w:r>
                    <w:rPr>
                      <w:highlight w:val="none"/>
                    </w:rPr>
                    <w:t>类</w:t>
                  </w:r>
                </w:p>
              </w:tc>
              <w:tc>
                <w:tcPr>
                  <w:tcW w:w="435" w:type="pct"/>
                  <w:tcBorders>
                    <w:tl2br w:val="nil"/>
                    <w:tr2bl w:val="nil"/>
                  </w:tcBorders>
                  <w:vAlign w:val="center"/>
                </w:tcPr>
                <w:p>
                  <w:pPr>
                    <w:pStyle w:val="29"/>
                    <w:bidi w:val="0"/>
                    <w:rPr>
                      <w:highlight w:val="none"/>
                    </w:rPr>
                  </w:pPr>
                  <w:r>
                    <w:rPr>
                      <w:highlight w:val="none"/>
                    </w:rPr>
                    <w:fldChar w:fldCharType="begin"/>
                  </w:r>
                  <w:r>
                    <w:rPr>
                      <w:highlight w:val="none"/>
                    </w:rPr>
                    <w:instrText xml:space="preserve"> = 4 \* ROMAN </w:instrText>
                  </w:r>
                  <w:r>
                    <w:rPr>
                      <w:highlight w:val="none"/>
                    </w:rPr>
                    <w:fldChar w:fldCharType="separate"/>
                  </w:r>
                  <w:r>
                    <w:rPr>
                      <w:highlight w:val="none"/>
                    </w:rPr>
                    <w:t>IV</w:t>
                  </w:r>
                  <w:r>
                    <w:rPr>
                      <w:highlight w:val="none"/>
                    </w:rPr>
                    <w:fldChar w:fldCharType="end"/>
                  </w:r>
                  <w:r>
                    <w:rPr>
                      <w:highlight w:val="none"/>
                    </w:rPr>
                    <w:t>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23" w:hRule="atLeast"/>
                <w:jc w:val="center"/>
              </w:trPr>
              <w:tc>
                <w:tcPr>
                  <w:tcW w:w="722" w:type="pct"/>
                  <w:tcBorders>
                    <w:tl2br w:val="nil"/>
                    <w:tr2bl w:val="nil"/>
                  </w:tcBorders>
                  <w:vAlign w:val="center"/>
                </w:tcPr>
                <w:p>
                  <w:pPr>
                    <w:pStyle w:val="29"/>
                    <w:bidi w:val="0"/>
                    <w:rPr>
                      <w:highlight w:val="none"/>
                    </w:rPr>
                  </w:pPr>
                  <w:r>
                    <w:rPr>
                      <w:rFonts w:hint="eastAsia"/>
                      <w:highlight w:val="none"/>
                      <w:lang w:eastAsia="zh-CN"/>
                    </w:rPr>
                    <w:t>交通运输仓储邮政业</w:t>
                  </w:r>
                </w:p>
              </w:tc>
              <w:tc>
                <w:tcPr>
                  <w:tcW w:w="482" w:type="pct"/>
                  <w:tcBorders>
                    <w:tl2br w:val="nil"/>
                    <w:tr2bl w:val="nil"/>
                  </w:tcBorders>
                  <w:vAlign w:val="center"/>
                </w:tcPr>
                <w:p>
                  <w:pPr>
                    <w:pStyle w:val="29"/>
                    <w:bidi w:val="0"/>
                    <w:rPr>
                      <w:highlight w:val="none"/>
                    </w:rPr>
                  </w:pPr>
                </w:p>
              </w:tc>
              <w:tc>
                <w:tcPr>
                  <w:tcW w:w="2604" w:type="pct"/>
                  <w:tcBorders>
                    <w:tl2br w:val="nil"/>
                    <w:tr2bl w:val="nil"/>
                  </w:tcBorders>
                  <w:vAlign w:val="center"/>
                </w:tcPr>
                <w:p>
                  <w:pPr>
                    <w:pStyle w:val="29"/>
                    <w:bidi w:val="0"/>
                    <w:rPr>
                      <w:rFonts w:hint="eastAsia" w:eastAsia="宋体"/>
                      <w:highlight w:val="none"/>
                      <w:lang w:eastAsia="zh-CN"/>
                    </w:rPr>
                  </w:pPr>
                  <w:r>
                    <w:rPr>
                      <w:rFonts w:hint="eastAsia"/>
                      <w:highlight w:val="none"/>
                      <w:lang w:eastAsia="zh-CN"/>
                    </w:rPr>
                    <w:t>油库（不含加油站的油库）；机场的供油工程及油库；涉及危险品、化学品、石油、成品油储罐区的码头及仓储；石油及成品油的输送管线</w:t>
                  </w:r>
                </w:p>
              </w:tc>
              <w:tc>
                <w:tcPr>
                  <w:tcW w:w="754" w:type="pct"/>
                  <w:tcBorders>
                    <w:tl2br w:val="nil"/>
                    <w:tr2bl w:val="nil"/>
                  </w:tcBorders>
                  <w:vAlign w:val="center"/>
                </w:tcPr>
                <w:p>
                  <w:pPr>
                    <w:pStyle w:val="29"/>
                    <w:bidi w:val="0"/>
                    <w:rPr>
                      <w:rFonts w:hint="eastAsia" w:eastAsia="宋体"/>
                      <w:highlight w:val="none"/>
                      <w:lang w:eastAsia="zh-CN"/>
                    </w:rPr>
                  </w:pPr>
                  <w:r>
                    <w:rPr>
                      <w:rFonts w:hint="eastAsia"/>
                      <w:highlight w:val="none"/>
                      <w:lang w:eastAsia="zh-CN"/>
                    </w:rPr>
                    <w:t>公路的加油站；铁路的维修场所</w:t>
                  </w:r>
                </w:p>
              </w:tc>
              <w:tc>
                <w:tcPr>
                  <w:tcW w:w="435" w:type="pct"/>
                  <w:tcBorders>
                    <w:tl2br w:val="nil"/>
                    <w:tr2bl w:val="nil"/>
                  </w:tcBorders>
                  <w:vAlign w:val="center"/>
                </w:tcPr>
                <w:p>
                  <w:pPr>
                    <w:pStyle w:val="29"/>
                    <w:bidi w:val="0"/>
                    <w:rPr>
                      <w:rFonts w:hint="eastAsia" w:eastAsia="宋体"/>
                      <w:highlight w:val="none"/>
                      <w:lang w:eastAsia="zh-CN"/>
                    </w:rPr>
                  </w:pPr>
                  <w:r>
                    <w:rPr>
                      <w:rFonts w:hint="eastAsia"/>
                      <w:highlight w:val="none"/>
                      <w:lang w:eastAsia="zh-CN"/>
                    </w:rPr>
                    <w:t>其</w:t>
                  </w:r>
                  <w:r>
                    <w:rPr>
                      <w:rFonts w:hint="eastAsia"/>
                      <w:highlight w:val="none"/>
                      <w:lang w:val="en-US" w:eastAsia="zh-CN"/>
                    </w:rPr>
                    <w:t>他</w:t>
                  </w:r>
                </w:p>
              </w:tc>
            </w:tr>
          </w:tbl>
          <w:p>
            <w:pPr>
              <w:adjustRightInd w:val="0"/>
              <w:spacing w:line="360" w:lineRule="auto"/>
              <w:ind w:firstLine="480" w:firstLineChars="200"/>
              <w:jc w:val="left"/>
              <w:textAlignment w:val="baseline"/>
              <w:rPr>
                <w:bCs/>
                <w:color w:val="000000"/>
                <w:sz w:val="24"/>
                <w:highlight w:val="none"/>
              </w:rPr>
            </w:pPr>
            <w:r>
              <w:rPr>
                <w:bCs/>
                <w:color w:val="000000"/>
                <w:sz w:val="24"/>
                <w:highlight w:val="none"/>
              </w:rPr>
              <w:t>（4）评价工作等级判定</w:t>
            </w:r>
          </w:p>
          <w:p>
            <w:pPr>
              <w:adjustRightInd w:val="0"/>
              <w:spacing w:line="360" w:lineRule="auto"/>
              <w:ind w:firstLine="480" w:firstLineChars="200"/>
              <w:jc w:val="left"/>
              <w:textAlignment w:val="baseline"/>
              <w:rPr>
                <w:bCs/>
                <w:color w:val="000000"/>
                <w:sz w:val="24"/>
                <w:highlight w:val="none"/>
              </w:rPr>
            </w:pPr>
            <w:r>
              <w:rPr>
                <w:bCs/>
                <w:color w:val="000000"/>
                <w:sz w:val="24"/>
                <w:highlight w:val="none"/>
              </w:rPr>
              <w:t>根据土壤环境影响评价类别、占地规模与敏感程度划分评价工作等级，具体见表</w:t>
            </w:r>
            <w:r>
              <w:rPr>
                <w:rFonts w:hint="eastAsia"/>
                <w:bCs/>
                <w:color w:val="000000"/>
                <w:sz w:val="24"/>
                <w:highlight w:val="none"/>
                <w:lang w:val="en-US" w:eastAsia="zh-CN"/>
              </w:rPr>
              <w:t>43</w:t>
            </w:r>
            <w:r>
              <w:rPr>
                <w:bCs/>
                <w:color w:val="000000"/>
                <w:sz w:val="24"/>
                <w:highlight w:val="none"/>
              </w:rPr>
              <w:t>。</w:t>
            </w:r>
          </w:p>
          <w:p>
            <w:pPr>
              <w:bidi w:val="0"/>
              <w:ind w:left="0" w:leftChars="0" w:firstLine="0" w:firstLineChars="0"/>
              <w:jc w:val="center"/>
              <w:rPr>
                <w:highlight w:val="none"/>
              </w:rPr>
            </w:pPr>
            <w:r>
              <w:rPr>
                <w:highlight w:val="none"/>
              </w:rPr>
              <w:t>表</w:t>
            </w:r>
            <w:r>
              <w:rPr>
                <w:rFonts w:hint="eastAsia"/>
                <w:highlight w:val="none"/>
                <w:lang w:val="en-US" w:eastAsia="zh-CN"/>
              </w:rPr>
              <w:t xml:space="preserve">43          </w:t>
            </w:r>
            <w:r>
              <w:rPr>
                <w:highlight w:val="none"/>
              </w:rPr>
              <w:t>污染影响型评价工作等级划分表</w:t>
            </w:r>
          </w:p>
          <w:tbl>
            <w:tblPr>
              <w:tblStyle w:val="2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537"/>
              <w:gridCol w:w="741"/>
              <w:gridCol w:w="710"/>
              <w:gridCol w:w="715"/>
              <w:gridCol w:w="712"/>
              <w:gridCol w:w="714"/>
              <w:gridCol w:w="712"/>
              <w:gridCol w:w="712"/>
              <w:gridCol w:w="712"/>
              <w:gridCol w:w="74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1408" w:type="pct"/>
                  <w:vMerge w:val="restart"/>
                  <w:tcBorders>
                    <w:tl2br w:val="nil"/>
                    <w:tr2bl w:val="nil"/>
                  </w:tcBorders>
                  <w:vAlign w:val="center"/>
                </w:tcPr>
                <w:p>
                  <w:pPr>
                    <w:pStyle w:val="29"/>
                    <w:bidi w:val="0"/>
                    <w:rPr>
                      <w:highlight w:val="none"/>
                    </w:rPr>
                  </w:pPr>
                  <w:r>
                    <w:rPr>
                      <w:highlight w:val="none"/>
                    </w:rPr>
                    <mc:AlternateContent>
                      <mc:Choice Requires="wps">
                        <w:drawing>
                          <wp:anchor distT="0" distB="0" distL="114300" distR="114300" simplePos="0" relativeHeight="251661312" behindDoc="0" locked="0" layoutInCell="1" allowOverlap="1">
                            <wp:simplePos x="0" y="0"/>
                            <wp:positionH relativeFrom="column">
                              <wp:posOffset>661035</wp:posOffset>
                            </wp:positionH>
                            <wp:positionV relativeFrom="paragraph">
                              <wp:posOffset>-16510</wp:posOffset>
                            </wp:positionV>
                            <wp:extent cx="836930" cy="840105"/>
                            <wp:effectExtent l="3175" t="3175" r="13335" b="10160"/>
                            <wp:wrapNone/>
                            <wp:docPr id="50" name="直接箭头连接符 50"/>
                            <wp:cNvGraphicFramePr/>
                            <a:graphic xmlns:a="http://schemas.openxmlformats.org/drawingml/2006/main">
                              <a:graphicData uri="http://schemas.microsoft.com/office/word/2010/wordprocessingShape">
                                <wps:wsp>
                                  <wps:cNvCnPr/>
                                  <wps:spPr>
                                    <a:xfrm>
                                      <a:off x="0" y="0"/>
                                      <a:ext cx="836930" cy="840105"/>
                                    </a:xfrm>
                                    <a:prstGeom prst="straightConnector1">
                                      <a:avLst/>
                                    </a:prstGeom>
                                    <a:ln w="9525" cap="flat" cmpd="sng">
                                      <a:solidFill>
                                        <a:srgbClr val="000000"/>
                                      </a:solidFill>
                                      <a:prstDash val="solid"/>
                                      <a:round/>
                                      <a:headEnd type="none" w="med" len="med"/>
                                      <a:tailEnd type="none" w="med" len="med"/>
                                    </a:ln>
                                    <a:effectLst/>
                                  </wps:spPr>
                                  <wps:bodyPr/>
                                </wps:wsp>
                              </a:graphicData>
                            </a:graphic>
                          </wp:anchor>
                        </w:drawing>
                      </mc:Choice>
                      <mc:Fallback>
                        <w:pict>
                          <v:shape id="_x0000_s1026" o:spid="_x0000_s1026" o:spt="32" type="#_x0000_t32" style="position:absolute;left:0pt;margin-left:52.05pt;margin-top:-1.3pt;height:66.15pt;width:65.9pt;z-index:251661312;mso-width-relative:page;mso-height-relative:page;" filled="f" stroked="t" coordsize="21600,21600" o:gfxdata="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c5dn79gAAAAKAQAADwAAAAAAAAABACAAAAAi&#10;AAAAZHJzL2Rvd25yZXYueG1sUEsBAhQAFAAAAAgAh07iQF7qRWEKAgAACgQAAA4AAAAAAAAAAQAg&#10;AAAAJwEAAGRycy9lMm9Eb2MueG1sUEsFBgAAAAAGAAYAWQEAAKMFAAAAAA==&#10;">
                            <v:fill on="f" focussize="0,0"/>
                            <v:stroke color="#000000" joinstyle="round"/>
                            <v:imagedata o:title=""/>
                            <o:lock v:ext="edit" aspectratio="f"/>
                          </v:shape>
                        </w:pict>
                      </mc:Fallback>
                    </mc:AlternateContent>
                  </w:r>
                  <w:r>
                    <w:rPr>
                      <w:highlight w:val="none"/>
                    </w:rPr>
                    <w:t xml:space="preserve">            </w:t>
                  </w:r>
                  <w:r>
                    <w:rPr>
                      <w:rFonts w:hint="eastAsia"/>
                      <w:highlight w:val="none"/>
                    </w:rPr>
                    <w:t xml:space="preserve"> </w:t>
                  </w:r>
                  <w:r>
                    <w:rPr>
                      <w:highlight w:val="none"/>
                    </w:rPr>
                    <w:t>占地规模</w:t>
                  </w:r>
                </w:p>
                <w:p>
                  <w:pPr>
                    <w:pStyle w:val="29"/>
                    <w:bidi w:val="0"/>
                    <w:jc w:val="both"/>
                    <w:rPr>
                      <w:highlight w:val="none"/>
                    </w:rPr>
                  </w:pPr>
                  <w:r>
                    <w:rPr>
                      <w:highlight w:val="none"/>
                    </w:rPr>
                    <mc:AlternateContent>
                      <mc:Choice Requires="wps">
                        <w:drawing>
                          <wp:anchor distT="0" distB="0" distL="114300" distR="114300" simplePos="0" relativeHeight="251660288" behindDoc="0" locked="0" layoutInCell="1" allowOverlap="1">
                            <wp:simplePos x="0" y="0"/>
                            <wp:positionH relativeFrom="column">
                              <wp:posOffset>-59055</wp:posOffset>
                            </wp:positionH>
                            <wp:positionV relativeFrom="paragraph">
                              <wp:posOffset>124460</wp:posOffset>
                            </wp:positionV>
                            <wp:extent cx="1558290" cy="483235"/>
                            <wp:effectExtent l="1270" t="4445" r="10160" b="15240"/>
                            <wp:wrapNone/>
                            <wp:docPr id="49" name="直接箭头连接符 49"/>
                            <wp:cNvGraphicFramePr/>
                            <a:graphic xmlns:a="http://schemas.openxmlformats.org/drawingml/2006/main">
                              <a:graphicData uri="http://schemas.microsoft.com/office/word/2010/wordprocessingShape">
                                <wps:wsp>
                                  <wps:cNvCnPr/>
                                  <wps:spPr>
                                    <a:xfrm>
                                      <a:off x="0" y="0"/>
                                      <a:ext cx="1558290" cy="483235"/>
                                    </a:xfrm>
                                    <a:prstGeom prst="straightConnector1">
                                      <a:avLst/>
                                    </a:prstGeom>
                                    <a:ln w="9525" cap="flat" cmpd="sng">
                                      <a:solidFill>
                                        <a:srgbClr val="000000"/>
                                      </a:solidFill>
                                      <a:prstDash val="solid"/>
                                      <a:round/>
                                      <a:headEnd type="none" w="med" len="med"/>
                                      <a:tailEnd type="none" w="med" len="med"/>
                                    </a:ln>
                                    <a:effectLst/>
                                  </wps:spPr>
                                  <wps:bodyPr/>
                                </wps:wsp>
                              </a:graphicData>
                            </a:graphic>
                          </wp:anchor>
                        </w:drawing>
                      </mc:Choice>
                      <mc:Fallback>
                        <w:pict>
                          <v:shape id="_x0000_s1026" o:spid="_x0000_s1026" o:spt="32" type="#_x0000_t32" style="position:absolute;left:0pt;margin-left:-4.65pt;margin-top:9.8pt;height:38.05pt;width:122.7pt;z-index:251660288;mso-width-relative:page;mso-height-relative:page;" filled="f" stroked="t" coordsize="21600,21600" o:gfxdata="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B6Urw2AAAAAgBAAAPAAAAAAAAAAEAIAAA&#10;ACIAAABkcnMvZG93bnJldi54bWxQSwECFAAUAAAACACHTuJA8TNesAwCAAALBAAADgAAAAAAAAAB&#10;ACAAAAAnAQAAZHJzL2Uyb0RvYy54bWxQSwUGAAAAAAYABgBZAQAApQUAAAAA&#10;">
                            <v:fill on="f" focussize="0,0"/>
                            <v:stroke color="#000000" joinstyle="round"/>
                            <v:imagedata o:title=""/>
                            <o:lock v:ext="edit" aspectratio="f"/>
                          </v:shape>
                        </w:pict>
                      </mc:Fallback>
                    </mc:AlternateContent>
                  </w:r>
                  <w:r>
                    <w:rPr>
                      <w:highlight w:val="none"/>
                    </w:rPr>
                    <w:t>评价工作等级</w:t>
                  </w:r>
                </w:p>
                <w:p>
                  <w:pPr>
                    <w:pStyle w:val="29"/>
                    <w:bidi w:val="0"/>
                    <w:rPr>
                      <w:highlight w:val="none"/>
                    </w:rPr>
                  </w:pPr>
                </w:p>
                <w:p>
                  <w:pPr>
                    <w:pStyle w:val="29"/>
                    <w:bidi w:val="0"/>
                    <w:jc w:val="both"/>
                    <w:rPr>
                      <w:highlight w:val="none"/>
                    </w:rPr>
                  </w:pPr>
                  <w:r>
                    <w:rPr>
                      <w:highlight w:val="none"/>
                    </w:rPr>
                    <w:t>敏感程度</w:t>
                  </w:r>
                </w:p>
              </w:tc>
              <w:tc>
                <w:tcPr>
                  <w:tcW w:w="1202" w:type="pct"/>
                  <w:gridSpan w:val="3"/>
                  <w:tcBorders>
                    <w:tl2br w:val="nil"/>
                    <w:tr2bl w:val="nil"/>
                  </w:tcBorders>
                  <w:vAlign w:val="center"/>
                </w:tcPr>
                <w:p>
                  <w:pPr>
                    <w:pStyle w:val="29"/>
                    <w:bidi w:val="0"/>
                    <w:rPr>
                      <w:highlight w:val="none"/>
                    </w:rPr>
                  </w:pPr>
                  <w:r>
                    <w:rPr>
                      <w:highlight w:val="none"/>
                    </w:rPr>
                    <w:fldChar w:fldCharType="begin"/>
                  </w:r>
                  <w:r>
                    <w:rPr>
                      <w:highlight w:val="none"/>
                    </w:rPr>
                    <w:instrText xml:space="preserve"> = 1 \* ROMAN </w:instrText>
                  </w:r>
                  <w:r>
                    <w:rPr>
                      <w:highlight w:val="none"/>
                    </w:rPr>
                    <w:fldChar w:fldCharType="separate"/>
                  </w:r>
                  <w:r>
                    <w:rPr>
                      <w:highlight w:val="none"/>
                    </w:rPr>
                    <w:t>I</w:t>
                  </w:r>
                  <w:r>
                    <w:rPr>
                      <w:highlight w:val="none"/>
                    </w:rPr>
                    <w:fldChar w:fldCharType="end"/>
                  </w:r>
                  <w:r>
                    <w:rPr>
                      <w:highlight w:val="none"/>
                    </w:rPr>
                    <w:t>类</w:t>
                  </w:r>
                </w:p>
              </w:tc>
              <w:tc>
                <w:tcPr>
                  <w:tcW w:w="1186" w:type="pct"/>
                  <w:gridSpan w:val="3"/>
                  <w:tcBorders>
                    <w:tl2br w:val="nil"/>
                    <w:tr2bl w:val="nil"/>
                  </w:tcBorders>
                  <w:vAlign w:val="center"/>
                </w:tcPr>
                <w:p>
                  <w:pPr>
                    <w:pStyle w:val="29"/>
                    <w:bidi w:val="0"/>
                    <w:rPr>
                      <w:highlight w:val="none"/>
                    </w:rPr>
                  </w:pPr>
                  <w:r>
                    <w:rPr>
                      <w:highlight w:val="none"/>
                    </w:rPr>
                    <w:fldChar w:fldCharType="begin"/>
                  </w:r>
                  <w:r>
                    <w:rPr>
                      <w:highlight w:val="none"/>
                    </w:rPr>
                    <w:instrText xml:space="preserve"> = 2 \* ROMAN </w:instrText>
                  </w:r>
                  <w:r>
                    <w:rPr>
                      <w:highlight w:val="none"/>
                    </w:rPr>
                    <w:fldChar w:fldCharType="separate"/>
                  </w:r>
                  <w:r>
                    <w:rPr>
                      <w:highlight w:val="none"/>
                    </w:rPr>
                    <w:t>II</w:t>
                  </w:r>
                  <w:r>
                    <w:rPr>
                      <w:highlight w:val="none"/>
                    </w:rPr>
                    <w:fldChar w:fldCharType="end"/>
                  </w:r>
                  <w:r>
                    <w:rPr>
                      <w:highlight w:val="none"/>
                    </w:rPr>
                    <w:t>类</w:t>
                  </w:r>
                </w:p>
              </w:tc>
              <w:tc>
                <w:tcPr>
                  <w:tcW w:w="1202" w:type="pct"/>
                  <w:gridSpan w:val="3"/>
                  <w:tcBorders>
                    <w:tl2br w:val="nil"/>
                    <w:tr2bl w:val="nil"/>
                  </w:tcBorders>
                  <w:vAlign w:val="center"/>
                </w:tcPr>
                <w:p>
                  <w:pPr>
                    <w:pStyle w:val="29"/>
                    <w:bidi w:val="0"/>
                    <w:rPr>
                      <w:highlight w:val="none"/>
                    </w:rPr>
                  </w:pPr>
                  <w:r>
                    <w:rPr>
                      <w:highlight w:val="none"/>
                    </w:rPr>
                    <w:fldChar w:fldCharType="begin"/>
                  </w:r>
                  <w:r>
                    <w:rPr>
                      <w:highlight w:val="none"/>
                    </w:rPr>
                    <w:instrText xml:space="preserve"> = 3 \* ROMAN </w:instrText>
                  </w:r>
                  <w:r>
                    <w:rPr>
                      <w:highlight w:val="none"/>
                    </w:rPr>
                    <w:fldChar w:fldCharType="separate"/>
                  </w:r>
                  <w:r>
                    <w:rPr>
                      <w:highlight w:val="none"/>
                    </w:rPr>
                    <w:t>III</w:t>
                  </w:r>
                  <w:r>
                    <w:rPr>
                      <w:highlight w:val="none"/>
                    </w:rPr>
                    <w:fldChar w:fldCharType="end"/>
                  </w:r>
                  <w:r>
                    <w:rPr>
                      <w:highlight w:val="none"/>
                    </w:rPr>
                    <w:t>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1408" w:type="pct"/>
                  <w:vMerge w:val="continue"/>
                  <w:tcBorders>
                    <w:tl2br w:val="nil"/>
                    <w:tr2bl w:val="nil"/>
                  </w:tcBorders>
                  <w:vAlign w:val="center"/>
                </w:tcPr>
                <w:p>
                  <w:pPr>
                    <w:pStyle w:val="29"/>
                    <w:bidi w:val="0"/>
                    <w:rPr>
                      <w:highlight w:val="none"/>
                    </w:rPr>
                  </w:pPr>
                </w:p>
              </w:tc>
              <w:tc>
                <w:tcPr>
                  <w:tcW w:w="411" w:type="pct"/>
                  <w:tcBorders>
                    <w:tl2br w:val="nil"/>
                    <w:tr2bl w:val="nil"/>
                  </w:tcBorders>
                  <w:vAlign w:val="center"/>
                </w:tcPr>
                <w:p>
                  <w:pPr>
                    <w:pStyle w:val="29"/>
                    <w:bidi w:val="0"/>
                    <w:rPr>
                      <w:highlight w:val="none"/>
                    </w:rPr>
                  </w:pPr>
                  <w:r>
                    <w:rPr>
                      <w:highlight w:val="none"/>
                    </w:rPr>
                    <w:t>大</w:t>
                  </w:r>
                </w:p>
              </w:tc>
              <w:tc>
                <w:tcPr>
                  <w:tcW w:w="394" w:type="pct"/>
                  <w:tcBorders>
                    <w:tl2br w:val="nil"/>
                    <w:tr2bl w:val="nil"/>
                  </w:tcBorders>
                  <w:vAlign w:val="center"/>
                </w:tcPr>
                <w:p>
                  <w:pPr>
                    <w:pStyle w:val="29"/>
                    <w:bidi w:val="0"/>
                    <w:rPr>
                      <w:highlight w:val="none"/>
                    </w:rPr>
                  </w:pPr>
                  <w:r>
                    <w:rPr>
                      <w:highlight w:val="none"/>
                    </w:rPr>
                    <w:t>中</w:t>
                  </w:r>
                </w:p>
              </w:tc>
              <w:tc>
                <w:tcPr>
                  <w:tcW w:w="396" w:type="pct"/>
                  <w:tcBorders>
                    <w:tl2br w:val="nil"/>
                    <w:tr2bl w:val="nil"/>
                  </w:tcBorders>
                  <w:vAlign w:val="center"/>
                </w:tcPr>
                <w:p>
                  <w:pPr>
                    <w:pStyle w:val="29"/>
                    <w:bidi w:val="0"/>
                    <w:rPr>
                      <w:highlight w:val="none"/>
                    </w:rPr>
                  </w:pPr>
                  <w:r>
                    <w:rPr>
                      <w:highlight w:val="none"/>
                    </w:rPr>
                    <w:t>小</w:t>
                  </w:r>
                </w:p>
              </w:tc>
              <w:tc>
                <w:tcPr>
                  <w:tcW w:w="395" w:type="pct"/>
                  <w:tcBorders>
                    <w:tl2br w:val="nil"/>
                    <w:tr2bl w:val="nil"/>
                  </w:tcBorders>
                  <w:vAlign w:val="center"/>
                </w:tcPr>
                <w:p>
                  <w:pPr>
                    <w:pStyle w:val="29"/>
                    <w:bidi w:val="0"/>
                    <w:rPr>
                      <w:highlight w:val="none"/>
                    </w:rPr>
                  </w:pPr>
                  <w:r>
                    <w:rPr>
                      <w:highlight w:val="none"/>
                    </w:rPr>
                    <w:t>大</w:t>
                  </w:r>
                </w:p>
              </w:tc>
              <w:tc>
                <w:tcPr>
                  <w:tcW w:w="396" w:type="pct"/>
                  <w:tcBorders>
                    <w:tl2br w:val="nil"/>
                    <w:tr2bl w:val="nil"/>
                  </w:tcBorders>
                  <w:vAlign w:val="center"/>
                </w:tcPr>
                <w:p>
                  <w:pPr>
                    <w:pStyle w:val="29"/>
                    <w:bidi w:val="0"/>
                    <w:rPr>
                      <w:highlight w:val="none"/>
                    </w:rPr>
                  </w:pPr>
                  <w:r>
                    <w:rPr>
                      <w:highlight w:val="none"/>
                    </w:rPr>
                    <w:t>中</w:t>
                  </w:r>
                </w:p>
              </w:tc>
              <w:tc>
                <w:tcPr>
                  <w:tcW w:w="394" w:type="pct"/>
                  <w:tcBorders>
                    <w:tl2br w:val="nil"/>
                    <w:tr2bl w:val="nil"/>
                  </w:tcBorders>
                  <w:vAlign w:val="center"/>
                </w:tcPr>
                <w:p>
                  <w:pPr>
                    <w:pStyle w:val="29"/>
                    <w:bidi w:val="0"/>
                    <w:rPr>
                      <w:highlight w:val="none"/>
                    </w:rPr>
                  </w:pPr>
                  <w:r>
                    <w:rPr>
                      <w:highlight w:val="none"/>
                    </w:rPr>
                    <w:t>小</w:t>
                  </w:r>
                </w:p>
              </w:tc>
              <w:tc>
                <w:tcPr>
                  <w:tcW w:w="395" w:type="pct"/>
                  <w:tcBorders>
                    <w:tl2br w:val="nil"/>
                    <w:tr2bl w:val="nil"/>
                  </w:tcBorders>
                  <w:vAlign w:val="center"/>
                </w:tcPr>
                <w:p>
                  <w:pPr>
                    <w:pStyle w:val="29"/>
                    <w:bidi w:val="0"/>
                    <w:rPr>
                      <w:highlight w:val="none"/>
                    </w:rPr>
                  </w:pPr>
                  <w:r>
                    <w:rPr>
                      <w:highlight w:val="none"/>
                    </w:rPr>
                    <w:t>大</w:t>
                  </w:r>
                </w:p>
              </w:tc>
              <w:tc>
                <w:tcPr>
                  <w:tcW w:w="395" w:type="pct"/>
                  <w:tcBorders>
                    <w:tl2br w:val="nil"/>
                    <w:tr2bl w:val="nil"/>
                  </w:tcBorders>
                  <w:vAlign w:val="center"/>
                </w:tcPr>
                <w:p>
                  <w:pPr>
                    <w:pStyle w:val="29"/>
                    <w:bidi w:val="0"/>
                    <w:rPr>
                      <w:highlight w:val="none"/>
                    </w:rPr>
                  </w:pPr>
                  <w:r>
                    <w:rPr>
                      <w:highlight w:val="none"/>
                    </w:rPr>
                    <w:t>中</w:t>
                  </w:r>
                </w:p>
              </w:tc>
              <w:tc>
                <w:tcPr>
                  <w:tcW w:w="411" w:type="pct"/>
                  <w:tcBorders>
                    <w:tl2br w:val="nil"/>
                    <w:tr2bl w:val="nil"/>
                  </w:tcBorders>
                  <w:vAlign w:val="center"/>
                </w:tcPr>
                <w:p>
                  <w:pPr>
                    <w:pStyle w:val="29"/>
                    <w:bidi w:val="0"/>
                    <w:rPr>
                      <w:highlight w:val="none"/>
                    </w:rPr>
                  </w:pPr>
                  <w:r>
                    <w:rPr>
                      <w:highlight w:val="none"/>
                    </w:rPr>
                    <w:t>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1408" w:type="pct"/>
                  <w:tcBorders>
                    <w:tl2br w:val="nil"/>
                    <w:tr2bl w:val="nil"/>
                  </w:tcBorders>
                  <w:shd w:val="clear" w:color="auto" w:fill="auto"/>
                </w:tcPr>
                <w:p>
                  <w:pPr>
                    <w:pStyle w:val="29"/>
                    <w:bidi w:val="0"/>
                    <w:rPr>
                      <w:highlight w:val="none"/>
                    </w:rPr>
                  </w:pPr>
                  <w:r>
                    <w:rPr>
                      <w:rFonts w:hint="eastAsia"/>
                      <w:highlight w:val="none"/>
                    </w:rPr>
                    <w:t>敏感</w:t>
                  </w:r>
                </w:p>
              </w:tc>
              <w:tc>
                <w:tcPr>
                  <w:tcW w:w="411" w:type="pct"/>
                  <w:tcBorders>
                    <w:tl2br w:val="nil"/>
                    <w:tr2bl w:val="nil"/>
                  </w:tcBorders>
                  <w:shd w:val="clear" w:color="auto" w:fill="auto"/>
                </w:tcPr>
                <w:p>
                  <w:pPr>
                    <w:pStyle w:val="29"/>
                    <w:bidi w:val="0"/>
                    <w:rPr>
                      <w:highlight w:val="none"/>
                    </w:rPr>
                  </w:pPr>
                  <w:r>
                    <w:rPr>
                      <w:rFonts w:hint="eastAsia"/>
                      <w:highlight w:val="none"/>
                    </w:rPr>
                    <w:t>一级</w:t>
                  </w:r>
                </w:p>
              </w:tc>
              <w:tc>
                <w:tcPr>
                  <w:tcW w:w="394" w:type="pct"/>
                  <w:tcBorders>
                    <w:tl2br w:val="nil"/>
                    <w:tr2bl w:val="nil"/>
                  </w:tcBorders>
                  <w:shd w:val="clear" w:color="auto" w:fill="auto"/>
                </w:tcPr>
                <w:p>
                  <w:pPr>
                    <w:pStyle w:val="29"/>
                    <w:bidi w:val="0"/>
                    <w:rPr>
                      <w:highlight w:val="none"/>
                    </w:rPr>
                  </w:pPr>
                  <w:r>
                    <w:rPr>
                      <w:rFonts w:hint="eastAsia"/>
                      <w:highlight w:val="none"/>
                    </w:rPr>
                    <w:t>一级</w:t>
                  </w:r>
                </w:p>
              </w:tc>
              <w:tc>
                <w:tcPr>
                  <w:tcW w:w="396" w:type="pct"/>
                  <w:tcBorders>
                    <w:tl2br w:val="nil"/>
                    <w:tr2bl w:val="nil"/>
                  </w:tcBorders>
                  <w:shd w:val="clear" w:color="auto" w:fill="auto"/>
                </w:tcPr>
                <w:p>
                  <w:pPr>
                    <w:pStyle w:val="29"/>
                    <w:bidi w:val="0"/>
                    <w:rPr>
                      <w:highlight w:val="none"/>
                    </w:rPr>
                  </w:pPr>
                  <w:r>
                    <w:rPr>
                      <w:rFonts w:hint="eastAsia"/>
                      <w:highlight w:val="none"/>
                    </w:rPr>
                    <w:t>一级</w:t>
                  </w:r>
                </w:p>
              </w:tc>
              <w:tc>
                <w:tcPr>
                  <w:tcW w:w="395" w:type="pct"/>
                  <w:tcBorders>
                    <w:tl2br w:val="nil"/>
                    <w:tr2bl w:val="nil"/>
                  </w:tcBorders>
                  <w:shd w:val="clear" w:color="auto" w:fill="auto"/>
                </w:tcPr>
                <w:p>
                  <w:pPr>
                    <w:pStyle w:val="29"/>
                    <w:bidi w:val="0"/>
                    <w:rPr>
                      <w:highlight w:val="none"/>
                    </w:rPr>
                  </w:pPr>
                  <w:r>
                    <w:rPr>
                      <w:rFonts w:hint="eastAsia"/>
                      <w:highlight w:val="none"/>
                    </w:rPr>
                    <w:t>二级</w:t>
                  </w:r>
                </w:p>
              </w:tc>
              <w:tc>
                <w:tcPr>
                  <w:tcW w:w="396" w:type="pct"/>
                  <w:tcBorders>
                    <w:tl2br w:val="nil"/>
                    <w:tr2bl w:val="nil"/>
                  </w:tcBorders>
                  <w:shd w:val="clear" w:color="auto" w:fill="auto"/>
                </w:tcPr>
                <w:p>
                  <w:pPr>
                    <w:pStyle w:val="29"/>
                    <w:bidi w:val="0"/>
                    <w:rPr>
                      <w:highlight w:val="none"/>
                    </w:rPr>
                  </w:pPr>
                  <w:r>
                    <w:rPr>
                      <w:rFonts w:hint="eastAsia"/>
                      <w:highlight w:val="none"/>
                    </w:rPr>
                    <w:t>二级</w:t>
                  </w:r>
                </w:p>
              </w:tc>
              <w:tc>
                <w:tcPr>
                  <w:tcW w:w="394" w:type="pct"/>
                  <w:tcBorders>
                    <w:tl2br w:val="nil"/>
                    <w:tr2bl w:val="nil"/>
                  </w:tcBorders>
                  <w:shd w:val="clear" w:color="auto" w:fill="auto"/>
                </w:tcPr>
                <w:p>
                  <w:pPr>
                    <w:pStyle w:val="29"/>
                    <w:bidi w:val="0"/>
                    <w:rPr>
                      <w:highlight w:val="none"/>
                    </w:rPr>
                  </w:pPr>
                  <w:r>
                    <w:rPr>
                      <w:rFonts w:hint="eastAsia"/>
                      <w:highlight w:val="none"/>
                    </w:rPr>
                    <w:t>二级</w:t>
                  </w:r>
                </w:p>
              </w:tc>
              <w:tc>
                <w:tcPr>
                  <w:tcW w:w="395" w:type="pct"/>
                  <w:tcBorders>
                    <w:tl2br w:val="nil"/>
                    <w:tr2bl w:val="nil"/>
                  </w:tcBorders>
                  <w:shd w:val="clear" w:color="auto" w:fill="auto"/>
                </w:tcPr>
                <w:p>
                  <w:pPr>
                    <w:pStyle w:val="29"/>
                    <w:bidi w:val="0"/>
                    <w:rPr>
                      <w:highlight w:val="none"/>
                    </w:rPr>
                  </w:pPr>
                  <w:r>
                    <w:rPr>
                      <w:rFonts w:hint="eastAsia"/>
                      <w:highlight w:val="none"/>
                    </w:rPr>
                    <w:t>三级</w:t>
                  </w:r>
                </w:p>
              </w:tc>
              <w:tc>
                <w:tcPr>
                  <w:tcW w:w="395" w:type="pct"/>
                  <w:tcBorders>
                    <w:tl2br w:val="nil"/>
                    <w:tr2bl w:val="nil"/>
                  </w:tcBorders>
                  <w:shd w:val="clear" w:color="auto" w:fill="auto"/>
                </w:tcPr>
                <w:p>
                  <w:pPr>
                    <w:pStyle w:val="29"/>
                    <w:bidi w:val="0"/>
                    <w:rPr>
                      <w:highlight w:val="none"/>
                    </w:rPr>
                  </w:pPr>
                  <w:r>
                    <w:rPr>
                      <w:rFonts w:hint="eastAsia"/>
                      <w:highlight w:val="none"/>
                    </w:rPr>
                    <w:t>三级</w:t>
                  </w:r>
                </w:p>
              </w:tc>
              <w:tc>
                <w:tcPr>
                  <w:tcW w:w="411" w:type="pct"/>
                  <w:tcBorders>
                    <w:tl2br w:val="nil"/>
                    <w:tr2bl w:val="nil"/>
                  </w:tcBorders>
                  <w:shd w:val="clear" w:color="auto" w:fill="auto"/>
                </w:tcPr>
                <w:p>
                  <w:pPr>
                    <w:pStyle w:val="29"/>
                    <w:bidi w:val="0"/>
                    <w:rPr>
                      <w:highlight w:val="none"/>
                    </w:rPr>
                  </w:pPr>
                  <w:r>
                    <w:rPr>
                      <w:rFonts w:hint="eastAsia"/>
                      <w:highlight w:val="none"/>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1408" w:type="pct"/>
                  <w:tcBorders>
                    <w:tl2br w:val="nil"/>
                    <w:tr2bl w:val="nil"/>
                  </w:tcBorders>
                </w:tcPr>
                <w:p>
                  <w:pPr>
                    <w:pStyle w:val="29"/>
                    <w:bidi w:val="0"/>
                    <w:rPr>
                      <w:highlight w:val="none"/>
                    </w:rPr>
                  </w:pPr>
                  <w:r>
                    <w:rPr>
                      <w:rFonts w:hint="eastAsia"/>
                      <w:highlight w:val="none"/>
                    </w:rPr>
                    <w:t>较敏感</w:t>
                  </w:r>
                </w:p>
              </w:tc>
              <w:tc>
                <w:tcPr>
                  <w:tcW w:w="411" w:type="pct"/>
                  <w:tcBorders>
                    <w:tl2br w:val="nil"/>
                    <w:tr2bl w:val="nil"/>
                  </w:tcBorders>
                </w:tcPr>
                <w:p>
                  <w:pPr>
                    <w:pStyle w:val="29"/>
                    <w:bidi w:val="0"/>
                    <w:rPr>
                      <w:highlight w:val="none"/>
                    </w:rPr>
                  </w:pPr>
                  <w:r>
                    <w:rPr>
                      <w:rFonts w:hint="eastAsia"/>
                      <w:highlight w:val="none"/>
                    </w:rPr>
                    <w:t>一级</w:t>
                  </w:r>
                </w:p>
              </w:tc>
              <w:tc>
                <w:tcPr>
                  <w:tcW w:w="394" w:type="pct"/>
                  <w:tcBorders>
                    <w:tl2br w:val="nil"/>
                    <w:tr2bl w:val="nil"/>
                  </w:tcBorders>
                </w:tcPr>
                <w:p>
                  <w:pPr>
                    <w:pStyle w:val="29"/>
                    <w:bidi w:val="0"/>
                    <w:rPr>
                      <w:highlight w:val="none"/>
                    </w:rPr>
                  </w:pPr>
                  <w:r>
                    <w:rPr>
                      <w:rFonts w:hint="eastAsia"/>
                      <w:highlight w:val="none"/>
                    </w:rPr>
                    <w:t>一级</w:t>
                  </w:r>
                </w:p>
              </w:tc>
              <w:tc>
                <w:tcPr>
                  <w:tcW w:w="396" w:type="pct"/>
                  <w:tcBorders>
                    <w:tl2br w:val="nil"/>
                    <w:tr2bl w:val="nil"/>
                  </w:tcBorders>
                </w:tcPr>
                <w:p>
                  <w:pPr>
                    <w:pStyle w:val="29"/>
                    <w:bidi w:val="0"/>
                    <w:rPr>
                      <w:highlight w:val="none"/>
                    </w:rPr>
                  </w:pPr>
                  <w:r>
                    <w:rPr>
                      <w:rFonts w:hint="eastAsia"/>
                      <w:highlight w:val="none"/>
                    </w:rPr>
                    <w:t>二级</w:t>
                  </w:r>
                </w:p>
              </w:tc>
              <w:tc>
                <w:tcPr>
                  <w:tcW w:w="395" w:type="pct"/>
                  <w:tcBorders>
                    <w:tl2br w:val="nil"/>
                    <w:tr2bl w:val="nil"/>
                  </w:tcBorders>
                </w:tcPr>
                <w:p>
                  <w:pPr>
                    <w:pStyle w:val="29"/>
                    <w:bidi w:val="0"/>
                    <w:rPr>
                      <w:highlight w:val="none"/>
                    </w:rPr>
                  </w:pPr>
                  <w:r>
                    <w:rPr>
                      <w:rFonts w:hint="eastAsia"/>
                      <w:highlight w:val="none"/>
                    </w:rPr>
                    <w:t>二级</w:t>
                  </w:r>
                </w:p>
              </w:tc>
              <w:tc>
                <w:tcPr>
                  <w:tcW w:w="396" w:type="pct"/>
                  <w:tcBorders>
                    <w:tl2br w:val="nil"/>
                    <w:tr2bl w:val="nil"/>
                  </w:tcBorders>
                </w:tcPr>
                <w:p>
                  <w:pPr>
                    <w:pStyle w:val="29"/>
                    <w:bidi w:val="0"/>
                    <w:rPr>
                      <w:highlight w:val="none"/>
                    </w:rPr>
                  </w:pPr>
                  <w:r>
                    <w:rPr>
                      <w:rFonts w:hint="eastAsia"/>
                      <w:highlight w:val="none"/>
                    </w:rPr>
                    <w:t>二级</w:t>
                  </w:r>
                </w:p>
              </w:tc>
              <w:tc>
                <w:tcPr>
                  <w:tcW w:w="394" w:type="pct"/>
                  <w:tcBorders>
                    <w:tl2br w:val="nil"/>
                    <w:tr2bl w:val="nil"/>
                  </w:tcBorders>
                </w:tcPr>
                <w:p>
                  <w:pPr>
                    <w:pStyle w:val="29"/>
                    <w:bidi w:val="0"/>
                    <w:rPr>
                      <w:highlight w:val="none"/>
                    </w:rPr>
                  </w:pPr>
                  <w:r>
                    <w:rPr>
                      <w:rFonts w:hint="eastAsia"/>
                      <w:highlight w:val="none"/>
                    </w:rPr>
                    <w:t>三级</w:t>
                  </w:r>
                </w:p>
              </w:tc>
              <w:tc>
                <w:tcPr>
                  <w:tcW w:w="395" w:type="pct"/>
                  <w:tcBorders>
                    <w:tl2br w:val="nil"/>
                    <w:tr2bl w:val="nil"/>
                  </w:tcBorders>
                </w:tcPr>
                <w:p>
                  <w:pPr>
                    <w:pStyle w:val="29"/>
                    <w:bidi w:val="0"/>
                    <w:rPr>
                      <w:highlight w:val="none"/>
                    </w:rPr>
                  </w:pPr>
                  <w:r>
                    <w:rPr>
                      <w:rFonts w:hint="eastAsia"/>
                      <w:highlight w:val="none"/>
                    </w:rPr>
                    <w:t>三级</w:t>
                  </w:r>
                </w:p>
              </w:tc>
              <w:tc>
                <w:tcPr>
                  <w:tcW w:w="395" w:type="pct"/>
                  <w:tcBorders>
                    <w:tl2br w:val="nil"/>
                    <w:tr2bl w:val="nil"/>
                  </w:tcBorders>
                </w:tcPr>
                <w:p>
                  <w:pPr>
                    <w:pStyle w:val="29"/>
                    <w:bidi w:val="0"/>
                    <w:rPr>
                      <w:highlight w:val="none"/>
                    </w:rPr>
                  </w:pPr>
                  <w:r>
                    <w:rPr>
                      <w:rFonts w:hint="eastAsia"/>
                      <w:highlight w:val="none"/>
                    </w:rPr>
                    <w:t>三级</w:t>
                  </w:r>
                </w:p>
              </w:tc>
              <w:tc>
                <w:tcPr>
                  <w:tcW w:w="411" w:type="pct"/>
                  <w:tcBorders>
                    <w:tl2br w:val="nil"/>
                    <w:tr2bl w:val="nil"/>
                  </w:tcBorders>
                </w:tcPr>
                <w:p>
                  <w:pPr>
                    <w:pStyle w:val="29"/>
                    <w:bidi w:val="0"/>
                    <w:rPr>
                      <w:highlight w:val="none"/>
                    </w:rPr>
                  </w:pPr>
                  <w:r>
                    <w:rPr>
                      <w:rFonts w:hint="eastAsia"/>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1408" w:type="pct"/>
                  <w:tcBorders>
                    <w:tl2br w:val="nil"/>
                    <w:tr2bl w:val="nil"/>
                  </w:tcBorders>
                </w:tcPr>
                <w:p>
                  <w:pPr>
                    <w:pStyle w:val="29"/>
                    <w:bidi w:val="0"/>
                    <w:rPr>
                      <w:highlight w:val="none"/>
                    </w:rPr>
                  </w:pPr>
                  <w:r>
                    <w:rPr>
                      <w:rFonts w:hint="eastAsia"/>
                      <w:highlight w:val="none"/>
                    </w:rPr>
                    <w:t>不敏感</w:t>
                  </w:r>
                </w:p>
              </w:tc>
              <w:tc>
                <w:tcPr>
                  <w:tcW w:w="411" w:type="pct"/>
                  <w:tcBorders>
                    <w:tl2br w:val="nil"/>
                    <w:tr2bl w:val="nil"/>
                  </w:tcBorders>
                </w:tcPr>
                <w:p>
                  <w:pPr>
                    <w:pStyle w:val="29"/>
                    <w:bidi w:val="0"/>
                    <w:rPr>
                      <w:highlight w:val="none"/>
                    </w:rPr>
                  </w:pPr>
                  <w:r>
                    <w:rPr>
                      <w:rFonts w:hint="eastAsia"/>
                      <w:highlight w:val="none"/>
                    </w:rPr>
                    <w:t>一级</w:t>
                  </w:r>
                </w:p>
              </w:tc>
              <w:tc>
                <w:tcPr>
                  <w:tcW w:w="394" w:type="pct"/>
                  <w:tcBorders>
                    <w:tl2br w:val="nil"/>
                    <w:tr2bl w:val="nil"/>
                  </w:tcBorders>
                </w:tcPr>
                <w:p>
                  <w:pPr>
                    <w:pStyle w:val="29"/>
                    <w:bidi w:val="0"/>
                    <w:rPr>
                      <w:highlight w:val="none"/>
                    </w:rPr>
                  </w:pPr>
                  <w:r>
                    <w:rPr>
                      <w:rFonts w:hint="eastAsia"/>
                      <w:highlight w:val="none"/>
                    </w:rPr>
                    <w:t>二级</w:t>
                  </w:r>
                </w:p>
              </w:tc>
              <w:tc>
                <w:tcPr>
                  <w:tcW w:w="396" w:type="pct"/>
                  <w:tcBorders>
                    <w:tl2br w:val="nil"/>
                    <w:tr2bl w:val="nil"/>
                  </w:tcBorders>
                </w:tcPr>
                <w:p>
                  <w:pPr>
                    <w:pStyle w:val="29"/>
                    <w:bidi w:val="0"/>
                    <w:rPr>
                      <w:highlight w:val="none"/>
                    </w:rPr>
                  </w:pPr>
                  <w:r>
                    <w:rPr>
                      <w:rFonts w:hint="eastAsia"/>
                      <w:highlight w:val="none"/>
                    </w:rPr>
                    <w:t>二级</w:t>
                  </w:r>
                </w:p>
              </w:tc>
              <w:tc>
                <w:tcPr>
                  <w:tcW w:w="395" w:type="pct"/>
                  <w:tcBorders>
                    <w:tl2br w:val="nil"/>
                    <w:tr2bl w:val="nil"/>
                  </w:tcBorders>
                </w:tcPr>
                <w:p>
                  <w:pPr>
                    <w:pStyle w:val="29"/>
                    <w:bidi w:val="0"/>
                    <w:rPr>
                      <w:highlight w:val="none"/>
                    </w:rPr>
                  </w:pPr>
                  <w:r>
                    <w:rPr>
                      <w:rFonts w:hint="eastAsia"/>
                      <w:highlight w:val="none"/>
                    </w:rPr>
                    <w:t>二级</w:t>
                  </w:r>
                </w:p>
              </w:tc>
              <w:tc>
                <w:tcPr>
                  <w:tcW w:w="396" w:type="pct"/>
                  <w:tcBorders>
                    <w:tl2br w:val="nil"/>
                    <w:tr2bl w:val="nil"/>
                  </w:tcBorders>
                </w:tcPr>
                <w:p>
                  <w:pPr>
                    <w:pStyle w:val="29"/>
                    <w:bidi w:val="0"/>
                    <w:rPr>
                      <w:highlight w:val="none"/>
                    </w:rPr>
                  </w:pPr>
                  <w:r>
                    <w:rPr>
                      <w:rFonts w:hint="eastAsia"/>
                      <w:highlight w:val="none"/>
                    </w:rPr>
                    <w:t>三级</w:t>
                  </w:r>
                </w:p>
              </w:tc>
              <w:tc>
                <w:tcPr>
                  <w:tcW w:w="394" w:type="pct"/>
                  <w:tcBorders>
                    <w:tl2br w:val="nil"/>
                    <w:tr2bl w:val="nil"/>
                  </w:tcBorders>
                  <w:shd w:val="clear" w:color="auto" w:fill="00B0F0"/>
                </w:tcPr>
                <w:p>
                  <w:pPr>
                    <w:pStyle w:val="29"/>
                    <w:bidi w:val="0"/>
                    <w:rPr>
                      <w:highlight w:val="none"/>
                    </w:rPr>
                  </w:pPr>
                  <w:r>
                    <w:rPr>
                      <w:rFonts w:hint="eastAsia"/>
                      <w:highlight w:val="none"/>
                    </w:rPr>
                    <w:t>三级</w:t>
                  </w:r>
                </w:p>
              </w:tc>
              <w:tc>
                <w:tcPr>
                  <w:tcW w:w="395" w:type="pct"/>
                  <w:tcBorders>
                    <w:tl2br w:val="nil"/>
                    <w:tr2bl w:val="nil"/>
                  </w:tcBorders>
                </w:tcPr>
                <w:p>
                  <w:pPr>
                    <w:pStyle w:val="29"/>
                    <w:bidi w:val="0"/>
                    <w:rPr>
                      <w:highlight w:val="none"/>
                    </w:rPr>
                  </w:pPr>
                  <w:r>
                    <w:rPr>
                      <w:rFonts w:hint="eastAsia"/>
                      <w:highlight w:val="none"/>
                    </w:rPr>
                    <w:t>三级</w:t>
                  </w:r>
                </w:p>
              </w:tc>
              <w:tc>
                <w:tcPr>
                  <w:tcW w:w="395" w:type="pct"/>
                  <w:tcBorders>
                    <w:tl2br w:val="nil"/>
                    <w:tr2bl w:val="nil"/>
                  </w:tcBorders>
                </w:tcPr>
                <w:p>
                  <w:pPr>
                    <w:pStyle w:val="29"/>
                    <w:bidi w:val="0"/>
                    <w:rPr>
                      <w:highlight w:val="none"/>
                    </w:rPr>
                  </w:pPr>
                  <w:r>
                    <w:rPr>
                      <w:rFonts w:hint="eastAsia"/>
                      <w:highlight w:val="none"/>
                    </w:rPr>
                    <w:t>-</w:t>
                  </w:r>
                </w:p>
              </w:tc>
              <w:tc>
                <w:tcPr>
                  <w:tcW w:w="411" w:type="pct"/>
                  <w:tcBorders>
                    <w:tl2br w:val="nil"/>
                    <w:tr2bl w:val="nil"/>
                  </w:tcBorders>
                </w:tcPr>
                <w:p>
                  <w:pPr>
                    <w:pStyle w:val="29"/>
                    <w:bidi w:val="0"/>
                    <w:rPr>
                      <w:highlight w:val="none"/>
                    </w:rPr>
                  </w:pPr>
                  <w:r>
                    <w:rPr>
                      <w:rFonts w:hint="eastAsia"/>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5000" w:type="pct"/>
                  <w:gridSpan w:val="10"/>
                  <w:tcBorders>
                    <w:tl2br w:val="nil"/>
                    <w:tr2bl w:val="nil"/>
                  </w:tcBorders>
                  <w:vAlign w:val="center"/>
                </w:tcPr>
                <w:p>
                  <w:pPr>
                    <w:pStyle w:val="29"/>
                    <w:bidi w:val="0"/>
                    <w:rPr>
                      <w:highlight w:val="none"/>
                    </w:rPr>
                  </w:pPr>
                  <w:r>
                    <w:rPr>
                      <w:highlight w:val="none"/>
                    </w:rPr>
                    <w:t>注：“-”表示可不开展土壤环境影响评价工作</w:t>
                  </w:r>
                </w:p>
              </w:tc>
            </w:tr>
          </w:tbl>
          <w:p>
            <w:pPr>
              <w:bidi w:val="0"/>
              <w:rPr>
                <w:highlight w:val="none"/>
              </w:rPr>
            </w:pPr>
            <w:r>
              <w:rPr>
                <w:highlight w:val="none"/>
              </w:rPr>
              <w:t>由表</w:t>
            </w:r>
            <w:r>
              <w:rPr>
                <w:rFonts w:hint="eastAsia"/>
                <w:highlight w:val="none"/>
                <w:lang w:val="en-US" w:eastAsia="zh-CN"/>
              </w:rPr>
              <w:t>41</w:t>
            </w:r>
            <w:r>
              <w:rPr>
                <w:highlight w:val="none"/>
              </w:rPr>
              <w:t>至</w:t>
            </w:r>
            <w:r>
              <w:rPr>
                <w:rFonts w:hint="eastAsia"/>
                <w:highlight w:val="none"/>
                <w:lang w:val="en-US" w:eastAsia="zh-CN"/>
              </w:rPr>
              <w:t>43</w:t>
            </w:r>
            <w:r>
              <w:rPr>
                <w:highlight w:val="none"/>
              </w:rPr>
              <w:t>可知，本项目污染影响型评价工作等级为</w:t>
            </w:r>
            <w:r>
              <w:rPr>
                <w:rFonts w:hint="eastAsia"/>
                <w:highlight w:val="none"/>
              </w:rPr>
              <w:t>“三级”</w:t>
            </w:r>
            <w:r>
              <w:rPr>
                <w:highlight w:val="none"/>
              </w:rPr>
              <w:t>，开展土壤环境影响评价工作。</w:t>
            </w:r>
          </w:p>
          <w:p>
            <w:pPr>
              <w:bidi w:val="0"/>
              <w:rPr>
                <w:highlight w:val="none"/>
              </w:rPr>
            </w:pPr>
            <w:r>
              <w:rPr>
                <w:highlight w:val="none"/>
              </w:rPr>
              <w:t>（</w:t>
            </w:r>
            <w:r>
              <w:rPr>
                <w:rFonts w:hint="eastAsia"/>
                <w:highlight w:val="none"/>
              </w:rPr>
              <w:t>5</w:t>
            </w:r>
            <w:r>
              <w:rPr>
                <w:highlight w:val="none"/>
              </w:rPr>
              <w:t>）土壤影响分析</w:t>
            </w:r>
          </w:p>
          <w:p>
            <w:pPr>
              <w:bidi w:val="0"/>
              <w:rPr>
                <w:highlight w:val="none"/>
              </w:rPr>
            </w:pPr>
            <w:r>
              <w:rPr>
                <w:highlight w:val="none"/>
              </w:rPr>
              <w:t>建设</w:t>
            </w:r>
            <w:r>
              <w:rPr>
                <w:rFonts w:hint="eastAsia"/>
                <w:highlight w:val="none"/>
              </w:rPr>
              <w:t>项目</w:t>
            </w:r>
            <w:r>
              <w:rPr>
                <w:rFonts w:hint="eastAsia"/>
                <w:highlight w:val="none"/>
                <w:lang w:eastAsia="zh-CN"/>
              </w:rPr>
              <w:t>营运期</w:t>
            </w:r>
            <w:r>
              <w:rPr>
                <w:rFonts w:hint="eastAsia"/>
                <w:highlight w:val="none"/>
              </w:rPr>
              <w:t>土壤污染主要影响源来自于大气沉降影响，同时涉及部分下渗及地面漫流影响。</w:t>
            </w:r>
          </w:p>
          <w:p>
            <w:pPr>
              <w:bidi w:val="0"/>
              <w:rPr>
                <w:highlight w:val="none"/>
              </w:rPr>
            </w:pPr>
            <w:r>
              <w:rPr>
                <w:rFonts w:hint="eastAsia"/>
                <w:highlight w:val="none"/>
              </w:rPr>
              <w:t>本项目主要涉及的特征污染物不涉及土壤污染重点污染物（镉、汞、砷铅、铬（六价）铜、镍、石油烃），因此，按照《环境影响评价技术导则</w:t>
            </w:r>
            <w:r>
              <w:rPr>
                <w:highlight w:val="none"/>
              </w:rPr>
              <w:t xml:space="preserve"> </w:t>
            </w:r>
            <w:r>
              <w:rPr>
                <w:rFonts w:hint="eastAsia"/>
                <w:highlight w:val="none"/>
              </w:rPr>
              <w:t>土壤环境（试行）》（</w:t>
            </w:r>
            <w:r>
              <w:rPr>
                <w:highlight w:val="none"/>
              </w:rPr>
              <w:t>HJ964-2018</w:t>
            </w:r>
            <w:r>
              <w:rPr>
                <w:rFonts w:hint="eastAsia"/>
                <w:highlight w:val="none"/>
              </w:rPr>
              <w:t>）土壤环境影响以定性和类比分析为主。</w:t>
            </w:r>
          </w:p>
          <w:p>
            <w:pPr>
              <w:bidi w:val="0"/>
              <w:rPr>
                <w:highlight w:val="none"/>
              </w:rPr>
            </w:pPr>
            <w:r>
              <w:rPr>
                <w:rFonts w:hint="eastAsia"/>
                <w:highlight w:val="none"/>
              </w:rPr>
              <w:t>大气沉降影响分析评价：</w:t>
            </w:r>
          </w:p>
          <w:p>
            <w:pPr>
              <w:bidi w:val="0"/>
              <w:rPr>
                <w:highlight w:val="none"/>
              </w:rPr>
            </w:pPr>
            <w:r>
              <w:rPr>
                <w:rFonts w:hint="eastAsia"/>
                <w:highlight w:val="none"/>
              </w:rPr>
              <w:t>本项目大气沉降影响主要是生产过程产生的</w:t>
            </w:r>
            <w:r>
              <w:rPr>
                <w:rFonts w:hint="eastAsia"/>
                <w:highlight w:val="none"/>
                <w:lang w:eastAsia="zh-CN"/>
              </w:rPr>
              <w:t>废气</w:t>
            </w:r>
            <w:r>
              <w:rPr>
                <w:rFonts w:hint="eastAsia"/>
                <w:highlight w:val="none"/>
              </w:rPr>
              <w:t>对于土壤产生的影响。鉴于产生</w:t>
            </w:r>
            <w:r>
              <w:rPr>
                <w:rFonts w:hint="eastAsia"/>
                <w:highlight w:val="none"/>
                <w:lang w:eastAsia="zh-CN"/>
              </w:rPr>
              <w:t>废气，丙烷（以非甲烷总烃计）</w:t>
            </w:r>
            <w:r>
              <w:rPr>
                <w:rFonts w:hint="eastAsia"/>
                <w:highlight w:val="none"/>
                <w:lang w:val="en-US" w:eastAsia="zh-CN"/>
              </w:rPr>
              <w:t>全部挥发进入空气，基本无沉降</w:t>
            </w:r>
            <w:r>
              <w:rPr>
                <w:rFonts w:hint="eastAsia"/>
                <w:highlight w:val="none"/>
              </w:rPr>
              <w:t>。因此基本不会对土壤产生明显的污染，改变土壤的环境质量。</w:t>
            </w:r>
          </w:p>
          <w:p>
            <w:pPr>
              <w:bidi w:val="0"/>
              <w:rPr>
                <w:highlight w:val="none"/>
              </w:rPr>
            </w:pPr>
            <w:r>
              <w:rPr>
                <w:highlight w:val="none"/>
              </w:rPr>
              <w:t>为了确保占地范围内和占地范围外土壤环境质量均达标，本环评仍要求建设单位加强土壤污染防治措施，具体防治措施如下：</w:t>
            </w:r>
          </w:p>
          <w:p>
            <w:pPr>
              <w:bidi w:val="0"/>
              <w:rPr>
                <w:highlight w:val="none"/>
              </w:rPr>
            </w:pPr>
            <w:r>
              <w:rPr>
                <w:rFonts w:hint="eastAsia"/>
                <w:highlight w:val="none"/>
              </w:rPr>
              <w:t>①</w:t>
            </w:r>
            <w:r>
              <w:rPr>
                <w:highlight w:val="none"/>
              </w:rPr>
              <w:t>加强厂区内绿化，种植具有较强吸附能力的植物，减少涉及大气沉降对土壤的影响；</w:t>
            </w:r>
          </w:p>
          <w:p>
            <w:pPr>
              <w:bidi w:val="0"/>
              <w:rPr>
                <w:highlight w:val="none"/>
              </w:rPr>
            </w:pPr>
            <w:r>
              <w:rPr>
                <w:rFonts w:hint="eastAsia"/>
                <w:highlight w:val="none"/>
              </w:rPr>
              <w:t>②</w:t>
            </w:r>
            <w:r>
              <w:rPr>
                <w:highlight w:val="none"/>
              </w:rPr>
              <w:t>加强员工培训，做好设备定期维护工作，确保设备正常运行。</w:t>
            </w:r>
          </w:p>
          <w:p>
            <w:pPr>
              <w:bidi w:val="0"/>
              <w:rPr>
                <w:highlight w:val="none"/>
              </w:rPr>
            </w:pPr>
            <w:r>
              <w:rPr>
                <w:highlight w:val="none"/>
              </w:rPr>
              <w:t>（</w:t>
            </w:r>
            <w:r>
              <w:rPr>
                <w:rFonts w:hint="eastAsia"/>
                <w:highlight w:val="none"/>
              </w:rPr>
              <w:t>6</w:t>
            </w:r>
            <w:r>
              <w:rPr>
                <w:highlight w:val="none"/>
              </w:rPr>
              <w:t>）结论</w:t>
            </w:r>
          </w:p>
          <w:p>
            <w:pPr>
              <w:bidi w:val="0"/>
              <w:rPr>
                <w:highlight w:val="none"/>
              </w:rPr>
            </w:pPr>
            <w:r>
              <w:rPr>
                <w:rFonts w:hint="eastAsia"/>
                <w:highlight w:val="none"/>
              </w:rPr>
              <w:t>落实以上环保措施后，项目对土壤环境影响不大。</w:t>
            </w:r>
          </w:p>
          <w:p>
            <w:pPr>
              <w:pStyle w:val="4"/>
              <w:bidi w:val="0"/>
              <w:rPr>
                <w:highlight w:val="none"/>
              </w:rPr>
            </w:pPr>
            <w:r>
              <w:rPr>
                <w:highlight w:val="none"/>
              </w:rPr>
              <w:t>（六）、生态环境影响分析</w:t>
            </w:r>
          </w:p>
          <w:p>
            <w:pPr>
              <w:bidi w:val="0"/>
              <w:rPr>
                <w:b/>
                <w:snapToGrid w:val="0"/>
                <w:highlight w:val="none"/>
              </w:rPr>
            </w:pPr>
            <w:r>
              <w:rPr>
                <w:highlight w:val="none"/>
              </w:rPr>
              <w:t>据现场勘查，项目营运期的厂房已建成，施工期对周围生态环境的影响已结束，评价建议项目建成投产后加强厂区绿化，不仅美化环境，同时起到降低噪声的作用。</w:t>
            </w:r>
          </w:p>
          <w:p>
            <w:pPr>
              <w:pStyle w:val="4"/>
              <w:bidi w:val="0"/>
              <w:rPr>
                <w:highlight w:val="none"/>
              </w:rPr>
            </w:pPr>
            <w:r>
              <w:rPr>
                <w:highlight w:val="none"/>
              </w:rPr>
              <w:t>（</w:t>
            </w:r>
            <w:r>
              <w:rPr>
                <w:rFonts w:hint="eastAsia"/>
                <w:highlight w:val="none"/>
              </w:rPr>
              <w:t>七</w:t>
            </w:r>
            <w:r>
              <w:rPr>
                <w:highlight w:val="none"/>
              </w:rPr>
              <w:t>）</w:t>
            </w:r>
            <w:r>
              <w:rPr>
                <w:rFonts w:hint="eastAsia"/>
                <w:highlight w:val="none"/>
                <w:lang w:eastAsia="zh-CN"/>
              </w:rPr>
              <w:t>、</w:t>
            </w:r>
            <w:r>
              <w:rPr>
                <w:highlight w:val="none"/>
              </w:rPr>
              <w:t>环境风险分析</w:t>
            </w:r>
          </w:p>
          <w:p>
            <w:pPr>
              <w:adjustRightInd w:val="0"/>
              <w:snapToGrid w:val="0"/>
              <w:spacing w:line="360" w:lineRule="auto"/>
              <w:ind w:firstLine="480" w:firstLineChars="200"/>
              <w:rPr>
                <w:sz w:val="24"/>
                <w:highlight w:val="none"/>
              </w:rPr>
            </w:pPr>
            <w:r>
              <w:rPr>
                <w:sz w:val="24"/>
                <w:highlight w:val="none"/>
              </w:rPr>
              <w:t>由于本项目生产过程会储存氩气</w:t>
            </w:r>
            <w:r>
              <w:rPr>
                <w:rFonts w:hint="eastAsia"/>
                <w:sz w:val="24"/>
                <w:highlight w:val="none"/>
                <w:lang w:eastAsia="zh-CN"/>
              </w:rPr>
              <w:t>、</w:t>
            </w:r>
            <w:r>
              <w:rPr>
                <w:sz w:val="24"/>
                <w:highlight w:val="none"/>
              </w:rPr>
              <w:t>氧气、</w:t>
            </w:r>
            <w:r>
              <w:rPr>
                <w:rFonts w:hint="eastAsia"/>
                <w:sz w:val="24"/>
                <w:highlight w:val="none"/>
                <w:lang w:val="en-US" w:eastAsia="zh-CN"/>
              </w:rPr>
              <w:t>氮气、丙烷和</w:t>
            </w:r>
            <w:r>
              <w:rPr>
                <w:sz w:val="24"/>
                <w:highlight w:val="none"/>
              </w:rPr>
              <w:t>二氧化碳，存在一定的环境风险，现设环境风险评价专章，对项目存在的环境风险排查，对可能造成重大环境污染的所做预防措施进行分析，改进措施，完善相应预案，提出建议，加强项目全过程风险管理。</w:t>
            </w:r>
          </w:p>
          <w:p>
            <w:pPr>
              <w:ind w:firstLine="480"/>
              <w:rPr>
                <w:rFonts w:hint="default"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评价依据</w:t>
            </w:r>
          </w:p>
          <w:p>
            <w:pPr>
              <w:keepNext w:val="0"/>
              <w:keepLines w:val="0"/>
              <w:pageBreakBefore w:val="0"/>
              <w:widowControl w:val="0"/>
              <w:numPr>
                <w:ilvl w:val="0"/>
                <w:numId w:val="5"/>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风险调查</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color w:val="auto"/>
                <w:highlight w:val="none"/>
                <w:lang w:eastAsia="zh-CN"/>
              </w:rPr>
              <w:t>本项目为</w:t>
            </w:r>
            <w:r>
              <w:rPr>
                <w:rFonts w:hint="eastAsia" w:ascii="Times New Roman" w:hAnsi="Times New Roman" w:eastAsia="宋体" w:cs="Times New Roman"/>
                <w:color w:val="auto"/>
                <w:highlight w:val="none"/>
                <w:lang w:val="en-US" w:eastAsia="zh-CN"/>
              </w:rPr>
              <w:t>气体分装</w:t>
            </w:r>
            <w:r>
              <w:rPr>
                <w:rFonts w:hint="default" w:ascii="Times New Roman" w:hAnsi="Times New Roman" w:eastAsia="宋体" w:cs="Times New Roman"/>
                <w:color w:val="auto"/>
                <w:highlight w:val="none"/>
                <w:lang w:eastAsia="zh-CN"/>
              </w:rPr>
              <w:t>项目，项目年转运丙烷</w:t>
            </w:r>
            <w:r>
              <w:rPr>
                <w:rFonts w:hint="eastAsia" w:ascii="Times New Roman" w:hAnsi="Times New Roman" w:eastAsia="宋体" w:cs="Times New Roman"/>
                <w:color w:val="auto"/>
                <w:highlight w:val="none"/>
                <w:lang w:val="en-US" w:eastAsia="zh-CN"/>
              </w:rPr>
              <w:t>2000</w:t>
            </w:r>
            <w:r>
              <w:rPr>
                <w:rFonts w:hint="default" w:ascii="Times New Roman" w:hAnsi="Times New Roman" w:eastAsia="宋体" w:cs="Times New Roman"/>
                <w:color w:val="auto"/>
                <w:highlight w:val="none"/>
                <w:lang w:val="en-US" w:eastAsia="zh-CN"/>
              </w:rPr>
              <w:t>t/a。</w:t>
            </w:r>
            <w:r>
              <w:rPr>
                <w:rFonts w:hint="default" w:ascii="Times New Roman" w:hAnsi="Times New Roman" w:eastAsia="宋体" w:cs="Times New Roman"/>
                <w:color w:val="auto"/>
                <w:highlight w:val="none"/>
                <w:lang w:eastAsia="zh-CN"/>
              </w:rPr>
              <w:t>根据本项目的生产特点，项目涉及的风险物质为丙烷，风险源为</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eastAsia="zh-CN"/>
              </w:rPr>
              <w:t>个</w:t>
            </w:r>
            <w:r>
              <w:rPr>
                <w:rFonts w:hint="eastAsia" w:ascii="Times New Roman" w:hAnsi="Times New Roman" w:eastAsia="宋体" w:cs="Times New Roman"/>
                <w:color w:val="auto"/>
                <w:highlight w:val="none"/>
                <w:lang w:val="en-US" w:eastAsia="zh-CN"/>
              </w:rPr>
              <w:t>50</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的</w:t>
            </w:r>
            <w:r>
              <w:rPr>
                <w:rFonts w:hint="eastAsia" w:ascii="Times New Roman" w:hAnsi="Times New Roman" w:cs="Times New Roman"/>
                <w:color w:val="auto"/>
                <w:highlight w:val="none"/>
                <w:lang w:val="en-US" w:eastAsia="zh-CN"/>
              </w:rPr>
              <w:t>储</w:t>
            </w:r>
            <w:r>
              <w:rPr>
                <w:rFonts w:hint="default" w:ascii="Times New Roman" w:hAnsi="Times New Roman" w:eastAsia="宋体" w:cs="Times New Roman"/>
                <w:color w:val="auto"/>
                <w:highlight w:val="none"/>
                <w:lang w:eastAsia="zh-CN"/>
              </w:rPr>
              <w:t>罐，另外管道也是本项目风险源之一，管道内介质与厂内现有管道内介质相似，管道利用现有管廊，位于厂界内。</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eastAsia="zh-CN"/>
              </w:rPr>
              <w:t>表</w:t>
            </w:r>
            <w:r>
              <w:rPr>
                <w:rFonts w:hint="eastAsia" w:cs="Times New Roman"/>
                <w:b w:val="0"/>
                <w:bCs w:val="0"/>
                <w:color w:val="auto"/>
                <w:sz w:val="24"/>
                <w:szCs w:val="24"/>
                <w:highlight w:val="none"/>
                <w:lang w:val="en-US" w:eastAsia="zh-CN"/>
              </w:rPr>
              <w:t>44</w:t>
            </w:r>
            <w:r>
              <w:rPr>
                <w:rFonts w:hint="default" w:ascii="Times New Roman" w:hAnsi="Times New Roman" w:eastAsia="宋体" w:cs="Times New Roman"/>
                <w:b w:val="0"/>
                <w:bCs w:val="0"/>
                <w:color w:val="auto"/>
                <w:sz w:val="24"/>
                <w:szCs w:val="24"/>
                <w:highlight w:val="none"/>
                <w:lang w:val="en-US" w:eastAsia="zh-CN"/>
              </w:rPr>
              <w:t xml:space="preserve">  本项目涉及的主要物料危险特性表</w:t>
            </w:r>
          </w:p>
          <w:tbl>
            <w:tblPr>
              <w:tblStyle w:val="21"/>
              <w:tblW w:w="4997" w:type="pct"/>
              <w:tblInd w:w="-10" w:type="dxa"/>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Layout w:type="autofit"/>
              <w:tblCellMar>
                <w:top w:w="0" w:type="dxa"/>
                <w:left w:w="0" w:type="dxa"/>
                <w:bottom w:w="0" w:type="dxa"/>
                <w:right w:w="0" w:type="dxa"/>
              </w:tblCellMar>
            </w:tblPr>
            <w:tblGrid>
              <w:gridCol w:w="815"/>
              <w:gridCol w:w="946"/>
              <w:gridCol w:w="900"/>
              <w:gridCol w:w="1467"/>
              <w:gridCol w:w="928"/>
              <w:gridCol w:w="1592"/>
              <w:gridCol w:w="2362"/>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273" w:hRule="atLeast"/>
              </w:trPr>
              <w:tc>
                <w:tcPr>
                  <w:tcW w:w="452" w:type="pct"/>
                  <w:vMerge w:val="restart"/>
                  <w:tcBorders>
                    <w:tl2br w:val="nil"/>
                    <w:tr2bl w:val="nil"/>
                  </w:tcBorders>
                  <w:vAlign w:val="center"/>
                </w:tcPr>
                <w:p>
                  <w:pPr>
                    <w:ind w:left="0" w:lef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物质名称</w:t>
                  </w:r>
                </w:p>
              </w:tc>
              <w:tc>
                <w:tcPr>
                  <w:tcW w:w="525" w:type="pct"/>
                  <w:vMerge w:val="restart"/>
                  <w:tcBorders>
                    <w:tl2br w:val="nil"/>
                    <w:tr2bl w:val="nil"/>
                  </w:tcBorders>
                  <w:vAlign w:val="center"/>
                </w:tcPr>
                <w:p>
                  <w:pPr>
                    <w:jc w:val="center"/>
                    <w:rPr>
                      <w:rFonts w:hint="default" w:ascii="Times New Roman" w:hAnsi="Times New Roman" w:cs="Times New Roman"/>
                      <w:sz w:val="21"/>
                      <w:szCs w:val="21"/>
                      <w:highlight w:val="none"/>
                    </w:rPr>
                  </w:pPr>
                </w:p>
                <w:p>
                  <w:pPr>
                    <w:ind w:left="0" w:lef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理化性质</w:t>
                  </w:r>
                </w:p>
              </w:tc>
              <w:tc>
                <w:tcPr>
                  <w:tcW w:w="2711" w:type="pct"/>
                  <w:gridSpan w:val="4"/>
                  <w:tcBorders>
                    <w:tl2br w:val="nil"/>
                    <w:tr2bl w:val="nil"/>
                  </w:tcBorders>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危险性质</w:t>
                  </w:r>
                </w:p>
              </w:tc>
              <w:tc>
                <w:tcPr>
                  <w:tcW w:w="1310" w:type="pct"/>
                  <w:tcBorders>
                    <w:tl2br w:val="nil"/>
                    <w:tr2bl w:val="nil"/>
                  </w:tcBorders>
                  <w:vAlign w:val="center"/>
                </w:tcPr>
                <w:p>
                  <w:pPr>
                    <w:ind w:left="0" w:lef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毒性</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544" w:hRule="atLeast"/>
              </w:trPr>
              <w:tc>
                <w:tcPr>
                  <w:tcW w:w="452" w:type="pct"/>
                  <w:vMerge w:val="continue"/>
                  <w:tcBorders>
                    <w:tl2br w:val="nil"/>
                    <w:tr2bl w:val="nil"/>
                  </w:tcBorders>
                  <w:vAlign w:val="center"/>
                </w:tcPr>
                <w:p>
                  <w:pPr>
                    <w:jc w:val="center"/>
                    <w:rPr>
                      <w:rFonts w:hint="default" w:ascii="Times New Roman" w:hAnsi="Times New Roman" w:cs="Times New Roman"/>
                      <w:sz w:val="21"/>
                      <w:szCs w:val="21"/>
                      <w:highlight w:val="none"/>
                    </w:rPr>
                  </w:pPr>
                </w:p>
              </w:tc>
              <w:tc>
                <w:tcPr>
                  <w:tcW w:w="525" w:type="pct"/>
                  <w:vMerge w:val="continue"/>
                  <w:tcBorders>
                    <w:tl2br w:val="nil"/>
                    <w:tr2bl w:val="nil"/>
                  </w:tcBorders>
                  <w:vAlign w:val="center"/>
                </w:tcPr>
                <w:p>
                  <w:pPr>
                    <w:jc w:val="center"/>
                    <w:rPr>
                      <w:rFonts w:hint="default" w:ascii="Times New Roman" w:hAnsi="Times New Roman" w:cs="Times New Roman"/>
                      <w:sz w:val="21"/>
                      <w:szCs w:val="21"/>
                      <w:highlight w:val="none"/>
                    </w:rPr>
                  </w:pPr>
                </w:p>
              </w:tc>
              <w:tc>
                <w:tcPr>
                  <w:tcW w:w="499" w:type="pct"/>
                  <w:tcBorders>
                    <w:tl2br w:val="nil"/>
                    <w:tr2bl w:val="nil"/>
                  </w:tcBorders>
                  <w:vAlign w:val="center"/>
                </w:tcPr>
                <w:p>
                  <w:pPr>
                    <w:ind w:left="0" w:lef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沸点（℃）</w:t>
                  </w:r>
                </w:p>
              </w:tc>
              <w:tc>
                <w:tcPr>
                  <w:tcW w:w="814" w:type="pct"/>
                  <w:tcBorders>
                    <w:tl2br w:val="nil"/>
                    <w:tr2bl w:val="nil"/>
                  </w:tcBorders>
                  <w:vAlign w:val="center"/>
                </w:tcPr>
                <w:p>
                  <w:pPr>
                    <w:ind w:left="0" w:lef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饱和蒸汽压</w:t>
                  </w:r>
                </w:p>
              </w:tc>
              <w:tc>
                <w:tcPr>
                  <w:tcW w:w="515" w:type="pct"/>
                  <w:tcBorders>
                    <w:tl2br w:val="nil"/>
                    <w:tr2bl w:val="nil"/>
                  </w:tcBorders>
                  <w:vAlign w:val="center"/>
                </w:tcPr>
                <w:p>
                  <w:pPr>
                    <w:ind w:left="0" w:lef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爆炸极限</w:t>
                  </w:r>
                </w:p>
                <w:p>
                  <w:pPr>
                    <w:ind w:left="0" w:lef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（％V）</w:t>
                  </w:r>
                </w:p>
              </w:tc>
              <w:tc>
                <w:tcPr>
                  <w:tcW w:w="882" w:type="pct"/>
                  <w:tcBorders>
                    <w:tl2br w:val="nil"/>
                    <w:tr2bl w:val="nil"/>
                  </w:tcBorders>
                  <w:vAlign w:val="center"/>
                </w:tcPr>
                <w:p>
                  <w:pPr>
                    <w:ind w:left="0" w:lef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物质危险性*</w:t>
                  </w:r>
                </w:p>
              </w:tc>
              <w:tc>
                <w:tcPr>
                  <w:tcW w:w="1310" w:type="pct"/>
                  <w:tcBorders>
                    <w:tl2br w:val="nil"/>
                    <w:tr2bl w:val="nil"/>
                  </w:tcBorders>
                  <w:vAlign w:val="center"/>
                </w:tcPr>
                <w:p>
                  <w:pPr>
                    <w:ind w:left="0" w:lef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毒性分级</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1090" w:hRule="atLeast"/>
              </w:trPr>
              <w:tc>
                <w:tcPr>
                  <w:tcW w:w="452"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sz w:val="21"/>
                      <w:highlight w:val="none"/>
                    </w:rPr>
                  </w:pPr>
                  <w:r>
                    <w:rPr>
                      <w:sz w:val="21"/>
                      <w:highlight w:val="none"/>
                    </w:rPr>
                    <w:t>氧气</w:t>
                  </w:r>
                </w:p>
              </w:tc>
              <w:tc>
                <w:tcPr>
                  <w:tcW w:w="525"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微软雅黑"/>
                      <w:b/>
                      <w:sz w:val="14"/>
                      <w:highlight w:val="none"/>
                    </w:rPr>
                  </w:pPr>
                </w:p>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sz w:val="21"/>
                      <w:highlight w:val="none"/>
                    </w:rPr>
                  </w:pPr>
                  <w:r>
                    <w:rPr>
                      <w:sz w:val="21"/>
                      <w:highlight w:val="none"/>
                    </w:rPr>
                    <w:t>无色无味气体</w:t>
                  </w:r>
                </w:p>
              </w:tc>
              <w:tc>
                <w:tcPr>
                  <w:tcW w:w="499"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微软雅黑"/>
                      <w:b/>
                      <w:sz w:val="22"/>
                      <w:highlight w:val="none"/>
                    </w:rPr>
                  </w:pPr>
                </w:p>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ascii="Times New Roman"/>
                      <w:sz w:val="21"/>
                      <w:highlight w:val="none"/>
                    </w:rPr>
                  </w:pPr>
                  <w:r>
                    <w:rPr>
                      <w:rFonts w:ascii="Times New Roman"/>
                      <w:sz w:val="21"/>
                      <w:highlight w:val="none"/>
                    </w:rPr>
                    <w:t>-183</w:t>
                  </w:r>
                </w:p>
              </w:tc>
              <w:tc>
                <w:tcPr>
                  <w:tcW w:w="814"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微软雅黑"/>
                      <w:b/>
                      <w:sz w:val="15"/>
                      <w:highlight w:val="none"/>
                    </w:rPr>
                  </w:pPr>
                </w:p>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ascii="Times New Roman" w:hAnsi="Times New Roman"/>
                      <w:sz w:val="21"/>
                      <w:highlight w:val="none"/>
                    </w:rPr>
                  </w:pPr>
                  <w:r>
                    <w:rPr>
                      <w:rFonts w:ascii="Times New Roman" w:hAnsi="Times New Roman"/>
                      <w:sz w:val="21"/>
                      <w:highlight w:val="none"/>
                    </w:rPr>
                    <w:t>506.62KPa (-164</w:t>
                  </w:r>
                  <w:r>
                    <w:rPr>
                      <w:sz w:val="21"/>
                      <w:highlight w:val="none"/>
                    </w:rPr>
                    <w:t>℃</w:t>
                  </w:r>
                  <w:r>
                    <w:rPr>
                      <w:rFonts w:ascii="Times New Roman" w:hAnsi="Times New Roman"/>
                      <w:sz w:val="21"/>
                      <w:highlight w:val="none"/>
                    </w:rPr>
                    <w:t>)</w:t>
                  </w:r>
                </w:p>
              </w:tc>
              <w:tc>
                <w:tcPr>
                  <w:tcW w:w="515"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ascii="Times New Roman"/>
                      <w:sz w:val="21"/>
                      <w:highlight w:val="none"/>
                    </w:rPr>
                  </w:pPr>
                  <w:r>
                    <w:rPr>
                      <w:rFonts w:ascii="Times New Roman"/>
                      <w:sz w:val="21"/>
                      <w:highlight w:val="none"/>
                    </w:rPr>
                    <w:t>/</w:t>
                  </w:r>
                </w:p>
              </w:tc>
              <w:tc>
                <w:tcPr>
                  <w:tcW w:w="882"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sz w:val="21"/>
                      <w:highlight w:val="none"/>
                    </w:rPr>
                  </w:pPr>
                  <w:r>
                    <w:rPr>
                      <w:sz w:val="21"/>
                      <w:highlight w:val="none"/>
                    </w:rPr>
                    <w:t>助燃气体</w:t>
                  </w:r>
                </w:p>
              </w:tc>
              <w:tc>
                <w:tcPr>
                  <w:tcW w:w="1310"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highlight w:val="none"/>
                    </w:rPr>
                  </w:pPr>
                  <w:r>
                    <w:rPr>
                      <w:spacing w:val="-11"/>
                      <w:sz w:val="21"/>
                      <w:highlight w:val="none"/>
                    </w:rPr>
                    <w:t xml:space="preserve">无毒，氧浓度超过 </w:t>
                  </w:r>
                  <w:r>
                    <w:rPr>
                      <w:rFonts w:ascii="Times New Roman" w:eastAsia="Times New Roman"/>
                      <w:sz w:val="21"/>
                      <w:highlight w:val="none"/>
                    </w:rPr>
                    <w:t>40%</w:t>
                  </w:r>
                  <w:r>
                    <w:rPr>
                      <w:spacing w:val="-9"/>
                      <w:sz w:val="21"/>
                      <w:highlight w:val="none"/>
                    </w:rPr>
                    <w:t>时可</w:t>
                  </w:r>
                  <w:r>
                    <w:rPr>
                      <w:sz w:val="21"/>
                      <w:highlight w:val="none"/>
                    </w:rPr>
                    <w:t xml:space="preserve">能发生氧中毒，造成眼损 </w:t>
                  </w:r>
                  <w:r>
                    <w:rPr>
                      <w:spacing w:val="-11"/>
                      <w:sz w:val="21"/>
                      <w:highlight w:val="none"/>
                    </w:rPr>
                    <w:t xml:space="preserve">害，吸入氧浓度 </w:t>
                  </w:r>
                  <w:r>
                    <w:rPr>
                      <w:rFonts w:ascii="Times New Roman" w:eastAsia="Times New Roman"/>
                      <w:sz w:val="21"/>
                      <w:highlight w:val="none"/>
                    </w:rPr>
                    <w:t>80%</w:t>
                  </w:r>
                  <w:r>
                    <w:rPr>
                      <w:spacing w:val="-6"/>
                      <w:sz w:val="21"/>
                      <w:highlight w:val="none"/>
                    </w:rPr>
                    <w:t>以上会</w:t>
                  </w:r>
                  <w:r>
                    <w:rPr>
                      <w:sz w:val="21"/>
                      <w:highlight w:val="none"/>
                    </w:rPr>
                    <w:t>导致昏迷甚至死亡。</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1361" w:hRule="atLeast"/>
              </w:trPr>
              <w:tc>
                <w:tcPr>
                  <w:tcW w:w="452"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sz w:val="21"/>
                      <w:highlight w:val="none"/>
                    </w:rPr>
                  </w:pPr>
                  <w:r>
                    <w:rPr>
                      <w:sz w:val="21"/>
                      <w:highlight w:val="none"/>
                    </w:rPr>
                    <w:t>氩气</w:t>
                  </w:r>
                </w:p>
              </w:tc>
              <w:tc>
                <w:tcPr>
                  <w:tcW w:w="525"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微软雅黑"/>
                      <w:b/>
                      <w:sz w:val="14"/>
                      <w:highlight w:val="none"/>
                    </w:rPr>
                  </w:pPr>
                </w:p>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sz w:val="21"/>
                      <w:highlight w:val="none"/>
                    </w:rPr>
                  </w:pPr>
                  <w:r>
                    <w:rPr>
                      <w:sz w:val="21"/>
                      <w:highlight w:val="none"/>
                    </w:rPr>
                    <w:t>无色无味的惰性气体</w:t>
                  </w:r>
                </w:p>
              </w:tc>
              <w:tc>
                <w:tcPr>
                  <w:tcW w:w="499"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ascii="Times New Roman"/>
                      <w:sz w:val="21"/>
                      <w:highlight w:val="none"/>
                    </w:rPr>
                  </w:pPr>
                  <w:r>
                    <w:rPr>
                      <w:rFonts w:ascii="Times New Roman"/>
                      <w:sz w:val="21"/>
                      <w:highlight w:val="none"/>
                    </w:rPr>
                    <w:t>-185.7</w:t>
                  </w:r>
                </w:p>
              </w:tc>
              <w:tc>
                <w:tcPr>
                  <w:tcW w:w="814"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ascii="Times New Roman" w:hAnsi="Times New Roman"/>
                      <w:sz w:val="21"/>
                      <w:highlight w:val="none"/>
                    </w:rPr>
                  </w:pPr>
                  <w:r>
                    <w:rPr>
                      <w:rFonts w:ascii="Times New Roman" w:hAnsi="Times New Roman"/>
                      <w:sz w:val="21"/>
                      <w:highlight w:val="none"/>
                    </w:rPr>
                    <w:t>202.64KPa (-179</w:t>
                  </w:r>
                  <w:r>
                    <w:rPr>
                      <w:sz w:val="21"/>
                      <w:highlight w:val="none"/>
                    </w:rPr>
                    <w:t>℃</w:t>
                  </w:r>
                  <w:r>
                    <w:rPr>
                      <w:rFonts w:ascii="Times New Roman" w:hAnsi="Times New Roman"/>
                      <w:sz w:val="21"/>
                      <w:highlight w:val="none"/>
                    </w:rPr>
                    <w:t>)</w:t>
                  </w:r>
                </w:p>
              </w:tc>
              <w:tc>
                <w:tcPr>
                  <w:tcW w:w="515"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ascii="Times New Roman"/>
                      <w:sz w:val="21"/>
                      <w:highlight w:val="none"/>
                    </w:rPr>
                  </w:pPr>
                  <w:r>
                    <w:rPr>
                      <w:rFonts w:ascii="Times New Roman"/>
                      <w:sz w:val="21"/>
                      <w:highlight w:val="none"/>
                    </w:rPr>
                    <w:t>/</w:t>
                  </w:r>
                </w:p>
              </w:tc>
              <w:tc>
                <w:tcPr>
                  <w:tcW w:w="882"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sz w:val="21"/>
                      <w:highlight w:val="none"/>
                    </w:rPr>
                  </w:pPr>
                  <w:r>
                    <w:rPr>
                      <w:sz w:val="21"/>
                      <w:highlight w:val="none"/>
                    </w:rPr>
                    <w:t>不燃</w:t>
                  </w:r>
                </w:p>
              </w:tc>
              <w:tc>
                <w:tcPr>
                  <w:tcW w:w="1310"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highlight w:val="none"/>
                    </w:rPr>
                  </w:pPr>
                  <w:r>
                    <w:rPr>
                      <w:spacing w:val="-2"/>
                      <w:sz w:val="21"/>
                      <w:highlight w:val="none"/>
                    </w:rPr>
                    <w:t>无毒，高浓度时，使氧分压降低而发生窒息。氩浓度达</w:t>
                  </w:r>
                  <w:r>
                    <w:rPr>
                      <w:rFonts w:ascii="Times New Roman" w:eastAsia="Times New Roman"/>
                      <w:spacing w:val="-1"/>
                      <w:sz w:val="21"/>
                      <w:highlight w:val="none"/>
                    </w:rPr>
                    <w:t>50%</w:t>
                  </w:r>
                  <w:r>
                    <w:rPr>
                      <w:sz w:val="21"/>
                      <w:highlight w:val="none"/>
                    </w:rPr>
                    <w:t>以上，引起严重症状；</w:t>
                  </w:r>
                  <w:r>
                    <w:rPr>
                      <w:rFonts w:ascii="Times New Roman" w:eastAsia="Times New Roman"/>
                      <w:spacing w:val="-1"/>
                      <w:sz w:val="21"/>
                      <w:highlight w:val="none"/>
                    </w:rPr>
                    <w:t>75%</w:t>
                  </w:r>
                  <w:r>
                    <w:rPr>
                      <w:sz w:val="21"/>
                      <w:highlight w:val="none"/>
                    </w:rPr>
                    <w:t>以上时，可在数分钟内死亡。</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1089" w:hRule="atLeast"/>
              </w:trPr>
              <w:tc>
                <w:tcPr>
                  <w:tcW w:w="452"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sz w:val="21"/>
                      <w:highlight w:val="none"/>
                    </w:rPr>
                  </w:pPr>
                  <w:r>
                    <w:rPr>
                      <w:sz w:val="21"/>
                      <w:highlight w:val="none"/>
                    </w:rPr>
                    <w:t>氮气</w:t>
                  </w:r>
                </w:p>
              </w:tc>
              <w:tc>
                <w:tcPr>
                  <w:tcW w:w="525"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微软雅黑"/>
                      <w:b/>
                      <w:sz w:val="14"/>
                      <w:highlight w:val="none"/>
                    </w:rPr>
                  </w:pPr>
                </w:p>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sz w:val="21"/>
                      <w:highlight w:val="none"/>
                    </w:rPr>
                  </w:pPr>
                  <w:r>
                    <w:rPr>
                      <w:sz w:val="21"/>
                      <w:highlight w:val="none"/>
                    </w:rPr>
                    <w:t>无色无味气体</w:t>
                  </w:r>
                </w:p>
              </w:tc>
              <w:tc>
                <w:tcPr>
                  <w:tcW w:w="499"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ascii="Times New Roman"/>
                      <w:sz w:val="21"/>
                      <w:highlight w:val="none"/>
                    </w:rPr>
                  </w:pPr>
                  <w:r>
                    <w:rPr>
                      <w:rFonts w:ascii="Times New Roman"/>
                      <w:sz w:val="21"/>
                      <w:highlight w:val="none"/>
                    </w:rPr>
                    <w:t>-195.6</w:t>
                  </w:r>
                </w:p>
              </w:tc>
              <w:tc>
                <w:tcPr>
                  <w:tcW w:w="814"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ascii="Times New Roman"/>
                      <w:sz w:val="21"/>
                      <w:highlight w:val="none"/>
                    </w:rPr>
                  </w:pPr>
                  <w:r>
                    <w:rPr>
                      <w:rFonts w:ascii="Times New Roman"/>
                      <w:sz w:val="21"/>
                      <w:highlight w:val="none"/>
                    </w:rPr>
                    <w:t>1026.42KPa</w:t>
                  </w:r>
                </w:p>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ascii="Times New Roman" w:hAnsi="Times New Roman"/>
                      <w:sz w:val="21"/>
                      <w:highlight w:val="none"/>
                    </w:rPr>
                  </w:pPr>
                  <w:r>
                    <w:rPr>
                      <w:rFonts w:ascii="Times New Roman" w:hAnsi="Times New Roman"/>
                      <w:sz w:val="21"/>
                      <w:highlight w:val="none"/>
                    </w:rPr>
                    <w:t>(-173</w:t>
                  </w:r>
                  <w:r>
                    <w:rPr>
                      <w:sz w:val="21"/>
                      <w:highlight w:val="none"/>
                    </w:rPr>
                    <w:t>℃</w:t>
                  </w:r>
                  <w:r>
                    <w:rPr>
                      <w:rFonts w:ascii="Times New Roman" w:hAnsi="Times New Roman"/>
                      <w:sz w:val="21"/>
                      <w:highlight w:val="none"/>
                    </w:rPr>
                    <w:t>)</w:t>
                  </w:r>
                </w:p>
              </w:tc>
              <w:tc>
                <w:tcPr>
                  <w:tcW w:w="515"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ascii="Times New Roman"/>
                      <w:sz w:val="21"/>
                      <w:highlight w:val="none"/>
                    </w:rPr>
                  </w:pPr>
                  <w:r>
                    <w:rPr>
                      <w:rFonts w:ascii="Times New Roman"/>
                      <w:sz w:val="21"/>
                      <w:highlight w:val="none"/>
                    </w:rPr>
                    <w:t>/</w:t>
                  </w:r>
                </w:p>
              </w:tc>
              <w:tc>
                <w:tcPr>
                  <w:tcW w:w="882"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sz w:val="21"/>
                      <w:highlight w:val="none"/>
                    </w:rPr>
                  </w:pPr>
                  <w:r>
                    <w:rPr>
                      <w:sz w:val="21"/>
                      <w:highlight w:val="none"/>
                    </w:rPr>
                    <w:t>不燃</w:t>
                  </w:r>
                </w:p>
              </w:tc>
              <w:tc>
                <w:tcPr>
                  <w:tcW w:w="1310"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highlight w:val="none"/>
                    </w:rPr>
                  </w:pPr>
                  <w:r>
                    <w:rPr>
                      <w:sz w:val="21"/>
                      <w:highlight w:val="none"/>
                    </w:rPr>
                    <w:t>无毒，空气中氮气含量过高会引起缺氧窒息，吸入高浓度氮气会导致昏迷甚至死亡。</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1089" w:hRule="atLeast"/>
              </w:trPr>
              <w:tc>
                <w:tcPr>
                  <w:tcW w:w="452"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sz w:val="21"/>
                      <w:highlight w:val="none"/>
                    </w:rPr>
                  </w:pPr>
                  <w:r>
                    <w:rPr>
                      <w:sz w:val="21"/>
                      <w:highlight w:val="none"/>
                    </w:rPr>
                    <w:t>丙烷</w:t>
                  </w:r>
                </w:p>
              </w:tc>
              <w:tc>
                <w:tcPr>
                  <w:tcW w:w="525"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sz w:val="21"/>
                      <w:highlight w:val="none"/>
                    </w:rPr>
                  </w:pPr>
                  <w:r>
                    <w:rPr>
                      <w:sz w:val="21"/>
                      <w:highlight w:val="none"/>
                    </w:rPr>
                    <w:t>无色、易燃</w:t>
                  </w:r>
                </w:p>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sz w:val="21"/>
                      <w:highlight w:val="none"/>
                    </w:rPr>
                  </w:pPr>
                  <w:r>
                    <w:rPr>
                      <w:sz w:val="21"/>
                      <w:highlight w:val="none"/>
                    </w:rPr>
                    <w:t>的气体</w:t>
                  </w:r>
                </w:p>
              </w:tc>
              <w:tc>
                <w:tcPr>
                  <w:tcW w:w="499"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sz w:val="21"/>
                      <w:highlight w:val="none"/>
                    </w:rPr>
                  </w:pPr>
                  <w:r>
                    <w:rPr>
                      <w:rFonts w:ascii="Times New Roman"/>
                      <w:sz w:val="21"/>
                      <w:highlight w:val="none"/>
                    </w:rPr>
                    <w:t>-42.09</w:t>
                  </w:r>
                </w:p>
              </w:tc>
              <w:tc>
                <w:tcPr>
                  <w:tcW w:w="814"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ascii="Times New Roman" w:hAnsi="Times New Roman"/>
                      <w:sz w:val="21"/>
                      <w:highlight w:val="none"/>
                    </w:rPr>
                  </w:pPr>
                  <w:r>
                    <w:rPr>
                      <w:rFonts w:ascii="Times New Roman"/>
                      <w:sz w:val="21"/>
                      <w:highlight w:val="none"/>
                    </w:rPr>
                    <w:t>/</w:t>
                  </w:r>
                </w:p>
              </w:tc>
              <w:tc>
                <w:tcPr>
                  <w:tcW w:w="515"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ascii="Times New Roman"/>
                      <w:sz w:val="21"/>
                      <w:highlight w:val="none"/>
                    </w:rPr>
                  </w:pPr>
                  <w:r>
                    <w:rPr>
                      <w:rFonts w:ascii="Times New Roman"/>
                      <w:sz w:val="21"/>
                      <w:highlight w:val="none"/>
                    </w:rPr>
                    <w:t>/</w:t>
                  </w:r>
                </w:p>
              </w:tc>
              <w:tc>
                <w:tcPr>
                  <w:tcW w:w="882"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sz w:val="21"/>
                      <w:highlight w:val="none"/>
                    </w:rPr>
                  </w:pPr>
                  <w:r>
                    <w:rPr>
                      <w:sz w:val="21"/>
                      <w:highlight w:val="none"/>
                    </w:rPr>
                    <w:t>易燃</w:t>
                  </w:r>
                </w:p>
              </w:tc>
              <w:tc>
                <w:tcPr>
                  <w:tcW w:w="1310" w:type="pct"/>
                  <w:tcBorders>
                    <w:tl2br w:val="nil"/>
                    <w:tr2bl w:val="nil"/>
                  </w:tcBorders>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sz w:val="21"/>
                      <w:highlight w:val="none"/>
                    </w:rPr>
                  </w:pPr>
                  <w:r>
                    <w:rPr>
                      <w:rFonts w:ascii="Times New Roman"/>
                      <w:sz w:val="21"/>
                      <w:highlight w:val="none"/>
                    </w:rPr>
                    <w:t>/</w:t>
                  </w:r>
                </w:p>
              </w:tc>
            </w:tr>
          </w:tbl>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表</w:t>
            </w:r>
            <w:r>
              <w:rPr>
                <w:rFonts w:hint="eastAsia" w:cs="Times New Roman"/>
                <w:b w:val="0"/>
                <w:bCs w:val="0"/>
                <w:color w:val="auto"/>
                <w:sz w:val="24"/>
                <w:szCs w:val="24"/>
                <w:highlight w:val="none"/>
                <w:lang w:val="en-US" w:eastAsia="zh-CN"/>
              </w:rPr>
              <w:t>45</w:t>
            </w:r>
            <w:r>
              <w:rPr>
                <w:rFonts w:hint="default" w:ascii="Times New Roman" w:hAnsi="Times New Roman" w:eastAsia="宋体" w:cs="Times New Roman"/>
                <w:b w:val="0"/>
                <w:bCs w:val="0"/>
                <w:color w:val="auto"/>
                <w:sz w:val="24"/>
                <w:szCs w:val="24"/>
                <w:highlight w:val="none"/>
                <w:lang w:val="en-US" w:eastAsia="zh-CN"/>
              </w:rPr>
              <w:t xml:space="preserve">  丙烷安全技术说明书</w:t>
            </w:r>
          </w:p>
          <w:tbl>
            <w:tblPr>
              <w:tblStyle w:val="22"/>
              <w:tblW w:w="0" w:type="auto"/>
              <w:tblInd w:w="-1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746"/>
              <w:gridCol w:w="2319"/>
              <w:gridCol w:w="1877"/>
              <w:gridCol w:w="4073"/>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75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标识</w:t>
                  </w:r>
                </w:p>
              </w:tc>
              <w:tc>
                <w:tcPr>
                  <w:tcW w:w="427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中文名：丙烷</w:t>
                  </w:r>
                </w:p>
              </w:tc>
              <w:tc>
                <w:tcPr>
                  <w:tcW w:w="41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英文名：propane</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75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27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分子式：C</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lang w:val="en-US" w:eastAsia="zh-CN"/>
                    </w:rPr>
                    <w:t>H</w:t>
                  </w:r>
                  <w:r>
                    <w:rPr>
                      <w:rFonts w:hint="default" w:ascii="Times New Roman" w:hAnsi="Times New Roman" w:eastAsia="宋体" w:cs="Times New Roman"/>
                      <w:color w:val="auto"/>
                      <w:sz w:val="21"/>
                      <w:szCs w:val="21"/>
                      <w:highlight w:val="none"/>
                      <w:vertAlign w:val="subscript"/>
                      <w:lang w:val="en-US" w:eastAsia="zh-CN"/>
                    </w:rPr>
                    <w:t>8</w:t>
                  </w:r>
                </w:p>
              </w:tc>
              <w:tc>
                <w:tcPr>
                  <w:tcW w:w="41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分子量：44.1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75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23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危规号：21011</w:t>
                  </w:r>
                </w:p>
              </w:tc>
              <w:tc>
                <w:tcPr>
                  <w:tcW w:w="19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UN编号：1978</w:t>
                  </w:r>
                </w:p>
              </w:tc>
              <w:tc>
                <w:tcPr>
                  <w:tcW w:w="41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CAS号：74-98-6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75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理化性质</w:t>
                  </w:r>
                </w:p>
              </w:tc>
              <w:tc>
                <w:tcPr>
                  <w:tcW w:w="427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外观与形状：无色气体，纯品无臭</w:t>
                  </w:r>
                </w:p>
              </w:tc>
              <w:tc>
                <w:tcPr>
                  <w:tcW w:w="41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溶解性：微溶于水，溶于乙醇、乙醚</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75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27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熔点（℃）：-187.6</w:t>
                  </w:r>
                </w:p>
              </w:tc>
              <w:tc>
                <w:tcPr>
                  <w:tcW w:w="41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沸点（℃）：-42.1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75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27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相对密度：（水=1）0.58（-44.5℃）</w:t>
                  </w:r>
                </w:p>
              </w:tc>
              <w:tc>
                <w:tcPr>
                  <w:tcW w:w="41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相对密度：（空气=1）1.56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75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27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饱和蒸气压（kPa）53.32（-55.6℃）</w:t>
                  </w:r>
                </w:p>
              </w:tc>
              <w:tc>
                <w:tcPr>
                  <w:tcW w:w="41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禁忌物：强氧化剂、卤素</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75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27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临界压力（Mpa）：4.25</w:t>
                  </w:r>
                </w:p>
              </w:tc>
              <w:tc>
                <w:tcPr>
                  <w:tcW w:w="41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临界温度（℃）：96.8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75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危险特性</w:t>
                  </w:r>
                </w:p>
              </w:tc>
              <w:tc>
                <w:tcPr>
                  <w:tcW w:w="427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危险性类别：</w:t>
                  </w:r>
                </w:p>
              </w:tc>
              <w:tc>
                <w:tcPr>
                  <w:tcW w:w="41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燃烧性：易燃</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75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27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引燃温度（℃）：450</w:t>
                  </w:r>
                </w:p>
              </w:tc>
              <w:tc>
                <w:tcPr>
                  <w:tcW w:w="41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闪点（℃）：-104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75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27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爆炸下限（%）：2.1</w:t>
                  </w:r>
                </w:p>
              </w:tc>
              <w:tc>
                <w:tcPr>
                  <w:tcW w:w="41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爆炸上限（%）：9.5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75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27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燃烧热：2217.6KJ/mol</w:t>
                  </w:r>
                </w:p>
              </w:tc>
              <w:tc>
                <w:tcPr>
                  <w:tcW w:w="41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燃烧（分解）产物:一氧化碳、二氧化碳</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75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8423"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危险特性：易燃气体。与空气混合能形成爆炸性混合物，遇热源和明火有燃烧爆炸的危险。与氧化剂接触猛烈反应。气体比空气重，能在较低处扩散到相当远的地方，遇火源会着火回燃</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75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8423"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灭火方法：切断气源。若不能切断气源，则不允许熄灭泄漏处的火焰。喷水冷却容器，可能的话将容器从火场移至空旷处。</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75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8423"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灭火剂：雾状水、泡沫、二氧化碳、干粉</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7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健康危害</w:t>
                  </w:r>
                </w:p>
              </w:tc>
              <w:tc>
                <w:tcPr>
                  <w:tcW w:w="8423"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本品有单纯性窒息及麻醉作用。人短暂接触1%丙烷，不引起症状；10%以下的浓度，只引起轻度头晕；接触高浓度时可出现麻醉状态、丧失意识；极高浓度时可致窒息</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7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急救措施</w:t>
                  </w:r>
                </w:p>
              </w:tc>
              <w:tc>
                <w:tcPr>
                  <w:tcW w:w="8423"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吸入：迅速脱离现场至空气新鲜处。保持呼吸道通畅。如呼吸困难，给输氧。如呼吸停止，立即进行人工呼吸。就医。</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7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泄漏应急处理</w:t>
                  </w:r>
                </w:p>
              </w:tc>
              <w:tc>
                <w:tcPr>
                  <w:tcW w:w="8423"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迅速撤离泄漏污染区人员至上风处，并进行隔离，严格限制出入。切断火源。建议应急处理人员戴自给正压式呼吸器，穿防静电工作服。尽可能切断泄漏源。用工业覆盖层或吸附/ 吸收剂盖住泄漏点附近的下水道等地方，防止气体进入。合理通风，加速扩散。喷雾状水稀释、溶解。构筑围堤或挖坑收容产生的大量废水。如有可能，将漏出气用排风机送至空旷地方或装设适当喷头烧掉。漏气容器要妥善处理，修复、检验后再用。</w:t>
                  </w:r>
                </w:p>
              </w:tc>
            </w:tr>
          </w:tbl>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b w:val="0"/>
                <w:bCs/>
                <w:sz w:val="24"/>
                <w:highlight w:val="none"/>
              </w:rPr>
            </w:pPr>
            <w:r>
              <w:rPr>
                <w:b w:val="0"/>
                <w:bCs/>
                <w:sz w:val="24"/>
                <w:highlight w:val="none"/>
              </w:rPr>
              <w:t>表</w:t>
            </w:r>
            <w:r>
              <w:rPr>
                <w:rFonts w:hint="eastAsia"/>
                <w:b w:val="0"/>
                <w:bCs/>
                <w:sz w:val="24"/>
                <w:highlight w:val="none"/>
                <w:lang w:val="en-US" w:eastAsia="zh-CN"/>
              </w:rPr>
              <w:t>46</w:t>
            </w:r>
            <w:r>
              <w:rPr>
                <w:b w:val="0"/>
                <w:bCs/>
                <w:sz w:val="24"/>
                <w:highlight w:val="none"/>
              </w:rPr>
              <w:t xml:space="preserve">   氧[压缩的或液化的]</w:t>
            </w:r>
            <w:r>
              <w:rPr>
                <w:rFonts w:hint="default" w:ascii="Times New Roman" w:hAnsi="Times New Roman" w:eastAsia="宋体" w:cs="Times New Roman"/>
                <w:b w:val="0"/>
                <w:bCs w:val="0"/>
                <w:color w:val="auto"/>
                <w:sz w:val="24"/>
                <w:szCs w:val="24"/>
                <w:highlight w:val="none"/>
                <w:lang w:val="en-US" w:eastAsia="zh-CN"/>
              </w:rPr>
              <w:t>安全技术说明书</w:t>
            </w:r>
          </w:p>
          <w:tbl>
            <w:tblPr>
              <w:tblStyle w:val="21"/>
              <w:tblW w:w="0" w:type="auto"/>
              <w:tblInd w:w="-1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66"/>
              <w:gridCol w:w="2204"/>
              <w:gridCol w:w="624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ind w:left="0" w:leftChars="0" w:firstLine="0" w:firstLineChars="0"/>
                    <w:jc w:val="center"/>
                    <w:textAlignment w:val="auto"/>
                    <w:rPr>
                      <w:rFonts w:hint="default" w:ascii="Times New Roman" w:hAnsi="Times New Roman" w:cs="Times New Roman"/>
                      <w:b w:val="0"/>
                      <w:bCs w:val="0"/>
                      <w:kern w:val="0"/>
                      <w:sz w:val="21"/>
                      <w:szCs w:val="21"/>
                      <w:highlight w:val="none"/>
                    </w:rPr>
                  </w:pPr>
                  <w:r>
                    <w:rPr>
                      <w:rFonts w:hint="default" w:ascii="Times New Roman" w:hAnsi="Times New Roman" w:cs="Times New Roman"/>
                      <w:b w:val="0"/>
                      <w:bCs w:val="0"/>
                      <w:kern w:val="0"/>
                      <w:sz w:val="21"/>
                      <w:szCs w:val="21"/>
                      <w:highlight w:val="none"/>
                    </w:rPr>
                    <w:t>标识</w:t>
                  </w: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中文名：</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氧；氧气</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英文名：</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Oxygen</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6" w:hRule="atLeast"/>
              </w:trPr>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分子式：</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O</w:t>
                  </w:r>
                  <w:r>
                    <w:rPr>
                      <w:rFonts w:hint="default" w:ascii="Times New Roman" w:hAnsi="Times New Roman" w:cs="Times New Roman"/>
                      <w:kern w:val="0"/>
                      <w:sz w:val="21"/>
                      <w:szCs w:val="21"/>
                      <w:highlight w:val="none"/>
                      <w:vertAlign w:val="sub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9" w:hRule="atLeast"/>
              </w:trPr>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分子量：</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32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CAS号：</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7782-44-7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RTECS号：</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RS2000000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UN编号：</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1072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IMDG规则页码：</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2169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ind w:left="0" w:leftChars="0" w:firstLine="0" w:firstLineChars="0"/>
                    <w:jc w:val="center"/>
                    <w:textAlignment w:val="auto"/>
                    <w:rPr>
                      <w:rFonts w:hint="default" w:ascii="Times New Roman" w:hAnsi="Times New Roman" w:cs="Times New Roman"/>
                      <w:b w:val="0"/>
                      <w:bCs w:val="0"/>
                      <w:kern w:val="0"/>
                      <w:sz w:val="21"/>
                      <w:szCs w:val="21"/>
                      <w:highlight w:val="none"/>
                    </w:rPr>
                  </w:pPr>
                  <w:r>
                    <w:rPr>
                      <w:rFonts w:hint="default" w:ascii="Times New Roman" w:hAnsi="Times New Roman" w:cs="Times New Roman"/>
                      <w:b w:val="0"/>
                      <w:bCs w:val="0"/>
                      <w:kern w:val="0"/>
                      <w:sz w:val="21"/>
                      <w:szCs w:val="21"/>
                      <w:highlight w:val="none"/>
                    </w:rPr>
                    <w:t>理</w:t>
                  </w:r>
                </w:p>
                <w:p>
                  <w:pPr>
                    <w:keepNext w:val="0"/>
                    <w:keepLines w:val="0"/>
                    <w:pageBreakBefore w:val="0"/>
                    <w:widowControl/>
                    <w:kinsoku/>
                    <w:wordWrap/>
                    <w:overflowPunct/>
                    <w:topLinePunct w:val="0"/>
                    <w:autoSpaceDE/>
                    <w:autoSpaceDN/>
                    <w:bidi w:val="0"/>
                    <w:snapToGrid/>
                    <w:spacing w:line="240" w:lineRule="auto"/>
                    <w:ind w:left="0" w:leftChars="0" w:firstLine="0" w:firstLineChars="0"/>
                    <w:jc w:val="center"/>
                    <w:textAlignment w:val="auto"/>
                    <w:rPr>
                      <w:rFonts w:hint="default" w:ascii="Times New Roman" w:hAnsi="Times New Roman" w:cs="Times New Roman"/>
                      <w:b w:val="0"/>
                      <w:bCs w:val="0"/>
                      <w:kern w:val="0"/>
                      <w:sz w:val="21"/>
                      <w:szCs w:val="21"/>
                      <w:highlight w:val="none"/>
                    </w:rPr>
                  </w:pPr>
                  <w:r>
                    <w:rPr>
                      <w:rFonts w:hint="default" w:ascii="Times New Roman" w:hAnsi="Times New Roman" w:cs="Times New Roman"/>
                      <w:b w:val="0"/>
                      <w:bCs w:val="0"/>
                      <w:kern w:val="0"/>
                      <w:sz w:val="21"/>
                      <w:szCs w:val="21"/>
                      <w:highlight w:val="none"/>
                    </w:rPr>
                    <w:t>化</w:t>
                  </w:r>
                </w:p>
                <w:p>
                  <w:pPr>
                    <w:keepNext w:val="0"/>
                    <w:keepLines w:val="0"/>
                    <w:pageBreakBefore w:val="0"/>
                    <w:widowControl/>
                    <w:kinsoku/>
                    <w:wordWrap/>
                    <w:overflowPunct/>
                    <w:topLinePunct w:val="0"/>
                    <w:autoSpaceDE/>
                    <w:autoSpaceDN/>
                    <w:bidi w:val="0"/>
                    <w:snapToGrid/>
                    <w:spacing w:line="240" w:lineRule="auto"/>
                    <w:ind w:left="0" w:leftChars="0" w:firstLine="0" w:firstLineChars="0"/>
                    <w:jc w:val="center"/>
                    <w:textAlignment w:val="auto"/>
                    <w:rPr>
                      <w:rFonts w:hint="default" w:ascii="Times New Roman" w:hAnsi="Times New Roman" w:cs="Times New Roman"/>
                      <w:b w:val="0"/>
                      <w:bCs w:val="0"/>
                      <w:kern w:val="0"/>
                      <w:sz w:val="21"/>
                      <w:szCs w:val="21"/>
                      <w:highlight w:val="none"/>
                    </w:rPr>
                  </w:pPr>
                  <w:r>
                    <w:rPr>
                      <w:rFonts w:hint="default" w:ascii="Times New Roman" w:hAnsi="Times New Roman" w:cs="Times New Roman"/>
                      <w:b w:val="0"/>
                      <w:bCs w:val="0"/>
                      <w:kern w:val="0"/>
                      <w:sz w:val="21"/>
                      <w:szCs w:val="21"/>
                      <w:highlight w:val="none"/>
                    </w:rPr>
                    <w:t>性</w:t>
                  </w:r>
                </w:p>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b w:val="0"/>
                      <w:bCs w:val="0"/>
                      <w:kern w:val="0"/>
                      <w:sz w:val="21"/>
                      <w:szCs w:val="21"/>
                      <w:highlight w:val="none"/>
                    </w:rPr>
                  </w:pPr>
                  <w:r>
                    <w:rPr>
                      <w:rFonts w:hint="default" w:ascii="Times New Roman" w:hAnsi="Times New Roman" w:cs="Times New Roman"/>
                      <w:b w:val="0"/>
                      <w:bCs w:val="0"/>
                      <w:kern w:val="0"/>
                      <w:sz w:val="21"/>
                      <w:szCs w:val="21"/>
                      <w:highlight w:val="none"/>
                    </w:rPr>
                    <w:t>质</w:t>
                  </w: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外观与性状：</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无色无臭气体。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主要用途：</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用于切割、焊接金属，制造医药、染料、炸药等。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熔点(℃)：</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-218.8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沸点(℃)：</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-183.1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相对密度(水=1)：</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1.14/-183℃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相对密度(空气=1):</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1.43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饱和蒸汽压(kPa)：</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506.62/-164℃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溶解性：</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溶于水、乙醇。在水中沉底并沸腾。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临界温度(℃)：</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-118.4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临界压力(MPa)：</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5.08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燃烧热(kJ/mol)：</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无意义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b w:val="0"/>
                      <w:bCs w:val="0"/>
                      <w:kern w:val="0"/>
                      <w:sz w:val="21"/>
                      <w:szCs w:val="21"/>
                      <w:highlight w:val="none"/>
                    </w:rPr>
                  </w:pPr>
                  <w:r>
                    <w:rPr>
                      <w:rFonts w:hint="default" w:ascii="Times New Roman" w:hAnsi="Times New Roman" w:cs="Times New Roman"/>
                      <w:b w:val="0"/>
                      <w:bCs w:val="0"/>
                      <w:kern w:val="0"/>
                      <w:sz w:val="21"/>
                      <w:szCs w:val="21"/>
                      <w:highlight w:val="none"/>
                    </w:rPr>
                    <w:t>燃</w:t>
                  </w:r>
                  <w:r>
                    <w:rPr>
                      <w:rFonts w:hint="default" w:ascii="Times New Roman" w:hAnsi="Times New Roman" w:cs="Times New Roman"/>
                      <w:b w:val="0"/>
                      <w:bCs w:val="0"/>
                      <w:kern w:val="0"/>
                      <w:sz w:val="21"/>
                      <w:szCs w:val="21"/>
                      <w:highlight w:val="none"/>
                    </w:rPr>
                    <w:br w:type="textWrapping"/>
                  </w:r>
                  <w:r>
                    <w:rPr>
                      <w:rFonts w:hint="default" w:ascii="Times New Roman" w:hAnsi="Times New Roman" w:cs="Times New Roman"/>
                      <w:b w:val="0"/>
                      <w:bCs w:val="0"/>
                      <w:kern w:val="0"/>
                      <w:sz w:val="21"/>
                      <w:szCs w:val="21"/>
                      <w:highlight w:val="none"/>
                    </w:rPr>
                    <w:br w:type="textWrapping"/>
                  </w:r>
                  <w:r>
                    <w:rPr>
                      <w:rFonts w:hint="default" w:ascii="Times New Roman" w:hAnsi="Times New Roman" w:cs="Times New Roman"/>
                      <w:b w:val="0"/>
                      <w:bCs w:val="0"/>
                      <w:kern w:val="0"/>
                      <w:sz w:val="21"/>
                      <w:szCs w:val="21"/>
                      <w:highlight w:val="none"/>
                    </w:rPr>
                    <w:t>烧</w:t>
                  </w:r>
                  <w:r>
                    <w:rPr>
                      <w:rFonts w:hint="default" w:ascii="Times New Roman" w:hAnsi="Times New Roman" w:cs="Times New Roman"/>
                      <w:b w:val="0"/>
                      <w:bCs w:val="0"/>
                      <w:kern w:val="0"/>
                      <w:sz w:val="21"/>
                      <w:szCs w:val="21"/>
                      <w:highlight w:val="none"/>
                    </w:rPr>
                    <w:br w:type="textWrapping"/>
                  </w:r>
                  <w:r>
                    <w:rPr>
                      <w:rFonts w:hint="default" w:ascii="Times New Roman" w:hAnsi="Times New Roman" w:cs="Times New Roman"/>
                      <w:b w:val="0"/>
                      <w:bCs w:val="0"/>
                      <w:kern w:val="0"/>
                      <w:sz w:val="21"/>
                      <w:szCs w:val="21"/>
                      <w:highlight w:val="none"/>
                    </w:rPr>
                    <w:br w:type="textWrapping"/>
                  </w:r>
                  <w:r>
                    <w:rPr>
                      <w:rFonts w:hint="default" w:ascii="Times New Roman" w:hAnsi="Times New Roman" w:cs="Times New Roman"/>
                      <w:b w:val="0"/>
                      <w:bCs w:val="0"/>
                      <w:kern w:val="0"/>
                      <w:sz w:val="21"/>
                      <w:szCs w:val="21"/>
                      <w:highlight w:val="none"/>
                    </w:rPr>
                    <w:t>爆</w:t>
                  </w:r>
                  <w:r>
                    <w:rPr>
                      <w:rFonts w:hint="default" w:ascii="Times New Roman" w:hAnsi="Times New Roman" w:cs="Times New Roman"/>
                      <w:b w:val="0"/>
                      <w:bCs w:val="0"/>
                      <w:kern w:val="0"/>
                      <w:sz w:val="21"/>
                      <w:szCs w:val="21"/>
                      <w:highlight w:val="none"/>
                    </w:rPr>
                    <w:br w:type="textWrapping"/>
                  </w:r>
                  <w:r>
                    <w:rPr>
                      <w:rFonts w:hint="default" w:ascii="Times New Roman" w:hAnsi="Times New Roman" w:cs="Times New Roman"/>
                      <w:b w:val="0"/>
                      <w:bCs w:val="0"/>
                      <w:kern w:val="0"/>
                      <w:sz w:val="21"/>
                      <w:szCs w:val="21"/>
                      <w:highlight w:val="none"/>
                    </w:rPr>
                    <w:br w:type="textWrapping"/>
                  </w:r>
                  <w:r>
                    <w:rPr>
                      <w:rFonts w:hint="default" w:ascii="Times New Roman" w:hAnsi="Times New Roman" w:cs="Times New Roman"/>
                      <w:b w:val="0"/>
                      <w:bCs w:val="0"/>
                      <w:kern w:val="0"/>
                      <w:sz w:val="21"/>
                      <w:szCs w:val="21"/>
                      <w:highlight w:val="none"/>
                    </w:rPr>
                    <w:t>炸</w:t>
                  </w:r>
                  <w:r>
                    <w:rPr>
                      <w:rFonts w:hint="default" w:ascii="Times New Roman" w:hAnsi="Times New Roman" w:cs="Times New Roman"/>
                      <w:b w:val="0"/>
                      <w:bCs w:val="0"/>
                      <w:kern w:val="0"/>
                      <w:sz w:val="21"/>
                      <w:szCs w:val="21"/>
                      <w:highlight w:val="none"/>
                    </w:rPr>
                    <w:br w:type="textWrapping"/>
                  </w:r>
                  <w:r>
                    <w:rPr>
                      <w:rFonts w:hint="default" w:ascii="Times New Roman" w:hAnsi="Times New Roman" w:cs="Times New Roman"/>
                      <w:b w:val="0"/>
                      <w:bCs w:val="0"/>
                      <w:kern w:val="0"/>
                      <w:sz w:val="21"/>
                      <w:szCs w:val="21"/>
                      <w:highlight w:val="none"/>
                    </w:rPr>
                    <w:br w:type="textWrapping"/>
                  </w:r>
                  <w:r>
                    <w:rPr>
                      <w:rFonts w:hint="default" w:ascii="Times New Roman" w:hAnsi="Times New Roman" w:cs="Times New Roman"/>
                      <w:b w:val="0"/>
                      <w:bCs w:val="0"/>
                      <w:kern w:val="0"/>
                      <w:sz w:val="21"/>
                      <w:szCs w:val="21"/>
                      <w:highlight w:val="none"/>
                    </w:rPr>
                    <w:t>危</w:t>
                  </w:r>
                  <w:r>
                    <w:rPr>
                      <w:rFonts w:hint="default" w:ascii="Times New Roman" w:hAnsi="Times New Roman" w:cs="Times New Roman"/>
                      <w:b w:val="0"/>
                      <w:bCs w:val="0"/>
                      <w:kern w:val="0"/>
                      <w:sz w:val="21"/>
                      <w:szCs w:val="21"/>
                      <w:highlight w:val="none"/>
                    </w:rPr>
                    <w:br w:type="textWrapping"/>
                  </w:r>
                  <w:r>
                    <w:rPr>
                      <w:rFonts w:hint="default" w:ascii="Times New Roman" w:hAnsi="Times New Roman" w:cs="Times New Roman"/>
                      <w:b w:val="0"/>
                      <w:bCs w:val="0"/>
                      <w:kern w:val="0"/>
                      <w:sz w:val="21"/>
                      <w:szCs w:val="21"/>
                      <w:highlight w:val="none"/>
                    </w:rPr>
                    <w:br w:type="textWrapping"/>
                  </w:r>
                  <w:r>
                    <w:rPr>
                      <w:rFonts w:hint="default" w:ascii="Times New Roman" w:hAnsi="Times New Roman" w:cs="Times New Roman"/>
                      <w:b w:val="0"/>
                      <w:bCs w:val="0"/>
                      <w:kern w:val="0"/>
                      <w:sz w:val="21"/>
                      <w:szCs w:val="21"/>
                      <w:highlight w:val="none"/>
                    </w:rPr>
                    <w:t>险</w:t>
                  </w:r>
                  <w:r>
                    <w:rPr>
                      <w:rFonts w:hint="default" w:ascii="Times New Roman" w:hAnsi="Times New Roman" w:cs="Times New Roman"/>
                      <w:b w:val="0"/>
                      <w:bCs w:val="0"/>
                      <w:kern w:val="0"/>
                      <w:sz w:val="21"/>
                      <w:szCs w:val="21"/>
                      <w:highlight w:val="none"/>
                    </w:rPr>
                    <w:br w:type="textWrapping"/>
                  </w:r>
                  <w:r>
                    <w:rPr>
                      <w:rFonts w:hint="default" w:ascii="Times New Roman" w:hAnsi="Times New Roman" w:cs="Times New Roman"/>
                      <w:b w:val="0"/>
                      <w:bCs w:val="0"/>
                      <w:kern w:val="0"/>
                      <w:sz w:val="21"/>
                      <w:szCs w:val="21"/>
                      <w:highlight w:val="none"/>
                    </w:rPr>
                    <w:br w:type="textWrapping"/>
                  </w:r>
                  <w:r>
                    <w:rPr>
                      <w:rFonts w:hint="default" w:ascii="Times New Roman" w:hAnsi="Times New Roman" w:cs="Times New Roman"/>
                      <w:b w:val="0"/>
                      <w:bCs w:val="0"/>
                      <w:kern w:val="0"/>
                      <w:sz w:val="21"/>
                      <w:szCs w:val="21"/>
                      <w:highlight w:val="none"/>
                    </w:rPr>
                    <w:t>性</w:t>
                  </w: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避免接触的条件：</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kern w:val="0"/>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燃烧性：</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助燃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建规火险分级：</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闪点(℃)：</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无意义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自燃温度(℃)：</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无意义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爆炸下限(V%)：</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无意义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爆炸上限(V%)：</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无意义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危险特性：</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是易燃物、可燃物燃烧爆炸的基本元素之一，能氧化大多数活性物质。与易燃物(乙炔、甲烷等)形成有爆炸性的混合物。</w:t>
                  </w:r>
                  <w:r>
                    <w:rPr>
                      <w:rFonts w:hint="default" w:ascii="Times New Roman" w:hAnsi="Times New Roman" w:cs="Times New Roman"/>
                      <w:kern w:val="0"/>
                      <w:sz w:val="21"/>
                      <w:szCs w:val="21"/>
                      <w:highlight w:val="none"/>
                    </w:rPr>
                    <w:br w:type="textWrapping"/>
                  </w:r>
                  <w:r>
                    <w:rPr>
                      <w:rFonts w:hint="default" w:ascii="Times New Roman" w:hAnsi="Times New Roman" w:cs="Times New Roman"/>
                      <w:kern w:val="0"/>
                      <w:sz w:val="21"/>
                      <w:szCs w:val="21"/>
                      <w:highlight w:val="none"/>
                    </w:rPr>
                    <w:t>易燃性(红色)： 0</w:t>
                  </w:r>
                  <w:r>
                    <w:rPr>
                      <w:rFonts w:hint="default" w:ascii="Times New Roman" w:hAnsi="Times New Roman" w:cs="Times New Roman"/>
                      <w:kern w:val="0"/>
                      <w:sz w:val="21"/>
                      <w:szCs w:val="21"/>
                      <w:highlight w:val="none"/>
                    </w:rPr>
                    <w:br w:type="textWrapping"/>
                  </w:r>
                  <w:r>
                    <w:rPr>
                      <w:rFonts w:hint="default" w:ascii="Times New Roman" w:hAnsi="Times New Roman" w:cs="Times New Roman"/>
                      <w:kern w:val="0"/>
                      <w:sz w:val="21"/>
                      <w:szCs w:val="21"/>
                      <w:highlight w:val="none"/>
                    </w:rPr>
                    <w:t>反应活性(黄色)：0</w:t>
                  </w:r>
                  <w:r>
                    <w:rPr>
                      <w:rFonts w:hint="default" w:ascii="Times New Roman" w:hAnsi="Times New Roman" w:cs="Times New Roman"/>
                      <w:kern w:val="0"/>
                      <w:sz w:val="21"/>
                      <w:szCs w:val="21"/>
                      <w:highlight w:val="none"/>
                    </w:rPr>
                    <w:br w:type="textWrapping"/>
                  </w:r>
                  <w:r>
                    <w:rPr>
                      <w:rFonts w:hint="default" w:ascii="Times New Roman" w:hAnsi="Times New Roman" w:cs="Times New Roman"/>
                      <w:kern w:val="0"/>
                      <w:sz w:val="21"/>
                      <w:szCs w:val="21"/>
                      <w:highlight w:val="none"/>
                    </w:rPr>
                    <w:t>特殊危险：氧化剂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燃烧(分解)产物：</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kern w:val="0"/>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稳定性：</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稳定</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聚合危害：</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不能出现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禁忌物：</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易燃或可燃物、活性金属粉末、乙炔。</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灭火方法：</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切断气源。喷水冷却容器，可能的话将容器从火场移至空旷处。雾状水、二氧化碳。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b w:val="0"/>
                      <w:bCs w:val="0"/>
                      <w:kern w:val="0"/>
                      <w:sz w:val="21"/>
                      <w:szCs w:val="21"/>
                      <w:highlight w:val="none"/>
                    </w:rPr>
                  </w:pPr>
                  <w:r>
                    <w:rPr>
                      <w:rFonts w:hint="default" w:ascii="Times New Roman" w:hAnsi="Times New Roman" w:cs="Times New Roman"/>
                      <w:b w:val="0"/>
                      <w:bCs w:val="0"/>
                      <w:kern w:val="0"/>
                      <w:sz w:val="21"/>
                      <w:szCs w:val="21"/>
                      <w:highlight w:val="none"/>
                    </w:rPr>
                    <w:t>包装与储运</w:t>
                  </w: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危险货物包装标志：</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5；38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包装类别：</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Ⅲ</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储运注意事项：</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不燃性压缩气体。储存于阴凉、通风仓间内。仓温不宜超过30℃。远离火种、热源。防止阳光直射。应与易燃气体、金属粉末分开存放。验收时要注意品名，注意验瓶日期，先进仓的先发用。搬运时轻装轻卸，防止钢瓶及附件破损。</w:t>
                  </w:r>
                  <w:r>
                    <w:rPr>
                      <w:rFonts w:hint="default" w:ascii="Times New Roman" w:hAnsi="Times New Roman" w:cs="Times New Roman"/>
                      <w:kern w:val="0"/>
                      <w:sz w:val="21"/>
                      <w:szCs w:val="21"/>
                      <w:highlight w:val="none"/>
                    </w:rPr>
                    <w:br w:type="textWrapping"/>
                  </w:r>
                  <w:r>
                    <w:rPr>
                      <w:rFonts w:hint="default" w:ascii="Times New Roman" w:hAnsi="Times New Roman" w:cs="Times New Roman"/>
                      <w:kern w:val="0"/>
                      <w:sz w:val="21"/>
                      <w:szCs w:val="21"/>
                      <w:highlight w:val="none"/>
                    </w:rPr>
                    <w:t>废弃：允许气体安全地扩散到大气中。</w:t>
                  </w:r>
                  <w:r>
                    <w:rPr>
                      <w:rFonts w:hint="default" w:ascii="Times New Roman" w:hAnsi="Times New Roman" w:cs="Times New Roman"/>
                      <w:kern w:val="0"/>
                      <w:sz w:val="21"/>
                      <w:szCs w:val="21"/>
                      <w:highlight w:val="none"/>
                    </w:rPr>
                    <w:br w:type="textWrapping"/>
                  </w:r>
                  <w:r>
                    <w:rPr>
                      <w:rFonts w:hint="default" w:ascii="Times New Roman" w:hAnsi="Times New Roman" w:cs="Times New Roman"/>
                      <w:kern w:val="0"/>
                      <w:sz w:val="21"/>
                      <w:szCs w:val="21"/>
                      <w:highlight w:val="none"/>
                    </w:rPr>
                    <w:t>包装方法：钢质气瓶。</w:t>
                  </w:r>
                  <w:r>
                    <w:rPr>
                      <w:rFonts w:hint="default" w:ascii="Times New Roman" w:hAnsi="Times New Roman" w:cs="Times New Roman"/>
                      <w:kern w:val="0"/>
                      <w:sz w:val="21"/>
                      <w:szCs w:val="21"/>
                      <w:highlight w:val="none"/>
                    </w:rPr>
                    <w:br w:type="textWrapping"/>
                  </w:r>
                  <w:r>
                    <w:rPr>
                      <w:rFonts w:hint="default" w:ascii="Times New Roman" w:hAnsi="Times New Roman" w:cs="Times New Roman"/>
                      <w:kern w:val="0"/>
                      <w:sz w:val="21"/>
                      <w:szCs w:val="21"/>
                      <w:highlight w:val="none"/>
                    </w:rPr>
                    <w:t>ERGID：UN1072(压缩气体)；UN1073(低温液体)</w:t>
                  </w:r>
                  <w:r>
                    <w:rPr>
                      <w:rFonts w:hint="default" w:ascii="Times New Roman" w:hAnsi="Times New Roman" w:cs="Times New Roman"/>
                      <w:kern w:val="0"/>
                      <w:sz w:val="21"/>
                      <w:szCs w:val="21"/>
                      <w:highlight w:val="none"/>
                    </w:rPr>
                    <w:br w:type="textWrapping"/>
                  </w:r>
                  <w:r>
                    <w:rPr>
                      <w:rFonts w:hint="default" w:ascii="Times New Roman" w:hAnsi="Times New Roman" w:cs="Times New Roman"/>
                      <w:kern w:val="0"/>
                      <w:sz w:val="21"/>
                      <w:szCs w:val="21"/>
                      <w:highlight w:val="none"/>
                    </w:rPr>
                    <w:t>ERG指南：122(低温液体；压缩气体)</w:t>
                  </w:r>
                  <w:r>
                    <w:rPr>
                      <w:rFonts w:hint="default" w:ascii="Times New Roman" w:hAnsi="Times New Roman" w:cs="Times New Roman"/>
                      <w:kern w:val="0"/>
                      <w:sz w:val="21"/>
                      <w:szCs w:val="21"/>
                      <w:highlight w:val="none"/>
                    </w:rPr>
                    <w:br w:type="textWrapping"/>
                  </w:r>
                  <w:r>
                    <w:rPr>
                      <w:rFonts w:hint="default" w:ascii="Times New Roman" w:hAnsi="Times New Roman" w:cs="Times New Roman"/>
                      <w:kern w:val="0"/>
                      <w:sz w:val="21"/>
                      <w:szCs w:val="21"/>
                      <w:highlight w:val="none"/>
                    </w:rPr>
                    <w:t>ERG指南分类：气体—氧化性的(包括冷冻液化液体)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b w:val="0"/>
                      <w:bCs w:val="0"/>
                      <w:kern w:val="0"/>
                      <w:sz w:val="21"/>
                      <w:szCs w:val="21"/>
                      <w:highlight w:val="none"/>
                    </w:rPr>
                  </w:pPr>
                  <w:r>
                    <w:rPr>
                      <w:rFonts w:hint="default" w:ascii="Times New Roman" w:hAnsi="Times New Roman" w:cs="Times New Roman"/>
                      <w:b w:val="0"/>
                      <w:bCs w:val="0"/>
                      <w:kern w:val="0"/>
                      <w:sz w:val="21"/>
                      <w:szCs w:val="21"/>
                      <w:highlight w:val="none"/>
                    </w:rPr>
                    <w:t>毒性危害</w:t>
                  </w: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接触限值：</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中国：未制定标准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侵入途径：</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吸入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毒性：</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对环境有害。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健康危害：</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常压下，当氧的浓度超过40%时，有可能发生氧中毒，吸入40～60%的氧时，出现胸骨后不适感、轻咳，进而胸闷、胸骨后烧灼感和呼吸困难，咳嗽加剧；严重时可发生肺水肿、窒息。吸入的氧浓度在80%以上时，出现面部肌肉抽动、面色苍白、眩晕、心动过速、虚脱，继而全身强直性抽搐、昏迷、呼吸衰竭而死亡。</w:t>
                  </w:r>
                  <w:r>
                    <w:rPr>
                      <w:rFonts w:hint="default" w:ascii="Times New Roman" w:hAnsi="Times New Roman" w:cs="Times New Roman"/>
                      <w:kern w:val="0"/>
                      <w:sz w:val="21"/>
                      <w:szCs w:val="21"/>
                      <w:highlight w:val="none"/>
                    </w:rPr>
                    <w:br w:type="textWrapping"/>
                  </w:r>
                  <w:r>
                    <w:rPr>
                      <w:rFonts w:hint="default" w:ascii="Times New Roman" w:hAnsi="Times New Roman" w:cs="Times New Roman"/>
                      <w:kern w:val="0"/>
                      <w:sz w:val="21"/>
                      <w:szCs w:val="21"/>
                      <w:highlight w:val="none"/>
                    </w:rPr>
                    <w:t>健康危害(蓝色)： 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ind w:left="0" w:leftChars="0" w:firstLine="0" w:firstLineChars="0"/>
                    <w:jc w:val="center"/>
                    <w:textAlignment w:val="auto"/>
                    <w:rPr>
                      <w:rFonts w:hint="default" w:ascii="Times New Roman" w:hAnsi="Times New Roman" w:cs="Times New Roman"/>
                      <w:b w:val="0"/>
                      <w:bCs w:val="0"/>
                      <w:kern w:val="0"/>
                      <w:sz w:val="21"/>
                      <w:szCs w:val="21"/>
                      <w:highlight w:val="none"/>
                    </w:rPr>
                  </w:pPr>
                  <w:r>
                    <w:rPr>
                      <w:rFonts w:hint="default" w:ascii="Times New Roman" w:hAnsi="Times New Roman" w:cs="Times New Roman"/>
                      <w:b w:val="0"/>
                      <w:bCs w:val="0"/>
                      <w:kern w:val="0"/>
                      <w:sz w:val="21"/>
                      <w:szCs w:val="21"/>
                      <w:highlight w:val="none"/>
                    </w:rPr>
                    <w:t>急</w:t>
                  </w:r>
                </w:p>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b w:val="0"/>
                      <w:bCs w:val="0"/>
                      <w:kern w:val="0"/>
                      <w:sz w:val="21"/>
                      <w:szCs w:val="21"/>
                      <w:highlight w:val="none"/>
                    </w:rPr>
                  </w:pPr>
                  <w:r>
                    <w:rPr>
                      <w:rFonts w:hint="default" w:ascii="Times New Roman" w:hAnsi="Times New Roman" w:cs="Times New Roman"/>
                      <w:b w:val="0"/>
                      <w:bCs w:val="0"/>
                      <w:kern w:val="0"/>
                      <w:sz w:val="21"/>
                      <w:szCs w:val="21"/>
                      <w:highlight w:val="none"/>
                    </w:rPr>
                    <w:t>救</w:t>
                  </w: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皮肤接触：</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脱去并隔离被污染的衣服和鞋。冻结在皮肤上的衣服，要在解冻后才可脱去。接触液化气体，接触部位用温水浸泡复温。注意患者保暖并且保持安静。确保医务人员了解该物质相关的个体防护知识，注意自身防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眼睛接触：</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kern w:val="0"/>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吸入：</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迅速脱离现场至空气新鲜处。保持呼吸道通畅。呼吸停止时，立即进行人工呼吸。就医。如果呼吸困难，给予吸氧。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b w:val="0"/>
                      <w:bCs w:val="0"/>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食入：</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kern w:val="0"/>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b w:val="0"/>
                      <w:bCs w:val="0"/>
                      <w:kern w:val="0"/>
                      <w:sz w:val="21"/>
                      <w:szCs w:val="21"/>
                      <w:highlight w:val="none"/>
                    </w:rPr>
                  </w:pPr>
                  <w:r>
                    <w:rPr>
                      <w:rFonts w:hint="default" w:ascii="Times New Roman" w:hAnsi="Times New Roman" w:cs="Times New Roman"/>
                      <w:b w:val="0"/>
                      <w:bCs w:val="0"/>
                      <w:kern w:val="0"/>
                      <w:sz w:val="21"/>
                      <w:szCs w:val="21"/>
                      <w:highlight w:val="none"/>
                    </w:rPr>
                    <w:t>防护措施</w:t>
                  </w: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工程控制：</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密闭操作。提供良好的自然通风条件。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呼吸系统防护：</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一般不需特殊防护。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眼睛防护：</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一般不需特殊防护。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防护服：</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穿工作服。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手防护：</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必要时戴防护手套。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kern w:val="0"/>
                      <w:sz w:val="21"/>
                      <w:szCs w:val="21"/>
                      <w:highlight w:val="none"/>
                    </w:rPr>
                  </w:pPr>
                </w:p>
              </w:tc>
              <w:tc>
                <w:tcPr>
                  <w:tcW w:w="22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其他：</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避免高浓度吸入。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802"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泄漏处置：</w:t>
                  </w:r>
                </w:p>
              </w:tc>
              <w:tc>
                <w:tcPr>
                  <w:tcW w:w="637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建议应急处理人员戴自给式呼吸器，穿相应的工作服。切断火源。避免与可燃物或易燃物接触。切断气源，然后抽排(室内)或强力通风(室外)。漏气容器不能再用，且要经过技术处理以清除可能剩下的气体。</w:t>
                  </w:r>
                </w:p>
              </w:tc>
            </w:tr>
          </w:tbl>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b w:val="0"/>
                <w:bCs/>
                <w:sz w:val="24"/>
                <w:highlight w:val="none"/>
              </w:rPr>
            </w:pPr>
            <w:bookmarkStart w:id="4" w:name="_Toc5352"/>
            <w:r>
              <w:rPr>
                <w:b w:val="0"/>
                <w:bCs/>
                <w:sz w:val="24"/>
                <w:highlight w:val="none"/>
              </w:rPr>
              <w:t>表</w:t>
            </w:r>
            <w:r>
              <w:rPr>
                <w:rFonts w:hint="eastAsia"/>
                <w:b w:val="0"/>
                <w:bCs/>
                <w:sz w:val="24"/>
                <w:highlight w:val="none"/>
                <w:lang w:val="en-US" w:eastAsia="zh-CN"/>
              </w:rPr>
              <w:t>47</w:t>
            </w:r>
            <w:r>
              <w:rPr>
                <w:b w:val="0"/>
                <w:bCs/>
                <w:sz w:val="24"/>
                <w:highlight w:val="none"/>
              </w:rPr>
              <w:t xml:space="preserve">  二氧化碳（液化的）</w:t>
            </w:r>
            <w:r>
              <w:rPr>
                <w:rFonts w:hint="default" w:ascii="Times New Roman" w:hAnsi="Times New Roman" w:eastAsia="宋体" w:cs="Times New Roman"/>
                <w:b w:val="0"/>
                <w:bCs w:val="0"/>
                <w:color w:val="auto"/>
                <w:sz w:val="24"/>
                <w:szCs w:val="24"/>
                <w:highlight w:val="none"/>
                <w:lang w:val="en-US" w:eastAsia="zh-CN"/>
              </w:rPr>
              <w:t>安全技术说明书</w:t>
            </w:r>
          </w:p>
          <w:tbl>
            <w:tblPr>
              <w:tblStyle w:val="21"/>
              <w:tblW w:w="9015"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1463"/>
              <w:gridCol w:w="197"/>
              <w:gridCol w:w="383"/>
              <w:gridCol w:w="394"/>
              <w:gridCol w:w="190"/>
              <w:gridCol w:w="693"/>
              <w:gridCol w:w="701"/>
              <w:gridCol w:w="750"/>
              <w:gridCol w:w="130"/>
              <w:gridCol w:w="449"/>
              <w:gridCol w:w="696"/>
              <w:gridCol w:w="388"/>
              <w:gridCol w:w="74"/>
              <w:gridCol w:w="1084"/>
              <w:gridCol w:w="1423"/>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9072" w:type="dxa"/>
                  <w:gridSpan w:val="15"/>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textAlignment w:val="auto"/>
                    <w:rPr>
                      <w:sz w:val="21"/>
                      <w:szCs w:val="21"/>
                      <w:highlight w:val="none"/>
                    </w:rPr>
                  </w:pPr>
                  <w:r>
                    <w:rPr>
                      <w:sz w:val="21"/>
                      <w:szCs w:val="21"/>
                      <w:highlight w:val="none"/>
                    </w:rPr>
                    <w:t>物质名称：二氧化碳</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9072" w:type="dxa"/>
                  <w:gridSpan w:val="15"/>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textAlignment w:val="auto"/>
                    <w:rPr>
                      <w:sz w:val="21"/>
                      <w:szCs w:val="21"/>
                      <w:highlight w:val="none"/>
                    </w:rPr>
                  </w:pPr>
                  <w:r>
                    <w:rPr>
                      <w:sz w:val="21"/>
                      <w:szCs w:val="21"/>
                      <w:highlight w:val="none"/>
                    </w:rPr>
                    <w:t>物化特性</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057"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沸点(℃)</w:t>
                  </w:r>
                </w:p>
              </w:tc>
              <w:tc>
                <w:tcPr>
                  <w:tcW w:w="1982" w:type="dxa"/>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-78.5(升华)</w:t>
                  </w:r>
                </w:p>
              </w:tc>
              <w:tc>
                <w:tcPr>
                  <w:tcW w:w="1338"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比重(水=1)</w:t>
                  </w:r>
                </w:p>
              </w:tc>
              <w:tc>
                <w:tcPr>
                  <w:tcW w:w="3695" w:type="dxa"/>
                  <w:gridSpan w:val="5"/>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1.56(-79℃)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057"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饱和蒸气压(kPa)</w:t>
                  </w:r>
                </w:p>
              </w:tc>
              <w:tc>
                <w:tcPr>
                  <w:tcW w:w="1982" w:type="dxa"/>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1013.25(-39℃)</w:t>
                  </w:r>
                </w:p>
              </w:tc>
              <w:tc>
                <w:tcPr>
                  <w:tcW w:w="1338"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熔点(℃)</w:t>
                  </w:r>
                </w:p>
              </w:tc>
              <w:tc>
                <w:tcPr>
                  <w:tcW w:w="3695" w:type="dxa"/>
                  <w:gridSpan w:val="5"/>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-56.6(527kPa)</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057"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蒸气密度(空气=1)</w:t>
                  </w:r>
                </w:p>
              </w:tc>
              <w:tc>
                <w:tcPr>
                  <w:tcW w:w="1982" w:type="dxa"/>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1.53</w:t>
                  </w:r>
                </w:p>
              </w:tc>
              <w:tc>
                <w:tcPr>
                  <w:tcW w:w="1338"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溶解性</w:t>
                  </w:r>
                </w:p>
              </w:tc>
              <w:tc>
                <w:tcPr>
                  <w:tcW w:w="3695" w:type="dxa"/>
                  <w:gridSpan w:val="5"/>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溶于水、烃类等多数有机溶剂。</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057"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外观与气味</w:t>
                  </w:r>
                </w:p>
              </w:tc>
              <w:tc>
                <w:tcPr>
                  <w:tcW w:w="7015" w:type="dxa"/>
                  <w:gridSpan w:val="1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无色无臭气体。</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9072" w:type="dxa"/>
                  <w:gridSpan w:val="15"/>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火灾爆炸危险数据</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057"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闪点(℃)</w:t>
                  </w:r>
                </w:p>
              </w:tc>
              <w:tc>
                <w:tcPr>
                  <w:tcW w:w="1982" w:type="dxa"/>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无意义</w:t>
                  </w:r>
                </w:p>
              </w:tc>
              <w:tc>
                <w:tcPr>
                  <w:tcW w:w="1338"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爆炸极限</w:t>
                  </w:r>
                </w:p>
              </w:tc>
              <w:tc>
                <w:tcPr>
                  <w:tcW w:w="3695" w:type="dxa"/>
                  <w:gridSpan w:val="5"/>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无意义%～无意义%</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057"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灭火方法及灭火剂</w:t>
                  </w:r>
                </w:p>
              </w:tc>
              <w:tc>
                <w:tcPr>
                  <w:tcW w:w="7015" w:type="dxa"/>
                  <w:gridSpan w:val="1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本品不燃。尽可能将容器从火场移至空旷处。喷水保持火场容器冷却，直至灭火结束。</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057"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危险特性</w:t>
                  </w:r>
                </w:p>
              </w:tc>
              <w:tc>
                <w:tcPr>
                  <w:tcW w:w="7015" w:type="dxa"/>
                  <w:gridSpan w:val="1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若遇高热，容器内压增大，有开裂和爆炸的危险。</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9072" w:type="dxa"/>
                  <w:gridSpan w:val="15"/>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反应活性数据</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4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稳定性</w:t>
                  </w:r>
                </w:p>
              </w:tc>
              <w:tc>
                <w:tcPr>
                  <w:tcW w:w="1170" w:type="dxa"/>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稳定</w:t>
                  </w:r>
                </w:p>
              </w:tc>
              <w:tc>
                <w:tcPr>
                  <w:tcW w:w="6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w:t>
                  </w:r>
                </w:p>
              </w:tc>
              <w:tc>
                <w:tcPr>
                  <w:tcW w:w="1459"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避免条件</w:t>
                  </w:r>
                </w:p>
              </w:tc>
              <w:tc>
                <w:tcPr>
                  <w:tcW w:w="4278" w:type="dxa"/>
                  <w:gridSpan w:val="7"/>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4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sz w:val="21"/>
                      <w:szCs w:val="21"/>
                      <w:highlight w:val="none"/>
                    </w:rPr>
                  </w:pPr>
                </w:p>
              </w:tc>
              <w:tc>
                <w:tcPr>
                  <w:tcW w:w="1170" w:type="dxa"/>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不稳定</w:t>
                  </w:r>
                </w:p>
              </w:tc>
              <w:tc>
                <w:tcPr>
                  <w:tcW w:w="6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sz w:val="21"/>
                      <w:szCs w:val="21"/>
                      <w:highlight w:val="none"/>
                    </w:rPr>
                  </w:pPr>
                </w:p>
              </w:tc>
              <w:tc>
                <w:tcPr>
                  <w:tcW w:w="5737" w:type="dxa"/>
                  <w:gridSpan w:val="9"/>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4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聚合危险性</w:t>
                  </w:r>
                </w:p>
              </w:tc>
              <w:tc>
                <w:tcPr>
                  <w:tcW w:w="1170" w:type="dxa"/>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可能存在</w:t>
                  </w:r>
                </w:p>
              </w:tc>
              <w:tc>
                <w:tcPr>
                  <w:tcW w:w="6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w:t>
                  </w:r>
                </w:p>
              </w:tc>
              <w:tc>
                <w:tcPr>
                  <w:tcW w:w="1459"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避免条件</w:t>
                  </w:r>
                </w:p>
              </w:tc>
              <w:tc>
                <w:tcPr>
                  <w:tcW w:w="4278" w:type="dxa"/>
                  <w:gridSpan w:val="7"/>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4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sz w:val="21"/>
                      <w:szCs w:val="21"/>
                      <w:highlight w:val="none"/>
                    </w:rPr>
                  </w:pPr>
                </w:p>
              </w:tc>
              <w:tc>
                <w:tcPr>
                  <w:tcW w:w="1170" w:type="dxa"/>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不存在</w:t>
                  </w:r>
                </w:p>
              </w:tc>
              <w:tc>
                <w:tcPr>
                  <w:tcW w:w="6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sz w:val="21"/>
                      <w:szCs w:val="21"/>
                      <w:highlight w:val="none"/>
                    </w:rPr>
                  </w:pPr>
                </w:p>
              </w:tc>
              <w:tc>
                <w:tcPr>
                  <w:tcW w:w="5737" w:type="dxa"/>
                  <w:gridSpan w:val="9"/>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4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禁忌物</w:t>
                  </w:r>
                </w:p>
              </w:tc>
              <w:tc>
                <w:tcPr>
                  <w:tcW w:w="2567" w:type="dxa"/>
                  <w:gridSpan w:val="6"/>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sz w:val="21"/>
                      <w:szCs w:val="21"/>
                      <w:highlight w:val="none"/>
                    </w:rPr>
                  </w:pPr>
                </w:p>
              </w:tc>
              <w:tc>
                <w:tcPr>
                  <w:tcW w:w="2040" w:type="dxa"/>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燃烧（分解）产物</w:t>
                  </w:r>
                </w:p>
              </w:tc>
              <w:tc>
                <w:tcPr>
                  <w:tcW w:w="2993" w:type="dxa"/>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9072" w:type="dxa"/>
                  <w:gridSpan w:val="15"/>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sz w:val="21"/>
                      <w:szCs w:val="21"/>
                      <w:highlight w:val="none"/>
                    </w:rPr>
                  </w:pPr>
                  <w:r>
                    <w:rPr>
                      <w:sz w:val="21"/>
                      <w:szCs w:val="21"/>
                      <w:highlight w:val="none"/>
                    </w:rPr>
                    <w:t>健康危害数据</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4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浸入途径</w:t>
                  </w:r>
                </w:p>
              </w:tc>
              <w:tc>
                <w:tcPr>
                  <w:tcW w:w="979"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吸入</w:t>
                  </w:r>
                </w:p>
              </w:tc>
              <w:tc>
                <w:tcPr>
                  <w:tcW w:w="1588"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sz w:val="21"/>
                      <w:szCs w:val="21"/>
                      <w:highlight w:val="none"/>
                    </w:rPr>
                  </w:pPr>
                  <w:r>
                    <w:rPr>
                      <w:sz w:val="21"/>
                      <w:szCs w:val="21"/>
                      <w:highlight w:val="none"/>
                    </w:rPr>
                    <w:t>√</w:t>
                  </w:r>
                </w:p>
              </w:tc>
              <w:tc>
                <w:tcPr>
                  <w:tcW w:w="886"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食入</w:t>
                  </w:r>
                </w:p>
              </w:tc>
              <w:tc>
                <w:tcPr>
                  <w:tcW w:w="1545"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sz w:val="21"/>
                      <w:szCs w:val="21"/>
                      <w:highlight w:val="none"/>
                    </w:rPr>
                  </w:pPr>
                </w:p>
              </w:tc>
              <w:tc>
                <w:tcPr>
                  <w:tcW w:w="1169"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皮肤</w:t>
                  </w:r>
                </w:p>
              </w:tc>
              <w:tc>
                <w:tcPr>
                  <w:tcW w:w="143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4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急性毒性</w:t>
                  </w:r>
                </w:p>
              </w:tc>
              <w:tc>
                <w:tcPr>
                  <w:tcW w:w="979"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LD</w:t>
                  </w:r>
                  <w:r>
                    <w:rPr>
                      <w:sz w:val="21"/>
                      <w:szCs w:val="21"/>
                      <w:highlight w:val="none"/>
                      <w:vertAlign w:val="subscript"/>
                    </w:rPr>
                    <w:t>50</w:t>
                  </w:r>
                </w:p>
              </w:tc>
              <w:tc>
                <w:tcPr>
                  <w:tcW w:w="2474" w:type="dxa"/>
                  <w:gridSpan w:val="5"/>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无资料</w:t>
                  </w:r>
                </w:p>
              </w:tc>
              <w:tc>
                <w:tcPr>
                  <w:tcW w:w="1545"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LC</w:t>
                  </w:r>
                  <w:r>
                    <w:rPr>
                      <w:sz w:val="21"/>
                      <w:szCs w:val="21"/>
                      <w:highlight w:val="none"/>
                      <w:vertAlign w:val="subscript"/>
                    </w:rPr>
                    <w:t>50</w:t>
                  </w:r>
                </w:p>
              </w:tc>
              <w:tc>
                <w:tcPr>
                  <w:tcW w:w="2602"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无资料</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9072" w:type="dxa"/>
                  <w:gridSpan w:val="15"/>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spacing w:line="240" w:lineRule="auto"/>
                    <w:ind w:left="0" w:leftChars="0" w:firstLine="0" w:firstLineChars="0"/>
                    <w:textAlignment w:val="auto"/>
                    <w:rPr>
                      <w:sz w:val="21"/>
                      <w:szCs w:val="21"/>
                      <w:highlight w:val="none"/>
                    </w:rPr>
                  </w:pPr>
                  <w:r>
                    <w:rPr>
                      <w:sz w:val="21"/>
                      <w:szCs w:val="21"/>
                      <w:highlight w:val="none"/>
                    </w:rPr>
                    <w:t>健康危害（急性和慢性）</w:t>
                  </w:r>
                </w:p>
                <w:p>
                  <w:pPr>
                    <w:keepNext w:val="0"/>
                    <w:keepLines w:val="0"/>
                    <w:pageBreakBefore w:val="0"/>
                    <w:widowControl w:val="0"/>
                    <w:kinsoku/>
                    <w:wordWrap/>
                    <w:overflowPunct/>
                    <w:topLinePunct w:val="0"/>
                    <w:autoSpaceDE/>
                    <w:autoSpaceDN/>
                    <w:bidi w:val="0"/>
                    <w:snapToGrid/>
                    <w:spacing w:line="240" w:lineRule="auto"/>
                    <w:ind w:left="0" w:leftChars="0" w:firstLine="420" w:firstLineChars="200"/>
                    <w:textAlignment w:val="auto"/>
                    <w:rPr>
                      <w:sz w:val="21"/>
                      <w:szCs w:val="21"/>
                      <w:highlight w:val="none"/>
                    </w:rPr>
                  </w:pPr>
                  <w:r>
                    <w:rPr>
                      <w:sz w:val="21"/>
                      <w:szCs w:val="21"/>
                      <w:highlight w:val="none"/>
                    </w:rPr>
                    <w:t>在低浓度时，对呼吸中枢呈兴奋作用， 高浓度时则产生抑制甚至麻痹作用。中毒机制中还兼有缺氧的因素。</w:t>
                  </w:r>
                </w:p>
                <w:p>
                  <w:pPr>
                    <w:keepNext w:val="0"/>
                    <w:keepLines w:val="0"/>
                    <w:pageBreakBefore w:val="0"/>
                    <w:widowControl w:val="0"/>
                    <w:kinsoku/>
                    <w:wordWrap/>
                    <w:overflowPunct/>
                    <w:topLinePunct w:val="0"/>
                    <w:autoSpaceDE/>
                    <w:autoSpaceDN/>
                    <w:bidi w:val="0"/>
                    <w:snapToGrid/>
                    <w:spacing w:line="240" w:lineRule="auto"/>
                    <w:ind w:left="0" w:leftChars="0" w:firstLine="420" w:firstLineChars="200"/>
                    <w:textAlignment w:val="auto"/>
                    <w:rPr>
                      <w:sz w:val="21"/>
                      <w:szCs w:val="21"/>
                      <w:highlight w:val="none"/>
                    </w:rPr>
                  </w:pPr>
                  <w:r>
                    <w:rPr>
                      <w:sz w:val="21"/>
                      <w:szCs w:val="21"/>
                      <w:highlight w:val="none"/>
                    </w:rPr>
                    <w:t>急性中毒：人进入高浓度二氧化碳环境，在几秒钟内迅速昏迷倒下，反射消失、瞳孔扩大或缩小、大小便失禁、呕吐等，更严重者出现呼吸停止及休克，甚至死亡。固态(干冰)和液态二氧化碳在常压下迅速汽化，能造成-80～-43</w:t>
                  </w:r>
                  <w:r>
                    <w:rPr>
                      <w:rFonts w:hint="eastAsia" w:ascii="宋体" w:hAnsi="宋体" w:cs="宋体"/>
                      <w:sz w:val="21"/>
                      <w:szCs w:val="21"/>
                      <w:highlight w:val="none"/>
                    </w:rPr>
                    <w:t>℃</w:t>
                  </w:r>
                  <w:r>
                    <w:rPr>
                      <w:sz w:val="21"/>
                      <w:szCs w:val="21"/>
                      <w:highlight w:val="none"/>
                    </w:rPr>
                    <w:t>低温，引起皮肤和眼睛严重的冻伤。</w:t>
                  </w:r>
                </w:p>
                <w:p>
                  <w:pPr>
                    <w:keepNext w:val="0"/>
                    <w:keepLines w:val="0"/>
                    <w:pageBreakBefore w:val="0"/>
                    <w:widowControl w:val="0"/>
                    <w:kinsoku/>
                    <w:wordWrap/>
                    <w:overflowPunct/>
                    <w:topLinePunct w:val="0"/>
                    <w:autoSpaceDE/>
                    <w:autoSpaceDN/>
                    <w:bidi w:val="0"/>
                    <w:adjustRightInd w:val="0"/>
                    <w:snapToGrid/>
                    <w:spacing w:line="240" w:lineRule="auto"/>
                    <w:ind w:left="0" w:leftChars="0" w:firstLine="420" w:firstLineChars="200"/>
                    <w:textAlignment w:val="auto"/>
                    <w:rPr>
                      <w:sz w:val="21"/>
                      <w:szCs w:val="21"/>
                      <w:highlight w:val="none"/>
                    </w:rPr>
                  </w:pPr>
                  <w:r>
                    <w:rPr>
                      <w:sz w:val="21"/>
                      <w:szCs w:val="21"/>
                      <w:highlight w:val="none"/>
                    </w:rPr>
                    <w:t>慢性影响: 经常接触较高浓度的二氧化碳者，可有头晕、头痛、失眠、易兴奋、无力等神经功能紊乱等。但在生产中是否存在慢性中毒国内外均未见病例报道。</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9072" w:type="dxa"/>
                  <w:gridSpan w:val="15"/>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spacing w:line="240" w:lineRule="auto"/>
                    <w:ind w:left="0" w:leftChars="0" w:firstLine="0" w:firstLineChars="0"/>
                    <w:textAlignment w:val="auto"/>
                    <w:rPr>
                      <w:sz w:val="21"/>
                      <w:szCs w:val="21"/>
                      <w:highlight w:val="none"/>
                    </w:rPr>
                  </w:pPr>
                  <w:r>
                    <w:rPr>
                      <w:sz w:val="21"/>
                      <w:szCs w:val="21"/>
                      <w:highlight w:val="none"/>
                    </w:rPr>
                    <w:t>泄漏紧急处理</w:t>
                  </w:r>
                </w:p>
                <w:p>
                  <w:pPr>
                    <w:keepNext w:val="0"/>
                    <w:keepLines w:val="0"/>
                    <w:pageBreakBefore w:val="0"/>
                    <w:widowControl w:val="0"/>
                    <w:kinsoku/>
                    <w:wordWrap/>
                    <w:overflowPunct/>
                    <w:topLinePunct w:val="0"/>
                    <w:autoSpaceDE/>
                    <w:autoSpaceDN/>
                    <w:bidi w:val="0"/>
                    <w:adjustRightInd w:val="0"/>
                    <w:snapToGrid/>
                    <w:spacing w:line="240" w:lineRule="auto"/>
                    <w:ind w:left="0" w:leftChars="0" w:firstLine="420" w:firstLineChars="200"/>
                    <w:textAlignment w:val="auto"/>
                    <w:rPr>
                      <w:sz w:val="21"/>
                      <w:szCs w:val="21"/>
                      <w:highlight w:val="none"/>
                    </w:rPr>
                  </w:pPr>
                  <w:r>
                    <w:rPr>
                      <w:sz w:val="21"/>
                      <w:szCs w:val="21"/>
                      <w:highlight w:val="none"/>
                    </w:rPr>
                    <w:t>迅速撤离泄漏污染区人员至上风处，并进行隔离，严格限制出入。建议应急处理人员戴自给正压式呼吸器，穿一般作业工作服。尽可能切断泄漏源。合理通风，加速扩散。漏气容器要妥善处理，修复、检验后再用。</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9072" w:type="dxa"/>
                  <w:gridSpan w:val="15"/>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spacing w:line="240" w:lineRule="auto"/>
                    <w:textAlignment w:val="auto"/>
                    <w:rPr>
                      <w:sz w:val="21"/>
                      <w:szCs w:val="21"/>
                      <w:highlight w:val="none"/>
                    </w:rPr>
                  </w:pPr>
                  <w:r>
                    <w:rPr>
                      <w:sz w:val="21"/>
                      <w:szCs w:val="21"/>
                      <w:highlight w:val="none"/>
                    </w:rPr>
                    <w:t>储运注意事项</w:t>
                  </w:r>
                </w:p>
                <w:p>
                  <w:pPr>
                    <w:keepNext w:val="0"/>
                    <w:keepLines w:val="0"/>
                    <w:pageBreakBefore w:val="0"/>
                    <w:widowControl w:val="0"/>
                    <w:kinsoku/>
                    <w:wordWrap/>
                    <w:overflowPunct/>
                    <w:topLinePunct w:val="0"/>
                    <w:autoSpaceDE/>
                    <w:autoSpaceDN/>
                    <w:bidi w:val="0"/>
                    <w:adjustRightInd w:val="0"/>
                    <w:snapToGrid/>
                    <w:spacing w:line="240" w:lineRule="auto"/>
                    <w:textAlignment w:val="auto"/>
                    <w:rPr>
                      <w:sz w:val="21"/>
                      <w:szCs w:val="21"/>
                      <w:highlight w:val="none"/>
                    </w:rPr>
                  </w:pPr>
                  <w:r>
                    <w:rPr>
                      <w:sz w:val="21"/>
                      <w:szCs w:val="21"/>
                      <w:highlight w:val="none"/>
                    </w:rPr>
                    <w:t>采用钢瓶运输时必须戴好钢瓶上的安全帽。钢瓶一般平放，并应将瓶口朝同一方向，不可交叉；高度不得超过车辆的防护栏板，并用三角木垫卡牢，防止滚动。严禁与易燃物或可燃物等混装混运。夏季应早晚运输，防止日光曝晒。铁路运输时要禁止溜放。</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9072" w:type="dxa"/>
                  <w:gridSpan w:val="15"/>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textAlignment w:val="auto"/>
                    <w:rPr>
                      <w:sz w:val="21"/>
                      <w:szCs w:val="21"/>
                      <w:highlight w:val="none"/>
                    </w:rPr>
                  </w:pPr>
                  <w:r>
                    <w:rPr>
                      <w:sz w:val="21"/>
                      <w:szCs w:val="21"/>
                      <w:highlight w:val="none"/>
                    </w:rPr>
                    <w:t>防护措施</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671"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textAlignment w:val="auto"/>
                    <w:rPr>
                      <w:sz w:val="21"/>
                      <w:szCs w:val="21"/>
                      <w:highlight w:val="none"/>
                    </w:rPr>
                  </w:pPr>
                  <w:r>
                    <w:rPr>
                      <w:sz w:val="21"/>
                      <w:szCs w:val="21"/>
                      <w:highlight w:val="none"/>
                    </w:rPr>
                    <w:t>车间卫生标准</w:t>
                  </w:r>
                </w:p>
              </w:tc>
              <w:tc>
                <w:tcPr>
                  <w:tcW w:w="7401" w:type="dxa"/>
                  <w:gridSpan w:val="1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textAlignment w:val="auto"/>
                    <w:rPr>
                      <w:sz w:val="21"/>
                      <w:szCs w:val="21"/>
                      <w:highlight w:val="none"/>
                    </w:rPr>
                  </w:pPr>
                  <w:r>
                    <w:rPr>
                      <w:sz w:val="21"/>
                      <w:szCs w:val="21"/>
                      <w:highlight w:val="none"/>
                    </w:rPr>
                    <w:t>PC-TWA:9000 mg/m</w:t>
                  </w:r>
                  <w:r>
                    <w:rPr>
                      <w:sz w:val="21"/>
                      <w:szCs w:val="21"/>
                      <w:highlight w:val="none"/>
                      <w:vertAlign w:val="superscript"/>
                    </w:rPr>
                    <w:t>3</w:t>
                  </w:r>
                  <w:r>
                    <w:rPr>
                      <w:sz w:val="21"/>
                      <w:szCs w:val="21"/>
                      <w:highlight w:val="none"/>
                    </w:rPr>
                    <w:t xml:space="preserve">               PC-STEL:18000 mg/m</w:t>
                  </w:r>
                  <w:r>
                    <w:rPr>
                      <w:sz w:val="21"/>
                      <w:szCs w:val="21"/>
                      <w:highlight w:val="none"/>
                      <w:vertAlign w:val="superscript"/>
                    </w:rPr>
                    <w:t>3</w:t>
                  </w:r>
                  <w:r>
                    <w:rPr>
                      <w:sz w:val="21"/>
                      <w:szCs w:val="21"/>
                      <w:highlight w:val="none"/>
                    </w:rPr>
                    <w:t xml:space="preserve"> </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671"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工程控制</w:t>
                  </w:r>
                </w:p>
              </w:tc>
              <w:tc>
                <w:tcPr>
                  <w:tcW w:w="7401" w:type="dxa"/>
                  <w:gridSpan w:val="1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密闭操作。提供良好的自然通风条件。</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671"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呼吸系统防护</w:t>
                  </w:r>
                </w:p>
              </w:tc>
              <w:tc>
                <w:tcPr>
                  <w:tcW w:w="3706" w:type="dxa"/>
                  <w:gridSpan w:val="8"/>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一般不需要特殊防护，高浓度接触时可佩戴空气呼吸器。</w:t>
                  </w:r>
                </w:p>
              </w:tc>
              <w:tc>
                <w:tcPr>
                  <w:tcW w:w="1168"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身体防护</w:t>
                  </w:r>
                </w:p>
              </w:tc>
              <w:tc>
                <w:tcPr>
                  <w:tcW w:w="2527"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穿一般作业工作服。</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671"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手防护</w:t>
                  </w:r>
                </w:p>
              </w:tc>
              <w:tc>
                <w:tcPr>
                  <w:tcW w:w="3706" w:type="dxa"/>
                  <w:gridSpan w:val="8"/>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戴一般作业防护手套。</w:t>
                  </w:r>
                </w:p>
              </w:tc>
              <w:tc>
                <w:tcPr>
                  <w:tcW w:w="1168"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眼防护</w:t>
                  </w:r>
                </w:p>
              </w:tc>
              <w:tc>
                <w:tcPr>
                  <w:tcW w:w="2527"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一般不需特殊防护。</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671"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其他</w:t>
                  </w:r>
                </w:p>
              </w:tc>
              <w:tc>
                <w:tcPr>
                  <w:tcW w:w="7401" w:type="dxa"/>
                  <w:gridSpan w:val="1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auto"/>
                    <w:rPr>
                      <w:sz w:val="21"/>
                      <w:szCs w:val="21"/>
                      <w:highlight w:val="none"/>
                    </w:rPr>
                  </w:pPr>
                  <w:r>
                    <w:rPr>
                      <w:sz w:val="21"/>
                      <w:szCs w:val="21"/>
                      <w:highlight w:val="none"/>
                    </w:rPr>
                    <w:t>避免高浓度吸入。进入罐、限制性空间或其它高浓度区作业，须有人监护。</w:t>
                  </w:r>
                </w:p>
              </w:tc>
            </w:tr>
            <w:bookmarkEnd w:id="4"/>
          </w:tbl>
          <w:p>
            <w:pPr>
              <w:keepNext w:val="0"/>
              <w:keepLines w:val="0"/>
              <w:pageBreakBefore w:val="0"/>
              <w:widowControl w:val="0"/>
              <w:kinsoku/>
              <w:wordWrap/>
              <w:overflowPunct/>
              <w:topLinePunct w:val="0"/>
              <w:autoSpaceDE/>
              <w:autoSpaceDN/>
              <w:bidi w:val="0"/>
              <w:adjustRightInd w:val="0"/>
              <w:snapToGrid w:val="0"/>
              <w:spacing w:line="240" w:lineRule="auto"/>
              <w:ind w:firstLine="240" w:firstLineChars="100"/>
              <w:jc w:val="center"/>
              <w:textAlignment w:val="auto"/>
              <w:rPr>
                <w:b w:val="0"/>
                <w:bCs/>
                <w:sz w:val="24"/>
                <w:highlight w:val="none"/>
              </w:rPr>
            </w:pPr>
            <w:r>
              <w:rPr>
                <w:b w:val="0"/>
                <w:bCs/>
                <w:sz w:val="24"/>
                <w:highlight w:val="none"/>
              </w:rPr>
              <w:t>表</w:t>
            </w:r>
            <w:r>
              <w:rPr>
                <w:rFonts w:hint="eastAsia"/>
                <w:b w:val="0"/>
                <w:bCs/>
                <w:sz w:val="24"/>
                <w:highlight w:val="none"/>
                <w:lang w:val="en-US" w:eastAsia="zh-CN"/>
              </w:rPr>
              <w:t>48</w:t>
            </w:r>
            <w:r>
              <w:rPr>
                <w:b w:val="0"/>
                <w:bCs/>
                <w:sz w:val="24"/>
                <w:highlight w:val="none"/>
              </w:rPr>
              <w:t xml:space="preserve">   氩气</w:t>
            </w:r>
            <w:r>
              <w:rPr>
                <w:rFonts w:hint="default" w:ascii="Times New Roman" w:hAnsi="Times New Roman" w:eastAsia="宋体" w:cs="Times New Roman"/>
                <w:b w:val="0"/>
                <w:bCs w:val="0"/>
                <w:color w:val="auto"/>
                <w:sz w:val="24"/>
                <w:szCs w:val="24"/>
                <w:highlight w:val="none"/>
                <w:lang w:val="en-US" w:eastAsia="zh-CN"/>
              </w:rPr>
              <w:t>安全技术说明书</w:t>
            </w:r>
          </w:p>
          <w:tbl>
            <w:tblPr>
              <w:tblStyle w:val="21"/>
              <w:tblW w:w="901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75"/>
              <w:gridCol w:w="1533"/>
              <w:gridCol w:w="1258"/>
              <w:gridCol w:w="148"/>
              <w:gridCol w:w="27"/>
              <w:gridCol w:w="350"/>
              <w:gridCol w:w="1015"/>
              <w:gridCol w:w="281"/>
              <w:gridCol w:w="34"/>
              <w:gridCol w:w="714"/>
              <w:gridCol w:w="232"/>
              <w:gridCol w:w="143"/>
              <w:gridCol w:w="836"/>
              <w:gridCol w:w="556"/>
              <w:gridCol w:w="511"/>
              <w:gridCol w:w="90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6"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10"/>
                      <w:sz w:val="21"/>
                      <w:szCs w:val="21"/>
                      <w:highlight w:val="none"/>
                    </w:rPr>
                  </w:pPr>
                  <w:r>
                    <w:rPr>
                      <w:spacing w:val="10"/>
                      <w:sz w:val="21"/>
                      <w:szCs w:val="21"/>
                      <w:highlight w:val="none"/>
                    </w:rPr>
                    <w:t>标识</w:t>
                  </w:r>
                </w:p>
              </w:tc>
              <w:tc>
                <w:tcPr>
                  <w:tcW w:w="5698" w:type="dxa"/>
                  <w:gridSpan w:val="10"/>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10"/>
                      <w:sz w:val="21"/>
                      <w:szCs w:val="21"/>
                      <w:highlight w:val="none"/>
                    </w:rPr>
                  </w:pPr>
                  <w:r>
                    <w:rPr>
                      <w:spacing w:val="10"/>
                      <w:sz w:val="21"/>
                      <w:szCs w:val="21"/>
                      <w:highlight w:val="none"/>
                    </w:rPr>
                    <w:t>中文名：氩[压缩的]；氩气</w:t>
                  </w:r>
                </w:p>
              </w:tc>
              <w:tc>
                <w:tcPr>
                  <w:tcW w:w="3005" w:type="dxa"/>
                  <w:gridSpan w:val="5"/>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10"/>
                      <w:sz w:val="21"/>
                      <w:szCs w:val="21"/>
                      <w:highlight w:val="none"/>
                    </w:rPr>
                  </w:pPr>
                  <w:r>
                    <w:rPr>
                      <w:spacing w:val="10"/>
                      <w:sz w:val="21"/>
                      <w:szCs w:val="21"/>
                      <w:highlight w:val="none"/>
                    </w:rPr>
                    <w:t>危险货物编号：</w:t>
                  </w:r>
                  <w:r>
                    <w:rPr>
                      <w:sz w:val="21"/>
                      <w:szCs w:val="21"/>
                      <w:highlight w:val="none"/>
                    </w:rPr>
                    <w:t>22011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6"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spacing w:val="10"/>
                      <w:sz w:val="21"/>
                      <w:szCs w:val="21"/>
                      <w:highlight w:val="none"/>
                    </w:rPr>
                  </w:pPr>
                </w:p>
              </w:tc>
              <w:tc>
                <w:tcPr>
                  <w:tcW w:w="5698" w:type="dxa"/>
                  <w:gridSpan w:val="10"/>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10"/>
                      <w:sz w:val="21"/>
                      <w:szCs w:val="21"/>
                      <w:highlight w:val="none"/>
                    </w:rPr>
                  </w:pPr>
                  <w:r>
                    <w:rPr>
                      <w:spacing w:val="10"/>
                      <w:sz w:val="21"/>
                      <w:szCs w:val="21"/>
                      <w:highlight w:val="none"/>
                    </w:rPr>
                    <w:t>英文名</w:t>
                  </w:r>
                  <w:r>
                    <w:rPr>
                      <w:spacing w:val="10"/>
                      <w:sz w:val="21"/>
                      <w:szCs w:val="21"/>
                      <w:highlight w:val="none"/>
                      <w:lang w:val="en-GB"/>
                    </w:rPr>
                    <w:t>：</w:t>
                  </w:r>
                  <w:r>
                    <w:rPr>
                      <w:sz w:val="21"/>
                      <w:szCs w:val="21"/>
                      <w:highlight w:val="none"/>
                    </w:rPr>
                    <w:t>argon，compressed</w:t>
                  </w:r>
                </w:p>
              </w:tc>
              <w:tc>
                <w:tcPr>
                  <w:tcW w:w="3005" w:type="dxa"/>
                  <w:gridSpan w:val="5"/>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10"/>
                      <w:sz w:val="21"/>
                      <w:szCs w:val="21"/>
                      <w:highlight w:val="none"/>
                    </w:rPr>
                  </w:pPr>
                  <w:r>
                    <w:rPr>
                      <w:spacing w:val="10"/>
                      <w:sz w:val="21"/>
                      <w:szCs w:val="21"/>
                      <w:highlight w:val="none"/>
                    </w:rPr>
                    <w:t>UN编号：1006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6"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spacing w:val="10"/>
                      <w:sz w:val="21"/>
                      <w:szCs w:val="21"/>
                      <w:highlight w:val="none"/>
                    </w:rPr>
                  </w:pPr>
                </w:p>
              </w:tc>
              <w:tc>
                <w:tcPr>
                  <w:tcW w:w="3015" w:type="dxa"/>
                  <w:gridSpan w:val="4"/>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920" w:hanging="920" w:hangingChars="400"/>
                    <w:jc w:val="center"/>
                    <w:textAlignment w:val="auto"/>
                    <w:rPr>
                      <w:spacing w:val="10"/>
                      <w:sz w:val="21"/>
                      <w:szCs w:val="21"/>
                      <w:highlight w:val="none"/>
                    </w:rPr>
                  </w:pPr>
                  <w:r>
                    <w:rPr>
                      <w:spacing w:val="10"/>
                      <w:sz w:val="21"/>
                      <w:szCs w:val="21"/>
                      <w:highlight w:val="none"/>
                    </w:rPr>
                    <w:t>分子式：</w:t>
                  </w:r>
                  <w:r>
                    <w:rPr>
                      <w:sz w:val="21"/>
                      <w:szCs w:val="21"/>
                      <w:highlight w:val="none"/>
                    </w:rPr>
                    <w:t>Ar</w:t>
                  </w:r>
                </w:p>
              </w:tc>
              <w:tc>
                <w:tcPr>
                  <w:tcW w:w="2683" w:type="dxa"/>
                  <w:gridSpan w:val="6"/>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10"/>
                      <w:sz w:val="21"/>
                      <w:szCs w:val="21"/>
                      <w:highlight w:val="none"/>
                    </w:rPr>
                  </w:pPr>
                  <w:r>
                    <w:rPr>
                      <w:spacing w:val="10"/>
                      <w:sz w:val="21"/>
                      <w:szCs w:val="21"/>
                      <w:highlight w:val="none"/>
                    </w:rPr>
                    <w:t>分子量：</w:t>
                  </w:r>
                  <w:r>
                    <w:rPr>
                      <w:sz w:val="21"/>
                      <w:szCs w:val="21"/>
                      <w:highlight w:val="none"/>
                    </w:rPr>
                    <w:t>39.95</w:t>
                  </w:r>
                </w:p>
              </w:tc>
              <w:tc>
                <w:tcPr>
                  <w:tcW w:w="3005" w:type="dxa"/>
                  <w:gridSpan w:val="5"/>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10"/>
                      <w:sz w:val="21"/>
                      <w:szCs w:val="21"/>
                      <w:highlight w:val="none"/>
                    </w:rPr>
                  </w:pPr>
                  <w:r>
                    <w:rPr>
                      <w:spacing w:val="10"/>
                      <w:sz w:val="21"/>
                      <w:szCs w:val="21"/>
                      <w:highlight w:val="none"/>
                    </w:rPr>
                    <w:t>CAS号：7440-37-1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6"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10"/>
                      <w:sz w:val="21"/>
                      <w:szCs w:val="21"/>
                      <w:highlight w:val="none"/>
                    </w:rPr>
                  </w:pPr>
                  <w:r>
                    <w:rPr>
                      <w:spacing w:val="10"/>
                      <w:sz w:val="21"/>
                      <w:szCs w:val="21"/>
                      <w:highlight w:val="none"/>
                    </w:rPr>
                    <w:t>理化性质</w:t>
                  </w:r>
                </w:p>
              </w:tc>
              <w:tc>
                <w:tcPr>
                  <w:tcW w:w="155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spacing w:val="10"/>
                      <w:sz w:val="21"/>
                      <w:szCs w:val="21"/>
                      <w:highlight w:val="none"/>
                    </w:rPr>
                    <w:t>外观与性状</w:t>
                  </w:r>
                </w:p>
              </w:tc>
              <w:tc>
                <w:tcPr>
                  <w:tcW w:w="7145" w:type="dxa"/>
                  <w:gridSpan w:val="14"/>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10"/>
                      <w:sz w:val="21"/>
                      <w:szCs w:val="21"/>
                      <w:highlight w:val="none"/>
                    </w:rPr>
                  </w:pPr>
                  <w:r>
                    <w:rPr>
                      <w:sz w:val="21"/>
                      <w:szCs w:val="21"/>
                      <w:highlight w:val="none"/>
                    </w:rPr>
                    <w:t>无色无臭的惰性气体。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6"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spacing w:val="10"/>
                      <w:sz w:val="21"/>
                      <w:szCs w:val="21"/>
                      <w:highlight w:val="none"/>
                    </w:rPr>
                  </w:pPr>
                </w:p>
              </w:tc>
              <w:tc>
                <w:tcPr>
                  <w:tcW w:w="155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spacing w:val="10"/>
                      <w:sz w:val="21"/>
                      <w:szCs w:val="21"/>
                      <w:highlight w:val="none"/>
                    </w:rPr>
                    <w:t>熔点（℃）</w:t>
                  </w:r>
                </w:p>
              </w:tc>
              <w:tc>
                <w:tcPr>
                  <w:tcW w:w="127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10"/>
                      <w:sz w:val="21"/>
                      <w:szCs w:val="21"/>
                      <w:highlight w:val="none"/>
                    </w:rPr>
                  </w:pPr>
                  <w:r>
                    <w:rPr>
                      <w:sz w:val="21"/>
                      <w:szCs w:val="21"/>
                      <w:highlight w:val="none"/>
                    </w:rPr>
                    <w:t>-189.2</w:t>
                  </w:r>
                </w:p>
              </w:tc>
              <w:tc>
                <w:tcPr>
                  <w:tcW w:w="1906" w:type="dxa"/>
                  <w:gridSpan w:val="6"/>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10"/>
                      <w:sz w:val="21"/>
                      <w:szCs w:val="21"/>
                      <w:highlight w:val="none"/>
                    </w:rPr>
                  </w:pPr>
                  <w:r>
                    <w:rPr>
                      <w:spacing w:val="10"/>
                      <w:sz w:val="21"/>
                      <w:szCs w:val="21"/>
                      <w:highlight w:val="none"/>
                    </w:rPr>
                    <w:t>相对密度(水=1)</w:t>
                  </w:r>
                </w:p>
              </w:tc>
              <w:tc>
                <w:tcPr>
                  <w:tcW w:w="959" w:type="dxa"/>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10"/>
                      <w:sz w:val="21"/>
                      <w:szCs w:val="21"/>
                      <w:highlight w:val="none"/>
                    </w:rPr>
                  </w:pPr>
                  <w:r>
                    <w:rPr>
                      <w:sz w:val="21"/>
                      <w:szCs w:val="21"/>
                      <w:highlight w:val="none"/>
                    </w:rPr>
                    <w:t>1.40</w:t>
                  </w:r>
                </w:p>
              </w:tc>
              <w:tc>
                <w:tcPr>
                  <w:tcW w:w="2102" w:type="dxa"/>
                  <w:gridSpan w:val="4"/>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10"/>
                      <w:sz w:val="21"/>
                      <w:szCs w:val="21"/>
                      <w:highlight w:val="none"/>
                    </w:rPr>
                  </w:pPr>
                  <w:r>
                    <w:rPr>
                      <w:spacing w:val="10"/>
                      <w:sz w:val="21"/>
                      <w:szCs w:val="21"/>
                      <w:highlight w:val="none"/>
                    </w:rPr>
                    <w:t>相对密度(空气=1)</w:t>
                  </w:r>
                </w:p>
              </w:tc>
              <w:tc>
                <w:tcPr>
                  <w:tcW w:w="903"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10"/>
                      <w:sz w:val="21"/>
                      <w:szCs w:val="21"/>
                      <w:highlight w:val="none"/>
                    </w:rPr>
                  </w:pPr>
                  <w:r>
                    <w:rPr>
                      <w:spacing w:val="10"/>
                      <w:sz w:val="21"/>
                      <w:szCs w:val="21"/>
                      <w:highlight w:val="none"/>
                    </w:rPr>
                    <w:t>1.38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6"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spacing w:val="10"/>
                      <w:sz w:val="21"/>
                      <w:szCs w:val="21"/>
                      <w:highlight w:val="none"/>
                    </w:rPr>
                  </w:pPr>
                </w:p>
              </w:tc>
              <w:tc>
                <w:tcPr>
                  <w:tcW w:w="155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spacing w:val="10"/>
                      <w:sz w:val="21"/>
                      <w:szCs w:val="21"/>
                      <w:highlight w:val="none"/>
                    </w:rPr>
                    <w:t>沸点（℃）</w:t>
                  </w:r>
                </w:p>
              </w:tc>
              <w:tc>
                <w:tcPr>
                  <w:tcW w:w="127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10"/>
                      <w:sz w:val="21"/>
                      <w:szCs w:val="21"/>
                      <w:highlight w:val="none"/>
                    </w:rPr>
                  </w:pPr>
                  <w:r>
                    <w:rPr>
                      <w:spacing w:val="10"/>
                      <w:sz w:val="21"/>
                      <w:szCs w:val="21"/>
                      <w:highlight w:val="none"/>
                    </w:rPr>
                    <w:t>-185.7</w:t>
                  </w:r>
                </w:p>
              </w:tc>
              <w:tc>
                <w:tcPr>
                  <w:tcW w:w="2865" w:type="dxa"/>
                  <w:gridSpan w:val="8"/>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10"/>
                      <w:sz w:val="21"/>
                      <w:szCs w:val="21"/>
                      <w:highlight w:val="none"/>
                    </w:rPr>
                  </w:pPr>
                  <w:r>
                    <w:rPr>
                      <w:spacing w:val="10"/>
                      <w:sz w:val="21"/>
                      <w:szCs w:val="21"/>
                      <w:highlight w:val="none"/>
                    </w:rPr>
                    <w:t>饱和蒸气压（kPa）</w:t>
                  </w:r>
                </w:p>
              </w:tc>
              <w:tc>
                <w:tcPr>
                  <w:tcW w:w="3005" w:type="dxa"/>
                  <w:gridSpan w:val="5"/>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10"/>
                      <w:sz w:val="21"/>
                      <w:szCs w:val="21"/>
                      <w:highlight w:val="none"/>
                    </w:rPr>
                  </w:pPr>
                  <w:r>
                    <w:rPr>
                      <w:sz w:val="21"/>
                      <w:szCs w:val="21"/>
                      <w:highlight w:val="none"/>
                    </w:rPr>
                    <w:t>202.64/-179</w:t>
                  </w:r>
                  <w:r>
                    <w:rPr>
                      <w:rFonts w:hint="eastAsia" w:ascii="宋体" w:hAnsi="宋体" w:cs="宋体"/>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6"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spacing w:val="10"/>
                      <w:sz w:val="21"/>
                      <w:szCs w:val="21"/>
                      <w:highlight w:val="none"/>
                    </w:rPr>
                  </w:pPr>
                </w:p>
              </w:tc>
              <w:tc>
                <w:tcPr>
                  <w:tcW w:w="155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10"/>
                      <w:sz w:val="21"/>
                      <w:szCs w:val="21"/>
                      <w:highlight w:val="none"/>
                    </w:rPr>
                  </w:pPr>
                  <w:r>
                    <w:rPr>
                      <w:spacing w:val="10"/>
                      <w:sz w:val="21"/>
                      <w:szCs w:val="21"/>
                      <w:highlight w:val="none"/>
                    </w:rPr>
                    <w:t>溶解性</w:t>
                  </w:r>
                </w:p>
              </w:tc>
              <w:tc>
                <w:tcPr>
                  <w:tcW w:w="3146" w:type="dxa"/>
                  <w:gridSpan w:val="6"/>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10"/>
                      <w:sz w:val="21"/>
                      <w:szCs w:val="21"/>
                      <w:highlight w:val="none"/>
                    </w:rPr>
                  </w:pPr>
                  <w:r>
                    <w:rPr>
                      <w:sz w:val="21"/>
                      <w:szCs w:val="21"/>
                      <w:highlight w:val="none"/>
                    </w:rPr>
                    <w:t>微溶于水。</w:t>
                  </w:r>
                </w:p>
              </w:tc>
              <w:tc>
                <w:tcPr>
                  <w:tcW w:w="1999" w:type="dxa"/>
                  <w:gridSpan w:val="5"/>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z w:val="21"/>
                      <w:szCs w:val="21"/>
                      <w:highlight w:val="none"/>
                    </w:rPr>
                  </w:pPr>
                  <w:r>
                    <w:rPr>
                      <w:sz w:val="21"/>
                      <w:szCs w:val="21"/>
                      <w:highlight w:val="none"/>
                    </w:rPr>
                    <w:t>临界温度（</w:t>
                  </w:r>
                  <w:r>
                    <w:rPr>
                      <w:rFonts w:hint="eastAsia" w:ascii="宋体" w:hAnsi="宋体" w:cs="宋体"/>
                      <w:sz w:val="21"/>
                      <w:szCs w:val="21"/>
                      <w:highlight w:val="none"/>
                    </w:rPr>
                    <w:t>℃</w:t>
                  </w:r>
                  <w:r>
                    <w:rPr>
                      <w:sz w:val="21"/>
                      <w:szCs w:val="21"/>
                      <w:highlight w:val="none"/>
                    </w:rPr>
                    <w:t>）</w:t>
                  </w:r>
                </w:p>
              </w:tc>
              <w:tc>
                <w:tcPr>
                  <w:tcW w:w="2000" w:type="dxa"/>
                  <w:gridSpan w:val="3"/>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z w:val="21"/>
                      <w:szCs w:val="21"/>
                      <w:highlight w:val="none"/>
                    </w:rPr>
                  </w:pPr>
                  <w:r>
                    <w:rPr>
                      <w:sz w:val="21"/>
                      <w:szCs w:val="21"/>
                      <w:highlight w:val="none"/>
                    </w:rPr>
                    <w:t>-122.3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6"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10"/>
                      <w:sz w:val="21"/>
                      <w:szCs w:val="21"/>
                      <w:highlight w:val="none"/>
                    </w:rPr>
                  </w:pPr>
                  <w:r>
                    <w:rPr>
                      <w:spacing w:val="10"/>
                      <w:sz w:val="21"/>
                      <w:szCs w:val="21"/>
                      <w:highlight w:val="none"/>
                    </w:rPr>
                    <w:t>毒性及健康危害</w:t>
                  </w:r>
                </w:p>
              </w:tc>
              <w:tc>
                <w:tcPr>
                  <w:tcW w:w="155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10"/>
                      <w:sz w:val="21"/>
                      <w:szCs w:val="21"/>
                      <w:highlight w:val="none"/>
                    </w:rPr>
                  </w:pPr>
                  <w:r>
                    <w:rPr>
                      <w:spacing w:val="10"/>
                      <w:sz w:val="21"/>
                      <w:szCs w:val="21"/>
                      <w:highlight w:val="none"/>
                    </w:rPr>
                    <w:t>侵入途径</w:t>
                  </w:r>
                </w:p>
              </w:tc>
              <w:tc>
                <w:tcPr>
                  <w:tcW w:w="7145" w:type="dxa"/>
                  <w:gridSpan w:val="14"/>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10"/>
                      <w:sz w:val="21"/>
                      <w:szCs w:val="21"/>
                      <w:highlight w:val="none"/>
                    </w:rPr>
                  </w:pPr>
                  <w:r>
                    <w:rPr>
                      <w:spacing w:val="10"/>
                      <w:sz w:val="21"/>
                      <w:szCs w:val="21"/>
                      <w:highlight w:val="none"/>
                    </w:rPr>
                    <w:t>吸入。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6"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spacing w:val="10"/>
                      <w:sz w:val="21"/>
                      <w:szCs w:val="21"/>
                      <w:highlight w:val="none"/>
                    </w:rPr>
                  </w:pPr>
                </w:p>
              </w:tc>
              <w:tc>
                <w:tcPr>
                  <w:tcW w:w="155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10"/>
                      <w:sz w:val="21"/>
                      <w:szCs w:val="21"/>
                      <w:highlight w:val="none"/>
                    </w:rPr>
                  </w:pPr>
                  <w:r>
                    <w:rPr>
                      <w:spacing w:val="10"/>
                      <w:sz w:val="21"/>
                      <w:szCs w:val="21"/>
                      <w:highlight w:val="none"/>
                    </w:rPr>
                    <w:t>毒性</w:t>
                  </w:r>
                </w:p>
              </w:tc>
              <w:tc>
                <w:tcPr>
                  <w:tcW w:w="7145" w:type="dxa"/>
                  <w:gridSpan w:val="14"/>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spacing w:val="10"/>
                      <w:sz w:val="21"/>
                      <w:szCs w:val="21"/>
                      <w:highlight w:val="none"/>
                    </w:rPr>
                  </w:pPr>
                  <w:r>
                    <w:rPr>
                      <w:spacing w:val="10"/>
                      <w:sz w:val="21"/>
                      <w:szCs w:val="21"/>
                      <w:highlight w:val="none"/>
                    </w:rPr>
                    <w:t>LD</w:t>
                  </w:r>
                  <w:r>
                    <w:rPr>
                      <w:spacing w:val="10"/>
                      <w:sz w:val="21"/>
                      <w:szCs w:val="21"/>
                      <w:highlight w:val="none"/>
                      <w:vertAlign w:val="subscript"/>
                    </w:rPr>
                    <w:t>50</w:t>
                  </w:r>
                  <w:r>
                    <w:rPr>
                      <w:spacing w:val="10"/>
                      <w:sz w:val="21"/>
                      <w:szCs w:val="21"/>
                      <w:highlight w:val="none"/>
                    </w:rPr>
                    <w:t>：　　　　　　　　　　　LC</w:t>
                  </w:r>
                  <w:r>
                    <w:rPr>
                      <w:spacing w:val="10"/>
                      <w:sz w:val="21"/>
                      <w:szCs w:val="21"/>
                      <w:highlight w:val="none"/>
                      <w:vertAlign w:val="subscript"/>
                    </w:rPr>
                    <w:t>50</w:t>
                  </w:r>
                  <w:r>
                    <w:rPr>
                      <w:spacing w:val="10"/>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6"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spacing w:val="10"/>
                      <w:sz w:val="21"/>
                      <w:szCs w:val="21"/>
                      <w:highlight w:val="none"/>
                    </w:rPr>
                  </w:pPr>
                </w:p>
              </w:tc>
              <w:tc>
                <w:tcPr>
                  <w:tcW w:w="155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10"/>
                      <w:sz w:val="21"/>
                      <w:szCs w:val="21"/>
                      <w:highlight w:val="none"/>
                    </w:rPr>
                  </w:pPr>
                  <w:r>
                    <w:rPr>
                      <w:spacing w:val="10"/>
                      <w:sz w:val="21"/>
                      <w:szCs w:val="21"/>
                      <w:highlight w:val="none"/>
                    </w:rPr>
                    <w:t>健康危害</w:t>
                  </w:r>
                </w:p>
              </w:tc>
              <w:tc>
                <w:tcPr>
                  <w:tcW w:w="7145" w:type="dxa"/>
                  <w:gridSpan w:val="14"/>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2"/>
                      <w:sz w:val="21"/>
                      <w:szCs w:val="21"/>
                      <w:highlight w:val="none"/>
                    </w:rPr>
                  </w:pPr>
                  <w:r>
                    <w:rPr>
                      <w:spacing w:val="-2"/>
                      <w:sz w:val="21"/>
                      <w:szCs w:val="21"/>
                      <w:highlight w:val="none"/>
                    </w:rPr>
                    <w:t>普通大气压下无毒。高浓度时，使氧分压降低而发生窒息。氩浓度达50%以上，引起严重症状；75%以上时，可在数分钟内死亡。当空气中氩浓度增高时，先出现呼吸加速，注意力不集中，共济失调。继之，疲倦乏力、烦躁不安、恶心、呕吐、昏迷、抽搐，以致死亡。液态氩可致皮肤冻伤；眼部接触可引起炎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6"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spacing w:val="10"/>
                      <w:sz w:val="21"/>
                      <w:szCs w:val="21"/>
                      <w:highlight w:val="none"/>
                    </w:rPr>
                  </w:pPr>
                </w:p>
              </w:tc>
              <w:tc>
                <w:tcPr>
                  <w:tcW w:w="155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10"/>
                      <w:sz w:val="21"/>
                      <w:szCs w:val="21"/>
                      <w:highlight w:val="none"/>
                    </w:rPr>
                  </w:pPr>
                  <w:r>
                    <w:rPr>
                      <w:spacing w:val="10"/>
                      <w:sz w:val="21"/>
                      <w:szCs w:val="21"/>
                      <w:highlight w:val="none"/>
                    </w:rPr>
                    <w:t>急救方法</w:t>
                  </w:r>
                </w:p>
              </w:tc>
              <w:tc>
                <w:tcPr>
                  <w:tcW w:w="7145" w:type="dxa"/>
                  <w:gridSpan w:val="14"/>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z w:val="21"/>
                      <w:szCs w:val="21"/>
                      <w:highlight w:val="none"/>
                    </w:rPr>
                  </w:pPr>
                  <w:r>
                    <w:rPr>
                      <w:sz w:val="21"/>
                      <w:szCs w:val="21"/>
                      <w:highlight w:val="none"/>
                    </w:rPr>
                    <w:t>吸入时，迅速脱离现场至空气新鲜处，保持呼吸道通畅，如呼吸困难，给输氧，如呼吸停止，立即进行人工呼吸，就医；皮肤、眼睛与液体接触发生冻伤时，用大量水冲洗，就医治疗。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6"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spacing w:val="10"/>
                      <w:sz w:val="21"/>
                      <w:szCs w:val="21"/>
                      <w:highlight w:val="none"/>
                    </w:rPr>
                  </w:pPr>
                  <w:r>
                    <w:rPr>
                      <w:spacing w:val="10"/>
                      <w:sz w:val="21"/>
                      <w:szCs w:val="21"/>
                      <w:highlight w:val="none"/>
                    </w:rPr>
                    <w:t>燃烧爆炸危险性</w:t>
                  </w:r>
                </w:p>
              </w:tc>
              <w:tc>
                <w:tcPr>
                  <w:tcW w:w="155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spacing w:val="10"/>
                      <w:sz w:val="21"/>
                      <w:szCs w:val="21"/>
                      <w:highlight w:val="none"/>
                    </w:rPr>
                    <w:t>燃烧性</w:t>
                  </w:r>
                </w:p>
              </w:tc>
              <w:tc>
                <w:tcPr>
                  <w:tcW w:w="1817" w:type="dxa"/>
                  <w:gridSpan w:val="4"/>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spacing w:val="10"/>
                      <w:sz w:val="21"/>
                      <w:szCs w:val="21"/>
                      <w:highlight w:val="none"/>
                    </w:rPr>
                    <w:t>不燃</w:t>
                  </w:r>
                </w:p>
              </w:tc>
              <w:tc>
                <w:tcPr>
                  <w:tcW w:w="2086" w:type="dxa"/>
                  <w:gridSpan w:val="4"/>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spacing w:val="10"/>
                      <w:sz w:val="21"/>
                      <w:szCs w:val="21"/>
                      <w:highlight w:val="none"/>
                    </w:rPr>
                    <w:t>燃烧分解物</w:t>
                  </w:r>
                </w:p>
              </w:tc>
              <w:tc>
                <w:tcPr>
                  <w:tcW w:w="3242" w:type="dxa"/>
                  <w:gridSpan w:val="6"/>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6"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spacing w:val="10"/>
                      <w:sz w:val="21"/>
                      <w:szCs w:val="21"/>
                      <w:highlight w:val="none"/>
                    </w:rPr>
                  </w:pPr>
                </w:p>
              </w:tc>
              <w:tc>
                <w:tcPr>
                  <w:tcW w:w="155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spacing w:val="10"/>
                      <w:sz w:val="21"/>
                      <w:szCs w:val="21"/>
                      <w:highlight w:val="none"/>
                    </w:rPr>
                    <w:t>闪点(℃)</w:t>
                  </w:r>
                </w:p>
              </w:tc>
              <w:tc>
                <w:tcPr>
                  <w:tcW w:w="1817" w:type="dxa"/>
                  <w:gridSpan w:val="4"/>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spacing w:val="10"/>
                      <w:sz w:val="21"/>
                      <w:szCs w:val="21"/>
                      <w:highlight w:val="none"/>
                    </w:rPr>
                    <w:t>/</w:t>
                  </w:r>
                </w:p>
              </w:tc>
              <w:tc>
                <w:tcPr>
                  <w:tcW w:w="2086" w:type="dxa"/>
                  <w:gridSpan w:val="4"/>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spacing w:val="10"/>
                      <w:sz w:val="21"/>
                      <w:szCs w:val="21"/>
                      <w:highlight w:val="none"/>
                    </w:rPr>
                    <w:t>爆炸上限（v%）</w:t>
                  </w:r>
                </w:p>
              </w:tc>
              <w:tc>
                <w:tcPr>
                  <w:tcW w:w="3242" w:type="dxa"/>
                  <w:gridSpan w:val="6"/>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spacing w:val="10"/>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6"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spacing w:val="10"/>
                      <w:sz w:val="21"/>
                      <w:szCs w:val="21"/>
                      <w:highlight w:val="none"/>
                    </w:rPr>
                  </w:pPr>
                </w:p>
              </w:tc>
              <w:tc>
                <w:tcPr>
                  <w:tcW w:w="155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引燃温度(℃)</w:t>
                  </w:r>
                </w:p>
              </w:tc>
              <w:tc>
                <w:tcPr>
                  <w:tcW w:w="1817" w:type="dxa"/>
                  <w:gridSpan w:val="4"/>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spacing w:val="10"/>
                      <w:sz w:val="21"/>
                      <w:szCs w:val="21"/>
                      <w:highlight w:val="none"/>
                    </w:rPr>
                    <w:t>/</w:t>
                  </w:r>
                </w:p>
              </w:tc>
              <w:tc>
                <w:tcPr>
                  <w:tcW w:w="2086" w:type="dxa"/>
                  <w:gridSpan w:val="4"/>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spacing w:val="10"/>
                      <w:sz w:val="21"/>
                      <w:szCs w:val="21"/>
                      <w:highlight w:val="none"/>
                    </w:rPr>
                    <w:t>爆炸下限（v%）</w:t>
                  </w:r>
                </w:p>
              </w:tc>
              <w:tc>
                <w:tcPr>
                  <w:tcW w:w="3242" w:type="dxa"/>
                  <w:gridSpan w:val="6"/>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spacing w:val="10"/>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6"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spacing w:val="10"/>
                      <w:sz w:val="21"/>
                      <w:szCs w:val="21"/>
                      <w:highlight w:val="none"/>
                    </w:rPr>
                  </w:pPr>
                </w:p>
              </w:tc>
              <w:tc>
                <w:tcPr>
                  <w:tcW w:w="155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spacing w:val="10"/>
                      <w:sz w:val="21"/>
                      <w:szCs w:val="21"/>
                      <w:highlight w:val="none"/>
                    </w:rPr>
                    <w:t>危险特性</w:t>
                  </w:r>
                </w:p>
              </w:tc>
              <w:tc>
                <w:tcPr>
                  <w:tcW w:w="7145" w:type="dxa"/>
                  <w:gridSpan w:val="14"/>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sz w:val="21"/>
                      <w:szCs w:val="21"/>
                      <w:highlight w:val="none"/>
                    </w:rPr>
                    <w:t>不燃，但在日光曝晒下，或搬运时猛烈摔甩，或者遇高热，容器内压增大，有开裂和爆炸的危险。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6"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spacing w:val="10"/>
                      <w:sz w:val="21"/>
                      <w:szCs w:val="21"/>
                      <w:highlight w:val="none"/>
                    </w:rPr>
                  </w:pPr>
                </w:p>
              </w:tc>
              <w:tc>
                <w:tcPr>
                  <w:tcW w:w="155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建规火险分级</w:t>
                  </w:r>
                </w:p>
              </w:tc>
              <w:tc>
                <w:tcPr>
                  <w:tcW w:w="1429" w:type="dxa"/>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spacing w:val="10"/>
                      <w:sz w:val="21"/>
                      <w:szCs w:val="21"/>
                      <w:highlight w:val="none"/>
                    </w:rPr>
                    <w:t>戊</w:t>
                  </w:r>
                </w:p>
              </w:tc>
              <w:tc>
                <w:tcPr>
                  <w:tcW w:w="1429" w:type="dxa"/>
                  <w:gridSpan w:val="3"/>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spacing w:val="10"/>
                      <w:sz w:val="21"/>
                      <w:szCs w:val="21"/>
                      <w:highlight w:val="none"/>
                    </w:rPr>
                    <w:t>稳定性</w:t>
                  </w:r>
                </w:p>
              </w:tc>
              <w:tc>
                <w:tcPr>
                  <w:tcW w:w="1429" w:type="dxa"/>
                  <w:gridSpan w:val="5"/>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spacing w:val="10"/>
                      <w:sz w:val="21"/>
                      <w:szCs w:val="21"/>
                      <w:highlight w:val="none"/>
                    </w:rPr>
                    <w:t>稳定</w:t>
                  </w:r>
                </w:p>
              </w:tc>
              <w:tc>
                <w:tcPr>
                  <w:tcW w:w="1429" w:type="dxa"/>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spacing w:val="10"/>
                      <w:sz w:val="21"/>
                      <w:szCs w:val="21"/>
                      <w:highlight w:val="none"/>
                    </w:rPr>
                    <w:t>聚合危害</w:t>
                  </w:r>
                </w:p>
              </w:tc>
              <w:tc>
                <w:tcPr>
                  <w:tcW w:w="1429" w:type="dxa"/>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spacing w:val="10"/>
                      <w:sz w:val="21"/>
                      <w:szCs w:val="21"/>
                      <w:highlight w:val="none"/>
                    </w:rPr>
                    <w:t>不聚合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6"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spacing w:val="10"/>
                      <w:sz w:val="21"/>
                      <w:szCs w:val="21"/>
                      <w:highlight w:val="none"/>
                    </w:rPr>
                  </w:pPr>
                </w:p>
              </w:tc>
              <w:tc>
                <w:tcPr>
                  <w:tcW w:w="155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spacing w:val="10"/>
                      <w:sz w:val="21"/>
                      <w:szCs w:val="21"/>
                      <w:highlight w:val="none"/>
                    </w:rPr>
                    <w:t>禁忌物</w:t>
                  </w:r>
                </w:p>
              </w:tc>
              <w:tc>
                <w:tcPr>
                  <w:tcW w:w="7145" w:type="dxa"/>
                  <w:gridSpan w:val="14"/>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spacing w:val="10"/>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6"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spacing w:val="10"/>
                      <w:sz w:val="21"/>
                      <w:szCs w:val="21"/>
                      <w:highlight w:val="none"/>
                    </w:rPr>
                  </w:pPr>
                </w:p>
              </w:tc>
              <w:tc>
                <w:tcPr>
                  <w:tcW w:w="155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spacing w:val="10"/>
                      <w:sz w:val="21"/>
                      <w:szCs w:val="21"/>
                      <w:highlight w:val="none"/>
                    </w:rPr>
                    <w:t>储运条件与泄漏处理</w:t>
                  </w:r>
                </w:p>
              </w:tc>
              <w:tc>
                <w:tcPr>
                  <w:tcW w:w="7145" w:type="dxa"/>
                  <w:gridSpan w:val="14"/>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b/>
                      <w:spacing w:val="10"/>
                      <w:sz w:val="21"/>
                      <w:szCs w:val="21"/>
                      <w:highlight w:val="none"/>
                    </w:rPr>
                    <w:t>储运条件</w:t>
                  </w:r>
                  <w:r>
                    <w:rPr>
                      <w:rFonts w:hint="default" w:ascii="Times New Roman" w:hAnsi="Times New Roman" w:cs="Times New Roman"/>
                      <w:spacing w:val="10"/>
                      <w:sz w:val="21"/>
                      <w:szCs w:val="21"/>
                      <w:highlight w:val="none"/>
                    </w:rPr>
                    <w:t>：储存于阴凉、通风的仓间内，仓内温度不宜超过30℃。防止阳光直射。应与易燃或可燃物分开存放。验收时应注意品名，注意验瓶日期，先进仓先发用。搬运时应轻装轻卸，防止钢瓶及附件损坏。</w:t>
                  </w:r>
                  <w:r>
                    <w:rPr>
                      <w:rFonts w:hint="default" w:ascii="Times New Roman" w:hAnsi="Times New Roman" w:cs="Times New Roman"/>
                      <w:sz w:val="21"/>
                      <w:szCs w:val="21"/>
                      <w:highlight w:val="none"/>
                    </w:rPr>
                    <w:t>采用刚瓶运输时必须戴好钢瓶上的安全帽。钢瓶一般平放，并应将瓶口朝同一方向，不可交叉；高度不得超过车辆的防护栏板，并用三角木垫卡牢，防止滚动。严禁与易燃物或可燃物等混装混运。夏季应早晚运输，防止日光曝晒。铁路运输时要禁止溜放。</w:t>
                  </w:r>
                  <w:r>
                    <w:rPr>
                      <w:rFonts w:hint="default" w:ascii="Times New Roman" w:hAnsi="Times New Roman" w:cs="Times New Roman"/>
                      <w:b/>
                      <w:spacing w:val="10"/>
                      <w:sz w:val="21"/>
                      <w:szCs w:val="21"/>
                      <w:highlight w:val="none"/>
                    </w:rPr>
                    <w:t>泄漏处理</w:t>
                  </w:r>
                  <w:r>
                    <w:rPr>
                      <w:rFonts w:hint="default" w:ascii="Times New Roman" w:hAnsi="Times New Roman" w:cs="Times New Roman"/>
                      <w:spacing w:val="10"/>
                      <w:sz w:val="21"/>
                      <w:szCs w:val="21"/>
                      <w:highlight w:val="none"/>
                    </w:rPr>
                    <w:t>：</w:t>
                  </w:r>
                  <w:r>
                    <w:rPr>
                      <w:rFonts w:hint="default" w:ascii="Times New Roman" w:hAnsi="Times New Roman" w:cs="Times New Roman"/>
                      <w:sz w:val="21"/>
                      <w:szCs w:val="21"/>
                      <w:highlight w:val="none"/>
                    </w:rPr>
                    <w:t>迅速撤离泄漏污染区人员至上风处，并进行隔离，严格限制出入。建议应急处理人员戴自给正压式呼吸器，穿一般作业工作服。尽可能切断泄漏源。合理通风，加速扩散。如有可能，即时使用。漏气容器要妥善处理，修复、检验后再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6"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spacing w:val="10"/>
                      <w:sz w:val="21"/>
                      <w:szCs w:val="21"/>
                      <w:highlight w:val="none"/>
                    </w:rPr>
                  </w:pPr>
                </w:p>
              </w:tc>
              <w:tc>
                <w:tcPr>
                  <w:tcW w:w="155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spacing w:val="10"/>
                      <w:sz w:val="21"/>
                      <w:szCs w:val="21"/>
                      <w:highlight w:val="none"/>
                    </w:rPr>
                    <w:t>灭火方法</w:t>
                  </w:r>
                </w:p>
              </w:tc>
              <w:tc>
                <w:tcPr>
                  <w:tcW w:w="7145" w:type="dxa"/>
                  <w:gridSpan w:val="14"/>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pacing w:val="10"/>
                      <w:sz w:val="21"/>
                      <w:szCs w:val="21"/>
                      <w:highlight w:val="none"/>
                    </w:rPr>
                  </w:pPr>
                  <w:r>
                    <w:rPr>
                      <w:rFonts w:hint="default" w:ascii="Times New Roman" w:hAnsi="Times New Roman" w:cs="Times New Roman"/>
                      <w:sz w:val="21"/>
                      <w:szCs w:val="21"/>
                      <w:highlight w:val="none"/>
                    </w:rPr>
                    <w:t>本品不燃。切断气源。喷水冷却容器，可能的话将容器从火场移至空旷处。</w:t>
                  </w:r>
                </w:p>
              </w:tc>
            </w:tr>
          </w:tbl>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sz w:val="24"/>
                <w:highlight w:val="none"/>
                <w:lang w:val="en-US" w:eastAsia="zh-CN"/>
              </w:rPr>
            </w:pPr>
            <w:r>
              <w:rPr>
                <w:sz w:val="24"/>
                <w:highlight w:val="none"/>
              </w:rPr>
              <w:t>根据上述分析，本项目涉及到的液氧、</w:t>
            </w:r>
            <w:r>
              <w:rPr>
                <w:rFonts w:hint="eastAsia"/>
                <w:sz w:val="24"/>
                <w:highlight w:val="none"/>
                <w:lang w:val="en-US" w:eastAsia="zh-CN"/>
              </w:rPr>
              <w:t>液氮、</w:t>
            </w:r>
            <w:r>
              <w:rPr>
                <w:sz w:val="24"/>
                <w:highlight w:val="none"/>
              </w:rPr>
              <w:t>液氩、液体二氧化碳均属于无毒、在常温下不燃的气体。氧气属于氧化性气体，</w:t>
            </w:r>
            <w:r>
              <w:rPr>
                <w:rFonts w:hint="eastAsia"/>
                <w:sz w:val="24"/>
                <w:highlight w:val="none"/>
                <w:lang w:val="en-US" w:eastAsia="zh-CN"/>
              </w:rPr>
              <w:t>项目最大可信事故为：丙烷发生泄漏引发火灾爆炸。</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val="en-US" w:eastAsia="zh-CN"/>
              </w:rPr>
              <w:t>风险潜势判断</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根据《建设项目环境风险评价技术导则》（HJ 169-2018），建设项目环境风险潜势划分为Ⅰ、Ⅱ、Ⅲ、Ⅳ/Ⅳ+级，如下表所示：</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表</w:t>
            </w:r>
            <w:r>
              <w:rPr>
                <w:rFonts w:hint="eastAsia" w:ascii="Times New Roman" w:hAnsi="Times New Roman" w:eastAsia="宋体" w:cs="Times New Roman"/>
                <w:b w:val="0"/>
                <w:bCs w:val="0"/>
                <w:color w:val="auto"/>
                <w:sz w:val="24"/>
                <w:szCs w:val="24"/>
                <w:highlight w:val="none"/>
                <w:lang w:val="en-US" w:eastAsia="zh-CN"/>
              </w:rPr>
              <w:t>4</w:t>
            </w:r>
            <w:r>
              <w:rPr>
                <w:rFonts w:hint="eastAsia" w:cs="Times New Roman"/>
                <w:b w:val="0"/>
                <w:bCs w:val="0"/>
                <w:color w:val="auto"/>
                <w:sz w:val="24"/>
                <w:szCs w:val="24"/>
                <w:highlight w:val="none"/>
                <w:lang w:val="en-US" w:eastAsia="zh-CN"/>
              </w:rPr>
              <w:t>9</w:t>
            </w:r>
            <w:r>
              <w:rPr>
                <w:rFonts w:hint="default" w:ascii="Times New Roman" w:hAnsi="Times New Roman" w:eastAsia="宋体" w:cs="Times New Roman"/>
                <w:b w:val="0"/>
                <w:bCs w:val="0"/>
                <w:color w:val="auto"/>
                <w:sz w:val="24"/>
                <w:szCs w:val="24"/>
                <w:highlight w:val="none"/>
                <w:lang w:val="en-US" w:eastAsia="zh-CN"/>
              </w:rPr>
              <w:t xml:space="preserve"> 建设项目环境风险潜势划分</w:t>
            </w:r>
          </w:p>
          <w:tbl>
            <w:tblPr>
              <w:tblStyle w:val="22"/>
              <w:tblW w:w="0" w:type="auto"/>
              <w:tblInd w:w="-1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2203"/>
              <w:gridCol w:w="1517"/>
              <w:gridCol w:w="1688"/>
              <w:gridCol w:w="1803"/>
              <w:gridCol w:w="180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49" w:type="dxa"/>
                  <w:vMerge w:val="restart"/>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环境敏感程度（E）</w:t>
                  </w:r>
                </w:p>
              </w:tc>
              <w:tc>
                <w:tcPr>
                  <w:tcW w:w="6929" w:type="dxa"/>
                  <w:gridSpan w:val="4"/>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危险物质及工艺系统危险性（P）</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49" w:type="dxa"/>
                  <w:vMerge w:val="continue"/>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540"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极高危害（P1）</w:t>
                  </w:r>
                </w:p>
              </w:tc>
              <w:tc>
                <w:tcPr>
                  <w:tcW w:w="1717"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高度危害（P2）</w:t>
                  </w:r>
                </w:p>
              </w:tc>
              <w:tc>
                <w:tcPr>
                  <w:tcW w:w="1836"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中度危害（P3）</w:t>
                  </w:r>
                </w:p>
              </w:tc>
              <w:tc>
                <w:tcPr>
                  <w:tcW w:w="1836"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轻度危害（P4）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49"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环境高度敏感区（E1）</w:t>
                  </w:r>
                </w:p>
              </w:tc>
              <w:tc>
                <w:tcPr>
                  <w:tcW w:w="1540"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Ⅳ+</w:t>
                  </w:r>
                </w:p>
              </w:tc>
              <w:tc>
                <w:tcPr>
                  <w:tcW w:w="1717"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Ⅳ</w:t>
                  </w:r>
                </w:p>
              </w:tc>
              <w:tc>
                <w:tcPr>
                  <w:tcW w:w="1836"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Ⅲ</w:t>
                  </w:r>
                </w:p>
              </w:tc>
              <w:tc>
                <w:tcPr>
                  <w:tcW w:w="1836"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Ⅲ</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49"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环境中度敏感区（E2）</w:t>
                  </w:r>
                </w:p>
              </w:tc>
              <w:tc>
                <w:tcPr>
                  <w:tcW w:w="1540"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Ⅳ</w:t>
                  </w:r>
                </w:p>
              </w:tc>
              <w:tc>
                <w:tcPr>
                  <w:tcW w:w="1717"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Ⅲ</w:t>
                  </w:r>
                </w:p>
              </w:tc>
              <w:tc>
                <w:tcPr>
                  <w:tcW w:w="1836"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Ⅲ</w:t>
                  </w:r>
                </w:p>
              </w:tc>
              <w:tc>
                <w:tcPr>
                  <w:tcW w:w="1836"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Ⅱ</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49"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环境低度敏感区（E3）</w:t>
                  </w:r>
                </w:p>
              </w:tc>
              <w:tc>
                <w:tcPr>
                  <w:tcW w:w="1540"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Ⅲ</w:t>
                  </w:r>
                </w:p>
              </w:tc>
              <w:tc>
                <w:tcPr>
                  <w:tcW w:w="1717"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Ⅲ</w:t>
                  </w:r>
                </w:p>
              </w:tc>
              <w:tc>
                <w:tcPr>
                  <w:tcW w:w="1836"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Ⅱ</w:t>
                  </w:r>
                </w:p>
              </w:tc>
              <w:tc>
                <w:tcPr>
                  <w:tcW w:w="1836"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Ⅰ</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9178" w:type="dxa"/>
                  <w:gridSpan w:val="5"/>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注：Ⅳ+为极高环境风险</w:t>
                  </w:r>
                </w:p>
              </w:tc>
            </w:tr>
          </w:tbl>
          <w:p>
            <w:pPr>
              <w:pStyle w:val="7"/>
              <w:keepNext w:val="0"/>
              <w:keepLines w:val="0"/>
              <w:pageBreakBefore w:val="0"/>
              <w:widowControl w:val="0"/>
              <w:kinsoku/>
              <w:wordWrap/>
              <w:overflowPunct/>
              <w:topLinePunct w:val="0"/>
              <w:autoSpaceDE/>
              <w:autoSpaceDN/>
              <w:bidi w:val="0"/>
              <w:adjustRightInd/>
              <w:snapToGrid/>
              <w:spacing w:before="0" w:after="0"/>
              <w:ind w:left="0" w:left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①P的分级确定</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表</w:t>
            </w:r>
            <w:r>
              <w:rPr>
                <w:rFonts w:hint="eastAsia" w:cs="Times New Roman"/>
                <w:b w:val="0"/>
                <w:bCs w:val="0"/>
                <w:color w:val="auto"/>
                <w:sz w:val="24"/>
                <w:szCs w:val="24"/>
                <w:highlight w:val="none"/>
                <w:lang w:val="en-US" w:eastAsia="zh-CN"/>
              </w:rPr>
              <w:t>50</w:t>
            </w:r>
            <w:r>
              <w:rPr>
                <w:rFonts w:hint="default" w:ascii="Times New Roman" w:hAnsi="Times New Roman" w:eastAsia="宋体" w:cs="Times New Roman"/>
                <w:b w:val="0"/>
                <w:bCs w:val="0"/>
                <w:color w:val="auto"/>
                <w:sz w:val="24"/>
                <w:szCs w:val="24"/>
                <w:highlight w:val="none"/>
                <w:lang w:val="en-US" w:eastAsia="zh-CN"/>
              </w:rPr>
              <w:t xml:space="preserve"> 危险物质及工艺系统危险性等级判断（P）</w:t>
            </w:r>
          </w:p>
          <w:tbl>
            <w:tblPr>
              <w:tblStyle w:val="22"/>
              <w:tblW w:w="0" w:type="auto"/>
              <w:tblInd w:w="-1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2211"/>
              <w:gridCol w:w="1514"/>
              <w:gridCol w:w="1686"/>
              <w:gridCol w:w="1802"/>
              <w:gridCol w:w="1802"/>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49" w:type="dxa"/>
                  <w:vMerge w:val="restart"/>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危险物质数量与临界量比值（Q）</w:t>
                  </w:r>
                </w:p>
              </w:tc>
              <w:tc>
                <w:tcPr>
                  <w:tcW w:w="6929" w:type="dxa"/>
                  <w:gridSpan w:val="4"/>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行业及生产工艺（M）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49" w:type="dxa"/>
                  <w:vMerge w:val="continue"/>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540"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M1</w:t>
                  </w:r>
                </w:p>
              </w:tc>
              <w:tc>
                <w:tcPr>
                  <w:tcW w:w="1717"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M2</w:t>
                  </w:r>
                </w:p>
              </w:tc>
              <w:tc>
                <w:tcPr>
                  <w:tcW w:w="1836"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M3</w:t>
                  </w:r>
                </w:p>
              </w:tc>
              <w:tc>
                <w:tcPr>
                  <w:tcW w:w="1836"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49"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Q≥100</w:t>
                  </w:r>
                </w:p>
              </w:tc>
              <w:tc>
                <w:tcPr>
                  <w:tcW w:w="1540"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P1</w:t>
                  </w:r>
                </w:p>
              </w:tc>
              <w:tc>
                <w:tcPr>
                  <w:tcW w:w="1717"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P1</w:t>
                  </w:r>
                </w:p>
              </w:tc>
              <w:tc>
                <w:tcPr>
                  <w:tcW w:w="1836"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P2</w:t>
                  </w:r>
                </w:p>
              </w:tc>
              <w:tc>
                <w:tcPr>
                  <w:tcW w:w="1836"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49"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10≤Q＜100</w:t>
                  </w:r>
                </w:p>
              </w:tc>
              <w:tc>
                <w:tcPr>
                  <w:tcW w:w="1540"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P1</w:t>
                  </w:r>
                </w:p>
              </w:tc>
              <w:tc>
                <w:tcPr>
                  <w:tcW w:w="1717"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P2</w:t>
                  </w:r>
                </w:p>
              </w:tc>
              <w:tc>
                <w:tcPr>
                  <w:tcW w:w="1836"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P3</w:t>
                  </w:r>
                </w:p>
              </w:tc>
              <w:tc>
                <w:tcPr>
                  <w:tcW w:w="1836"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49"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1≤Q＜10</w:t>
                  </w:r>
                </w:p>
              </w:tc>
              <w:tc>
                <w:tcPr>
                  <w:tcW w:w="1540"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P2</w:t>
                  </w:r>
                </w:p>
              </w:tc>
              <w:tc>
                <w:tcPr>
                  <w:tcW w:w="1717"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P3</w:t>
                  </w:r>
                </w:p>
              </w:tc>
              <w:tc>
                <w:tcPr>
                  <w:tcW w:w="1836"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P4</w:t>
                  </w:r>
                </w:p>
              </w:tc>
              <w:tc>
                <w:tcPr>
                  <w:tcW w:w="1836"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P4</w:t>
                  </w:r>
                </w:p>
              </w:tc>
            </w:tr>
          </w:tbl>
          <w:p>
            <w:pPr>
              <w:pStyle w:val="7"/>
              <w:keepNext w:val="0"/>
              <w:keepLines w:val="0"/>
              <w:pageBreakBefore w:val="0"/>
              <w:widowControl w:val="0"/>
              <w:kinsoku/>
              <w:wordWrap/>
              <w:overflowPunct/>
              <w:topLinePunct w:val="0"/>
              <w:autoSpaceDE/>
              <w:autoSpaceDN/>
              <w:bidi w:val="0"/>
              <w:adjustRightInd/>
              <w:snapToGrid/>
              <w:spacing w:before="0" w:after="0"/>
              <w:ind w:left="0" w:left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a、Q值确定</w:t>
            </w:r>
          </w:p>
          <w:p>
            <w:pPr>
              <w:pStyle w:val="7"/>
              <w:keepNext w:val="0"/>
              <w:keepLines w:val="0"/>
              <w:pageBreakBefore w:val="0"/>
              <w:widowControl w:val="0"/>
              <w:kinsoku/>
              <w:wordWrap/>
              <w:overflowPunct/>
              <w:topLinePunct w:val="0"/>
              <w:autoSpaceDE/>
              <w:autoSpaceDN/>
              <w:bidi w:val="0"/>
              <w:adjustRightInd/>
              <w:snapToGrid/>
              <w:spacing w:before="0" w:after="0"/>
              <w:ind w:left="0" w:left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根据《建设项目环境风险评价技术导则》（HJ 169-2018）附录C中对Q值计算方法的规定及附录B中丙烷</w:t>
            </w:r>
            <w:r>
              <w:rPr>
                <w:rFonts w:hint="eastAsia" w:ascii="Times New Roman" w:hAnsi="Times New Roman" w:eastAsia="宋体" w:cs="Times New Roman"/>
                <w:color w:val="auto"/>
                <w:highlight w:val="none"/>
                <w:lang w:val="en-US" w:eastAsia="zh-CN"/>
              </w:rPr>
              <w:t>和氧气</w:t>
            </w:r>
            <w:r>
              <w:rPr>
                <w:rFonts w:hint="default" w:ascii="Times New Roman" w:hAnsi="Times New Roman" w:eastAsia="宋体" w:cs="Times New Roman"/>
                <w:color w:val="auto"/>
                <w:highlight w:val="none"/>
                <w:lang w:val="en-US" w:eastAsia="zh-CN"/>
              </w:rPr>
              <w:t>的临界量，可知本项目Q=</w:t>
            </w:r>
            <w:r>
              <w:rPr>
                <w:rFonts w:hint="eastAsia" w:ascii="Times New Roman" w:hAnsi="Times New Roman" w:eastAsia="宋体" w:cs="Times New Roman"/>
                <w:color w:val="auto"/>
                <w:highlight w:val="none"/>
                <w:lang w:val="en-US" w:eastAsia="zh-CN"/>
              </w:rPr>
              <w:t>11.6</w:t>
            </w:r>
            <w:r>
              <w:rPr>
                <w:rFonts w:hint="default" w:ascii="Times New Roman" w:hAnsi="Times New Roman" w:eastAsia="宋体" w:cs="Times New Roman"/>
                <w:color w:val="auto"/>
                <w:highlight w:val="none"/>
                <w:lang w:val="en-US" w:eastAsia="zh-CN"/>
              </w:rPr>
              <w:t>，10≤Q＜100。</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表</w:t>
            </w:r>
            <w:r>
              <w:rPr>
                <w:rFonts w:hint="eastAsia" w:cs="Times New Roman"/>
                <w:b w:val="0"/>
                <w:bCs w:val="0"/>
                <w:color w:val="auto"/>
                <w:sz w:val="24"/>
                <w:szCs w:val="24"/>
                <w:highlight w:val="none"/>
                <w:lang w:val="en-US" w:eastAsia="zh-CN"/>
              </w:rPr>
              <w:t>51</w:t>
            </w:r>
            <w:r>
              <w:rPr>
                <w:rFonts w:hint="default" w:ascii="Times New Roman" w:hAnsi="Times New Roman" w:eastAsia="宋体" w:cs="Times New Roman"/>
                <w:b w:val="0"/>
                <w:bCs w:val="0"/>
                <w:color w:val="auto"/>
                <w:sz w:val="24"/>
                <w:szCs w:val="24"/>
                <w:highlight w:val="none"/>
                <w:lang w:val="en-US" w:eastAsia="zh-CN"/>
              </w:rPr>
              <w:t xml:space="preserve"> 建设项目Q值确定表</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5"/>
              <w:gridCol w:w="1635"/>
              <w:gridCol w:w="1275"/>
              <w:gridCol w:w="1965"/>
              <w:gridCol w:w="1350"/>
              <w:gridCol w:w="19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tcBorders>
                    <w:top w:val="single" w:color="auto" w:sz="12" w:space="0"/>
                    <w:bottom w:val="single" w:color="auto" w:sz="8" w:space="0"/>
                    <w:right w:val="single" w:color="auto" w:sz="8" w:space="0"/>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序号</w:t>
                  </w:r>
                </w:p>
              </w:tc>
              <w:tc>
                <w:tcPr>
                  <w:tcW w:w="1635" w:type="dxa"/>
                  <w:tcBorders>
                    <w:top w:val="single" w:color="auto" w:sz="12" w:space="0"/>
                    <w:left w:val="single" w:color="auto" w:sz="8" w:space="0"/>
                    <w:bottom w:val="single" w:color="auto" w:sz="8" w:space="0"/>
                    <w:right w:val="single" w:color="auto" w:sz="8" w:space="0"/>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危险物质名称</w:t>
                  </w:r>
                </w:p>
              </w:tc>
              <w:tc>
                <w:tcPr>
                  <w:tcW w:w="1275" w:type="dxa"/>
                  <w:tcBorders>
                    <w:top w:val="single" w:color="auto" w:sz="12" w:space="0"/>
                    <w:left w:val="single" w:color="auto" w:sz="8" w:space="0"/>
                    <w:bottom w:val="single" w:color="auto" w:sz="8" w:space="0"/>
                    <w:right w:val="single" w:color="auto" w:sz="8" w:space="0"/>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CAS号</w:t>
                  </w:r>
                </w:p>
              </w:tc>
              <w:tc>
                <w:tcPr>
                  <w:tcW w:w="1965" w:type="dxa"/>
                  <w:tcBorders>
                    <w:top w:val="single" w:color="auto" w:sz="12" w:space="0"/>
                    <w:left w:val="single" w:color="auto" w:sz="8" w:space="0"/>
                    <w:bottom w:val="single" w:color="auto" w:sz="8" w:space="0"/>
                    <w:right w:val="single" w:color="auto" w:sz="8" w:space="0"/>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最大存在总量qn/t</w:t>
                  </w:r>
                </w:p>
              </w:tc>
              <w:tc>
                <w:tcPr>
                  <w:tcW w:w="1350" w:type="dxa"/>
                  <w:tcBorders>
                    <w:top w:val="single" w:color="auto" w:sz="12" w:space="0"/>
                    <w:left w:val="single" w:color="auto" w:sz="8" w:space="0"/>
                    <w:bottom w:val="single" w:color="auto" w:sz="8" w:space="0"/>
                    <w:right w:val="single" w:color="auto" w:sz="8" w:space="0"/>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临界量Qn/t</w:t>
                  </w:r>
                </w:p>
              </w:tc>
              <w:tc>
                <w:tcPr>
                  <w:tcW w:w="1955" w:type="dxa"/>
                  <w:tcBorders>
                    <w:top w:val="single" w:color="auto" w:sz="12" w:space="0"/>
                    <w:left w:val="single" w:color="auto" w:sz="8" w:space="0"/>
                    <w:bottom w:val="single" w:color="auto" w:sz="8" w:space="0"/>
                    <w:right w:val="single" w:color="auto" w:sz="12" w:space="0"/>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该种危险物质Q值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tcBorders>
                    <w:top w:val="single" w:color="auto" w:sz="8" w:space="0"/>
                    <w:left w:val="single" w:color="auto" w:sz="4" w:space="0"/>
                    <w:bottom w:val="single" w:color="auto" w:sz="12" w:space="0"/>
                    <w:right w:val="single" w:color="auto" w:sz="8" w:space="0"/>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635" w:type="dxa"/>
                  <w:tcBorders>
                    <w:top w:val="single" w:color="auto" w:sz="8" w:space="0"/>
                    <w:left w:val="single" w:color="auto" w:sz="8" w:space="0"/>
                    <w:bottom w:val="single" w:color="auto" w:sz="12" w:space="0"/>
                    <w:right w:val="single" w:color="auto" w:sz="8" w:space="0"/>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丙烷</w:t>
                  </w:r>
                </w:p>
              </w:tc>
              <w:tc>
                <w:tcPr>
                  <w:tcW w:w="1275" w:type="dxa"/>
                  <w:tcBorders>
                    <w:top w:val="single" w:color="auto" w:sz="8" w:space="0"/>
                    <w:left w:val="single" w:color="auto" w:sz="8" w:space="0"/>
                    <w:bottom w:val="single" w:color="auto" w:sz="12" w:space="0"/>
                    <w:right w:val="single" w:color="auto" w:sz="8" w:space="0"/>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74-98-6</w:t>
                  </w:r>
                </w:p>
              </w:tc>
              <w:tc>
                <w:tcPr>
                  <w:tcW w:w="1965" w:type="dxa"/>
                  <w:tcBorders>
                    <w:top w:val="single" w:color="auto" w:sz="8" w:space="0"/>
                    <w:left w:val="single" w:color="auto" w:sz="8" w:space="0"/>
                    <w:bottom w:val="single" w:color="auto" w:sz="12" w:space="0"/>
                    <w:right w:val="single" w:color="auto" w:sz="8" w:space="0"/>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116</w:t>
                  </w:r>
                </w:p>
              </w:tc>
              <w:tc>
                <w:tcPr>
                  <w:tcW w:w="1350" w:type="dxa"/>
                  <w:tcBorders>
                    <w:top w:val="single" w:color="auto" w:sz="8" w:space="0"/>
                    <w:left w:val="single" w:color="auto" w:sz="8" w:space="0"/>
                    <w:bottom w:val="single" w:color="auto" w:sz="12" w:space="0"/>
                    <w:right w:val="single" w:color="auto" w:sz="8" w:space="0"/>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1955" w:type="dxa"/>
                  <w:tcBorders>
                    <w:top w:val="single" w:color="auto" w:sz="8" w:space="0"/>
                    <w:left w:val="single" w:color="auto" w:sz="8" w:space="0"/>
                    <w:bottom w:val="single" w:color="auto" w:sz="12" w:space="0"/>
                    <w:right w:val="single" w:color="auto" w:sz="12" w:space="0"/>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11.6</w:t>
                  </w:r>
                </w:p>
              </w:tc>
            </w:tr>
          </w:tbl>
          <w:p>
            <w:pPr>
              <w:pStyle w:val="7"/>
              <w:keepNext w:val="0"/>
              <w:keepLines w:val="0"/>
              <w:pageBreakBefore w:val="0"/>
              <w:widowControl w:val="0"/>
              <w:kinsoku/>
              <w:wordWrap/>
              <w:overflowPunct/>
              <w:topLinePunct w:val="0"/>
              <w:autoSpaceDE/>
              <w:autoSpaceDN/>
              <w:bidi w:val="0"/>
              <w:adjustRightInd/>
              <w:snapToGrid/>
              <w:spacing w:before="0" w:after="0"/>
              <w:ind w:left="0" w:left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b、M值确定</w:t>
            </w:r>
          </w:p>
          <w:p>
            <w:pPr>
              <w:pStyle w:val="7"/>
              <w:keepNext w:val="0"/>
              <w:keepLines w:val="0"/>
              <w:pageBreakBefore w:val="0"/>
              <w:widowControl w:val="0"/>
              <w:kinsoku/>
              <w:wordWrap/>
              <w:overflowPunct/>
              <w:topLinePunct w:val="0"/>
              <w:autoSpaceDE/>
              <w:autoSpaceDN/>
              <w:bidi w:val="0"/>
              <w:adjustRightInd/>
              <w:snapToGrid/>
              <w:spacing w:before="0" w:after="0"/>
              <w:ind w:left="0" w:left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根据《建设项目环境风险评价技术导则》（HJ 169-2018）附录C中表C.1的行业划分及本项目生产工艺特点，确定本项目M=5，以M4表示。</w:t>
            </w:r>
          </w:p>
          <w:p>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表</w:t>
            </w:r>
            <w:r>
              <w:rPr>
                <w:rFonts w:hint="eastAsia" w:cs="Times New Roman"/>
                <w:b w:val="0"/>
                <w:bCs w:val="0"/>
                <w:color w:val="auto"/>
                <w:sz w:val="24"/>
                <w:szCs w:val="24"/>
                <w:highlight w:val="none"/>
                <w:lang w:val="en-US" w:eastAsia="zh-CN"/>
              </w:rPr>
              <w:t>52</w:t>
            </w:r>
            <w:r>
              <w:rPr>
                <w:rFonts w:hint="default" w:ascii="Times New Roman" w:hAnsi="Times New Roman" w:eastAsia="宋体" w:cs="Times New Roman"/>
                <w:b w:val="0"/>
                <w:bCs w:val="0"/>
                <w:color w:val="auto"/>
                <w:sz w:val="24"/>
                <w:szCs w:val="24"/>
                <w:highlight w:val="none"/>
                <w:lang w:val="en-US" w:eastAsia="zh-CN"/>
              </w:rPr>
              <w:t xml:space="preserve">  建设项目M值确定表</w:t>
            </w:r>
          </w:p>
          <w:tbl>
            <w:tblPr>
              <w:tblStyle w:val="22"/>
              <w:tblW w:w="0" w:type="auto"/>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1470"/>
              <w:gridCol w:w="1703"/>
              <w:gridCol w:w="2210"/>
              <w:gridCol w:w="1947"/>
              <w:gridCol w:w="1685"/>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1473"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序号</w:t>
                  </w:r>
                </w:p>
              </w:tc>
              <w:tc>
                <w:tcPr>
                  <w:tcW w:w="1707"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工艺单元名称</w:t>
                  </w:r>
                </w:p>
              </w:tc>
              <w:tc>
                <w:tcPr>
                  <w:tcW w:w="2215"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生产工艺</w:t>
                  </w:r>
                </w:p>
              </w:tc>
              <w:tc>
                <w:tcPr>
                  <w:tcW w:w="1951"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数量/套</w:t>
                  </w:r>
                </w:p>
              </w:tc>
              <w:tc>
                <w:tcPr>
                  <w:tcW w:w="1689"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M分值</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1473"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707"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丙烷罐区</w:t>
                  </w:r>
                </w:p>
              </w:tc>
              <w:tc>
                <w:tcPr>
                  <w:tcW w:w="2215"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丙烷贮存</w:t>
                  </w:r>
                </w:p>
              </w:tc>
              <w:tc>
                <w:tcPr>
                  <w:tcW w:w="1951"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p>
              </w:tc>
              <w:tc>
                <w:tcPr>
                  <w:tcW w:w="1689"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r>
          </w:tbl>
          <w:p>
            <w:pPr>
              <w:pStyle w:val="7"/>
              <w:keepNext w:val="0"/>
              <w:keepLines w:val="0"/>
              <w:pageBreakBefore w:val="0"/>
              <w:widowControl w:val="0"/>
              <w:kinsoku/>
              <w:wordWrap/>
              <w:overflowPunct/>
              <w:topLinePunct w:val="0"/>
              <w:autoSpaceDE/>
              <w:autoSpaceDN/>
              <w:bidi w:val="0"/>
              <w:adjustRightInd/>
              <w:snapToGrid/>
              <w:spacing w:before="0" w:after="0"/>
              <w:ind w:left="0" w:left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综上，本项目危险物质及工艺系统危险性等级判断为</w:t>
            </w:r>
            <w:r>
              <w:rPr>
                <w:rFonts w:hint="default" w:ascii="Times New Roman" w:hAnsi="Times New Roman" w:eastAsia="宋体" w:cs="Times New Roman"/>
                <w:color w:val="auto"/>
                <w:highlight w:val="none"/>
                <w:lang w:val="en-US" w:eastAsia="zh-CN"/>
              </w:rPr>
              <w:t>P4。</w:t>
            </w:r>
          </w:p>
          <w:p>
            <w:pPr>
              <w:pStyle w:val="7"/>
              <w:keepNext w:val="0"/>
              <w:keepLines w:val="0"/>
              <w:pageBreakBefore w:val="0"/>
              <w:widowControl w:val="0"/>
              <w:kinsoku/>
              <w:wordWrap/>
              <w:overflowPunct/>
              <w:topLinePunct w:val="0"/>
              <w:autoSpaceDE/>
              <w:autoSpaceDN/>
              <w:bidi w:val="0"/>
              <w:adjustRightInd/>
              <w:snapToGrid/>
              <w:spacing w:before="0" w:after="0"/>
              <w:ind w:left="0" w:left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②E的分级确定</w:t>
            </w:r>
          </w:p>
          <w:p>
            <w:pPr>
              <w:pStyle w:val="7"/>
              <w:keepNext w:val="0"/>
              <w:keepLines w:val="0"/>
              <w:pageBreakBefore w:val="0"/>
              <w:widowControl w:val="0"/>
              <w:kinsoku/>
              <w:wordWrap/>
              <w:overflowPunct/>
              <w:topLinePunct w:val="0"/>
              <w:autoSpaceDE/>
              <w:autoSpaceDN/>
              <w:bidi w:val="0"/>
              <w:adjustRightInd/>
              <w:snapToGrid/>
              <w:spacing w:before="0" w:after="0"/>
              <w:ind w:left="0" w:left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根据</w:t>
            </w:r>
            <w:r>
              <w:rPr>
                <w:rFonts w:hint="default" w:ascii="Times New Roman" w:hAnsi="Times New Roman" w:eastAsia="宋体" w:cs="Times New Roman"/>
                <w:color w:val="auto"/>
                <w:highlight w:val="none"/>
                <w:lang w:val="en-US" w:eastAsia="zh-CN"/>
              </w:rPr>
              <w:t>《建设项目环境风险评价技术导则》（HJ 169-2018）附录D，本项目环境敏感特征如表</w:t>
            </w:r>
            <w:r>
              <w:rPr>
                <w:rFonts w:hint="eastAsia" w:cs="Times New Roman"/>
                <w:color w:val="auto"/>
                <w:highlight w:val="none"/>
                <w:lang w:val="en-US" w:eastAsia="zh-CN"/>
              </w:rPr>
              <w:t>53</w:t>
            </w:r>
            <w:r>
              <w:rPr>
                <w:rFonts w:hint="default" w:ascii="Times New Roman" w:hAnsi="Times New Roman" w:eastAsia="宋体" w:cs="Times New Roman"/>
                <w:color w:val="auto"/>
                <w:highlight w:val="none"/>
                <w:lang w:val="en-US" w:eastAsia="zh-CN"/>
              </w:rPr>
              <w:t>所示。</w:t>
            </w:r>
          </w:p>
          <w:p>
            <w:pPr>
              <w:pStyle w:val="7"/>
              <w:keepNext w:val="0"/>
              <w:keepLines w:val="0"/>
              <w:pageBreakBefore w:val="0"/>
              <w:widowControl w:val="0"/>
              <w:kinsoku/>
              <w:wordWrap/>
              <w:overflowPunct/>
              <w:topLinePunct w:val="0"/>
              <w:autoSpaceDE/>
              <w:autoSpaceDN/>
              <w:bidi w:val="0"/>
              <w:adjustRightInd/>
              <w:snapToGrid/>
              <w:spacing w:before="0" w:after="0"/>
              <w:ind w:left="0" w:leftChars="0" w:firstLine="0" w:firstLineChars="0"/>
              <w:jc w:val="center"/>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表</w:t>
            </w:r>
            <w:r>
              <w:rPr>
                <w:rFonts w:hint="eastAsia" w:cs="Times New Roman"/>
                <w:b w:val="0"/>
                <w:bCs w:val="0"/>
                <w:color w:val="auto"/>
                <w:sz w:val="24"/>
                <w:szCs w:val="24"/>
                <w:highlight w:val="none"/>
                <w:lang w:val="en-US" w:eastAsia="zh-CN"/>
              </w:rPr>
              <w:t>53</w:t>
            </w:r>
            <w:r>
              <w:rPr>
                <w:rFonts w:hint="default" w:ascii="Times New Roman" w:hAnsi="Times New Roman" w:eastAsia="宋体" w:cs="Times New Roman"/>
                <w:b w:val="0"/>
                <w:bCs w:val="0"/>
                <w:color w:val="auto"/>
                <w:sz w:val="24"/>
                <w:szCs w:val="24"/>
                <w:highlight w:val="none"/>
                <w:lang w:val="en-US" w:eastAsia="zh-CN"/>
              </w:rPr>
              <w:t xml:space="preserve"> 建设项目环境敏感特征表</w:t>
            </w:r>
          </w:p>
          <w:tbl>
            <w:tblPr>
              <w:tblStyle w:val="22"/>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Layout w:type="autofit"/>
              <w:tblCellMar>
                <w:top w:w="0" w:type="dxa"/>
                <w:left w:w="108" w:type="dxa"/>
                <w:bottom w:w="0" w:type="dxa"/>
                <w:right w:w="108" w:type="dxa"/>
              </w:tblCellMar>
            </w:tblPr>
            <w:tblGrid>
              <w:gridCol w:w="955"/>
              <w:gridCol w:w="723"/>
              <w:gridCol w:w="107"/>
              <w:gridCol w:w="1325"/>
              <w:gridCol w:w="46"/>
              <w:gridCol w:w="1483"/>
              <w:gridCol w:w="81"/>
              <w:gridCol w:w="602"/>
              <w:gridCol w:w="448"/>
              <w:gridCol w:w="375"/>
              <w:gridCol w:w="1682"/>
              <w:gridCol w:w="118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486" w:hRule="atLeast"/>
                <w:jc w:val="center"/>
              </w:trPr>
              <w:tc>
                <w:tcPr>
                  <w:tcW w:w="9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类别</w:t>
                  </w:r>
                </w:p>
              </w:tc>
              <w:tc>
                <w:tcPr>
                  <w:tcW w:w="8078" w:type="dxa"/>
                  <w:gridSpan w:val="11"/>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环境敏感特征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351" w:hRule="atLeast"/>
                <w:jc w:val="center"/>
              </w:trPr>
              <w:tc>
                <w:tcPr>
                  <w:tcW w:w="957" w:type="dxa"/>
                  <w:vMerge w:val="restart"/>
                  <w:tcBorders>
                    <w:tl2br w:val="nil"/>
                    <w:tr2bl w:val="nil"/>
                  </w:tcBorders>
                  <w:noWrap w:val="0"/>
                  <w:textDirection w:val="tbRlV"/>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环境空气</w:t>
                  </w:r>
                </w:p>
              </w:tc>
              <w:tc>
                <w:tcPr>
                  <w:tcW w:w="8078" w:type="dxa"/>
                  <w:gridSpan w:val="11"/>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厂址周边5km范围内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405" w:hRule="atLeast"/>
                <w:jc w:val="center"/>
              </w:trPr>
              <w:tc>
                <w:tcPr>
                  <w:tcW w:w="95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7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序号</w:t>
                  </w:r>
                </w:p>
              </w:tc>
              <w:tc>
                <w:tcPr>
                  <w:tcW w:w="1483"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敏感目标名称</w:t>
                  </w:r>
                </w:p>
              </w:tc>
              <w:tc>
                <w:tcPr>
                  <w:tcW w:w="14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相对方位</w:t>
                  </w:r>
                </w:p>
              </w:tc>
              <w:tc>
                <w:tcPr>
                  <w:tcW w:w="684"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距离/m</w:t>
                  </w:r>
                </w:p>
              </w:tc>
              <w:tc>
                <w:tcPr>
                  <w:tcW w:w="2510"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属性</w:t>
                  </w:r>
                </w:p>
              </w:tc>
              <w:tc>
                <w:tcPr>
                  <w:tcW w:w="118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人口数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298" w:hRule="atLeast"/>
                <w:jc w:val="center"/>
              </w:trPr>
              <w:tc>
                <w:tcPr>
                  <w:tcW w:w="95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7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1483" w:type="dxa"/>
                  <w:gridSpan w:val="3"/>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color w:val="000000" w:themeColor="text1"/>
                      <w:highlight w:val="none"/>
                      <w:lang w:val="en-US" w:eastAsia="zh-CN"/>
                      <w14:textFill>
                        <w14:solidFill>
                          <w14:schemeClr w14:val="tx1"/>
                        </w14:solidFill>
                      </w14:textFill>
                    </w:rPr>
                    <w:t>代店村</w:t>
                  </w:r>
                </w:p>
              </w:tc>
              <w:tc>
                <w:tcPr>
                  <w:tcW w:w="1488"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highlight w:val="none"/>
                      <w:lang w:val="en-US" w:eastAsia="zh-CN"/>
                    </w:rPr>
                    <w:t>西</w:t>
                  </w:r>
                </w:p>
              </w:tc>
              <w:tc>
                <w:tcPr>
                  <w:tcW w:w="684" w:type="dxa"/>
                  <w:gridSpan w:val="2"/>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highlight w:val="none"/>
                      <w:lang w:val="en-US" w:eastAsia="zh-CN"/>
                    </w:rPr>
                    <w:t>487</w:t>
                  </w:r>
                </w:p>
              </w:tc>
              <w:tc>
                <w:tcPr>
                  <w:tcW w:w="2510"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居住区</w:t>
                  </w:r>
                </w:p>
              </w:tc>
              <w:tc>
                <w:tcPr>
                  <w:tcW w:w="1189"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highlight w:val="none"/>
                      <w:lang w:val="en-US" w:eastAsia="zh-CN"/>
                    </w:rPr>
                    <w:t>1600人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298" w:hRule="atLeast"/>
                <w:jc w:val="center"/>
              </w:trPr>
              <w:tc>
                <w:tcPr>
                  <w:tcW w:w="95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7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1483" w:type="dxa"/>
                  <w:gridSpan w:val="3"/>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color w:val="000000" w:themeColor="text1"/>
                      <w:highlight w:val="none"/>
                      <w:lang w:val="en-US" w:eastAsia="zh-CN"/>
                      <w14:textFill>
                        <w14:solidFill>
                          <w14:schemeClr w14:val="tx1"/>
                        </w14:solidFill>
                      </w14:textFill>
                    </w:rPr>
                    <w:t>店后营村</w:t>
                  </w:r>
                </w:p>
              </w:tc>
              <w:tc>
                <w:tcPr>
                  <w:tcW w:w="1488"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highlight w:val="none"/>
                      <w:lang w:val="en-US" w:eastAsia="zh-CN"/>
                    </w:rPr>
                    <w:t>西北</w:t>
                  </w:r>
                </w:p>
              </w:tc>
              <w:tc>
                <w:tcPr>
                  <w:tcW w:w="684" w:type="dxa"/>
                  <w:gridSpan w:val="2"/>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highlight w:val="none"/>
                      <w:lang w:val="en-US" w:eastAsia="zh-CN"/>
                    </w:rPr>
                    <w:t>817</w:t>
                  </w:r>
                </w:p>
              </w:tc>
              <w:tc>
                <w:tcPr>
                  <w:tcW w:w="2510"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居住区</w:t>
                  </w:r>
                </w:p>
              </w:tc>
              <w:tc>
                <w:tcPr>
                  <w:tcW w:w="1189"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highlight w:val="none"/>
                      <w:lang w:val="en-US" w:eastAsia="zh-CN"/>
                    </w:rPr>
                    <w:t>3200人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298" w:hRule="atLeast"/>
                <w:jc w:val="center"/>
              </w:trPr>
              <w:tc>
                <w:tcPr>
                  <w:tcW w:w="95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7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1483" w:type="dxa"/>
                  <w:gridSpan w:val="3"/>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color w:val="000000" w:themeColor="text1"/>
                      <w:highlight w:val="none"/>
                      <w:lang w:val="en-US" w:eastAsia="zh-CN"/>
                      <w14:textFill>
                        <w14:solidFill>
                          <w14:schemeClr w14:val="tx1"/>
                        </w14:solidFill>
                      </w14:textFill>
                    </w:rPr>
                    <w:t>前高庄村</w:t>
                  </w:r>
                </w:p>
              </w:tc>
              <w:tc>
                <w:tcPr>
                  <w:tcW w:w="1488"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highlight w:val="none"/>
                      <w:lang w:val="en-US" w:eastAsia="zh-CN"/>
                    </w:rPr>
                    <w:t>北</w:t>
                  </w:r>
                </w:p>
              </w:tc>
              <w:tc>
                <w:tcPr>
                  <w:tcW w:w="684" w:type="dxa"/>
                  <w:gridSpan w:val="2"/>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highlight w:val="none"/>
                      <w:lang w:val="en-US" w:eastAsia="zh-CN"/>
                    </w:rPr>
                    <w:t>317</w:t>
                  </w:r>
                </w:p>
              </w:tc>
              <w:tc>
                <w:tcPr>
                  <w:tcW w:w="2510"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居住区</w:t>
                  </w:r>
                </w:p>
              </w:tc>
              <w:tc>
                <w:tcPr>
                  <w:tcW w:w="1189"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highlight w:val="none"/>
                      <w:lang w:val="en-US" w:eastAsia="zh-CN"/>
                    </w:rPr>
                    <w:t>1500人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298" w:hRule="atLeast"/>
                <w:jc w:val="center"/>
              </w:trPr>
              <w:tc>
                <w:tcPr>
                  <w:tcW w:w="95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7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p>
              </w:tc>
              <w:tc>
                <w:tcPr>
                  <w:tcW w:w="1483" w:type="dxa"/>
                  <w:gridSpan w:val="3"/>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color w:val="000000" w:themeColor="text1"/>
                      <w:highlight w:val="none"/>
                      <w:lang w:val="en-US" w:eastAsia="zh-CN"/>
                      <w14:textFill>
                        <w14:solidFill>
                          <w14:schemeClr w14:val="tx1"/>
                        </w14:solidFill>
                      </w14:textFill>
                    </w:rPr>
                    <w:t>后高庄村</w:t>
                  </w:r>
                </w:p>
              </w:tc>
              <w:tc>
                <w:tcPr>
                  <w:tcW w:w="1488"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highlight w:val="none"/>
                      <w:lang w:val="en-US" w:eastAsia="zh-CN"/>
                    </w:rPr>
                    <w:t>东北</w:t>
                  </w:r>
                </w:p>
              </w:tc>
              <w:tc>
                <w:tcPr>
                  <w:tcW w:w="684" w:type="dxa"/>
                  <w:gridSpan w:val="2"/>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highlight w:val="none"/>
                      <w:lang w:val="en-US" w:eastAsia="zh-CN"/>
                    </w:rPr>
                    <w:t>643</w:t>
                  </w:r>
                </w:p>
              </w:tc>
              <w:tc>
                <w:tcPr>
                  <w:tcW w:w="2510"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居住区</w:t>
                  </w:r>
                </w:p>
              </w:tc>
              <w:tc>
                <w:tcPr>
                  <w:tcW w:w="1189"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highlight w:val="none"/>
                      <w:lang w:val="en-US" w:eastAsia="zh-CN"/>
                    </w:rPr>
                    <w:t>1350人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423" w:hRule="atLeast"/>
                <w:jc w:val="center"/>
              </w:trPr>
              <w:tc>
                <w:tcPr>
                  <w:tcW w:w="95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889" w:type="dxa"/>
                  <w:gridSpan w:val="10"/>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厂址周边500m范围内人口数小计</w:t>
                  </w:r>
                </w:p>
              </w:tc>
              <w:tc>
                <w:tcPr>
                  <w:tcW w:w="118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409" w:hRule="atLeast"/>
                <w:jc w:val="center"/>
              </w:trPr>
              <w:tc>
                <w:tcPr>
                  <w:tcW w:w="95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889" w:type="dxa"/>
                  <w:gridSpan w:val="10"/>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厂址周边5km范围内人口数小计</w:t>
                  </w:r>
                </w:p>
              </w:tc>
              <w:tc>
                <w:tcPr>
                  <w:tcW w:w="118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r>
                    <w:rPr>
                      <w:rFonts w:hint="eastAsia" w:cs="Times New Roman"/>
                      <w:color w:val="auto"/>
                      <w:sz w:val="21"/>
                      <w:szCs w:val="21"/>
                      <w:highlight w:val="none"/>
                      <w:lang w:val="en-US" w:eastAsia="zh-CN"/>
                    </w:rPr>
                    <w:t>00</w:t>
                  </w:r>
                  <w:r>
                    <w:rPr>
                      <w:rFonts w:hint="eastAsia" w:ascii="Times New Roman" w:hAnsi="Times New Roman" w:eastAsia="宋体" w:cs="Times New Roman"/>
                      <w:color w:val="auto"/>
                      <w:sz w:val="21"/>
                      <w:szCs w:val="21"/>
                      <w:highlight w:val="none"/>
                      <w:lang w:val="en-US" w:eastAsia="zh-CN"/>
                    </w:rPr>
                    <w:t>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508" w:hRule="atLeast"/>
                <w:jc w:val="center"/>
              </w:trPr>
              <w:tc>
                <w:tcPr>
                  <w:tcW w:w="95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8078" w:type="dxa"/>
                  <w:gridSpan w:val="11"/>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化学品管段周边200m范围内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508" w:hRule="atLeast"/>
                <w:jc w:val="center"/>
              </w:trPr>
              <w:tc>
                <w:tcPr>
                  <w:tcW w:w="95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832"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序号</w:t>
                  </w:r>
                </w:p>
              </w:tc>
              <w:tc>
                <w:tcPr>
                  <w:tcW w:w="13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敏感目标名称</w:t>
                  </w:r>
                </w:p>
              </w:tc>
              <w:tc>
                <w:tcPr>
                  <w:tcW w:w="1615"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相对方位</w:t>
                  </w:r>
                </w:p>
              </w:tc>
              <w:tc>
                <w:tcPr>
                  <w:tcW w:w="1052"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距离/m</w:t>
                  </w:r>
                </w:p>
              </w:tc>
              <w:tc>
                <w:tcPr>
                  <w:tcW w:w="2061"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属性</w:t>
                  </w:r>
                </w:p>
              </w:tc>
              <w:tc>
                <w:tcPr>
                  <w:tcW w:w="118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人口数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380" w:hRule="atLeast"/>
                <w:jc w:val="center"/>
              </w:trPr>
              <w:tc>
                <w:tcPr>
                  <w:tcW w:w="95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832"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3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厂区工作人员</w:t>
                  </w:r>
                </w:p>
              </w:tc>
              <w:tc>
                <w:tcPr>
                  <w:tcW w:w="1615"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052"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061"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其他</w:t>
                  </w:r>
                </w:p>
              </w:tc>
              <w:tc>
                <w:tcPr>
                  <w:tcW w:w="118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w:t>
                  </w:r>
                  <w:r>
                    <w:rPr>
                      <w:rFonts w:hint="default" w:ascii="Times New Roman" w:hAnsi="Times New Roman" w:eastAsia="宋体" w:cs="Times New Roman"/>
                      <w:color w:val="auto"/>
                      <w:sz w:val="21"/>
                      <w:szCs w:val="21"/>
                      <w:highlight w:val="none"/>
                      <w:lang w:val="en-US" w:eastAsia="zh-CN"/>
                    </w:rPr>
                    <w:t>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409" w:hRule="atLeast"/>
                <w:jc w:val="center"/>
              </w:trPr>
              <w:tc>
                <w:tcPr>
                  <w:tcW w:w="95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889" w:type="dxa"/>
                  <w:gridSpan w:val="10"/>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每公里管路人口数（最大）</w:t>
                  </w:r>
                </w:p>
              </w:tc>
              <w:tc>
                <w:tcPr>
                  <w:tcW w:w="118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jc w:val="center"/>
              </w:trPr>
              <w:tc>
                <w:tcPr>
                  <w:tcW w:w="95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889" w:type="dxa"/>
                  <w:gridSpan w:val="10"/>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大气环境敏感程度E值</w:t>
                  </w:r>
                </w:p>
              </w:tc>
              <w:tc>
                <w:tcPr>
                  <w:tcW w:w="118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E2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jc w:val="center"/>
              </w:trPr>
              <w:tc>
                <w:tcPr>
                  <w:tcW w:w="957" w:type="dxa"/>
                  <w:vMerge w:val="restart"/>
                  <w:tcBorders>
                    <w:tl2br w:val="nil"/>
                    <w:tr2bl w:val="nil"/>
                  </w:tcBorders>
                  <w:noWrap w:val="0"/>
                  <w:textDirection w:val="tbRlV"/>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地表水</w:t>
                  </w:r>
                </w:p>
              </w:tc>
              <w:tc>
                <w:tcPr>
                  <w:tcW w:w="8078" w:type="dxa"/>
                  <w:gridSpan w:val="11"/>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受纳水体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jc w:val="center"/>
              </w:trPr>
              <w:tc>
                <w:tcPr>
                  <w:tcW w:w="95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7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序号</w:t>
                  </w:r>
                </w:p>
              </w:tc>
              <w:tc>
                <w:tcPr>
                  <w:tcW w:w="1483"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受纳水体名称</w:t>
                  </w:r>
                </w:p>
              </w:tc>
              <w:tc>
                <w:tcPr>
                  <w:tcW w:w="2997" w:type="dxa"/>
                  <w:gridSpan w:val="5"/>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排放点水域环境功能</w:t>
                  </w:r>
                </w:p>
              </w:tc>
              <w:tc>
                <w:tcPr>
                  <w:tcW w:w="2874"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24h内流经范围/km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jc w:val="center"/>
              </w:trPr>
              <w:tc>
                <w:tcPr>
                  <w:tcW w:w="95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7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483"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西干五支排</w:t>
                  </w:r>
                </w:p>
              </w:tc>
              <w:tc>
                <w:tcPr>
                  <w:tcW w:w="2997" w:type="dxa"/>
                  <w:gridSpan w:val="5"/>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Ⅴ类</w:t>
                  </w:r>
                </w:p>
              </w:tc>
              <w:tc>
                <w:tcPr>
                  <w:tcW w:w="2874"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jc w:val="center"/>
              </w:trPr>
              <w:tc>
                <w:tcPr>
                  <w:tcW w:w="95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8078" w:type="dxa"/>
                  <w:gridSpan w:val="11"/>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内陆水体排放点下游10km（近岸海域一个潮周期最大水平距离两倍）范围敏感目标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jc w:val="center"/>
              </w:trPr>
              <w:tc>
                <w:tcPr>
                  <w:tcW w:w="95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8078" w:type="dxa"/>
                  <w:gridSpan w:val="11"/>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jc w:val="center"/>
              </w:trPr>
              <w:tc>
                <w:tcPr>
                  <w:tcW w:w="95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889" w:type="dxa"/>
                  <w:gridSpan w:val="10"/>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地表水环境敏感度E值</w:t>
                  </w:r>
                </w:p>
              </w:tc>
              <w:tc>
                <w:tcPr>
                  <w:tcW w:w="118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E2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jc w:val="center"/>
              </w:trPr>
              <w:tc>
                <w:tcPr>
                  <w:tcW w:w="957"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地下水</w:t>
                  </w:r>
                </w:p>
              </w:tc>
              <w:tc>
                <w:tcPr>
                  <w:tcW w:w="7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序号</w:t>
                  </w:r>
                </w:p>
              </w:tc>
              <w:tc>
                <w:tcPr>
                  <w:tcW w:w="1483"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环境敏感区名称</w:t>
                  </w:r>
                </w:p>
              </w:tc>
              <w:tc>
                <w:tcPr>
                  <w:tcW w:w="14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环境敏感特征</w:t>
                  </w:r>
                </w:p>
              </w:tc>
              <w:tc>
                <w:tcPr>
                  <w:tcW w:w="684"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水质目标</w:t>
                  </w:r>
                </w:p>
              </w:tc>
              <w:tc>
                <w:tcPr>
                  <w:tcW w:w="2510"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包气带防污性能</w:t>
                  </w:r>
                </w:p>
              </w:tc>
              <w:tc>
                <w:tcPr>
                  <w:tcW w:w="118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与下游厂界距离/m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jc w:val="center"/>
              </w:trPr>
              <w:tc>
                <w:tcPr>
                  <w:tcW w:w="95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7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483"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项目厂区地下水</w:t>
                  </w:r>
                </w:p>
              </w:tc>
              <w:tc>
                <w:tcPr>
                  <w:tcW w:w="14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不敏感G3</w:t>
                  </w:r>
                </w:p>
              </w:tc>
              <w:tc>
                <w:tcPr>
                  <w:tcW w:w="684"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Ⅲ类</w:t>
                  </w:r>
                </w:p>
              </w:tc>
              <w:tc>
                <w:tcPr>
                  <w:tcW w:w="2510"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Mb≥1.0m，1.0×10-6cm/s＜K≤1.0×10-4cm/s</w:t>
                  </w:r>
                </w:p>
              </w:tc>
              <w:tc>
                <w:tcPr>
                  <w:tcW w:w="118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jc w:val="center"/>
              </w:trPr>
              <w:tc>
                <w:tcPr>
                  <w:tcW w:w="95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889" w:type="dxa"/>
                  <w:gridSpan w:val="10"/>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地下水环境敏感程度E值</w:t>
                  </w:r>
                </w:p>
              </w:tc>
              <w:tc>
                <w:tcPr>
                  <w:tcW w:w="118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E3</w:t>
                  </w:r>
                </w:p>
              </w:tc>
            </w:tr>
          </w:tbl>
          <w:p>
            <w:pPr>
              <w:pStyle w:val="20"/>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综上，本项目环境风险潜势综合等级为Ⅱ。</w:t>
            </w:r>
          </w:p>
          <w:p>
            <w:pPr>
              <w:keepNext w:val="0"/>
              <w:keepLines w:val="0"/>
              <w:pageBreakBefore w:val="0"/>
              <w:widowControl w:val="0"/>
              <w:numPr>
                <w:ilvl w:val="0"/>
                <w:numId w:val="5"/>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评价等级</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根据《建设项目环境风险评价技术导则》（HJ 169-2018），建设项目环境风险评价工作等级如表</w:t>
            </w:r>
            <w:r>
              <w:rPr>
                <w:rFonts w:hint="eastAsia" w:cs="Times New Roman"/>
                <w:color w:val="auto"/>
                <w:highlight w:val="none"/>
                <w:lang w:val="en-US" w:eastAsia="zh-CN"/>
              </w:rPr>
              <w:t>54</w:t>
            </w:r>
            <w:r>
              <w:rPr>
                <w:rFonts w:hint="default" w:ascii="Times New Roman" w:hAnsi="Times New Roman" w:eastAsia="宋体" w:cs="Times New Roman"/>
                <w:color w:val="auto"/>
                <w:highlight w:val="none"/>
                <w:lang w:val="en-US" w:eastAsia="zh-CN"/>
              </w:rPr>
              <w:t>所示：</w:t>
            </w:r>
          </w:p>
          <w:p>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表</w:t>
            </w:r>
            <w:r>
              <w:rPr>
                <w:rFonts w:hint="eastAsia" w:cs="Times New Roman"/>
                <w:b w:val="0"/>
                <w:bCs w:val="0"/>
                <w:color w:val="auto"/>
                <w:sz w:val="24"/>
                <w:szCs w:val="24"/>
                <w:highlight w:val="none"/>
                <w:lang w:val="en-US" w:eastAsia="zh-CN"/>
              </w:rPr>
              <w:t>54</w:t>
            </w:r>
            <w:r>
              <w:rPr>
                <w:rFonts w:hint="default" w:ascii="Times New Roman" w:hAnsi="Times New Roman" w:eastAsia="宋体" w:cs="Times New Roman"/>
                <w:b w:val="0"/>
                <w:bCs w:val="0"/>
                <w:color w:val="auto"/>
                <w:sz w:val="24"/>
                <w:szCs w:val="24"/>
                <w:highlight w:val="none"/>
                <w:lang w:val="en-US" w:eastAsia="zh-CN"/>
              </w:rPr>
              <w:t>评价工作等级划分</w:t>
            </w:r>
          </w:p>
          <w:tbl>
            <w:tblPr>
              <w:tblStyle w:val="22"/>
              <w:tblW w:w="0" w:type="auto"/>
              <w:tblInd w:w="-1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2205"/>
              <w:gridCol w:w="1519"/>
              <w:gridCol w:w="1686"/>
              <w:gridCol w:w="1802"/>
              <w:gridCol w:w="1803"/>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c>
                <w:tcPr>
                  <w:tcW w:w="2249"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环境风险潜势</w:t>
                  </w:r>
                </w:p>
              </w:tc>
              <w:tc>
                <w:tcPr>
                  <w:tcW w:w="1540"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Ⅳ、Ⅳ+</w:t>
                  </w:r>
                </w:p>
              </w:tc>
              <w:tc>
                <w:tcPr>
                  <w:tcW w:w="1717"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Ⅲ</w:t>
                  </w:r>
                </w:p>
              </w:tc>
              <w:tc>
                <w:tcPr>
                  <w:tcW w:w="1836"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Ⅱ</w:t>
                  </w:r>
                </w:p>
              </w:tc>
              <w:tc>
                <w:tcPr>
                  <w:tcW w:w="1836"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Ⅰ</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49"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评价工作等级</w:t>
                  </w:r>
                </w:p>
              </w:tc>
              <w:tc>
                <w:tcPr>
                  <w:tcW w:w="1540"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w:t>
                  </w:r>
                </w:p>
              </w:tc>
              <w:tc>
                <w:tcPr>
                  <w:tcW w:w="1717"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w:t>
                  </w:r>
                </w:p>
              </w:tc>
              <w:tc>
                <w:tcPr>
                  <w:tcW w:w="1836"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三</w:t>
                  </w:r>
                </w:p>
              </w:tc>
              <w:tc>
                <w:tcPr>
                  <w:tcW w:w="1836"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简单分析a</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9178" w:type="dxa"/>
                  <w:gridSpan w:val="5"/>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a是相对于详细评价工作内容而言，在描述危险物质、环境影响途经、环境危害后果、风险防范措施等方面给出定性的说明，详见附录A。</w:t>
                  </w:r>
                </w:p>
              </w:tc>
            </w:tr>
          </w:tbl>
          <w:p>
            <w:pPr>
              <w:pStyle w:val="20"/>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综上，本项目环境风险评价工作等级为三级。</w:t>
            </w:r>
          </w:p>
          <w:p>
            <w:pPr>
              <w:ind w:firstLine="48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lang w:val="en-US" w:eastAsia="zh-CN"/>
              </w:rPr>
              <w:t>.2环境敏感目标概况</w:t>
            </w:r>
          </w:p>
          <w:p>
            <w:pPr>
              <w:pStyle w:val="7"/>
              <w:keepNext w:val="0"/>
              <w:keepLines w:val="0"/>
              <w:pageBreakBefore w:val="0"/>
              <w:widowControl w:val="0"/>
              <w:kinsoku/>
              <w:wordWrap/>
              <w:overflowPunct/>
              <w:topLinePunct w:val="0"/>
              <w:autoSpaceDE/>
              <w:autoSpaceDN/>
              <w:bidi w:val="0"/>
              <w:adjustRightInd/>
              <w:snapToGrid/>
              <w:spacing w:before="0" w:after="0"/>
              <w:ind w:left="0" w:leftChars="0"/>
              <w:textAlignment w:val="auto"/>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本项目主要</w:t>
            </w:r>
            <w:r>
              <w:rPr>
                <w:rFonts w:hint="default" w:ascii="Times New Roman" w:hAnsi="Times New Roman" w:eastAsia="宋体" w:cs="Times New Roman"/>
                <w:color w:val="auto"/>
                <w:highlight w:val="none"/>
                <w:lang w:val="en-US" w:eastAsia="zh-CN"/>
              </w:rPr>
              <w:t>环境敏感目标</w:t>
            </w:r>
            <w:r>
              <w:rPr>
                <w:rFonts w:hint="eastAsia" w:ascii="Times New Roman" w:cs="Times New Roman"/>
                <w:color w:val="auto"/>
                <w:highlight w:val="none"/>
                <w:lang w:val="en-US" w:eastAsia="zh-CN"/>
              </w:rPr>
              <w:t>分布情况见</w:t>
            </w:r>
            <w:r>
              <w:rPr>
                <w:rFonts w:hint="default" w:ascii="Times New Roman" w:hAnsi="Times New Roman" w:eastAsia="宋体" w:cs="Times New Roman"/>
                <w:color w:val="auto"/>
                <w:highlight w:val="none"/>
                <w:lang w:val="en-US" w:eastAsia="zh-CN"/>
              </w:rPr>
              <w:t>表</w:t>
            </w:r>
            <w:r>
              <w:rPr>
                <w:rFonts w:hint="eastAsia" w:cs="Times New Roman"/>
                <w:color w:val="auto"/>
                <w:highlight w:val="none"/>
                <w:lang w:val="en-US" w:eastAsia="zh-CN"/>
              </w:rPr>
              <w:t>55</w:t>
            </w:r>
            <w:r>
              <w:rPr>
                <w:rFonts w:hint="default" w:ascii="Times New Roman" w:hAnsi="Times New Roman" w:eastAsia="宋体" w:cs="Times New Roman"/>
                <w:color w:val="auto"/>
                <w:highlight w:val="none"/>
                <w:lang w:val="en-US" w:eastAsia="zh-CN"/>
              </w:rPr>
              <w:t>。</w:t>
            </w:r>
          </w:p>
          <w:p>
            <w:pPr>
              <w:pStyle w:val="2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表</w:t>
            </w:r>
            <w:r>
              <w:rPr>
                <w:rFonts w:hint="eastAsia" w:cs="Times New Roman"/>
                <w:b w:val="0"/>
                <w:bCs w:val="0"/>
                <w:color w:val="auto"/>
                <w:sz w:val="24"/>
                <w:szCs w:val="24"/>
                <w:highlight w:val="none"/>
                <w:lang w:val="en-US" w:eastAsia="zh-CN"/>
              </w:rPr>
              <w:t>55</w:t>
            </w:r>
            <w:r>
              <w:rPr>
                <w:rFonts w:hint="default" w:ascii="Times New Roman" w:hAnsi="Times New Roman" w:eastAsia="宋体" w:cs="Times New Roman"/>
                <w:b w:val="0"/>
                <w:bCs w:val="0"/>
                <w:color w:val="auto"/>
                <w:sz w:val="24"/>
                <w:szCs w:val="24"/>
                <w:highlight w:val="none"/>
                <w:lang w:val="en-US" w:eastAsia="zh-CN"/>
              </w:rPr>
              <w:t xml:space="preserve"> 环境敏感目标一览表</w:t>
            </w:r>
          </w:p>
          <w:tbl>
            <w:tblPr>
              <w:tblStyle w:val="21"/>
              <w:tblW w:w="0" w:type="auto"/>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2382"/>
              <w:gridCol w:w="1683"/>
              <w:gridCol w:w="1905"/>
              <w:gridCol w:w="3045"/>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12" w:hRule="atLeast"/>
                <w:jc w:val="center"/>
              </w:trPr>
              <w:tc>
                <w:tcPr>
                  <w:tcW w:w="2388"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调查</w:t>
                  </w:r>
                  <w:r>
                    <w:rPr>
                      <w:rFonts w:hint="default" w:ascii="Times New Roman" w:hAnsi="Times New Roman" w:eastAsia="宋体" w:cs="Times New Roman"/>
                      <w:color w:val="auto"/>
                      <w:sz w:val="21"/>
                      <w:szCs w:val="21"/>
                      <w:highlight w:val="none"/>
                    </w:rPr>
                    <w:t>对象</w:t>
                  </w:r>
                </w:p>
              </w:tc>
              <w:tc>
                <w:tcPr>
                  <w:tcW w:w="168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属性</w:t>
                  </w:r>
                </w:p>
              </w:tc>
              <w:tc>
                <w:tcPr>
                  <w:tcW w:w="1909"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相对项目方位</w:t>
                  </w:r>
                </w:p>
              </w:tc>
              <w:tc>
                <w:tcPr>
                  <w:tcW w:w="3052"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相对项目场界距离/m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12" w:hRule="atLeast"/>
                <w:jc w:val="center"/>
              </w:trPr>
              <w:tc>
                <w:tcPr>
                  <w:tcW w:w="238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68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90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305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0" w:hRule="atLeast"/>
                <w:jc w:val="center"/>
              </w:trPr>
              <w:tc>
                <w:tcPr>
                  <w:tcW w:w="2388"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lang w:eastAsia="zh-CN"/>
                    </w:rPr>
                  </w:pPr>
                  <w:r>
                    <w:rPr>
                      <w:rFonts w:hint="eastAsia"/>
                      <w:color w:val="000000" w:themeColor="text1"/>
                      <w:highlight w:val="none"/>
                      <w:lang w:val="en-US" w:eastAsia="zh-CN"/>
                      <w14:textFill>
                        <w14:solidFill>
                          <w14:schemeClr w14:val="tx1"/>
                        </w14:solidFill>
                      </w14:textFill>
                    </w:rPr>
                    <w:t>代店村</w:t>
                  </w:r>
                </w:p>
              </w:tc>
              <w:tc>
                <w:tcPr>
                  <w:tcW w:w="168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居住区</w:t>
                  </w:r>
                </w:p>
              </w:tc>
              <w:tc>
                <w:tcPr>
                  <w:tcW w:w="1909"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highlight w:val="none"/>
                      <w:lang w:val="en-US" w:eastAsia="zh-CN"/>
                    </w:rPr>
                    <w:t>西</w:t>
                  </w:r>
                </w:p>
              </w:tc>
              <w:tc>
                <w:tcPr>
                  <w:tcW w:w="3052"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highlight w:val="none"/>
                      <w:lang w:val="en-US" w:eastAsia="zh-CN"/>
                    </w:rPr>
                    <w:t>487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0" w:hRule="atLeast"/>
                <w:jc w:val="center"/>
              </w:trPr>
              <w:tc>
                <w:tcPr>
                  <w:tcW w:w="2388"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lang w:eastAsia="zh-CN"/>
                    </w:rPr>
                  </w:pPr>
                  <w:r>
                    <w:rPr>
                      <w:rFonts w:hint="eastAsia"/>
                      <w:color w:val="000000" w:themeColor="text1"/>
                      <w:highlight w:val="none"/>
                      <w:lang w:val="en-US" w:eastAsia="zh-CN"/>
                      <w14:textFill>
                        <w14:solidFill>
                          <w14:schemeClr w14:val="tx1"/>
                        </w14:solidFill>
                      </w14:textFill>
                    </w:rPr>
                    <w:t>店后营村</w:t>
                  </w:r>
                </w:p>
              </w:tc>
              <w:tc>
                <w:tcPr>
                  <w:tcW w:w="168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909"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rPr>
                  </w:pPr>
                  <w:r>
                    <w:rPr>
                      <w:rFonts w:hint="eastAsia"/>
                      <w:highlight w:val="none"/>
                      <w:lang w:val="en-US" w:eastAsia="zh-CN"/>
                    </w:rPr>
                    <w:t>西北</w:t>
                  </w:r>
                </w:p>
              </w:tc>
              <w:tc>
                <w:tcPr>
                  <w:tcW w:w="3052"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highlight w:val="none"/>
                      <w:lang w:val="en-US" w:eastAsia="zh-CN"/>
                    </w:rPr>
                    <w:t>817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0" w:hRule="atLeast"/>
                <w:jc w:val="center"/>
              </w:trPr>
              <w:tc>
                <w:tcPr>
                  <w:tcW w:w="2388"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lang w:eastAsia="zh-CN"/>
                    </w:rPr>
                  </w:pPr>
                  <w:r>
                    <w:rPr>
                      <w:rFonts w:hint="eastAsia"/>
                      <w:color w:val="000000" w:themeColor="text1"/>
                      <w:highlight w:val="none"/>
                      <w:lang w:val="en-US" w:eastAsia="zh-CN"/>
                      <w14:textFill>
                        <w14:solidFill>
                          <w14:schemeClr w14:val="tx1"/>
                        </w14:solidFill>
                      </w14:textFill>
                    </w:rPr>
                    <w:t>前高庄村</w:t>
                  </w:r>
                </w:p>
              </w:tc>
              <w:tc>
                <w:tcPr>
                  <w:tcW w:w="168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909"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rPr>
                  </w:pPr>
                  <w:r>
                    <w:rPr>
                      <w:rFonts w:hint="eastAsia"/>
                      <w:highlight w:val="none"/>
                      <w:lang w:val="en-US" w:eastAsia="zh-CN"/>
                    </w:rPr>
                    <w:t>北</w:t>
                  </w:r>
                </w:p>
              </w:tc>
              <w:tc>
                <w:tcPr>
                  <w:tcW w:w="3052"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highlight w:val="none"/>
                      <w:lang w:val="en-US" w:eastAsia="zh-CN"/>
                    </w:rPr>
                    <w:t>317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0" w:hRule="atLeast"/>
                <w:jc w:val="center"/>
              </w:trPr>
              <w:tc>
                <w:tcPr>
                  <w:tcW w:w="2388"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lang w:eastAsia="zh-CN"/>
                    </w:rPr>
                  </w:pPr>
                  <w:r>
                    <w:rPr>
                      <w:rFonts w:hint="eastAsia"/>
                      <w:color w:val="000000" w:themeColor="text1"/>
                      <w:highlight w:val="none"/>
                      <w:lang w:val="en-US" w:eastAsia="zh-CN"/>
                      <w14:textFill>
                        <w14:solidFill>
                          <w14:schemeClr w14:val="tx1"/>
                        </w14:solidFill>
                      </w14:textFill>
                    </w:rPr>
                    <w:t>后高庄村</w:t>
                  </w:r>
                </w:p>
              </w:tc>
              <w:tc>
                <w:tcPr>
                  <w:tcW w:w="168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909"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highlight w:val="none"/>
                      <w:lang w:val="en-US" w:eastAsia="zh-CN"/>
                    </w:rPr>
                    <w:t>东北</w:t>
                  </w:r>
                </w:p>
              </w:tc>
              <w:tc>
                <w:tcPr>
                  <w:tcW w:w="3052" w:type="dxa"/>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highlight w:val="none"/>
                      <w:lang w:val="en-US" w:eastAsia="zh-CN"/>
                    </w:rPr>
                    <w:t>643</w:t>
                  </w:r>
                </w:p>
              </w:tc>
            </w:tr>
          </w:tbl>
          <w:p>
            <w:pPr>
              <w:ind w:firstLine="480"/>
              <w:rPr>
                <w:rFonts w:hint="default"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lang w:val="en-US" w:eastAsia="zh-CN"/>
              </w:rPr>
              <w:t>.3环境风险识别</w:t>
            </w:r>
          </w:p>
          <w:p>
            <w:pPr>
              <w:pStyle w:val="2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表</w:t>
            </w:r>
            <w:r>
              <w:rPr>
                <w:rFonts w:hint="eastAsia" w:cs="Times New Roman"/>
                <w:b w:val="0"/>
                <w:bCs w:val="0"/>
                <w:color w:val="auto"/>
                <w:sz w:val="24"/>
                <w:szCs w:val="24"/>
                <w:highlight w:val="none"/>
                <w:lang w:val="en-US" w:eastAsia="zh-CN"/>
              </w:rPr>
              <w:t>56</w:t>
            </w:r>
            <w:r>
              <w:rPr>
                <w:rFonts w:hint="default" w:ascii="Times New Roman" w:hAnsi="Times New Roman" w:eastAsia="宋体" w:cs="Times New Roman"/>
                <w:b w:val="0"/>
                <w:bCs w:val="0"/>
                <w:color w:val="auto"/>
                <w:sz w:val="24"/>
                <w:szCs w:val="24"/>
                <w:highlight w:val="none"/>
                <w:lang w:val="en-US" w:eastAsia="zh-CN"/>
              </w:rPr>
              <w:t xml:space="preserve">  建设项目环境风险识别表</w:t>
            </w:r>
          </w:p>
          <w:tbl>
            <w:tblPr>
              <w:tblStyle w:val="21"/>
              <w:tblW w:w="0" w:type="auto"/>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535"/>
              <w:gridCol w:w="537"/>
              <w:gridCol w:w="570"/>
              <w:gridCol w:w="869"/>
              <w:gridCol w:w="1333"/>
              <w:gridCol w:w="2445"/>
              <w:gridCol w:w="1364"/>
              <w:gridCol w:w="1362"/>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53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序号</w:t>
                  </w:r>
                </w:p>
              </w:tc>
              <w:tc>
                <w:tcPr>
                  <w:tcW w:w="54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危险单元</w:t>
                  </w:r>
                </w:p>
              </w:tc>
              <w:tc>
                <w:tcPr>
                  <w:tcW w:w="5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风险源</w:t>
                  </w:r>
                </w:p>
              </w:tc>
              <w:tc>
                <w:tcPr>
                  <w:tcW w:w="8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主要危险物质</w:t>
                  </w:r>
                </w:p>
              </w:tc>
              <w:tc>
                <w:tcPr>
                  <w:tcW w:w="13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环境风险类型</w:t>
                  </w:r>
                </w:p>
              </w:tc>
              <w:tc>
                <w:tcPr>
                  <w:tcW w:w="25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环境影响途径</w:t>
                  </w:r>
                </w:p>
              </w:tc>
              <w:tc>
                <w:tcPr>
                  <w:tcW w:w="138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可能受影响的环境明目标</w:t>
                  </w:r>
                </w:p>
              </w:tc>
              <w:tc>
                <w:tcPr>
                  <w:tcW w:w="13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参数</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539"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w:t>
                  </w:r>
                </w:p>
              </w:tc>
              <w:tc>
                <w:tcPr>
                  <w:tcW w:w="54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丙烷罐区</w:t>
                  </w:r>
                </w:p>
              </w:tc>
              <w:tc>
                <w:tcPr>
                  <w:tcW w:w="574"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丙烷</w:t>
                  </w:r>
                  <w:r>
                    <w:rPr>
                      <w:rFonts w:hint="eastAsia" w:cs="Times New Roman"/>
                      <w:b w:val="0"/>
                      <w:bCs w:val="0"/>
                      <w:color w:val="auto"/>
                      <w:sz w:val="21"/>
                      <w:szCs w:val="21"/>
                      <w:highlight w:val="none"/>
                      <w:lang w:val="en-US" w:eastAsia="zh-CN"/>
                    </w:rPr>
                    <w:t>储</w:t>
                  </w:r>
                  <w:r>
                    <w:rPr>
                      <w:rFonts w:hint="default" w:ascii="Times New Roman" w:hAnsi="Times New Roman" w:eastAsia="宋体" w:cs="Times New Roman"/>
                      <w:b w:val="0"/>
                      <w:bCs w:val="0"/>
                      <w:color w:val="auto"/>
                      <w:sz w:val="21"/>
                      <w:szCs w:val="21"/>
                      <w:highlight w:val="none"/>
                      <w:lang w:eastAsia="zh-CN"/>
                    </w:rPr>
                    <w:t>罐</w:t>
                  </w:r>
                </w:p>
              </w:tc>
              <w:tc>
                <w:tcPr>
                  <w:tcW w:w="88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eastAsia="zh-CN"/>
                    </w:rPr>
                    <w:t>丙烷</w:t>
                  </w:r>
                </w:p>
              </w:tc>
              <w:tc>
                <w:tcPr>
                  <w:tcW w:w="1361"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丙烷泄漏</w:t>
                  </w:r>
                </w:p>
              </w:tc>
              <w:tc>
                <w:tcPr>
                  <w:tcW w:w="25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挥发进入大气环境</w:t>
                  </w:r>
                </w:p>
              </w:tc>
              <w:tc>
                <w:tcPr>
                  <w:tcW w:w="138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rPr>
                    <w:t>厂区生产人员、</w:t>
                  </w:r>
                  <w:r>
                    <w:rPr>
                      <w:rFonts w:hint="eastAsia" w:ascii="Times New Roman" w:hAnsi="Times New Roman" w:eastAsia="宋体" w:cs="Times New Roman"/>
                      <w:b w:val="0"/>
                      <w:bCs w:val="0"/>
                      <w:color w:val="auto"/>
                      <w:sz w:val="21"/>
                      <w:szCs w:val="21"/>
                      <w:highlight w:val="none"/>
                      <w:lang w:val="en-US" w:eastAsia="zh-CN"/>
                    </w:rPr>
                    <w:t>西干五支排</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代店村</w:t>
                  </w:r>
                  <w:r>
                    <w:rPr>
                      <w:rFonts w:hint="eastAsia"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店后营村</w:t>
                  </w:r>
                  <w:r>
                    <w:rPr>
                      <w:rFonts w:hint="eastAsia"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前高庄村</w:t>
                  </w:r>
                  <w:r>
                    <w:rPr>
                      <w:rFonts w:hint="eastAsia"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后高庄村</w:t>
                  </w:r>
                  <w:r>
                    <w:rPr>
                      <w:rFonts w:hint="default" w:ascii="Times New Roman" w:hAnsi="Times New Roman" w:eastAsia="宋体" w:cs="Times New Roman"/>
                      <w:b w:val="0"/>
                      <w:bCs w:val="0"/>
                      <w:color w:val="auto"/>
                      <w:sz w:val="21"/>
                      <w:szCs w:val="21"/>
                      <w:highlight w:val="none"/>
                      <w:lang w:eastAsia="zh-CN"/>
                    </w:rPr>
                    <w:t>等</w:t>
                  </w:r>
                </w:p>
              </w:tc>
              <w:tc>
                <w:tcPr>
                  <w:tcW w:w="1384"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数量：</w:t>
                  </w:r>
                  <w:r>
                    <w:rPr>
                      <w:rFonts w:hint="eastAsia" w:ascii="Times New Roman" w:hAnsi="Times New Roman" w:eastAsia="宋体" w:cs="Times New Roman"/>
                      <w:b w:val="0"/>
                      <w:bCs w:val="0"/>
                      <w:color w:val="auto"/>
                      <w:sz w:val="21"/>
                      <w:szCs w:val="21"/>
                      <w:highlight w:val="none"/>
                      <w:lang w:val="en-US" w:eastAsia="zh-CN"/>
                    </w:rPr>
                    <w:t>4个储</w:t>
                  </w:r>
                  <w:r>
                    <w:rPr>
                      <w:rFonts w:hint="default" w:ascii="Times New Roman" w:hAnsi="Times New Roman" w:eastAsia="宋体" w:cs="Times New Roman"/>
                      <w:b w:val="0"/>
                      <w:bCs w:val="0"/>
                      <w:color w:val="auto"/>
                      <w:sz w:val="21"/>
                      <w:szCs w:val="21"/>
                      <w:highlight w:val="none"/>
                      <w:lang w:eastAsia="zh-CN"/>
                    </w:rPr>
                    <w:t>罐；</w:t>
                  </w:r>
                </w:p>
                <w:p>
                  <w:pPr>
                    <w:pStyle w:val="3"/>
                    <w:keepLines w:val="0"/>
                    <w:pageBreakBefore w:val="0"/>
                    <w:kinsoku/>
                    <w:wordWrap/>
                    <w:overflowPunct/>
                    <w:topLinePunct w:val="0"/>
                    <w:autoSpaceDE/>
                    <w:autoSpaceDN/>
                    <w:bidi w:val="0"/>
                    <w:adjustRightInd/>
                    <w:spacing w:before="0" w:after="0" w:line="240" w:lineRule="auto"/>
                    <w:ind w:firstLine="0" w:firstLineChars="0"/>
                    <w:jc w:val="left"/>
                    <w:textAlignment w:val="auto"/>
                    <w:outlineLvl w:val="9"/>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规格：</w:t>
                  </w:r>
                  <w:r>
                    <w:rPr>
                      <w:rFonts w:hint="eastAsia" w:ascii="Times New Roman" w:hAnsi="Times New Roman" w:eastAsia="宋体" w:cs="Times New Roman"/>
                      <w:b w:val="0"/>
                      <w:bCs w:val="0"/>
                      <w:color w:val="auto"/>
                      <w:sz w:val="21"/>
                      <w:szCs w:val="21"/>
                      <w:highlight w:val="none"/>
                      <w:lang w:val="en-US" w:eastAsia="zh-CN"/>
                    </w:rPr>
                    <w:t>50</w:t>
                  </w:r>
                  <w:r>
                    <w:rPr>
                      <w:rFonts w:hint="default" w:ascii="Times New Roman" w:hAnsi="Times New Roman" w:eastAsia="宋体" w:cs="Times New Roman"/>
                      <w:b w:val="0"/>
                      <w:bCs w:val="0"/>
                      <w:color w:val="auto"/>
                      <w:sz w:val="21"/>
                      <w:szCs w:val="21"/>
                      <w:highlight w:val="none"/>
                      <w:lang w:val="en-US" w:eastAsia="zh-CN"/>
                    </w:rPr>
                    <w:t>m</w:t>
                  </w:r>
                  <w:r>
                    <w:rPr>
                      <w:rFonts w:hint="default" w:ascii="Times New Roman" w:hAnsi="Times New Roman" w:eastAsia="宋体" w:cs="Times New Roman"/>
                      <w:b w:val="0"/>
                      <w:bCs w:val="0"/>
                      <w:color w:val="auto"/>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53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54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57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883" w:type="dxa"/>
                  <w:vMerge w:val="continue"/>
                  <w:tcBorders>
                    <w:tl2br w:val="nil"/>
                    <w:tr2bl w:val="nil"/>
                  </w:tcBorders>
                  <w:noWrap w:val="0"/>
                  <w:vAlign w:val="center"/>
                </w:tcPr>
                <w:p>
                  <w:pPr>
                    <w:pStyle w:val="3"/>
                    <w:keepLines w:val="0"/>
                    <w:pageBreakBefore w:val="0"/>
                    <w:kinsoku/>
                    <w:wordWrap/>
                    <w:overflowPunct/>
                    <w:topLinePunct w:val="0"/>
                    <w:autoSpaceDE/>
                    <w:autoSpaceDN/>
                    <w:bidi w:val="0"/>
                    <w:adjustRightInd/>
                    <w:spacing w:before="0" w:after="0" w:line="240" w:lineRule="auto"/>
                    <w:ind w:firstLine="0" w:firstLineChars="0"/>
                    <w:jc w:val="left"/>
                    <w:textAlignment w:val="auto"/>
                    <w:outlineLvl w:val="9"/>
                    <w:rPr>
                      <w:rFonts w:hint="default" w:ascii="Times New Roman" w:hAnsi="Times New Roman" w:eastAsia="宋体" w:cs="Times New Roman"/>
                      <w:b w:val="0"/>
                      <w:bCs w:val="0"/>
                      <w:color w:val="auto"/>
                      <w:sz w:val="21"/>
                      <w:szCs w:val="21"/>
                      <w:highlight w:val="none"/>
                      <w:lang w:eastAsia="zh-CN"/>
                    </w:rPr>
                  </w:pPr>
                </w:p>
              </w:tc>
              <w:tc>
                <w:tcPr>
                  <w:tcW w:w="136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25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大量泄漏流入</w:t>
                  </w:r>
                  <w:r>
                    <w:rPr>
                      <w:rFonts w:hint="eastAsia" w:ascii="Times New Roman" w:hAnsi="Times New Roman" w:eastAsia="宋体" w:cs="Times New Roman"/>
                      <w:color w:val="auto"/>
                      <w:sz w:val="21"/>
                      <w:szCs w:val="21"/>
                      <w:highlight w:val="none"/>
                      <w:lang w:val="en-US" w:eastAsia="zh-CN"/>
                    </w:rPr>
                    <w:t>西干五支排</w:t>
                  </w:r>
                </w:p>
              </w:tc>
              <w:tc>
                <w:tcPr>
                  <w:tcW w:w="138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138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53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54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57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88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1361"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丙烷储罐发生火灾爆炸引发的次生污染物排放</w:t>
                  </w:r>
                </w:p>
              </w:tc>
              <w:tc>
                <w:tcPr>
                  <w:tcW w:w="25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产生的烟尘及有毒气体进入大气环境</w:t>
                  </w:r>
                </w:p>
              </w:tc>
              <w:tc>
                <w:tcPr>
                  <w:tcW w:w="138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138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53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54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57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88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136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25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未完全燃烧的丙烷在高温下迅速挥发释放至大气环境</w:t>
                  </w:r>
                </w:p>
              </w:tc>
              <w:tc>
                <w:tcPr>
                  <w:tcW w:w="138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138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53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54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57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88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136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25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消防废水进入厂区现有消防事故收集水池（兼初期雨水收集池）</w:t>
                  </w:r>
                </w:p>
              </w:tc>
              <w:tc>
                <w:tcPr>
                  <w:tcW w:w="138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138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rPr>
                  </w:pPr>
                </w:p>
              </w:tc>
            </w:tr>
          </w:tbl>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注：</w:t>
            </w:r>
            <w:r>
              <w:rPr>
                <w:rFonts w:hint="default" w:ascii="Times New Roman" w:hAnsi="Times New Roman" w:eastAsia="宋体" w:cs="Times New Roman"/>
                <w:color w:val="auto"/>
                <w:highlight w:val="none"/>
                <w:lang w:eastAsia="zh-CN"/>
              </w:rPr>
              <w:t>本项目风险源为丙烷</w:t>
            </w:r>
            <w:r>
              <w:rPr>
                <w:rFonts w:hint="eastAsia" w:ascii="Times New Roman" w:hAnsi="Times New Roman" w:eastAsia="宋体" w:cs="Times New Roman"/>
                <w:color w:val="auto"/>
                <w:highlight w:val="none"/>
                <w:lang w:val="en-US" w:eastAsia="zh-CN"/>
              </w:rPr>
              <w:t>储</w:t>
            </w:r>
            <w:r>
              <w:rPr>
                <w:rFonts w:hint="default" w:ascii="Times New Roman" w:hAnsi="Times New Roman" w:eastAsia="宋体" w:cs="Times New Roman"/>
                <w:color w:val="auto"/>
                <w:highlight w:val="none"/>
                <w:lang w:eastAsia="zh-CN"/>
              </w:rPr>
              <w:t>罐，另外管道也是本项目风险源之一，管道内介质与厂内现有管道内介质相似，管道利用现有管廊，位于厂界内。因此</w:t>
            </w:r>
            <w:r>
              <w:rPr>
                <w:rFonts w:hint="eastAsia" w:ascii="Times New Roman" w:hAnsi="Times New Roman" w:eastAsia="宋体" w:cs="Times New Roman"/>
                <w:color w:val="auto"/>
                <w:highlight w:val="none"/>
                <w:lang w:eastAsia="zh-CN"/>
              </w:rPr>
              <w:t>本项目</w:t>
            </w:r>
            <w:r>
              <w:rPr>
                <w:rFonts w:hint="default" w:ascii="Times New Roman" w:hAnsi="Times New Roman" w:eastAsia="宋体" w:cs="Times New Roman"/>
                <w:color w:val="auto"/>
                <w:highlight w:val="none"/>
                <w:lang w:eastAsia="zh-CN"/>
              </w:rPr>
              <w:t>管道风险情况与</w:t>
            </w:r>
            <w:r>
              <w:rPr>
                <w:rFonts w:hint="eastAsia" w:ascii="Times New Roman" w:hAnsi="Times New Roman" w:eastAsia="宋体" w:cs="Times New Roman"/>
                <w:color w:val="auto"/>
                <w:highlight w:val="none"/>
                <w:lang w:eastAsia="zh-CN"/>
              </w:rPr>
              <w:t>厂区</w:t>
            </w:r>
            <w:r>
              <w:rPr>
                <w:rFonts w:hint="default" w:ascii="Times New Roman" w:hAnsi="Times New Roman" w:eastAsia="宋体" w:cs="Times New Roman"/>
                <w:color w:val="auto"/>
                <w:highlight w:val="none"/>
                <w:lang w:eastAsia="zh-CN"/>
              </w:rPr>
              <w:t>现有管道风险情况相同，本项目不单独对其进行评价。</w:t>
            </w:r>
          </w:p>
          <w:p>
            <w:pPr>
              <w:ind w:firstLine="48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lang w:val="en-US" w:eastAsia="zh-CN"/>
              </w:rPr>
              <w:t>.4风险事故情形分析</w:t>
            </w:r>
          </w:p>
          <w:p>
            <w:pPr>
              <w:numPr>
                <w:ilvl w:val="0"/>
                <w:numId w:val="6"/>
              </w:num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风险事故情形设定</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根据上述对本项目的风险识别、分析和事故分析的基础上，本项目可能涉及的风险事故情形设定如下表所示：</w:t>
            </w:r>
          </w:p>
          <w:p>
            <w:pPr>
              <w:pStyle w:val="2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表</w:t>
            </w:r>
            <w:r>
              <w:rPr>
                <w:rFonts w:hint="eastAsia" w:ascii="Times New Roman" w:hAnsi="Times New Roman" w:eastAsia="宋体" w:cs="Times New Roman"/>
                <w:b w:val="0"/>
                <w:bCs w:val="0"/>
                <w:color w:val="auto"/>
                <w:sz w:val="24"/>
                <w:szCs w:val="24"/>
                <w:highlight w:val="none"/>
                <w:lang w:val="en-US" w:eastAsia="zh-CN"/>
              </w:rPr>
              <w:t>5</w:t>
            </w:r>
            <w:r>
              <w:rPr>
                <w:rFonts w:hint="eastAsia" w:cs="Times New Roman"/>
                <w:b w:val="0"/>
                <w:bCs w:val="0"/>
                <w:color w:val="auto"/>
                <w:sz w:val="24"/>
                <w:szCs w:val="24"/>
                <w:highlight w:val="none"/>
                <w:lang w:val="en-US" w:eastAsia="zh-CN"/>
              </w:rPr>
              <w:t>7</w:t>
            </w:r>
            <w:r>
              <w:rPr>
                <w:rFonts w:hint="default" w:ascii="Times New Roman" w:hAnsi="Times New Roman" w:eastAsia="宋体" w:cs="Times New Roman"/>
                <w:b w:val="0"/>
                <w:bCs w:val="0"/>
                <w:color w:val="auto"/>
                <w:sz w:val="24"/>
                <w:szCs w:val="24"/>
                <w:highlight w:val="none"/>
                <w:lang w:val="en-US" w:eastAsia="zh-CN"/>
              </w:rPr>
              <w:t xml:space="preserve"> 项目风险事故情形设定</w:t>
            </w:r>
          </w:p>
          <w:tbl>
            <w:tblPr>
              <w:tblStyle w:val="21"/>
              <w:tblW w:w="0" w:type="auto"/>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1153"/>
              <w:gridCol w:w="936"/>
              <w:gridCol w:w="803"/>
              <w:gridCol w:w="1143"/>
              <w:gridCol w:w="3317"/>
              <w:gridCol w:w="1663"/>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11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环境风险类型</w:t>
                  </w:r>
                </w:p>
              </w:tc>
              <w:tc>
                <w:tcPr>
                  <w:tcW w:w="9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风险源</w:t>
                  </w:r>
                </w:p>
              </w:tc>
              <w:tc>
                <w:tcPr>
                  <w:tcW w:w="81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危险单元</w:t>
                  </w:r>
                </w:p>
              </w:tc>
              <w:tc>
                <w:tcPr>
                  <w:tcW w:w="11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危险物质</w:t>
                  </w:r>
                </w:p>
              </w:tc>
              <w:tc>
                <w:tcPr>
                  <w:tcW w:w="33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环境影响途径</w:t>
                  </w:r>
                </w:p>
              </w:tc>
              <w:tc>
                <w:tcPr>
                  <w:tcW w:w="16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发生频率估计</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1172"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丙烷泄漏</w:t>
                  </w:r>
                </w:p>
              </w:tc>
              <w:tc>
                <w:tcPr>
                  <w:tcW w:w="95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丙烷</w:t>
                  </w:r>
                  <w:r>
                    <w:rPr>
                      <w:rFonts w:hint="eastAsia" w:cs="Times New Roman"/>
                      <w:color w:val="auto"/>
                      <w:sz w:val="21"/>
                      <w:szCs w:val="21"/>
                      <w:highlight w:val="none"/>
                      <w:lang w:val="en-US" w:eastAsia="zh-CN"/>
                    </w:rPr>
                    <w:t>储</w:t>
                  </w:r>
                  <w:r>
                    <w:rPr>
                      <w:rFonts w:hint="default" w:ascii="Times New Roman" w:hAnsi="Times New Roman" w:eastAsia="宋体" w:cs="Times New Roman"/>
                      <w:color w:val="auto"/>
                      <w:sz w:val="21"/>
                      <w:szCs w:val="21"/>
                      <w:highlight w:val="none"/>
                      <w:lang w:eastAsia="zh-CN"/>
                    </w:rPr>
                    <w:t>罐</w:t>
                  </w:r>
                </w:p>
              </w:tc>
              <w:tc>
                <w:tcPr>
                  <w:tcW w:w="81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丙烷罐区</w:t>
                  </w:r>
                </w:p>
              </w:tc>
              <w:tc>
                <w:tcPr>
                  <w:tcW w:w="1162"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丙烷</w:t>
                  </w:r>
                </w:p>
              </w:tc>
              <w:tc>
                <w:tcPr>
                  <w:tcW w:w="33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挥发进入大气环境</w:t>
                  </w:r>
                </w:p>
              </w:tc>
              <w:tc>
                <w:tcPr>
                  <w:tcW w:w="16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1.0×10</w:t>
                  </w:r>
                  <w:r>
                    <w:rPr>
                      <w:rFonts w:hint="default" w:ascii="Times New Roman" w:hAnsi="Times New Roman" w:eastAsia="宋体" w:cs="Times New Roman"/>
                      <w:color w:val="auto"/>
                      <w:sz w:val="21"/>
                      <w:szCs w:val="21"/>
                      <w:highlight w:val="none"/>
                      <w:vertAlign w:val="superscript"/>
                      <w:lang w:val="en-US" w:eastAsia="zh-CN"/>
                    </w:rPr>
                    <w:t>-4</w:t>
                  </w:r>
                  <w:r>
                    <w:rPr>
                      <w:rFonts w:hint="default" w:ascii="Times New Roman" w:hAnsi="Times New Roman" w:eastAsia="宋体" w:cs="Times New Roman"/>
                      <w:color w:val="auto"/>
                      <w:sz w:val="21"/>
                      <w:szCs w:val="21"/>
                      <w:highlight w:val="none"/>
                      <w:lang w:val="en-US" w:eastAsia="zh-CN"/>
                    </w:rPr>
                    <w:t>次/a</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117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c>
                <w:tcPr>
                  <w:tcW w:w="95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c>
                <w:tcPr>
                  <w:tcW w:w="81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c>
                <w:tcPr>
                  <w:tcW w:w="116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c>
                <w:tcPr>
                  <w:tcW w:w="33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大量泄漏流入</w:t>
                  </w:r>
                  <w:r>
                    <w:rPr>
                      <w:rFonts w:hint="eastAsia" w:ascii="Times New Roman" w:hAnsi="Times New Roman" w:eastAsia="宋体" w:cs="Times New Roman"/>
                      <w:color w:val="auto"/>
                      <w:sz w:val="21"/>
                      <w:szCs w:val="21"/>
                      <w:highlight w:val="none"/>
                      <w:lang w:val="en-US" w:eastAsia="zh-CN"/>
                    </w:rPr>
                    <w:t>西干五支排</w:t>
                  </w:r>
                </w:p>
              </w:tc>
              <w:tc>
                <w:tcPr>
                  <w:tcW w:w="16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1.0×10</w:t>
                  </w:r>
                  <w:r>
                    <w:rPr>
                      <w:rFonts w:hint="default" w:ascii="Times New Roman" w:hAnsi="Times New Roman" w:eastAsia="宋体" w:cs="Times New Roman"/>
                      <w:color w:val="auto"/>
                      <w:sz w:val="21"/>
                      <w:szCs w:val="21"/>
                      <w:highlight w:val="none"/>
                      <w:vertAlign w:val="superscript"/>
                      <w:lang w:val="en-US" w:eastAsia="zh-CN"/>
                    </w:rPr>
                    <w:t>-4</w:t>
                  </w:r>
                  <w:r>
                    <w:rPr>
                      <w:rFonts w:hint="default" w:ascii="Times New Roman" w:hAnsi="Times New Roman" w:eastAsia="宋体" w:cs="Times New Roman"/>
                      <w:color w:val="auto"/>
                      <w:sz w:val="21"/>
                      <w:szCs w:val="21"/>
                      <w:highlight w:val="none"/>
                      <w:lang w:val="en-US" w:eastAsia="zh-CN"/>
                    </w:rPr>
                    <w:t>次/a</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1172"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丙烷储罐发生火灾爆炸引发的次生污染物排放</w:t>
                  </w:r>
                </w:p>
              </w:tc>
              <w:tc>
                <w:tcPr>
                  <w:tcW w:w="95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丙烷</w:t>
                  </w:r>
                  <w:r>
                    <w:rPr>
                      <w:rFonts w:hint="eastAsia" w:cs="Times New Roman"/>
                      <w:color w:val="auto"/>
                      <w:sz w:val="21"/>
                      <w:szCs w:val="21"/>
                      <w:highlight w:val="none"/>
                      <w:lang w:val="en-US" w:eastAsia="zh-CN"/>
                    </w:rPr>
                    <w:t>储</w:t>
                  </w:r>
                  <w:r>
                    <w:rPr>
                      <w:rFonts w:hint="default" w:ascii="Times New Roman" w:hAnsi="Times New Roman" w:eastAsia="宋体" w:cs="Times New Roman"/>
                      <w:color w:val="auto"/>
                      <w:sz w:val="21"/>
                      <w:szCs w:val="21"/>
                      <w:highlight w:val="none"/>
                      <w:lang w:eastAsia="zh-CN"/>
                    </w:rPr>
                    <w:t>罐</w:t>
                  </w:r>
                </w:p>
              </w:tc>
              <w:tc>
                <w:tcPr>
                  <w:tcW w:w="81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丙烷罐区</w:t>
                  </w:r>
                </w:p>
              </w:tc>
              <w:tc>
                <w:tcPr>
                  <w:tcW w:w="11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未完全燃烧的丙烷</w:t>
                  </w:r>
                </w:p>
              </w:tc>
              <w:tc>
                <w:tcPr>
                  <w:tcW w:w="33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未完全燃烧的丙烷在高温下迅速挥发释放至大气环境</w:t>
                  </w:r>
                </w:p>
              </w:tc>
              <w:tc>
                <w:tcPr>
                  <w:tcW w:w="16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5.0×10</w:t>
                  </w:r>
                  <w:r>
                    <w:rPr>
                      <w:rFonts w:hint="default" w:ascii="Times New Roman" w:hAnsi="Times New Roman" w:eastAsia="宋体" w:cs="Times New Roman"/>
                      <w:color w:val="auto"/>
                      <w:sz w:val="21"/>
                      <w:szCs w:val="21"/>
                      <w:highlight w:val="none"/>
                      <w:vertAlign w:val="superscript"/>
                      <w:lang w:val="en-US" w:eastAsia="zh-CN"/>
                    </w:rPr>
                    <w:t>-6</w:t>
                  </w:r>
                  <w:r>
                    <w:rPr>
                      <w:rFonts w:hint="default" w:ascii="Times New Roman" w:hAnsi="Times New Roman" w:eastAsia="宋体" w:cs="Times New Roman"/>
                      <w:color w:val="auto"/>
                      <w:sz w:val="21"/>
                      <w:szCs w:val="21"/>
                      <w:highlight w:val="none"/>
                      <w:lang w:val="en-US" w:eastAsia="zh-CN"/>
                    </w:rPr>
                    <w:t>次/a</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117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c>
                <w:tcPr>
                  <w:tcW w:w="95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c>
                <w:tcPr>
                  <w:tcW w:w="81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c>
                <w:tcPr>
                  <w:tcW w:w="11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燃烧产生的烟尘及有毒气体</w:t>
                  </w:r>
                </w:p>
              </w:tc>
              <w:tc>
                <w:tcPr>
                  <w:tcW w:w="33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丙烷燃烧产生的烟尘及有毒气体挥发进入大气环境</w:t>
                  </w:r>
                </w:p>
              </w:tc>
              <w:tc>
                <w:tcPr>
                  <w:tcW w:w="16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5.0×10</w:t>
                  </w:r>
                  <w:r>
                    <w:rPr>
                      <w:rFonts w:hint="default" w:ascii="Times New Roman" w:hAnsi="Times New Roman" w:eastAsia="宋体" w:cs="Times New Roman"/>
                      <w:color w:val="auto"/>
                      <w:sz w:val="21"/>
                      <w:szCs w:val="21"/>
                      <w:highlight w:val="none"/>
                      <w:vertAlign w:val="superscript"/>
                      <w:lang w:val="en-US" w:eastAsia="zh-CN"/>
                    </w:rPr>
                    <w:t>-6</w:t>
                  </w:r>
                  <w:r>
                    <w:rPr>
                      <w:rFonts w:hint="default" w:ascii="Times New Roman" w:hAnsi="Times New Roman" w:eastAsia="宋体" w:cs="Times New Roman"/>
                      <w:color w:val="auto"/>
                      <w:sz w:val="21"/>
                      <w:szCs w:val="21"/>
                      <w:highlight w:val="none"/>
                      <w:lang w:val="en-US" w:eastAsia="zh-CN"/>
                    </w:rPr>
                    <w:t>次/a</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117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c>
                <w:tcPr>
                  <w:tcW w:w="95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c>
                <w:tcPr>
                  <w:tcW w:w="81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c>
                <w:tcPr>
                  <w:tcW w:w="11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消防废水</w:t>
                  </w:r>
                </w:p>
              </w:tc>
              <w:tc>
                <w:tcPr>
                  <w:tcW w:w="33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消防废水进入厂区现有消防事故收集水池（兼初期雨水收集池）</w:t>
                  </w:r>
                </w:p>
              </w:tc>
              <w:tc>
                <w:tcPr>
                  <w:tcW w:w="16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5.0×10</w:t>
                  </w:r>
                  <w:r>
                    <w:rPr>
                      <w:rFonts w:hint="default" w:ascii="Times New Roman" w:hAnsi="Times New Roman" w:eastAsia="宋体" w:cs="Times New Roman"/>
                      <w:color w:val="auto"/>
                      <w:sz w:val="21"/>
                      <w:szCs w:val="21"/>
                      <w:highlight w:val="none"/>
                      <w:vertAlign w:val="superscript"/>
                      <w:lang w:val="en-US" w:eastAsia="zh-CN"/>
                    </w:rPr>
                    <w:t>-6</w:t>
                  </w:r>
                  <w:r>
                    <w:rPr>
                      <w:rFonts w:hint="default" w:ascii="Times New Roman" w:hAnsi="Times New Roman" w:eastAsia="宋体" w:cs="Times New Roman"/>
                      <w:color w:val="auto"/>
                      <w:sz w:val="21"/>
                      <w:szCs w:val="21"/>
                      <w:highlight w:val="none"/>
                      <w:lang w:val="en-US" w:eastAsia="zh-CN"/>
                    </w:rPr>
                    <w:t>次/a</w:t>
                  </w:r>
                </w:p>
              </w:tc>
            </w:tr>
          </w:tbl>
          <w:p>
            <w:pPr>
              <w:numPr>
                <w:ilvl w:val="0"/>
                <w:numId w:val="6"/>
              </w:num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源项分析</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①丙烷泄漏量计算</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本项目存储物质为丙烷，根据理化性质，丙烷为气态，发生泄漏事故时，蒸发速率等于泄漏速率，不会形成液池，全部蒸发。</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假设泄漏发生时，丙烷储罐泄漏点设为DN10mm的法兰泄露。泄漏量的计算主要包括确定泄漏口尺寸、泄漏速率的计算和泄漏量的计算等。</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气体泄漏速度按下式计算：</w:t>
            </w:r>
          </w:p>
          <w:p>
            <w:pPr>
              <w:pStyle w:val="3"/>
              <w:ind w:left="0" w:leftChars="0" w:firstLine="0" w:firstLineChars="0"/>
              <w:jc w:val="center"/>
              <w:outlineLvl w:val="9"/>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object>
                <v:shape id="_x0000_i1025" o:spt="75" type="#_x0000_t75" style="height:47pt;width:147pt;" o:ole="t" filled="f" o:preferrelative="t" stroked="f" coordsize="21600,21600">
                  <v:path/>
                  <v:fill on="f" focussize="0,0"/>
                  <v:stroke on="f"/>
                  <v:imagedata r:id="rId18" o:title=""/>
                  <o:lock v:ext="edit" aspectratio="t"/>
                  <w10:wrap type="none"/>
                  <w10:anchorlock/>
                </v:shape>
                <o:OLEObject Type="Embed" ProgID="Equation.KSEE3" ShapeID="_x0000_i1025" DrawAspect="Content" ObjectID="_1468075725" r:id="rId17">
                  <o:LockedField>false</o:LockedField>
                </o:OLEObject>
              </w:object>
            </w:r>
          </w:p>
          <w:p>
            <w:pP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式中参数含义及计算取值见表</w:t>
            </w:r>
            <w:r>
              <w:rPr>
                <w:rFonts w:hint="eastAsia" w:ascii="Times New Roman" w:hAnsi="Times New Roman" w:eastAsia="宋体" w:cs="Times New Roman"/>
                <w:color w:val="auto"/>
                <w:highlight w:val="none"/>
                <w:lang w:val="en-US" w:eastAsia="zh-CN"/>
              </w:rPr>
              <w:t>5</w:t>
            </w:r>
            <w:r>
              <w:rPr>
                <w:rFonts w:hint="eastAsia" w:cs="Times New Roman"/>
                <w:color w:val="auto"/>
                <w:highlight w:val="none"/>
                <w:lang w:val="en-US" w:eastAsia="zh-CN"/>
              </w:rPr>
              <w:t>8</w:t>
            </w:r>
            <w:r>
              <w:rPr>
                <w:rFonts w:hint="default" w:ascii="Times New Roman" w:hAnsi="Times New Roman" w:eastAsia="宋体" w:cs="Times New Roman"/>
                <w:color w:val="auto"/>
                <w:highlight w:val="none"/>
                <w:lang w:val="en-US" w:eastAsia="zh-CN"/>
              </w:rPr>
              <w:t>，丁烷储罐泄漏时间设定为10min。</w:t>
            </w:r>
          </w:p>
          <w:p>
            <w:pPr>
              <w:pStyle w:val="2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表</w:t>
            </w:r>
            <w:r>
              <w:rPr>
                <w:rFonts w:hint="eastAsia" w:ascii="Times New Roman" w:cs="Times New Roman"/>
                <w:b w:val="0"/>
                <w:bCs w:val="0"/>
                <w:color w:val="auto"/>
                <w:sz w:val="24"/>
                <w:szCs w:val="24"/>
                <w:highlight w:val="none"/>
                <w:lang w:val="en-US" w:eastAsia="zh-CN"/>
              </w:rPr>
              <w:t>5</w:t>
            </w:r>
            <w:r>
              <w:rPr>
                <w:rFonts w:hint="eastAsia" w:cs="Times New Roman"/>
                <w:b w:val="0"/>
                <w:bCs w:val="0"/>
                <w:color w:val="auto"/>
                <w:sz w:val="24"/>
                <w:szCs w:val="24"/>
                <w:highlight w:val="none"/>
                <w:lang w:val="en-US" w:eastAsia="zh-CN"/>
              </w:rPr>
              <w:t>8</w:t>
            </w:r>
            <w:r>
              <w:rPr>
                <w:rFonts w:hint="default" w:ascii="Times New Roman" w:hAnsi="Times New Roman" w:eastAsia="宋体" w:cs="Times New Roman"/>
                <w:b w:val="0"/>
                <w:bCs w:val="0"/>
                <w:color w:val="auto"/>
                <w:sz w:val="24"/>
                <w:szCs w:val="24"/>
                <w:highlight w:val="none"/>
                <w:lang w:val="en-US" w:eastAsia="zh-CN"/>
              </w:rPr>
              <w:t xml:space="preserve">   气体泄露量计算参数</w:t>
            </w:r>
          </w:p>
          <w:tbl>
            <w:tblPr>
              <w:tblStyle w:val="22"/>
              <w:tblW w:w="0" w:type="auto"/>
              <w:tblInd w:w="-1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2245"/>
              <w:gridCol w:w="2244"/>
              <w:gridCol w:w="2263"/>
              <w:gridCol w:w="2263"/>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91" w:type="dxa"/>
                  <w:vMerge w:val="restart"/>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符号</w:t>
                  </w:r>
                </w:p>
              </w:tc>
              <w:tc>
                <w:tcPr>
                  <w:tcW w:w="2292" w:type="dxa"/>
                  <w:vMerge w:val="restart"/>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含义</w:t>
                  </w:r>
                </w:p>
              </w:tc>
              <w:tc>
                <w:tcPr>
                  <w:tcW w:w="2292" w:type="dxa"/>
                  <w:vMerge w:val="restart"/>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单位</w:t>
                  </w:r>
                </w:p>
              </w:tc>
              <w:tc>
                <w:tcPr>
                  <w:tcW w:w="2293"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参数</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91" w:type="dxa"/>
                  <w:vMerge w:val="continue"/>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p>
              </w:tc>
              <w:tc>
                <w:tcPr>
                  <w:tcW w:w="2292" w:type="dxa"/>
                  <w:vMerge w:val="continue"/>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p>
              </w:tc>
              <w:tc>
                <w:tcPr>
                  <w:tcW w:w="2292" w:type="dxa"/>
                  <w:vMerge w:val="continue"/>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p>
              </w:tc>
              <w:tc>
                <w:tcPr>
                  <w:tcW w:w="2293"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丙烷储罐</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91"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Y</w:t>
                  </w:r>
                </w:p>
              </w:tc>
              <w:tc>
                <w:tcPr>
                  <w:tcW w:w="2292"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流出系数</w:t>
                  </w:r>
                </w:p>
              </w:tc>
              <w:tc>
                <w:tcPr>
                  <w:tcW w:w="2292"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无量纲</w:t>
                  </w:r>
                </w:p>
              </w:tc>
              <w:tc>
                <w:tcPr>
                  <w:tcW w:w="2293"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91"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Cd</w:t>
                  </w:r>
                </w:p>
              </w:tc>
              <w:tc>
                <w:tcPr>
                  <w:tcW w:w="2292"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气体泄露系数</w:t>
                  </w:r>
                </w:p>
              </w:tc>
              <w:tc>
                <w:tcPr>
                  <w:tcW w:w="2292"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无量纲</w:t>
                  </w:r>
                </w:p>
              </w:tc>
              <w:tc>
                <w:tcPr>
                  <w:tcW w:w="2293"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91"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P</w:t>
                  </w:r>
                </w:p>
              </w:tc>
              <w:tc>
                <w:tcPr>
                  <w:tcW w:w="2292"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容器压力</w:t>
                  </w:r>
                </w:p>
              </w:tc>
              <w:tc>
                <w:tcPr>
                  <w:tcW w:w="2292"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Pa</w:t>
                  </w:r>
                </w:p>
              </w:tc>
              <w:tc>
                <w:tcPr>
                  <w:tcW w:w="2293"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1300000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91"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A</w:t>
                  </w:r>
                </w:p>
              </w:tc>
              <w:tc>
                <w:tcPr>
                  <w:tcW w:w="2292"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裂口面积</w:t>
                  </w:r>
                </w:p>
              </w:tc>
              <w:tc>
                <w:tcPr>
                  <w:tcW w:w="2292"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m</w:t>
                  </w:r>
                  <w:r>
                    <w:rPr>
                      <w:rFonts w:hint="default" w:ascii="Times New Roman" w:hAnsi="Times New Roman" w:eastAsia="宋体" w:cs="Times New Roman"/>
                      <w:b w:val="0"/>
                      <w:bCs w:val="0"/>
                      <w:color w:val="auto"/>
                      <w:sz w:val="21"/>
                      <w:szCs w:val="21"/>
                      <w:highlight w:val="none"/>
                      <w:vertAlign w:val="superscript"/>
                      <w:lang w:val="en-US" w:eastAsia="zh-CN"/>
                    </w:rPr>
                    <w:t>2</w:t>
                  </w:r>
                </w:p>
              </w:tc>
              <w:tc>
                <w:tcPr>
                  <w:tcW w:w="2293"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0.0000785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91"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M</w:t>
                  </w:r>
                </w:p>
              </w:tc>
              <w:tc>
                <w:tcPr>
                  <w:tcW w:w="2292"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物质的摩尔质量</w:t>
                  </w:r>
                </w:p>
              </w:tc>
              <w:tc>
                <w:tcPr>
                  <w:tcW w:w="2292"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kg/mol</w:t>
                  </w:r>
                </w:p>
              </w:tc>
              <w:tc>
                <w:tcPr>
                  <w:tcW w:w="2293"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0.044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91"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γ</w:t>
                  </w:r>
                </w:p>
              </w:tc>
              <w:tc>
                <w:tcPr>
                  <w:tcW w:w="2292"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气体的绝热系数</w:t>
                  </w:r>
                </w:p>
              </w:tc>
              <w:tc>
                <w:tcPr>
                  <w:tcW w:w="2292"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无量纲</w:t>
                  </w:r>
                </w:p>
              </w:tc>
              <w:tc>
                <w:tcPr>
                  <w:tcW w:w="2293"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1.13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91"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R</w:t>
                  </w:r>
                </w:p>
              </w:tc>
              <w:tc>
                <w:tcPr>
                  <w:tcW w:w="2292"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气体常数</w:t>
                  </w:r>
                </w:p>
              </w:tc>
              <w:tc>
                <w:tcPr>
                  <w:tcW w:w="2292"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J/（mol·K）</w:t>
                  </w:r>
                </w:p>
              </w:tc>
              <w:tc>
                <w:tcPr>
                  <w:tcW w:w="2293"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8.314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91"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TG</w:t>
                  </w:r>
                </w:p>
              </w:tc>
              <w:tc>
                <w:tcPr>
                  <w:tcW w:w="2292"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气体温度</w:t>
                  </w:r>
                </w:p>
              </w:tc>
              <w:tc>
                <w:tcPr>
                  <w:tcW w:w="2292"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K</w:t>
                  </w:r>
                </w:p>
              </w:tc>
              <w:tc>
                <w:tcPr>
                  <w:tcW w:w="2293"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298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91"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QG</w:t>
                  </w:r>
                </w:p>
              </w:tc>
              <w:tc>
                <w:tcPr>
                  <w:tcW w:w="2292"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气体泄露速率</w:t>
                  </w:r>
                </w:p>
              </w:tc>
              <w:tc>
                <w:tcPr>
                  <w:tcW w:w="2292"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kg/s</w:t>
                  </w:r>
                </w:p>
              </w:tc>
              <w:tc>
                <w:tcPr>
                  <w:tcW w:w="2293"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0.27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91"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p>
              </w:tc>
              <w:tc>
                <w:tcPr>
                  <w:tcW w:w="2292"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泄露时间</w:t>
                  </w:r>
                </w:p>
              </w:tc>
              <w:tc>
                <w:tcPr>
                  <w:tcW w:w="2292"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s</w:t>
                  </w:r>
                </w:p>
              </w:tc>
              <w:tc>
                <w:tcPr>
                  <w:tcW w:w="2293"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91"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p>
              </w:tc>
              <w:tc>
                <w:tcPr>
                  <w:tcW w:w="2292"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泄露量</w:t>
                  </w:r>
                </w:p>
              </w:tc>
              <w:tc>
                <w:tcPr>
                  <w:tcW w:w="2292"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kg</w:t>
                  </w:r>
                </w:p>
              </w:tc>
              <w:tc>
                <w:tcPr>
                  <w:tcW w:w="2293"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162</w:t>
                  </w:r>
                </w:p>
              </w:tc>
            </w:tr>
          </w:tbl>
          <w:p>
            <w:pPr>
              <w:pStyle w:val="3"/>
              <w:keepNext/>
              <w:keepLines/>
              <w:pageBreakBefore w:val="0"/>
              <w:widowControl w:val="0"/>
              <w:kinsoku/>
              <w:wordWrap/>
              <w:overflowPunct/>
              <w:topLinePunct w:val="0"/>
              <w:autoSpaceDE/>
              <w:autoSpaceDN/>
              <w:bidi w:val="0"/>
              <w:adjustRightInd/>
              <w:snapToGrid/>
              <w:ind w:firstLine="480" w:firstLineChars="200"/>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如上表所述，发生丙烷储罐泄漏事故时，丙烷泄露量为162kg，蒸发速率等于泄漏速率，不会形成液池，全部蒸发。</w:t>
            </w:r>
          </w:p>
          <w:p>
            <w:pPr>
              <w:pStyle w:val="3"/>
              <w:keepNext/>
              <w:keepLines/>
              <w:pageBreakBefore w:val="0"/>
              <w:widowControl w:val="0"/>
              <w:kinsoku/>
              <w:wordWrap/>
              <w:overflowPunct/>
              <w:topLinePunct w:val="0"/>
              <w:autoSpaceDE/>
              <w:autoSpaceDN/>
              <w:bidi w:val="0"/>
              <w:adjustRightInd/>
              <w:snapToGrid/>
              <w:ind w:firstLine="480" w:firstLineChars="200"/>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②火灾伴生/次生污染物产生量估算</w:t>
            </w:r>
          </w:p>
          <w:p>
            <w:pP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危险物质为丙烷，一旦发行火灾，丙烷的急剧燃烧所需的供氧量不足，属于典型的不完全燃烧，燃烧过程中产生大量CO。因此，储罐泄漏燃烧产生的“二次效应”中的有毒有害物质主要来自烟雾中的CO。CO半致死浓度LC50为2069mg/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w:t>
            </w:r>
          </w:p>
          <w:p>
            <w:pP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一氧化碳产生量参考《建设项目环境风险评价技术导则》（HJ 169-2018）附录F中给出的公式计算，如下所示：</w:t>
            </w:r>
          </w:p>
          <w:p>
            <w:pPr>
              <w:pStyle w:val="3"/>
              <w:ind w:left="0" w:leftChars="0" w:firstLine="0" w:firstLineChars="0"/>
              <w:jc w:val="center"/>
              <w:outlineLvl w:val="9"/>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object>
                <v:shape id="_x0000_i1026" o:spt="75" type="#_x0000_t75" style="height:19pt;width:101pt;" o:ole="t" filled="f" o:preferrelative="t" stroked="f" coordsize="21600,21600">
                  <v:path/>
                  <v:fill on="f" focussize="0,0"/>
                  <v:stroke on="f"/>
                  <v:imagedata r:id="rId20" o:title=""/>
                  <o:lock v:ext="edit" aspectratio="t"/>
                  <w10:wrap type="none"/>
                  <w10:anchorlock/>
                </v:shape>
                <o:OLEObject Type="Embed" ProgID="Equation.KSEE3" ShapeID="_x0000_i1026" DrawAspect="Content" ObjectID="_1468075726" r:id="rId19">
                  <o:LockedField>false</o:LockedField>
                </o:OLEObject>
              </w:object>
            </w:r>
          </w:p>
          <w:p>
            <w:pP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式中：G一氧化碳—一氧化碳的产生量，kg/s；</w:t>
            </w:r>
          </w:p>
          <w:p>
            <w:pPr>
              <w:ind w:left="1200" w:leftChars="50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C—物质中碳的含量，取82%；</w:t>
            </w:r>
          </w:p>
          <w:p>
            <w:pPr>
              <w:ind w:left="1200" w:leftChars="50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q—化学不完全燃烧值，取1.5~6.0%，本次取值3%；</w:t>
            </w:r>
          </w:p>
          <w:p>
            <w:pPr>
              <w:ind w:left="1200" w:leftChars="50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Q—参与燃烧的物质量，t/s。</w:t>
            </w:r>
          </w:p>
          <w:p>
            <w:pPr>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查阅《建设项目环境风险评价技术导则》（HJ 169-2018）附录F.4，根据项目具体情况，可知发生火灾爆炸，未参与燃烧的丙烷释放比例为5%，因此，发生火灾爆炸，未完全燃烧的丙烷量为</w:t>
            </w:r>
            <w:r>
              <w:rPr>
                <w:rFonts w:hint="eastAsia" w:ascii="Times New Roman" w:hAnsi="Times New Roman" w:eastAsia="宋体" w:cs="Times New Roman"/>
                <w:color w:val="auto"/>
                <w:highlight w:val="none"/>
                <w:lang w:val="en-US" w:eastAsia="zh-CN"/>
              </w:rPr>
              <w:t>5.8</w:t>
            </w:r>
            <w:r>
              <w:rPr>
                <w:rFonts w:hint="default" w:ascii="Times New Roman" w:hAnsi="Times New Roman" w:eastAsia="宋体" w:cs="Times New Roman"/>
                <w:color w:val="auto"/>
                <w:highlight w:val="none"/>
                <w:lang w:val="en-US" w:eastAsia="zh-CN"/>
              </w:rPr>
              <w:t>t，参与燃烧的丙烷量为</w:t>
            </w:r>
            <w:r>
              <w:rPr>
                <w:rFonts w:hint="eastAsia" w:ascii="Times New Roman" w:hAnsi="Times New Roman" w:eastAsia="宋体" w:cs="Times New Roman"/>
                <w:color w:val="auto"/>
                <w:highlight w:val="none"/>
                <w:lang w:val="en-US" w:eastAsia="zh-CN"/>
              </w:rPr>
              <w:t>110.2</w:t>
            </w:r>
            <w:r>
              <w:rPr>
                <w:rFonts w:hint="default" w:ascii="Times New Roman" w:hAnsi="Times New Roman" w:eastAsia="宋体" w:cs="Times New Roman"/>
                <w:color w:val="auto"/>
                <w:highlight w:val="none"/>
                <w:lang w:val="en-US" w:eastAsia="zh-CN"/>
              </w:rPr>
              <w:t>t。</w:t>
            </w:r>
          </w:p>
          <w:p>
            <w:pPr>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经计算，项目一旦发生火灾，产生的次生污染物一氧化碳产生量为</w:t>
            </w:r>
            <w:r>
              <w:rPr>
                <w:rFonts w:hint="eastAsia" w:ascii="Times New Roman" w:hAnsi="Times New Roman" w:eastAsia="宋体" w:cs="Times New Roman"/>
                <w:color w:val="auto"/>
                <w:highlight w:val="none"/>
                <w:lang w:val="en-US" w:eastAsia="zh-CN"/>
              </w:rPr>
              <w:t>6122.22</w:t>
            </w:r>
            <w:r>
              <w:rPr>
                <w:rFonts w:hint="default" w:ascii="Times New Roman" w:hAnsi="Times New Roman" w:eastAsia="宋体" w:cs="Times New Roman"/>
                <w:color w:val="auto"/>
                <w:highlight w:val="none"/>
                <w:lang w:val="en-US" w:eastAsia="zh-CN"/>
              </w:rPr>
              <w:t>kg/s。</w:t>
            </w:r>
          </w:p>
          <w:p>
            <w:pPr>
              <w:pStyle w:val="2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表</w:t>
            </w:r>
            <w:r>
              <w:rPr>
                <w:rFonts w:hint="eastAsia" w:ascii="Times New Roman" w:cs="Times New Roman"/>
                <w:b w:val="0"/>
                <w:bCs w:val="0"/>
                <w:color w:val="auto"/>
                <w:sz w:val="24"/>
                <w:szCs w:val="24"/>
                <w:highlight w:val="none"/>
                <w:lang w:val="en-US" w:eastAsia="zh-CN"/>
              </w:rPr>
              <w:t>5</w:t>
            </w:r>
            <w:r>
              <w:rPr>
                <w:rFonts w:hint="eastAsia" w:cs="Times New Roman"/>
                <w:b w:val="0"/>
                <w:bCs w:val="0"/>
                <w:color w:val="auto"/>
                <w:sz w:val="24"/>
                <w:szCs w:val="24"/>
                <w:highlight w:val="none"/>
                <w:lang w:val="en-US" w:eastAsia="zh-CN"/>
              </w:rPr>
              <w:t>9</w:t>
            </w:r>
            <w:r>
              <w:rPr>
                <w:rFonts w:hint="default" w:ascii="Times New Roman" w:hAnsi="Times New Roman" w:eastAsia="宋体" w:cs="Times New Roman"/>
                <w:b w:val="0"/>
                <w:bCs w:val="0"/>
                <w:color w:val="auto"/>
                <w:sz w:val="24"/>
                <w:szCs w:val="24"/>
                <w:highlight w:val="none"/>
                <w:lang w:val="en-US" w:eastAsia="zh-CN"/>
              </w:rPr>
              <w:t xml:space="preserve">  建设项目源强一览表</w:t>
            </w:r>
          </w:p>
          <w:tbl>
            <w:tblPr>
              <w:tblStyle w:val="22"/>
              <w:tblW w:w="0" w:type="auto"/>
              <w:tblInd w:w="-1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493"/>
              <w:gridCol w:w="1067"/>
              <w:gridCol w:w="699"/>
              <w:gridCol w:w="1020"/>
              <w:gridCol w:w="1150"/>
              <w:gridCol w:w="1022"/>
              <w:gridCol w:w="895"/>
              <w:gridCol w:w="890"/>
              <w:gridCol w:w="885"/>
              <w:gridCol w:w="89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497"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符号</w:t>
                  </w:r>
                </w:p>
              </w:tc>
              <w:tc>
                <w:tcPr>
                  <w:tcW w:w="1100"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风险事故情形描述</w:t>
                  </w:r>
                </w:p>
              </w:tc>
              <w:tc>
                <w:tcPr>
                  <w:tcW w:w="713"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危险单元</w:t>
                  </w:r>
                </w:p>
              </w:tc>
              <w:tc>
                <w:tcPr>
                  <w:tcW w:w="1025"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危险物质</w:t>
                  </w:r>
                </w:p>
              </w:tc>
              <w:tc>
                <w:tcPr>
                  <w:tcW w:w="1187"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影响途经</w:t>
                  </w:r>
                </w:p>
              </w:tc>
              <w:tc>
                <w:tcPr>
                  <w:tcW w:w="1024"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释放或泄漏速率/（kg/s）</w:t>
                  </w:r>
                </w:p>
              </w:tc>
              <w:tc>
                <w:tcPr>
                  <w:tcW w:w="910"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释放或泄漏时间/min</w:t>
                  </w:r>
                </w:p>
              </w:tc>
              <w:tc>
                <w:tcPr>
                  <w:tcW w:w="908"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最大释放或泄漏量/kg</w:t>
                  </w:r>
                </w:p>
              </w:tc>
              <w:tc>
                <w:tcPr>
                  <w:tcW w:w="903"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泄露液体蒸发量/kg</w:t>
                  </w:r>
                </w:p>
              </w:tc>
              <w:tc>
                <w:tcPr>
                  <w:tcW w:w="901"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其他事故源参数</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497"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w:t>
                  </w:r>
                </w:p>
              </w:tc>
              <w:tc>
                <w:tcPr>
                  <w:tcW w:w="11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eastAsia="zh-CN"/>
                    </w:rPr>
                    <w:t>丙烷泄漏</w:t>
                  </w:r>
                </w:p>
              </w:tc>
              <w:tc>
                <w:tcPr>
                  <w:tcW w:w="71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eastAsia="zh-CN"/>
                    </w:rPr>
                    <w:t>丙烷</w:t>
                  </w:r>
                  <w:r>
                    <w:rPr>
                      <w:rFonts w:hint="eastAsia" w:cs="Times New Roman"/>
                      <w:b w:val="0"/>
                      <w:bCs w:val="0"/>
                      <w:color w:val="auto"/>
                      <w:sz w:val="21"/>
                      <w:szCs w:val="21"/>
                      <w:highlight w:val="none"/>
                      <w:lang w:val="en-US" w:eastAsia="zh-CN"/>
                    </w:rPr>
                    <w:t>储</w:t>
                  </w:r>
                  <w:r>
                    <w:rPr>
                      <w:rFonts w:hint="default" w:ascii="Times New Roman" w:hAnsi="Times New Roman" w:eastAsia="宋体" w:cs="Times New Roman"/>
                      <w:b w:val="0"/>
                      <w:bCs w:val="0"/>
                      <w:color w:val="auto"/>
                      <w:sz w:val="21"/>
                      <w:szCs w:val="21"/>
                      <w:highlight w:val="none"/>
                      <w:lang w:eastAsia="zh-CN"/>
                    </w:rPr>
                    <w:t>罐</w:t>
                  </w:r>
                </w:p>
              </w:tc>
              <w:tc>
                <w:tcPr>
                  <w:tcW w:w="1025"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eastAsia="zh-CN"/>
                    </w:rPr>
                    <w:t>丙烷</w:t>
                  </w:r>
                </w:p>
              </w:tc>
              <w:tc>
                <w:tcPr>
                  <w:tcW w:w="1187"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eastAsia="zh-CN"/>
                    </w:rPr>
                    <w:t>大量泄漏流入</w:t>
                  </w:r>
                  <w:r>
                    <w:rPr>
                      <w:rFonts w:hint="eastAsia" w:ascii="Times New Roman" w:hAnsi="Times New Roman" w:eastAsia="宋体" w:cs="Times New Roman"/>
                      <w:b w:val="0"/>
                      <w:bCs w:val="0"/>
                      <w:color w:val="auto"/>
                      <w:sz w:val="21"/>
                      <w:szCs w:val="21"/>
                      <w:highlight w:val="none"/>
                      <w:lang w:val="en-US" w:eastAsia="zh-CN"/>
                    </w:rPr>
                    <w:t>西干五支排</w:t>
                  </w:r>
                </w:p>
              </w:tc>
              <w:tc>
                <w:tcPr>
                  <w:tcW w:w="1024"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0.27</w:t>
                  </w:r>
                </w:p>
              </w:tc>
              <w:tc>
                <w:tcPr>
                  <w:tcW w:w="910"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10</w:t>
                  </w:r>
                </w:p>
              </w:tc>
              <w:tc>
                <w:tcPr>
                  <w:tcW w:w="908"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162</w:t>
                  </w:r>
                </w:p>
              </w:tc>
              <w:tc>
                <w:tcPr>
                  <w:tcW w:w="903"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162</w:t>
                  </w:r>
                </w:p>
              </w:tc>
              <w:tc>
                <w:tcPr>
                  <w:tcW w:w="901"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泄漏孔径10mm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497" w:type="dxa"/>
                  <w:vMerge w:val="restart"/>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w:t>
                  </w:r>
                </w:p>
              </w:tc>
              <w:tc>
                <w:tcPr>
                  <w:tcW w:w="110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eastAsia="zh-CN"/>
                    </w:rPr>
                    <w:t>丙烷储罐发生火灾爆炸引发的次生污染物排放</w:t>
                  </w:r>
                </w:p>
              </w:tc>
              <w:tc>
                <w:tcPr>
                  <w:tcW w:w="71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eastAsia="zh-CN"/>
                    </w:rPr>
                    <w:t>丙烷</w:t>
                  </w:r>
                  <w:r>
                    <w:rPr>
                      <w:rFonts w:hint="eastAsia" w:cs="Times New Roman"/>
                      <w:b w:val="0"/>
                      <w:bCs w:val="0"/>
                      <w:color w:val="auto"/>
                      <w:sz w:val="21"/>
                      <w:szCs w:val="21"/>
                      <w:highlight w:val="none"/>
                      <w:lang w:val="en-US" w:eastAsia="zh-CN"/>
                    </w:rPr>
                    <w:t>储</w:t>
                  </w:r>
                  <w:r>
                    <w:rPr>
                      <w:rFonts w:hint="default" w:ascii="Times New Roman" w:hAnsi="Times New Roman" w:eastAsia="宋体" w:cs="Times New Roman"/>
                      <w:b w:val="0"/>
                      <w:bCs w:val="0"/>
                      <w:color w:val="auto"/>
                      <w:sz w:val="21"/>
                      <w:szCs w:val="21"/>
                      <w:highlight w:val="none"/>
                      <w:lang w:eastAsia="zh-CN"/>
                    </w:rPr>
                    <w:t>罐</w:t>
                  </w:r>
                </w:p>
              </w:tc>
              <w:tc>
                <w:tcPr>
                  <w:tcW w:w="10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eastAsia="zh-CN"/>
                    </w:rPr>
                    <w:t>未完全燃烧的丙烷</w:t>
                  </w:r>
                </w:p>
              </w:tc>
              <w:tc>
                <w:tcPr>
                  <w:tcW w:w="11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eastAsia="zh-CN"/>
                    </w:rPr>
                    <w:t>未完全燃烧的丙烷在高温下迅速挥发释放至大气环境</w:t>
                  </w:r>
                </w:p>
              </w:tc>
              <w:tc>
                <w:tcPr>
                  <w:tcW w:w="1024"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910"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908"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5.8</w:t>
                  </w:r>
                  <w:r>
                    <w:rPr>
                      <w:rFonts w:hint="default" w:ascii="Times New Roman" w:hAnsi="Times New Roman" w:eastAsia="宋体" w:cs="Times New Roman"/>
                      <w:b w:val="0"/>
                      <w:bCs w:val="0"/>
                      <w:color w:val="auto"/>
                      <w:sz w:val="21"/>
                      <w:szCs w:val="21"/>
                      <w:highlight w:val="none"/>
                      <w:lang w:val="en-US" w:eastAsia="zh-CN"/>
                    </w:rPr>
                    <w:t>t</w:t>
                  </w:r>
                </w:p>
              </w:tc>
              <w:tc>
                <w:tcPr>
                  <w:tcW w:w="903"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901"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497" w:type="dxa"/>
                  <w:vMerge w:val="continue"/>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p>
              </w:tc>
              <w:tc>
                <w:tcPr>
                  <w:tcW w:w="1100" w:type="dxa"/>
                  <w:vMerge w:val="continue"/>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p>
              </w:tc>
              <w:tc>
                <w:tcPr>
                  <w:tcW w:w="713" w:type="dxa"/>
                  <w:vMerge w:val="continue"/>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p>
              </w:tc>
              <w:tc>
                <w:tcPr>
                  <w:tcW w:w="10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eastAsia="zh-CN"/>
                    </w:rPr>
                    <w:t>燃烧产生的烟尘及有毒气体（</w:t>
                  </w:r>
                  <w:r>
                    <w:rPr>
                      <w:rFonts w:hint="default" w:ascii="Times New Roman" w:hAnsi="Times New Roman" w:eastAsia="宋体" w:cs="Times New Roman"/>
                      <w:b w:val="0"/>
                      <w:bCs w:val="0"/>
                      <w:color w:val="auto"/>
                      <w:sz w:val="21"/>
                      <w:szCs w:val="21"/>
                      <w:highlight w:val="none"/>
                      <w:lang w:val="en-US" w:eastAsia="zh-CN"/>
                    </w:rPr>
                    <w:t>CO</w:t>
                  </w:r>
                  <w:r>
                    <w:rPr>
                      <w:rFonts w:hint="default" w:ascii="Times New Roman" w:hAnsi="Times New Roman" w:eastAsia="宋体" w:cs="Times New Roman"/>
                      <w:b w:val="0"/>
                      <w:bCs w:val="0"/>
                      <w:color w:val="auto"/>
                      <w:sz w:val="21"/>
                      <w:szCs w:val="21"/>
                      <w:highlight w:val="none"/>
                      <w:lang w:eastAsia="zh-CN"/>
                    </w:rPr>
                    <w:t>）</w:t>
                  </w:r>
                </w:p>
              </w:tc>
              <w:tc>
                <w:tcPr>
                  <w:tcW w:w="11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eastAsia="zh-CN"/>
                    </w:rPr>
                    <w:t>丙烷燃烧产生的烟尘及有毒气体挥发进入大气环境</w:t>
                  </w:r>
                </w:p>
              </w:tc>
              <w:tc>
                <w:tcPr>
                  <w:tcW w:w="1024"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6122.22</w:t>
                  </w:r>
                </w:p>
              </w:tc>
              <w:tc>
                <w:tcPr>
                  <w:tcW w:w="910"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908"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903"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901" w:type="dxa"/>
                  <w:tcBorders>
                    <w:tl2br w:val="nil"/>
                    <w:tr2bl w:val="nil"/>
                  </w:tcBorders>
                  <w:noWrap w:val="0"/>
                  <w:vAlign w:val="center"/>
                </w:tcPr>
                <w:p>
                  <w:pPr>
                    <w:pStyle w:val="3"/>
                    <w:keepNext/>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参与燃烧的丙烷量为</w:t>
                  </w:r>
                  <w:r>
                    <w:rPr>
                      <w:rFonts w:hint="eastAsia" w:ascii="Times New Roman" w:hAnsi="Times New Roman" w:eastAsia="宋体" w:cs="Times New Roman"/>
                      <w:b w:val="0"/>
                      <w:bCs w:val="0"/>
                      <w:color w:val="auto"/>
                      <w:sz w:val="21"/>
                      <w:szCs w:val="21"/>
                      <w:highlight w:val="none"/>
                      <w:lang w:val="en-US" w:eastAsia="zh-CN"/>
                    </w:rPr>
                    <w:t>110.2</w:t>
                  </w:r>
                  <w:r>
                    <w:rPr>
                      <w:rFonts w:hint="default" w:ascii="Times New Roman" w:hAnsi="Times New Roman" w:eastAsia="宋体" w:cs="Times New Roman"/>
                      <w:b w:val="0"/>
                      <w:bCs w:val="0"/>
                      <w:color w:val="auto"/>
                      <w:sz w:val="21"/>
                      <w:szCs w:val="21"/>
                      <w:highlight w:val="none"/>
                      <w:lang w:val="en-US" w:eastAsia="zh-CN"/>
                    </w:rPr>
                    <w:t>t</w:t>
                  </w:r>
                </w:p>
              </w:tc>
            </w:tr>
          </w:tbl>
          <w:p>
            <w:pPr>
              <w:ind w:firstLine="48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lang w:val="en-US" w:eastAsia="zh-CN"/>
              </w:rPr>
              <w:t>5风险预测与评价</w:t>
            </w:r>
          </w:p>
          <w:p>
            <w:pPr>
              <w:numPr>
                <w:ilvl w:val="0"/>
                <w:numId w:val="7"/>
              </w:num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大气环境风险影响</w:t>
            </w:r>
          </w:p>
          <w:p>
            <w:pPr>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采用地面球罐，罐区、管口及连接处一旦发生泄漏事故时，丙烷泄漏后极易挥发成气态的丙烷气体，造成区域环境空气的污染；本项目丙烷储罐发生火灾爆炸，产生的烟尘及有毒气体进入大气环境，造成区域环境空气的污染；且发生火灾爆炸时，未完全燃烧的丙烷在高温下迅速挥发释放至大气环境，造成区域环境空气的污染。</w:t>
            </w:r>
          </w:p>
          <w:p>
            <w:pP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本项目距离居民区较远，最近的居民区为</w:t>
            </w:r>
            <w:r>
              <w:rPr>
                <w:rFonts w:hint="eastAsia"/>
                <w:highlight w:val="none"/>
                <w:lang w:eastAsia="zh-CN"/>
              </w:rPr>
              <w:t>北侧约</w:t>
            </w:r>
            <w:r>
              <w:rPr>
                <w:rFonts w:hint="eastAsia"/>
                <w:highlight w:val="none"/>
                <w:lang w:val="en-US" w:eastAsia="zh-CN"/>
              </w:rPr>
              <w:t>317m处的前高庄村</w:t>
            </w:r>
            <w:r>
              <w:rPr>
                <w:rFonts w:hint="default" w:ascii="Times New Roman" w:hAnsi="Times New Roman" w:eastAsia="宋体" w:cs="Times New Roman"/>
                <w:color w:val="auto"/>
                <w:highlight w:val="none"/>
                <w:lang w:val="en-US" w:eastAsia="zh-CN"/>
              </w:rPr>
              <w:t>，一旦丙烷泄漏进入大气或者火灾爆炸产生的未完全燃烧的丙烷、烟尘及有毒气体进入大气，将对区域内的环境空气及敏感点造成严重影响，甚至会对居民健康构成威胁。</w:t>
            </w:r>
          </w:p>
          <w:p>
            <w:pPr>
              <w:pStyle w:val="7"/>
              <w:keepNext w:val="0"/>
              <w:keepLines w:val="0"/>
              <w:pageBreakBefore w:val="0"/>
              <w:widowControl w:val="0"/>
              <w:numPr>
                <w:ilvl w:val="0"/>
                <w:numId w:val="7"/>
              </w:numPr>
              <w:kinsoku/>
              <w:wordWrap/>
              <w:overflowPunct/>
              <w:topLinePunct w:val="0"/>
              <w:autoSpaceDE/>
              <w:autoSpaceDN/>
              <w:bidi w:val="0"/>
              <w:adjustRightInd/>
              <w:snapToGrid/>
              <w:spacing w:before="0" w:after="0"/>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地表水环境风险影响</w:t>
            </w:r>
          </w:p>
          <w:p>
            <w:pPr>
              <w:pStyle w:val="20"/>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泄漏或渗漏的丙烷一旦进入地表河流，根据丙烷的理化性质可知，丙烷微溶于水，将造成地表河流的污染，影响范围小到几公里大到几十公里。污染首先造成地表河流的景观破坏，产生刺鼻气味，其次，由于丙烷可微溶于水，造成水体水质的PH值偏高，恶化水质，造成水体中水生生物的死亡，破坏生态平衡。本项目厂界</w:t>
            </w:r>
            <w:r>
              <w:rPr>
                <w:rFonts w:hint="eastAsia" w:ascii="Times New Roman" w:hAnsi="Times New Roman" w:eastAsia="宋体" w:cs="Times New Roman"/>
                <w:color w:val="auto"/>
                <w:highlight w:val="none"/>
                <w:lang w:val="en-US" w:eastAsia="zh-CN"/>
              </w:rPr>
              <w:t>北</w:t>
            </w:r>
            <w:r>
              <w:rPr>
                <w:rFonts w:hint="default" w:ascii="Times New Roman" w:hAnsi="Times New Roman" w:eastAsia="宋体" w:cs="Times New Roman"/>
                <w:color w:val="auto"/>
                <w:highlight w:val="none"/>
                <w:lang w:val="en-US" w:eastAsia="zh-CN"/>
              </w:rPr>
              <w:t>面有</w:t>
            </w:r>
            <w:r>
              <w:rPr>
                <w:rFonts w:hint="eastAsia" w:ascii="Times New Roman" w:hAnsi="Times New Roman" w:eastAsia="宋体" w:cs="Times New Roman"/>
                <w:color w:val="auto"/>
                <w:highlight w:val="none"/>
                <w:lang w:val="en-US" w:eastAsia="zh-CN"/>
              </w:rPr>
              <w:t>西干五支排</w:t>
            </w:r>
            <w:r>
              <w:rPr>
                <w:rFonts w:hint="default" w:ascii="Times New Roman" w:hAnsi="Times New Roman" w:eastAsia="宋体" w:cs="Times New Roman"/>
                <w:color w:val="auto"/>
                <w:highlight w:val="none"/>
                <w:lang w:val="en-US" w:eastAsia="zh-CN"/>
              </w:rPr>
              <w:t>，但由于本项目罐区容积较小，并对罐区地面进行了防渗处理。当罐区一旦发生泄漏事故时，物料将积聚在罐区，且物料易挥发成气态，进入地表水</w:t>
            </w:r>
            <w:r>
              <w:rPr>
                <w:rFonts w:hint="eastAsia" w:ascii="Times New Roman" w:hAnsi="Times New Roman" w:eastAsia="宋体" w:cs="Times New Roman"/>
                <w:color w:val="auto"/>
                <w:highlight w:val="none"/>
                <w:lang w:val="en-US" w:eastAsia="zh-CN"/>
              </w:rPr>
              <w:t>西干五支排</w:t>
            </w:r>
            <w:r>
              <w:rPr>
                <w:rFonts w:hint="default" w:ascii="Times New Roman" w:hAnsi="Times New Roman" w:eastAsia="宋体" w:cs="Times New Roman"/>
                <w:color w:val="auto"/>
                <w:highlight w:val="none"/>
                <w:lang w:val="en-US" w:eastAsia="zh-CN"/>
              </w:rPr>
              <w:t>可能性很小。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sz w:val="24"/>
                <w:szCs w:val="24"/>
                <w:highlight w:val="none"/>
                <w:u w:val="none"/>
              </w:rPr>
            </w:pPr>
            <w:r>
              <w:rPr>
                <w:rFonts w:hint="default" w:ascii="Times New Roman" w:hAnsi="Times New Roman" w:cs="Times New Roman"/>
                <w:b w:val="0"/>
                <w:bCs w:val="0"/>
                <w:sz w:val="24"/>
                <w:szCs w:val="24"/>
                <w:highlight w:val="none"/>
                <w:u w:val="none"/>
              </w:rPr>
              <w:t xml:space="preserve">为防止事故排放，建设单位应设置应急事故池，事故应急事故池的容量计算公式及参数选择根据《化工建设项目环境保护设计规范》（GB50483-2009）的规定：事故储存设施总有效容积：V </w:t>
            </w:r>
            <w:r>
              <w:rPr>
                <w:rFonts w:hint="default" w:ascii="Times New Roman" w:hAnsi="Times New Roman" w:cs="Times New Roman"/>
                <w:b w:val="0"/>
                <w:bCs w:val="0"/>
                <w:sz w:val="24"/>
                <w:szCs w:val="24"/>
                <w:highlight w:val="none"/>
                <w:u w:val="none"/>
                <w:vertAlign w:val="subscript"/>
              </w:rPr>
              <w:t>总</w:t>
            </w:r>
            <w:r>
              <w:rPr>
                <w:rFonts w:hint="default" w:ascii="Times New Roman" w:hAnsi="Times New Roman" w:cs="Times New Roman"/>
                <w:b w:val="0"/>
                <w:bCs w:val="0"/>
                <w:sz w:val="24"/>
                <w:szCs w:val="24"/>
                <w:highlight w:val="none"/>
                <w:u w:val="none"/>
              </w:rPr>
              <w:t>=（V</w:t>
            </w:r>
            <w:r>
              <w:rPr>
                <w:rFonts w:hint="default" w:ascii="Times New Roman" w:hAnsi="Times New Roman" w:cs="Times New Roman"/>
                <w:b w:val="0"/>
                <w:bCs w:val="0"/>
                <w:sz w:val="24"/>
                <w:szCs w:val="24"/>
                <w:highlight w:val="none"/>
                <w:u w:val="none"/>
                <w:vertAlign w:val="subscript"/>
              </w:rPr>
              <w:t>1</w:t>
            </w:r>
            <w:r>
              <w:rPr>
                <w:rFonts w:hint="default" w:ascii="Times New Roman" w:hAnsi="Times New Roman" w:cs="Times New Roman"/>
                <w:b w:val="0"/>
                <w:bCs w:val="0"/>
                <w:sz w:val="24"/>
                <w:szCs w:val="24"/>
                <w:highlight w:val="none"/>
                <w:u w:val="none"/>
              </w:rPr>
              <w:t>+V</w:t>
            </w:r>
            <w:r>
              <w:rPr>
                <w:rFonts w:hint="default" w:ascii="Times New Roman" w:hAnsi="Times New Roman" w:cs="Times New Roman"/>
                <w:b w:val="0"/>
                <w:bCs w:val="0"/>
                <w:sz w:val="24"/>
                <w:szCs w:val="24"/>
                <w:highlight w:val="none"/>
                <w:u w:val="none"/>
                <w:vertAlign w:val="subscript"/>
              </w:rPr>
              <w:t>2</w:t>
            </w:r>
            <w:r>
              <w:rPr>
                <w:rFonts w:hint="default" w:ascii="Times New Roman" w:hAnsi="Times New Roman" w:cs="Times New Roman"/>
                <w:b w:val="0"/>
                <w:bCs w:val="0"/>
                <w:sz w:val="24"/>
                <w:szCs w:val="24"/>
                <w:highlight w:val="none"/>
                <w:u w:val="none"/>
              </w:rPr>
              <w:t>-V</w:t>
            </w:r>
            <w:r>
              <w:rPr>
                <w:rFonts w:hint="default" w:ascii="Times New Roman" w:hAnsi="Times New Roman" w:cs="Times New Roman"/>
                <w:b w:val="0"/>
                <w:bCs w:val="0"/>
                <w:sz w:val="24"/>
                <w:szCs w:val="24"/>
                <w:highlight w:val="none"/>
                <w:u w:val="none"/>
                <w:vertAlign w:val="subscript"/>
              </w:rPr>
              <w:t>3</w:t>
            </w:r>
            <w:r>
              <w:rPr>
                <w:rFonts w:hint="default" w:ascii="Times New Roman" w:hAnsi="Times New Roman" w:cs="Times New Roman"/>
                <w:b w:val="0"/>
                <w:bCs w:val="0"/>
                <w:sz w:val="24"/>
                <w:szCs w:val="24"/>
                <w:highlight w:val="none"/>
                <w:u w:val="none"/>
              </w:rPr>
              <w:t>）max +V</w:t>
            </w:r>
            <w:r>
              <w:rPr>
                <w:rFonts w:hint="default" w:ascii="Times New Roman" w:hAnsi="Times New Roman" w:cs="Times New Roman"/>
                <w:b w:val="0"/>
                <w:bCs w:val="0"/>
                <w:sz w:val="24"/>
                <w:szCs w:val="24"/>
                <w:highlight w:val="none"/>
                <w:u w:val="none"/>
                <w:vertAlign w:val="subscript"/>
              </w:rPr>
              <w:t>4</w:t>
            </w:r>
            <w:r>
              <w:rPr>
                <w:rFonts w:hint="default" w:ascii="Times New Roman" w:hAnsi="Times New Roman" w:cs="Times New Roman"/>
                <w:b w:val="0"/>
                <w:bCs w:val="0"/>
                <w:sz w:val="24"/>
                <w:szCs w:val="24"/>
                <w:highlight w:val="none"/>
                <w:u w:val="none"/>
              </w:rPr>
              <w:t>+V</w:t>
            </w:r>
            <w:r>
              <w:rPr>
                <w:rFonts w:hint="default" w:ascii="Times New Roman" w:hAnsi="Times New Roman" w:cs="Times New Roman"/>
                <w:b w:val="0"/>
                <w:bCs w:val="0"/>
                <w:sz w:val="24"/>
                <w:szCs w:val="24"/>
                <w:highlight w:val="none"/>
                <w:u w:val="none"/>
                <w:vertAlign w:val="subscript"/>
              </w:rPr>
              <w:t>5</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sz w:val="24"/>
                <w:szCs w:val="24"/>
                <w:highlight w:val="none"/>
                <w:u w:val="none"/>
              </w:rPr>
            </w:pPr>
            <w:r>
              <w:rPr>
                <w:rFonts w:hint="default" w:ascii="Times New Roman" w:hAnsi="Times New Roman" w:cs="Times New Roman"/>
                <w:b w:val="0"/>
                <w:bCs w:val="0"/>
                <w:sz w:val="24"/>
                <w:szCs w:val="24"/>
                <w:highlight w:val="none"/>
                <w:u w:val="none"/>
              </w:rPr>
              <w:t>注：（V</w:t>
            </w:r>
            <w:r>
              <w:rPr>
                <w:rFonts w:hint="default" w:ascii="Times New Roman" w:hAnsi="Times New Roman" w:cs="Times New Roman"/>
                <w:b w:val="0"/>
                <w:bCs w:val="0"/>
                <w:sz w:val="24"/>
                <w:szCs w:val="24"/>
                <w:highlight w:val="none"/>
                <w:u w:val="none"/>
                <w:vertAlign w:val="subscript"/>
              </w:rPr>
              <w:t>1</w:t>
            </w:r>
            <w:r>
              <w:rPr>
                <w:rFonts w:hint="default" w:ascii="Times New Roman" w:hAnsi="Times New Roman" w:cs="Times New Roman"/>
                <w:b w:val="0"/>
                <w:bCs w:val="0"/>
                <w:sz w:val="24"/>
                <w:szCs w:val="24"/>
                <w:highlight w:val="none"/>
                <w:u w:val="none"/>
              </w:rPr>
              <w:t>+V</w:t>
            </w:r>
            <w:r>
              <w:rPr>
                <w:rFonts w:hint="default" w:ascii="Times New Roman" w:hAnsi="Times New Roman" w:cs="Times New Roman"/>
                <w:b w:val="0"/>
                <w:bCs w:val="0"/>
                <w:sz w:val="24"/>
                <w:szCs w:val="24"/>
                <w:highlight w:val="none"/>
                <w:u w:val="none"/>
                <w:vertAlign w:val="subscript"/>
              </w:rPr>
              <w:t>2</w:t>
            </w:r>
            <w:r>
              <w:rPr>
                <w:rFonts w:hint="default" w:ascii="Times New Roman" w:hAnsi="Times New Roman" w:cs="Times New Roman"/>
                <w:b w:val="0"/>
                <w:bCs w:val="0"/>
                <w:sz w:val="24"/>
                <w:szCs w:val="24"/>
                <w:highlight w:val="none"/>
                <w:u w:val="none"/>
              </w:rPr>
              <w:t>-V</w:t>
            </w:r>
            <w:r>
              <w:rPr>
                <w:rFonts w:hint="default" w:ascii="Times New Roman" w:hAnsi="Times New Roman" w:cs="Times New Roman"/>
                <w:b w:val="0"/>
                <w:bCs w:val="0"/>
                <w:sz w:val="24"/>
                <w:szCs w:val="24"/>
                <w:highlight w:val="none"/>
                <w:u w:val="none"/>
                <w:vertAlign w:val="subscript"/>
              </w:rPr>
              <w:t>3</w:t>
            </w:r>
            <w:r>
              <w:rPr>
                <w:rFonts w:hint="default" w:ascii="Times New Roman" w:hAnsi="Times New Roman" w:cs="Times New Roman"/>
                <w:b w:val="0"/>
                <w:bCs w:val="0"/>
                <w:sz w:val="24"/>
                <w:szCs w:val="24"/>
                <w:highlight w:val="none"/>
                <w:u w:val="none"/>
              </w:rPr>
              <w:t xml:space="preserve"> ）max 是指对收集系统范围内不同罐组或装置分别计算V</w:t>
            </w:r>
            <w:r>
              <w:rPr>
                <w:rFonts w:hint="default" w:ascii="Times New Roman" w:hAnsi="Times New Roman" w:cs="Times New Roman"/>
                <w:b w:val="0"/>
                <w:bCs w:val="0"/>
                <w:sz w:val="24"/>
                <w:szCs w:val="24"/>
                <w:highlight w:val="none"/>
                <w:u w:val="none"/>
                <w:vertAlign w:val="subscript"/>
              </w:rPr>
              <w:t>1</w:t>
            </w:r>
            <w:r>
              <w:rPr>
                <w:rFonts w:hint="default" w:ascii="Times New Roman" w:hAnsi="Times New Roman" w:cs="Times New Roman"/>
                <w:b w:val="0"/>
                <w:bCs w:val="0"/>
                <w:sz w:val="24"/>
                <w:szCs w:val="24"/>
                <w:highlight w:val="none"/>
                <w:u w:val="none"/>
              </w:rPr>
              <w:t>+V</w:t>
            </w:r>
            <w:r>
              <w:rPr>
                <w:rFonts w:hint="default" w:ascii="Times New Roman" w:hAnsi="Times New Roman" w:cs="Times New Roman"/>
                <w:b w:val="0"/>
                <w:bCs w:val="0"/>
                <w:sz w:val="24"/>
                <w:szCs w:val="24"/>
                <w:highlight w:val="none"/>
                <w:u w:val="none"/>
                <w:vertAlign w:val="subscript"/>
              </w:rPr>
              <w:t>2</w:t>
            </w:r>
            <w:r>
              <w:rPr>
                <w:rFonts w:hint="default" w:ascii="Times New Roman" w:hAnsi="Times New Roman" w:cs="Times New Roman"/>
                <w:b w:val="0"/>
                <w:bCs w:val="0"/>
                <w:sz w:val="24"/>
                <w:szCs w:val="24"/>
                <w:highlight w:val="none"/>
                <w:u w:val="none"/>
              </w:rPr>
              <w:t>-V</w:t>
            </w:r>
            <w:r>
              <w:rPr>
                <w:rFonts w:hint="default" w:ascii="Times New Roman" w:hAnsi="Times New Roman" w:cs="Times New Roman"/>
                <w:b w:val="0"/>
                <w:bCs w:val="0"/>
                <w:sz w:val="24"/>
                <w:szCs w:val="24"/>
                <w:highlight w:val="none"/>
                <w:u w:val="none"/>
                <w:vertAlign w:val="subscript"/>
              </w:rPr>
              <w:t>3</w:t>
            </w:r>
            <w:r>
              <w:rPr>
                <w:rFonts w:hint="default" w:ascii="Times New Roman" w:hAnsi="Times New Roman" w:cs="Times New Roman"/>
                <w:b w:val="0"/>
                <w:bCs w:val="0"/>
                <w:sz w:val="24"/>
                <w:szCs w:val="24"/>
                <w:highlight w:val="none"/>
                <w:u w:val="none"/>
              </w:rPr>
              <w:t>，取其中最大值。</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sz w:val="24"/>
                <w:szCs w:val="24"/>
                <w:highlight w:val="none"/>
                <w:u w:val="none"/>
              </w:rPr>
            </w:pPr>
            <w:r>
              <w:rPr>
                <w:rFonts w:hint="default" w:ascii="Times New Roman" w:hAnsi="Times New Roman" w:cs="Times New Roman"/>
                <w:b w:val="0"/>
                <w:bCs w:val="0"/>
                <w:sz w:val="24"/>
                <w:szCs w:val="24"/>
                <w:highlight w:val="none"/>
                <w:u w:val="none"/>
              </w:rPr>
              <w:t>V</w:t>
            </w:r>
            <w:r>
              <w:rPr>
                <w:rFonts w:hint="default" w:ascii="Times New Roman" w:hAnsi="Times New Roman" w:cs="Times New Roman"/>
                <w:b w:val="0"/>
                <w:bCs w:val="0"/>
                <w:sz w:val="24"/>
                <w:szCs w:val="24"/>
                <w:highlight w:val="none"/>
                <w:u w:val="none"/>
                <w:vertAlign w:val="subscript"/>
              </w:rPr>
              <w:t>1</w:t>
            </w:r>
            <w:r>
              <w:rPr>
                <w:rFonts w:hint="default" w:ascii="Times New Roman" w:hAnsi="Times New Roman" w:cs="Times New Roman"/>
                <w:b w:val="0"/>
                <w:bCs w:val="0"/>
                <w:sz w:val="24"/>
                <w:szCs w:val="24"/>
                <w:highlight w:val="none"/>
                <w:u w:val="none"/>
              </w:rPr>
              <w:t>——收集系统范围内发生事故的一个罐组或一套装置的物料量，m</w:t>
            </w:r>
            <w:r>
              <w:rPr>
                <w:rFonts w:hint="default" w:ascii="Times New Roman" w:hAnsi="Times New Roman" w:cs="Times New Roman"/>
                <w:b w:val="0"/>
                <w:bCs w:val="0"/>
                <w:sz w:val="24"/>
                <w:szCs w:val="24"/>
                <w:highlight w:val="none"/>
                <w:u w:val="none"/>
                <w:vertAlign w:val="superscript"/>
              </w:rPr>
              <w:t>3</w:t>
            </w:r>
            <w:r>
              <w:rPr>
                <w:rFonts w:hint="default" w:ascii="Times New Roman" w:hAnsi="Times New Roman" w:cs="Times New Roman"/>
                <w:b w:val="0"/>
                <w:bCs w:val="0"/>
                <w:sz w:val="24"/>
                <w:szCs w:val="24"/>
                <w:highlight w:val="none"/>
                <w:u w:val="none"/>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sz w:val="24"/>
                <w:szCs w:val="24"/>
                <w:highlight w:val="none"/>
                <w:u w:val="none"/>
              </w:rPr>
            </w:pPr>
            <w:r>
              <w:rPr>
                <w:rFonts w:hint="default" w:ascii="Times New Roman" w:hAnsi="Times New Roman" w:cs="Times New Roman"/>
                <w:b w:val="0"/>
                <w:bCs w:val="0"/>
                <w:sz w:val="24"/>
                <w:szCs w:val="24"/>
                <w:highlight w:val="none"/>
                <w:u w:val="none"/>
              </w:rPr>
              <w:t>V</w:t>
            </w:r>
            <w:r>
              <w:rPr>
                <w:rFonts w:hint="default" w:ascii="Times New Roman" w:hAnsi="Times New Roman" w:cs="Times New Roman"/>
                <w:b w:val="0"/>
                <w:bCs w:val="0"/>
                <w:sz w:val="24"/>
                <w:szCs w:val="24"/>
                <w:highlight w:val="none"/>
                <w:u w:val="none"/>
                <w:vertAlign w:val="subscript"/>
              </w:rPr>
              <w:t>2</w:t>
            </w:r>
            <w:r>
              <w:rPr>
                <w:rFonts w:hint="default" w:ascii="Times New Roman" w:hAnsi="Times New Roman" w:cs="Times New Roman"/>
                <w:b w:val="0"/>
                <w:bCs w:val="0"/>
                <w:sz w:val="24"/>
                <w:szCs w:val="24"/>
                <w:highlight w:val="none"/>
                <w:u w:val="none"/>
              </w:rPr>
              <w:t>——发生事故的储罐或装置的消防水量；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sz w:val="24"/>
                <w:szCs w:val="24"/>
                <w:highlight w:val="none"/>
                <w:u w:val="none"/>
                <w:vertAlign w:val="subscript"/>
              </w:rPr>
            </w:pPr>
            <w:r>
              <w:rPr>
                <w:rFonts w:hint="default" w:ascii="Times New Roman" w:hAnsi="Times New Roman" w:cs="Times New Roman"/>
                <w:b w:val="0"/>
                <w:bCs w:val="0"/>
                <w:sz w:val="24"/>
                <w:szCs w:val="24"/>
                <w:highlight w:val="none"/>
                <w:u w:val="none"/>
              </w:rPr>
              <w:t>V</w:t>
            </w:r>
            <w:r>
              <w:rPr>
                <w:rFonts w:hint="default" w:ascii="Times New Roman" w:hAnsi="Times New Roman" w:cs="Times New Roman"/>
                <w:b w:val="0"/>
                <w:bCs w:val="0"/>
                <w:sz w:val="24"/>
                <w:szCs w:val="24"/>
                <w:highlight w:val="none"/>
                <w:u w:val="none"/>
                <w:vertAlign w:val="subscript"/>
              </w:rPr>
              <w:t>2</w:t>
            </w:r>
            <w:r>
              <w:rPr>
                <w:rFonts w:hint="default" w:ascii="Times New Roman" w:hAnsi="Times New Roman" w:cs="Times New Roman"/>
                <w:b w:val="0"/>
                <w:bCs w:val="0"/>
                <w:sz w:val="24"/>
                <w:szCs w:val="24"/>
                <w:highlight w:val="none"/>
                <w:u w:val="none"/>
              </w:rPr>
              <w:t xml:space="preserve">=∑Q </w:t>
            </w:r>
            <w:r>
              <w:rPr>
                <w:rFonts w:hint="default" w:ascii="Times New Roman" w:hAnsi="Times New Roman" w:cs="Times New Roman"/>
                <w:b w:val="0"/>
                <w:bCs w:val="0"/>
                <w:sz w:val="24"/>
                <w:szCs w:val="24"/>
                <w:highlight w:val="none"/>
                <w:u w:val="none"/>
                <w:vertAlign w:val="subscript"/>
              </w:rPr>
              <w:t>消</w:t>
            </w:r>
            <w:r>
              <w:rPr>
                <w:rFonts w:hint="default" w:ascii="Times New Roman" w:hAnsi="Times New Roman" w:cs="Times New Roman"/>
                <w:b w:val="0"/>
                <w:bCs w:val="0"/>
                <w:sz w:val="24"/>
                <w:szCs w:val="24"/>
                <w:highlight w:val="none"/>
                <w:u w:val="none"/>
              </w:rPr>
              <w:t xml:space="preserve"> t </w:t>
            </w:r>
            <w:r>
              <w:rPr>
                <w:rFonts w:hint="default" w:ascii="Times New Roman" w:hAnsi="Times New Roman" w:cs="Times New Roman"/>
                <w:b w:val="0"/>
                <w:bCs w:val="0"/>
                <w:sz w:val="24"/>
                <w:szCs w:val="24"/>
                <w:highlight w:val="none"/>
                <w:u w:val="none"/>
                <w:vertAlign w:val="subscript"/>
              </w:rPr>
              <w:t>消</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sz w:val="24"/>
                <w:szCs w:val="24"/>
                <w:highlight w:val="none"/>
                <w:u w:val="none"/>
              </w:rPr>
            </w:pPr>
            <w:r>
              <w:rPr>
                <w:rFonts w:hint="default" w:ascii="Times New Roman" w:hAnsi="Times New Roman" w:cs="Times New Roman"/>
                <w:b w:val="0"/>
                <w:bCs w:val="0"/>
                <w:sz w:val="24"/>
                <w:szCs w:val="24"/>
                <w:highlight w:val="none"/>
                <w:u w:val="none"/>
              </w:rPr>
              <w:t xml:space="preserve">Q </w:t>
            </w:r>
            <w:r>
              <w:rPr>
                <w:rFonts w:hint="default" w:ascii="Times New Roman" w:hAnsi="Times New Roman" w:cs="Times New Roman"/>
                <w:b w:val="0"/>
                <w:bCs w:val="0"/>
                <w:sz w:val="24"/>
                <w:szCs w:val="24"/>
                <w:highlight w:val="none"/>
                <w:u w:val="none"/>
                <w:vertAlign w:val="subscript"/>
              </w:rPr>
              <w:t>消</w:t>
            </w:r>
            <w:r>
              <w:rPr>
                <w:rFonts w:hint="default" w:ascii="Times New Roman" w:hAnsi="Times New Roman" w:cs="Times New Roman"/>
                <w:b w:val="0"/>
                <w:bCs w:val="0"/>
                <w:sz w:val="24"/>
                <w:szCs w:val="24"/>
                <w:highlight w:val="none"/>
                <w:u w:val="none"/>
              </w:rPr>
              <w:t>——发生事故的储罐或装置的同时使用的消防设施给水流量，m</w:t>
            </w:r>
            <w:r>
              <w:rPr>
                <w:rFonts w:hint="default" w:ascii="Times New Roman" w:hAnsi="Times New Roman" w:cs="Times New Roman"/>
                <w:b w:val="0"/>
                <w:bCs w:val="0"/>
                <w:sz w:val="24"/>
                <w:szCs w:val="24"/>
                <w:highlight w:val="none"/>
                <w:u w:val="none"/>
                <w:vertAlign w:val="superscript"/>
              </w:rPr>
              <w:t>3</w:t>
            </w:r>
            <w:r>
              <w:rPr>
                <w:rFonts w:hint="default" w:ascii="Times New Roman" w:hAnsi="Times New Roman" w:cs="Times New Roman"/>
                <w:b w:val="0"/>
                <w:bCs w:val="0"/>
                <w:sz w:val="24"/>
                <w:szCs w:val="24"/>
                <w:highlight w:val="none"/>
                <w:u w:val="none"/>
              </w:rPr>
              <w:t>/h，室内消防用水按1</w:t>
            </w:r>
            <w:r>
              <w:rPr>
                <w:rFonts w:hint="eastAsia" w:ascii="Times New Roman" w:hAnsi="Times New Roman" w:cs="Times New Roman"/>
                <w:b w:val="0"/>
                <w:bCs w:val="0"/>
                <w:sz w:val="24"/>
                <w:szCs w:val="24"/>
                <w:highlight w:val="none"/>
                <w:u w:val="none"/>
                <w:lang w:val="en-US" w:eastAsia="zh-CN"/>
              </w:rPr>
              <w:t>0</w:t>
            </w:r>
            <w:r>
              <w:rPr>
                <w:rFonts w:hint="default" w:ascii="Times New Roman" w:hAnsi="Times New Roman" w:cs="Times New Roman"/>
                <w:b w:val="0"/>
                <w:bCs w:val="0"/>
                <w:sz w:val="24"/>
                <w:szCs w:val="24"/>
                <w:highlight w:val="none"/>
                <w:u w:val="none"/>
              </w:rPr>
              <w:t>L/s计算；</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sz w:val="24"/>
                <w:szCs w:val="24"/>
                <w:highlight w:val="none"/>
                <w:u w:val="none"/>
              </w:rPr>
            </w:pPr>
            <w:r>
              <w:rPr>
                <w:rFonts w:hint="default" w:ascii="Times New Roman" w:hAnsi="Times New Roman" w:cs="Times New Roman"/>
                <w:b w:val="0"/>
                <w:bCs w:val="0"/>
                <w:sz w:val="24"/>
                <w:szCs w:val="24"/>
                <w:highlight w:val="none"/>
                <w:u w:val="none"/>
              </w:rPr>
              <w:t xml:space="preserve">t </w:t>
            </w:r>
            <w:r>
              <w:rPr>
                <w:rFonts w:hint="default" w:ascii="Times New Roman" w:hAnsi="Times New Roman" w:cs="Times New Roman"/>
                <w:b w:val="0"/>
                <w:bCs w:val="0"/>
                <w:sz w:val="24"/>
                <w:szCs w:val="24"/>
                <w:highlight w:val="none"/>
                <w:u w:val="none"/>
                <w:vertAlign w:val="subscript"/>
              </w:rPr>
              <w:t>消</w:t>
            </w:r>
            <w:r>
              <w:rPr>
                <w:rFonts w:hint="default" w:ascii="Times New Roman" w:hAnsi="Times New Roman" w:cs="Times New Roman"/>
                <w:b w:val="0"/>
                <w:bCs w:val="0"/>
                <w:sz w:val="24"/>
                <w:szCs w:val="24"/>
                <w:highlight w:val="none"/>
                <w:u w:val="none"/>
              </w:rPr>
              <w:t xml:space="preserve">——消防设施对应的设计消防历时，h，按2h计算；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sz w:val="24"/>
                <w:szCs w:val="24"/>
                <w:highlight w:val="none"/>
                <w:u w:val="none"/>
              </w:rPr>
            </w:pPr>
            <w:r>
              <w:rPr>
                <w:rFonts w:hint="default" w:ascii="Times New Roman" w:hAnsi="Times New Roman" w:cs="Times New Roman"/>
                <w:b w:val="0"/>
                <w:bCs w:val="0"/>
                <w:sz w:val="24"/>
                <w:szCs w:val="24"/>
                <w:highlight w:val="none"/>
                <w:u w:val="none"/>
              </w:rPr>
              <w:t>V</w:t>
            </w:r>
            <w:r>
              <w:rPr>
                <w:rFonts w:hint="default" w:ascii="Times New Roman" w:hAnsi="Times New Roman" w:cs="Times New Roman"/>
                <w:b w:val="0"/>
                <w:bCs w:val="0"/>
                <w:sz w:val="24"/>
                <w:szCs w:val="24"/>
                <w:highlight w:val="none"/>
                <w:u w:val="none"/>
                <w:vertAlign w:val="subscript"/>
              </w:rPr>
              <w:t>3</w:t>
            </w:r>
            <w:r>
              <w:rPr>
                <w:rFonts w:hint="default" w:ascii="Times New Roman" w:hAnsi="Times New Roman" w:cs="Times New Roman"/>
                <w:b w:val="0"/>
                <w:bCs w:val="0"/>
                <w:sz w:val="24"/>
                <w:szCs w:val="24"/>
                <w:highlight w:val="none"/>
                <w:u w:val="none"/>
              </w:rPr>
              <w:t>——发生事故时可以转输到其他储存或处理设施的物料量，m</w:t>
            </w:r>
            <w:r>
              <w:rPr>
                <w:rFonts w:hint="default" w:ascii="Times New Roman" w:hAnsi="Times New Roman" w:cs="Times New Roman"/>
                <w:b w:val="0"/>
                <w:bCs w:val="0"/>
                <w:sz w:val="24"/>
                <w:szCs w:val="24"/>
                <w:highlight w:val="none"/>
                <w:u w:val="none"/>
                <w:vertAlign w:val="superscript"/>
              </w:rPr>
              <w:t>3</w:t>
            </w:r>
            <w:r>
              <w:rPr>
                <w:rFonts w:hint="default" w:ascii="Times New Roman" w:hAnsi="Times New Roman" w:cs="Times New Roman"/>
                <w:b w:val="0"/>
                <w:bCs w:val="0"/>
                <w:sz w:val="24"/>
                <w:szCs w:val="24"/>
                <w:highlight w:val="none"/>
                <w:u w:val="none"/>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sz w:val="24"/>
                <w:szCs w:val="24"/>
                <w:highlight w:val="none"/>
                <w:u w:val="none"/>
              </w:rPr>
            </w:pPr>
            <w:r>
              <w:rPr>
                <w:rFonts w:hint="default" w:ascii="Times New Roman" w:hAnsi="Times New Roman" w:cs="Times New Roman"/>
                <w:b w:val="0"/>
                <w:bCs w:val="0"/>
                <w:sz w:val="24"/>
                <w:szCs w:val="24"/>
                <w:highlight w:val="none"/>
                <w:u w:val="none"/>
              </w:rPr>
              <w:t>V</w:t>
            </w:r>
            <w:r>
              <w:rPr>
                <w:rFonts w:hint="default" w:ascii="Times New Roman" w:hAnsi="Times New Roman" w:cs="Times New Roman"/>
                <w:b w:val="0"/>
                <w:bCs w:val="0"/>
                <w:sz w:val="24"/>
                <w:szCs w:val="24"/>
                <w:highlight w:val="none"/>
                <w:u w:val="none"/>
                <w:vertAlign w:val="subscript"/>
              </w:rPr>
              <w:t>4</w:t>
            </w:r>
            <w:r>
              <w:rPr>
                <w:rFonts w:hint="default" w:ascii="Times New Roman" w:hAnsi="Times New Roman" w:cs="Times New Roman"/>
                <w:b w:val="0"/>
                <w:bCs w:val="0"/>
                <w:sz w:val="24"/>
                <w:szCs w:val="24"/>
                <w:highlight w:val="none"/>
                <w:u w:val="none"/>
              </w:rPr>
              <w:t>——发生事故时仍必须进入该收集系统的废水量，m</w:t>
            </w:r>
            <w:r>
              <w:rPr>
                <w:rFonts w:hint="default" w:ascii="Times New Roman" w:hAnsi="Times New Roman" w:cs="Times New Roman"/>
                <w:b w:val="0"/>
                <w:bCs w:val="0"/>
                <w:sz w:val="24"/>
                <w:szCs w:val="24"/>
                <w:highlight w:val="none"/>
                <w:u w:val="none"/>
                <w:vertAlign w:val="superscript"/>
              </w:rPr>
              <w:t>3</w:t>
            </w:r>
            <w:r>
              <w:rPr>
                <w:rFonts w:hint="default" w:ascii="Times New Roman" w:hAnsi="Times New Roman" w:cs="Times New Roman"/>
                <w:b w:val="0"/>
                <w:bCs w:val="0"/>
                <w:sz w:val="24"/>
                <w:szCs w:val="24"/>
                <w:highlight w:val="none"/>
                <w:u w:val="none"/>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sz w:val="24"/>
                <w:szCs w:val="24"/>
                <w:highlight w:val="none"/>
                <w:u w:val="none"/>
              </w:rPr>
            </w:pPr>
            <w:r>
              <w:rPr>
                <w:rFonts w:hint="default" w:ascii="Times New Roman" w:hAnsi="Times New Roman" w:cs="Times New Roman"/>
                <w:b w:val="0"/>
                <w:bCs w:val="0"/>
                <w:sz w:val="24"/>
                <w:szCs w:val="24"/>
                <w:highlight w:val="none"/>
                <w:u w:val="none"/>
              </w:rPr>
              <w:t>V</w:t>
            </w:r>
            <w:r>
              <w:rPr>
                <w:rFonts w:hint="default" w:ascii="Times New Roman" w:hAnsi="Times New Roman" w:cs="Times New Roman"/>
                <w:b w:val="0"/>
                <w:bCs w:val="0"/>
                <w:sz w:val="24"/>
                <w:szCs w:val="24"/>
                <w:highlight w:val="none"/>
                <w:u w:val="none"/>
                <w:vertAlign w:val="subscript"/>
              </w:rPr>
              <w:t>5</w:t>
            </w:r>
            <w:r>
              <w:rPr>
                <w:rFonts w:hint="default" w:ascii="Times New Roman" w:hAnsi="Times New Roman" w:cs="Times New Roman"/>
                <w:b w:val="0"/>
                <w:bCs w:val="0"/>
                <w:sz w:val="24"/>
                <w:szCs w:val="24"/>
                <w:highlight w:val="none"/>
                <w:u w:val="none"/>
              </w:rPr>
              <w:t>——发生事故时可能进入该收集系统的降雨量，m</w:t>
            </w:r>
            <w:r>
              <w:rPr>
                <w:rFonts w:hint="default" w:ascii="Times New Roman" w:hAnsi="Times New Roman" w:cs="Times New Roman"/>
                <w:b w:val="0"/>
                <w:bCs w:val="0"/>
                <w:sz w:val="24"/>
                <w:szCs w:val="24"/>
                <w:highlight w:val="none"/>
                <w:u w:val="none"/>
                <w:vertAlign w:val="superscript"/>
              </w:rPr>
              <w:t>3</w:t>
            </w:r>
            <w:r>
              <w:rPr>
                <w:rFonts w:hint="default" w:ascii="Times New Roman" w:hAnsi="Times New Roman" w:cs="Times New Roman"/>
                <w:b w:val="0"/>
                <w:bCs w:val="0"/>
                <w:sz w:val="24"/>
                <w:szCs w:val="24"/>
                <w:highlight w:val="none"/>
                <w:u w:val="none"/>
              </w:rPr>
              <w:t xml:space="preserve">。 </w:t>
            </w:r>
          </w:p>
          <w:p>
            <w:pPr>
              <w:pStyle w:val="20"/>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highlight w:val="none"/>
                <w:u w:val="none"/>
                <w:lang w:val="en-US" w:eastAsia="zh-CN"/>
              </w:rPr>
            </w:pPr>
            <w:r>
              <w:rPr>
                <w:rFonts w:hint="eastAsia" w:ascii="Times New Roman" w:hAnsi="Times New Roman" w:cs="Times New Roman"/>
                <w:b w:val="0"/>
                <w:bCs w:val="0"/>
                <w:sz w:val="24"/>
                <w:szCs w:val="24"/>
                <w:highlight w:val="none"/>
                <w:u w:val="none"/>
                <w:lang w:val="en-US" w:eastAsia="zh-CN"/>
              </w:rPr>
              <w:t>本项目无生产废水产生，可能涉及的废水主要为消防用水，</w:t>
            </w:r>
            <w:r>
              <w:rPr>
                <w:rFonts w:hint="default" w:ascii="Times New Roman" w:hAnsi="Times New Roman" w:cs="Times New Roman"/>
                <w:b w:val="0"/>
                <w:bCs w:val="0"/>
                <w:sz w:val="24"/>
                <w:szCs w:val="24"/>
                <w:highlight w:val="none"/>
                <w:u w:val="none"/>
              </w:rPr>
              <w:t>根据以上计算可知事故池容积 V</w:t>
            </w:r>
            <w:r>
              <w:rPr>
                <w:rFonts w:hint="default" w:ascii="Times New Roman" w:hAnsi="Times New Roman" w:cs="Times New Roman"/>
                <w:b w:val="0"/>
                <w:bCs w:val="0"/>
                <w:sz w:val="24"/>
                <w:szCs w:val="24"/>
                <w:highlight w:val="none"/>
                <w:u w:val="none"/>
                <w:vertAlign w:val="subscript"/>
              </w:rPr>
              <w:t xml:space="preserve"> 总</w:t>
            </w:r>
            <w:r>
              <w:rPr>
                <w:rFonts w:hint="default" w:ascii="Times New Roman" w:hAnsi="Times New Roman" w:cs="Times New Roman"/>
                <w:b w:val="0"/>
                <w:bCs w:val="0"/>
                <w:sz w:val="24"/>
                <w:szCs w:val="24"/>
                <w:highlight w:val="none"/>
                <w:u w:val="none"/>
              </w:rPr>
              <w:t>=</w:t>
            </w:r>
            <w:r>
              <w:rPr>
                <w:rFonts w:hint="eastAsia" w:ascii="Times New Roman" w:hAnsi="Times New Roman" w:cs="Times New Roman"/>
                <w:b w:val="0"/>
                <w:bCs w:val="0"/>
                <w:sz w:val="24"/>
                <w:szCs w:val="24"/>
                <w:highlight w:val="none"/>
                <w:u w:val="none"/>
                <w:lang w:val="en-US" w:eastAsia="zh-CN"/>
              </w:rPr>
              <w:t>72</w:t>
            </w:r>
            <w:r>
              <w:rPr>
                <w:rFonts w:hint="default" w:ascii="Times New Roman" w:hAnsi="Times New Roman" w:cs="Times New Roman"/>
                <w:b w:val="0"/>
                <w:bCs w:val="0"/>
                <w:sz w:val="24"/>
                <w:szCs w:val="24"/>
                <w:highlight w:val="none"/>
                <w:u w:val="none"/>
              </w:rPr>
              <w:t>m</w:t>
            </w:r>
            <w:r>
              <w:rPr>
                <w:rFonts w:hint="default" w:ascii="Times New Roman" w:hAnsi="Times New Roman" w:cs="Times New Roman"/>
                <w:b w:val="0"/>
                <w:bCs w:val="0"/>
                <w:sz w:val="24"/>
                <w:szCs w:val="24"/>
                <w:highlight w:val="none"/>
                <w:u w:val="none"/>
                <w:vertAlign w:val="superscript"/>
              </w:rPr>
              <w:t>3</w:t>
            </w:r>
            <w:r>
              <w:rPr>
                <w:rFonts w:hint="default" w:ascii="Times New Roman" w:hAnsi="Times New Roman" w:cs="Times New Roman"/>
                <w:b w:val="0"/>
                <w:bCs w:val="0"/>
                <w:sz w:val="24"/>
                <w:szCs w:val="24"/>
                <w:highlight w:val="none"/>
                <w:u w:val="none"/>
              </w:rPr>
              <w:t>，故建设单位设置事故池体积不得小于</w:t>
            </w:r>
            <w:r>
              <w:rPr>
                <w:rFonts w:hint="eastAsia" w:ascii="Times New Roman" w:hAnsi="Times New Roman" w:cs="Times New Roman"/>
                <w:b w:val="0"/>
                <w:bCs w:val="0"/>
                <w:sz w:val="24"/>
                <w:szCs w:val="24"/>
                <w:highlight w:val="none"/>
                <w:u w:val="none"/>
                <w:lang w:val="en-US" w:eastAsia="zh-CN"/>
              </w:rPr>
              <w:t>72</w:t>
            </w:r>
            <w:r>
              <w:rPr>
                <w:rFonts w:hint="default" w:ascii="Times New Roman" w:hAnsi="Times New Roman" w:cs="Times New Roman"/>
                <w:b w:val="0"/>
                <w:bCs w:val="0"/>
                <w:sz w:val="24"/>
                <w:szCs w:val="24"/>
                <w:highlight w:val="none"/>
                <w:u w:val="none"/>
              </w:rPr>
              <w:t>m</w:t>
            </w:r>
            <w:r>
              <w:rPr>
                <w:rFonts w:hint="default" w:ascii="Times New Roman" w:hAnsi="Times New Roman" w:cs="Times New Roman"/>
                <w:b w:val="0"/>
                <w:bCs w:val="0"/>
                <w:sz w:val="24"/>
                <w:szCs w:val="24"/>
                <w:highlight w:val="none"/>
                <w:u w:val="none"/>
                <w:vertAlign w:val="superscript"/>
              </w:rPr>
              <w:t>3</w:t>
            </w:r>
            <w:r>
              <w:rPr>
                <w:rFonts w:hint="default" w:ascii="Times New Roman" w:hAnsi="Times New Roman" w:cs="Times New Roman"/>
                <w:b w:val="0"/>
                <w:bCs w:val="0"/>
                <w:sz w:val="24"/>
                <w:szCs w:val="24"/>
                <w:highlight w:val="none"/>
                <w:u w:val="none"/>
              </w:rPr>
              <w:t>，</w:t>
            </w:r>
            <w:r>
              <w:rPr>
                <w:rFonts w:hint="eastAsia" w:cs="Times New Roman"/>
                <w:b w:val="0"/>
                <w:bCs w:val="0"/>
                <w:color w:val="auto"/>
                <w:highlight w:val="none"/>
                <w:u w:val="none"/>
                <w:lang w:val="en-US" w:eastAsia="zh-CN"/>
              </w:rPr>
              <w:t>现有</w:t>
            </w:r>
            <w:r>
              <w:rPr>
                <w:rFonts w:hint="default" w:ascii="Times New Roman" w:hAnsi="Times New Roman" w:eastAsia="宋体" w:cs="Times New Roman"/>
                <w:b w:val="0"/>
                <w:bCs w:val="0"/>
                <w:color w:val="auto"/>
                <w:highlight w:val="none"/>
                <w:u w:val="none"/>
              </w:rPr>
              <w:t>项目</w:t>
            </w:r>
            <w:r>
              <w:rPr>
                <w:rFonts w:hint="eastAsia" w:cs="Times New Roman"/>
                <w:b w:val="0"/>
                <w:bCs w:val="0"/>
                <w:color w:val="auto"/>
                <w:highlight w:val="none"/>
                <w:u w:val="none"/>
                <w:lang w:val="en-US" w:eastAsia="zh-CN"/>
              </w:rPr>
              <w:t>在</w:t>
            </w:r>
            <w:r>
              <w:rPr>
                <w:rFonts w:hint="default" w:ascii="Times New Roman" w:hAnsi="Times New Roman" w:eastAsia="宋体" w:cs="Times New Roman"/>
                <w:b w:val="0"/>
                <w:bCs w:val="0"/>
                <w:color w:val="auto"/>
                <w:highlight w:val="none"/>
                <w:u w:val="none"/>
                <w:lang w:eastAsia="zh-CN"/>
              </w:rPr>
              <w:t>厂区设置有</w:t>
            </w:r>
            <w:r>
              <w:rPr>
                <w:rFonts w:hint="eastAsia" w:ascii="Times New Roman" w:hAnsi="Times New Roman" w:eastAsia="宋体" w:cs="Times New Roman"/>
                <w:b w:val="0"/>
                <w:bCs w:val="0"/>
                <w:color w:val="auto"/>
                <w:highlight w:val="none"/>
                <w:u w:val="none"/>
                <w:lang w:val="en-US" w:eastAsia="zh-CN"/>
              </w:rPr>
              <w:t>100</w:t>
            </w:r>
            <w:r>
              <w:rPr>
                <w:rFonts w:hint="default" w:ascii="Times New Roman" w:hAnsi="Times New Roman" w:eastAsia="宋体" w:cs="Times New Roman"/>
                <w:b w:val="0"/>
                <w:bCs w:val="0"/>
                <w:color w:val="auto"/>
                <w:highlight w:val="none"/>
                <w:u w:val="none"/>
              </w:rPr>
              <w:t>m</w:t>
            </w:r>
            <w:r>
              <w:rPr>
                <w:rFonts w:hint="default" w:ascii="Times New Roman" w:hAnsi="Times New Roman" w:eastAsia="宋体" w:cs="Times New Roman"/>
                <w:b w:val="0"/>
                <w:bCs w:val="0"/>
                <w:color w:val="auto"/>
                <w:highlight w:val="none"/>
                <w:u w:val="none"/>
                <w:vertAlign w:val="superscript"/>
              </w:rPr>
              <w:t>3</w:t>
            </w:r>
            <w:r>
              <w:rPr>
                <w:rFonts w:hint="default" w:ascii="Times New Roman" w:hAnsi="Times New Roman" w:eastAsia="宋体" w:cs="Times New Roman"/>
                <w:b w:val="0"/>
                <w:bCs w:val="0"/>
                <w:color w:val="auto"/>
                <w:highlight w:val="none"/>
                <w:u w:val="none"/>
              </w:rPr>
              <w:t>的事故池</w:t>
            </w:r>
            <w:r>
              <w:rPr>
                <w:rFonts w:hint="default" w:ascii="Times New Roman" w:hAnsi="Times New Roman" w:eastAsia="宋体" w:cs="Times New Roman"/>
                <w:b w:val="0"/>
                <w:bCs w:val="0"/>
                <w:color w:val="auto"/>
                <w:highlight w:val="none"/>
                <w:u w:val="none"/>
                <w:lang w:eastAsia="zh-CN"/>
              </w:rPr>
              <w:t>，</w:t>
            </w:r>
            <w:r>
              <w:rPr>
                <w:rFonts w:hint="eastAsia" w:cs="Times New Roman"/>
                <w:b w:val="0"/>
                <w:bCs w:val="0"/>
                <w:color w:val="auto"/>
                <w:highlight w:val="none"/>
                <w:u w:val="none"/>
                <w:lang w:val="en-US" w:eastAsia="zh-CN"/>
              </w:rPr>
              <w:t>位于本项目的东南侧，本次评价要求企业自丙烷储罐区到事故池修建导流槽，当发生火灾时，由于厂区东西部分有高差，消防废水可通过导流槽自流至事故池。</w:t>
            </w:r>
            <w:r>
              <w:rPr>
                <w:rFonts w:hint="default" w:ascii="Times New Roman" w:hAnsi="Times New Roman" w:eastAsia="宋体" w:cs="Times New Roman"/>
                <w:b w:val="0"/>
                <w:bCs w:val="0"/>
                <w:color w:val="auto"/>
                <w:highlight w:val="none"/>
                <w:u w:val="none"/>
              </w:rPr>
              <w:t>正常情况下可确保</w:t>
            </w:r>
            <w:r>
              <w:rPr>
                <w:rFonts w:hint="default" w:ascii="Times New Roman" w:hAnsi="Times New Roman" w:eastAsia="宋体" w:cs="Times New Roman"/>
                <w:b w:val="0"/>
                <w:bCs w:val="0"/>
                <w:color w:val="auto"/>
                <w:highlight w:val="none"/>
                <w:u w:val="none"/>
                <w:lang w:eastAsia="zh-CN"/>
              </w:rPr>
              <w:t>事故</w:t>
            </w:r>
            <w:r>
              <w:rPr>
                <w:rFonts w:hint="default" w:ascii="Times New Roman" w:hAnsi="Times New Roman" w:eastAsia="宋体" w:cs="Times New Roman"/>
                <w:b w:val="0"/>
                <w:bCs w:val="0"/>
                <w:color w:val="auto"/>
                <w:highlight w:val="none"/>
                <w:u w:val="none"/>
              </w:rPr>
              <w:t>废水不流出厂外，而不进入河流</w:t>
            </w:r>
            <w:r>
              <w:rPr>
                <w:rFonts w:hint="default" w:ascii="Times New Roman" w:hAnsi="Times New Roman" w:eastAsia="宋体" w:cs="Times New Roman"/>
                <w:b w:val="0"/>
                <w:bCs w:val="0"/>
                <w:color w:val="auto"/>
                <w:highlight w:val="none"/>
                <w:u w:val="none"/>
                <w:lang w:eastAsia="zh-CN"/>
              </w:rPr>
              <w:t>，对</w:t>
            </w:r>
            <w:r>
              <w:rPr>
                <w:rFonts w:hint="eastAsia" w:ascii="Times New Roman" w:hAnsi="Times New Roman" w:eastAsia="宋体" w:cs="Times New Roman"/>
                <w:b w:val="0"/>
                <w:bCs w:val="0"/>
                <w:color w:val="auto"/>
                <w:highlight w:val="none"/>
                <w:u w:val="none"/>
                <w:lang w:val="en-US" w:eastAsia="zh-CN"/>
              </w:rPr>
              <w:t>西干五支排</w:t>
            </w:r>
            <w:r>
              <w:rPr>
                <w:rFonts w:hint="default" w:ascii="Times New Roman" w:hAnsi="Times New Roman" w:eastAsia="宋体" w:cs="Times New Roman"/>
                <w:b w:val="0"/>
                <w:bCs w:val="0"/>
                <w:color w:val="auto"/>
                <w:highlight w:val="none"/>
                <w:u w:val="none"/>
                <w:lang w:eastAsia="zh-CN"/>
              </w:rPr>
              <w:t>影响较小。</w:t>
            </w:r>
          </w:p>
          <w:p>
            <w:pPr>
              <w:pStyle w:val="7"/>
              <w:keepNext w:val="0"/>
              <w:keepLines w:val="0"/>
              <w:pageBreakBefore w:val="0"/>
              <w:widowControl w:val="0"/>
              <w:numPr>
                <w:ilvl w:val="0"/>
                <w:numId w:val="7"/>
              </w:numPr>
              <w:kinsoku/>
              <w:wordWrap/>
              <w:overflowPunct/>
              <w:topLinePunct w:val="0"/>
              <w:autoSpaceDE/>
              <w:autoSpaceDN/>
              <w:bidi w:val="0"/>
              <w:adjustRightInd/>
              <w:snapToGrid/>
              <w:spacing w:before="0" w:after="0"/>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地下水环境风险影响</w:t>
            </w:r>
          </w:p>
          <w:p>
            <w:pPr>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本项目</w:t>
            </w:r>
            <w:r>
              <w:rPr>
                <w:rFonts w:hint="default" w:ascii="Times New Roman" w:hAnsi="Times New Roman" w:eastAsia="宋体" w:cs="Times New Roman"/>
                <w:color w:val="auto"/>
                <w:highlight w:val="none"/>
                <w:lang w:val="en-US" w:eastAsia="zh-CN"/>
              </w:rPr>
              <w:t>罐区设置了集水沟，并对罐区地面进行了防渗处理。当罐区一旦发生泄漏事故时，物料将积聚在罐区，且物料易挥发成气态，进入地下水可能性很小。</w:t>
            </w:r>
          </w:p>
          <w:p>
            <w:pPr>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事故状态下的事故废水进入事故池，且事故池已进行了防渗处理，对地下水影响较小。</w:t>
            </w:r>
          </w:p>
          <w:p>
            <w:pPr>
              <w:pStyle w:val="7"/>
              <w:keepNext w:val="0"/>
              <w:keepLines w:val="0"/>
              <w:pageBreakBefore w:val="0"/>
              <w:widowControl w:val="0"/>
              <w:numPr>
                <w:ilvl w:val="0"/>
                <w:numId w:val="0"/>
              </w:numPr>
              <w:kinsoku/>
              <w:wordWrap/>
              <w:overflowPunct/>
              <w:topLinePunct w:val="0"/>
              <w:autoSpaceDE/>
              <w:autoSpaceDN/>
              <w:bidi w:val="0"/>
              <w:adjustRightInd/>
              <w:snapToGrid/>
              <w:spacing w:before="0" w:after="0"/>
              <w:ind w:left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lang w:val="en-US" w:eastAsia="zh-CN"/>
              </w:rPr>
              <w:t>.6环境风险管理</w:t>
            </w:r>
          </w:p>
          <w:p>
            <w:pPr>
              <w:pStyle w:val="7"/>
              <w:keepNext w:val="0"/>
              <w:keepLines w:val="0"/>
              <w:pageBreakBefore w:val="0"/>
              <w:widowControl w:val="0"/>
              <w:numPr>
                <w:ilvl w:val="0"/>
                <w:numId w:val="8"/>
              </w:numPr>
              <w:kinsoku/>
              <w:wordWrap/>
              <w:overflowPunct/>
              <w:topLinePunct w:val="0"/>
              <w:autoSpaceDE/>
              <w:autoSpaceDN/>
              <w:bidi w:val="0"/>
              <w:adjustRightInd/>
              <w:snapToGrid/>
              <w:spacing w:before="0" w:after="0" w:line="360" w:lineRule="auto"/>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环境风险防范措施</w:t>
            </w:r>
          </w:p>
          <w:p>
            <w:pPr>
              <w:pStyle w:val="7"/>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①大气环境风险防范措施</w:t>
            </w:r>
          </w:p>
          <w:p>
            <w:pPr>
              <w:pStyle w:val="20"/>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环境风险源为丙烷罐区，对大气环境风险影响主要为：丙烷泄漏进入大气环境、发生火灾爆炸时未完全燃烧的丙烷在高温下迅速挥发稀释至大气环境及丙烷燃烧产生的烟尘及有毒气体挥发进入大气环境。本项目属于在现有厂区内的扩建项目，根据厂区已有防范措施，本次评价提出以下防范、减缓措施：</w:t>
            </w:r>
          </w:p>
          <w:p>
            <w:pPr>
              <w:pStyle w:val="20"/>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1）事故防范主要工艺设施要求</w:t>
            </w:r>
          </w:p>
          <w:p>
            <w:pPr>
              <w:pStyle w:val="20"/>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为了保证项目物料仓储和使用安全，本项目物料的存储条件和设施必须严格按照有关文件中的要求执行，并有严格的管理。</w:t>
            </w:r>
          </w:p>
          <w:p>
            <w:pPr>
              <w:pStyle w:val="20"/>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2）在丙烷气体可能泄漏的地点，根据规范设置可燃气体检测仪，随时检测操作环境中有害气体的浓度，以便采取必要的处理设施。</w:t>
            </w:r>
          </w:p>
          <w:p>
            <w:pPr>
              <w:pStyle w:val="20"/>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罐区附近以及需要提醒人员注意的地点均应按标准设置各种安全标志，凡需要迅速发现并引起注意以防止发生事故的场所、部位，均应按要求涂安全色。</w:t>
            </w:r>
          </w:p>
          <w:p>
            <w:pPr>
              <w:pStyle w:val="20"/>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若发生泄漏，则所有排液，排气均应尽可能收集，集中进行妥善处理，防止随意流散。企业应经常检查管道，定期系统试压、定期检漏。管道施工应按规范要求进行。</w:t>
            </w:r>
          </w:p>
          <w:p>
            <w:pPr>
              <w:pStyle w:val="20"/>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5）定期对设备进行安全检测，检测内容、时间、人员应有记录保存。安全检测应根据设备的安全性、危险性设定检测频次。</w:t>
            </w:r>
          </w:p>
          <w:p>
            <w:pPr>
              <w:pStyle w:val="20"/>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6）控制物料输送流速，禁止高速输送，减少管道与物料之间摩擦，减少静电产生。在储存和输送系统及辅助设施中，在必要的地方安装安全阀和防超压系统。</w:t>
            </w:r>
          </w:p>
          <w:p>
            <w:pPr>
              <w:pStyle w:val="20"/>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7）应加强火源的管理，严禁烟火带入，对设备需进行维修焊接，应经安全部门确认、准许，并有记录。</w:t>
            </w:r>
          </w:p>
          <w:p>
            <w:pPr>
              <w:pStyle w:val="7"/>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ind w:left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②事故废水环境风险防范措施</w:t>
            </w:r>
          </w:p>
          <w:p>
            <w:pPr>
              <w:pStyle w:val="20"/>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国家安全生产监督管理局和国家环保总局发安监总危化[2006]10号文件的精神，为防止发生事故时的消防水污染水体，避免水污染事件的重大突发环境事件发生，参照厂区现有防范措施，对丙烷罐区建立了二级水污染防控体系。</w:t>
            </w:r>
          </w:p>
          <w:p>
            <w:pPr>
              <w:pStyle w:val="20"/>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1）一级防控措施</w:t>
            </w:r>
          </w:p>
          <w:p>
            <w:pPr>
              <w:pStyle w:val="20"/>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在罐区设置围堰和防火堤，对事故情况下泄露的物料及消防废水进行收集控制，防止泄漏物料扩散；围堰及防火堤设污水与清净下水切换阀门，正常及事故情况下针对不同废水实施分流排放控制。</w:t>
            </w:r>
          </w:p>
          <w:p>
            <w:pPr>
              <w:pStyle w:val="20"/>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2）二级防控措施</w:t>
            </w:r>
          </w:p>
          <w:p>
            <w:pPr>
              <w:pStyle w:val="20"/>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当围堰液位上升过快时打开切换阀门，将事故废水引入厂区事故池，</w:t>
            </w:r>
            <w:r>
              <w:rPr>
                <w:rFonts w:hint="default" w:ascii="Times New Roman" w:hAnsi="Times New Roman" w:eastAsia="宋体" w:cs="Times New Roman"/>
                <w:color w:val="auto"/>
                <w:highlight w:val="none"/>
              </w:rPr>
              <w:t>严禁直接排向河流。</w:t>
            </w:r>
            <w:r>
              <w:rPr>
                <w:rFonts w:hint="default" w:ascii="Times New Roman" w:hAnsi="Times New Roman" w:eastAsia="宋体" w:cs="Times New Roman"/>
                <w:color w:val="auto"/>
                <w:highlight w:val="none"/>
                <w:lang w:val="en-US" w:eastAsia="zh-CN"/>
              </w:rPr>
              <w:t>将污染控制在厂区，防止重大事故物料泄漏污染和消防废水造成地表水环境影响。</w:t>
            </w:r>
          </w:p>
          <w:p>
            <w:pPr>
              <w:pStyle w:val="7"/>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ind w:left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③地下水环境风险防范措施</w:t>
            </w:r>
          </w:p>
          <w:p>
            <w:pPr>
              <w:pStyle w:val="7"/>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ind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为避免丙烷大量泄漏或事故废水对当地地下水环境产生不利影响，建设单位必须严格</w:t>
            </w:r>
            <w:r>
              <w:rPr>
                <w:rFonts w:hint="default" w:ascii="Times New Roman" w:hAnsi="Times New Roman" w:eastAsia="宋体" w:cs="Times New Roman"/>
                <w:color w:val="auto"/>
                <w:highlight w:val="none"/>
                <w:lang w:val="en-US" w:eastAsia="zh-CN"/>
              </w:rPr>
              <w:t>按照相关标准要求做好防渗防漏措施，地下水事故应急减缓措施如下：</w:t>
            </w:r>
          </w:p>
          <w:p>
            <w:pPr>
              <w:pStyle w:val="7"/>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ind w:left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1）源头控制措施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加强罐区与管道系统的管理与维修，使整个物料储存系统处于密闭化，严格防治跑、冒、滴、漏现象的发生；对储罐、机电装置、安全设施、消防器材等，进行各种日常的、定期的、专业的防火安全检查，并将发现的问题落实到人、限期落实整改；本项目区域内禁止吸烟和使用手机等无线电设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eastAsia="zh-CN"/>
              </w:rPr>
              <w:t>分区防渗措施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本项目工艺布置简单，主要生产设施为地上</w:t>
            </w:r>
            <w:r>
              <w:rPr>
                <w:rFonts w:hint="eastAsia" w:ascii="Times New Roman" w:hAnsi="Times New Roman" w:eastAsia="宋体" w:cs="Times New Roman"/>
                <w:color w:val="auto"/>
                <w:highlight w:val="none"/>
                <w:lang w:val="en-US" w:eastAsia="zh-CN"/>
              </w:rPr>
              <w:t>储罐</w:t>
            </w:r>
            <w:r>
              <w:rPr>
                <w:rFonts w:hint="default" w:ascii="Times New Roman" w:hAnsi="Times New Roman" w:eastAsia="宋体" w:cs="Times New Roman"/>
                <w:color w:val="auto"/>
                <w:highlight w:val="none"/>
                <w:lang w:eastAsia="zh-CN"/>
              </w:rPr>
              <w:t>，其他依托厂区现有设施，针对可能对地下水造成影响的各环节，按照“考虑重点，辐射全面”的防腐防渗原则，项目对储罐基础、储罐到防火堤之间的地面以及防火堤均作了重点防渗处理，并确保其可靠性和有效性。</w:t>
            </w:r>
          </w:p>
          <w:p>
            <w:pPr>
              <w:pStyle w:val="7"/>
              <w:keepNext w:val="0"/>
              <w:keepLines w:val="0"/>
              <w:pageBreakBefore w:val="0"/>
              <w:widowControl w:val="0"/>
              <w:numPr>
                <w:ilvl w:val="0"/>
                <w:numId w:val="8"/>
              </w:numPr>
              <w:kinsoku/>
              <w:wordWrap/>
              <w:overflowPunct/>
              <w:topLinePunct w:val="0"/>
              <w:autoSpaceDE/>
              <w:autoSpaceDN/>
              <w:bidi w:val="0"/>
              <w:adjustRightInd/>
              <w:snapToGrid/>
              <w:spacing w:before="0" w:after="0"/>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突发环境事件应急预案编制要求</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目前建设单位已编制《新乡市兴豫气体有限责任公司突发环境事件应急预案》（XY HJYA 201702），由于本项目的建设，使企业危险源发生变化，因此，企业应按照国家、地方和相关部门要求，对环境风险源重新进行识别，对企业现有突发环境事件应急预案进行修订。</w:t>
            </w:r>
          </w:p>
          <w:p>
            <w:pPr>
              <w:pStyle w:val="7"/>
              <w:keepNext w:val="0"/>
              <w:keepLines w:val="0"/>
              <w:pageBreakBefore w:val="0"/>
              <w:widowControl w:val="0"/>
              <w:numPr>
                <w:ilvl w:val="0"/>
                <w:numId w:val="0"/>
              </w:numPr>
              <w:kinsoku/>
              <w:wordWrap/>
              <w:overflowPunct/>
              <w:topLinePunct w:val="0"/>
              <w:autoSpaceDE/>
              <w:autoSpaceDN/>
              <w:bidi w:val="0"/>
              <w:adjustRightInd/>
              <w:snapToGrid/>
              <w:spacing w:before="0" w:after="0"/>
              <w:ind w:left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lang w:val="en-US" w:eastAsia="zh-CN"/>
              </w:rPr>
              <w:t>7评价结论与建议</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分析，本项目主要危险单位为丙烷储罐，涉及的危险物质为丙烷，通过风险识别，确定项目的事故类型有丙烷泄漏挥发进入大气环境、丙烷泄漏进入地表水、发生火灾爆炸未完全燃烧的丙烷在高温下迅速挥发释放至大气环境及丙烷燃烧产生的烟尘及有毒气体挥发进入大气环境、事故状态下产生的消防废水等。</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rFonts w:hint="eastAsia"/>
                <w:b w:val="0"/>
                <w:bCs/>
                <w:snapToGrid w:val="0"/>
                <w:kern w:val="0"/>
                <w:sz w:val="24"/>
                <w:highlight w:val="none"/>
              </w:rPr>
            </w:pPr>
            <w:r>
              <w:rPr>
                <w:rFonts w:hint="default" w:ascii="Times New Roman" w:hAnsi="Times New Roman" w:eastAsia="宋体" w:cs="Times New Roman"/>
                <w:color w:val="auto"/>
                <w:highlight w:val="none"/>
                <w:lang w:val="en-US" w:eastAsia="zh-CN"/>
              </w:rPr>
              <w:t xml:space="preserve">根据分析可知，发生突发环境事故时，对地表水及地下水环境影响较小，对大气环境影响及附近的村庄影响较大，在采取各方面的环境风险防范措施后，项目的环境风险是可防控的。企业应尽快进行突发环境事件应急预案的修订，最大程度减少对环境可能造成的危害。 </w:t>
            </w:r>
          </w:p>
          <w:p>
            <w:pPr>
              <w:keepNext w:val="0"/>
              <w:keepLines w:val="0"/>
              <w:pageBreakBefore w:val="0"/>
              <w:widowControl w:val="0"/>
              <w:kinsoku/>
              <w:wordWrap/>
              <w:overflowPunct w:val="0"/>
              <w:topLinePunct w:val="0"/>
              <w:autoSpaceDE/>
              <w:autoSpaceDN/>
              <w:bidi w:val="0"/>
              <w:adjustRightInd/>
              <w:snapToGrid/>
              <w:spacing w:line="240" w:lineRule="auto"/>
              <w:ind w:firstLine="480" w:firstLineChars="200"/>
              <w:jc w:val="center"/>
              <w:textAlignment w:val="auto"/>
              <w:rPr>
                <w:b w:val="0"/>
                <w:bCs/>
                <w:snapToGrid w:val="0"/>
                <w:kern w:val="0"/>
                <w:sz w:val="24"/>
                <w:highlight w:val="none"/>
              </w:rPr>
            </w:pPr>
            <w:r>
              <w:rPr>
                <w:rFonts w:hint="eastAsia"/>
                <w:b w:val="0"/>
                <w:bCs/>
                <w:snapToGrid w:val="0"/>
                <w:kern w:val="0"/>
                <w:sz w:val="24"/>
                <w:highlight w:val="none"/>
              </w:rPr>
              <w:t>表</w:t>
            </w:r>
            <w:r>
              <w:rPr>
                <w:rFonts w:hint="eastAsia"/>
                <w:b w:val="0"/>
                <w:bCs/>
                <w:snapToGrid w:val="0"/>
                <w:kern w:val="0"/>
                <w:sz w:val="24"/>
                <w:highlight w:val="none"/>
                <w:lang w:val="en-US" w:eastAsia="zh-CN"/>
              </w:rPr>
              <w:t>60</w:t>
            </w:r>
            <w:r>
              <w:rPr>
                <w:rFonts w:hint="eastAsia"/>
                <w:b w:val="0"/>
                <w:bCs/>
                <w:snapToGrid w:val="0"/>
                <w:kern w:val="0"/>
                <w:sz w:val="24"/>
                <w:highlight w:val="none"/>
              </w:rPr>
              <w:t xml:space="preserve"> 本项目环境风险评价自查表</w:t>
            </w:r>
          </w:p>
          <w:tbl>
            <w:tblPr>
              <w:tblStyle w:val="21"/>
              <w:tblW w:w="901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40"/>
              <w:gridCol w:w="162"/>
              <w:gridCol w:w="682"/>
              <w:gridCol w:w="1172"/>
              <w:gridCol w:w="936"/>
              <w:gridCol w:w="802"/>
              <w:gridCol w:w="804"/>
              <w:gridCol w:w="656"/>
              <w:gridCol w:w="148"/>
              <w:gridCol w:w="775"/>
              <w:gridCol w:w="29"/>
              <w:gridCol w:w="806"/>
              <w:gridCol w:w="804"/>
              <w:gridCol w:w="79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工作内容</w:t>
                  </w:r>
                </w:p>
              </w:tc>
              <w:tc>
                <w:tcPr>
                  <w:tcW w:w="4288" w:type="pct"/>
                  <w:gridSpan w:val="11"/>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完成情况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风险</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调查</w:t>
                  </w:r>
                </w:p>
              </w:tc>
              <w:tc>
                <w:tcPr>
                  <w:tcW w:w="468" w:type="pct"/>
                  <w:gridSpan w:val="2"/>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危险物质</w:t>
                  </w:r>
                </w:p>
              </w:tc>
              <w:tc>
                <w:tcPr>
                  <w:tcW w:w="6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名称</w:t>
                  </w:r>
                </w:p>
              </w:tc>
              <w:tc>
                <w:tcPr>
                  <w:tcW w:w="5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sz w:val="21"/>
                      <w:szCs w:val="21"/>
                      <w:highlight w:val="none"/>
                      <w:lang w:eastAsia="zh-CN"/>
                    </w:rPr>
                  </w:pPr>
                  <w:r>
                    <w:rPr>
                      <w:rFonts w:hint="eastAsia" w:ascii="Times New Roman" w:hAnsi="Times New Roman" w:cs="Times New Roman"/>
                      <w:sz w:val="21"/>
                      <w:szCs w:val="21"/>
                      <w:highlight w:val="none"/>
                      <w:lang w:val="en-US" w:eastAsia="zh-CN"/>
                    </w:rPr>
                    <w:t>丙烷</w:t>
                  </w:r>
                </w:p>
              </w:tc>
              <w:tc>
                <w:tcPr>
                  <w:tcW w:w="4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4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446"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4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463"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4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4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468"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6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最大存在总量/t</w:t>
                  </w:r>
                </w:p>
              </w:tc>
              <w:tc>
                <w:tcPr>
                  <w:tcW w:w="5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116</w:t>
                  </w:r>
                </w:p>
              </w:tc>
              <w:tc>
                <w:tcPr>
                  <w:tcW w:w="4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4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446"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4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463"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4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4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highlight w:val="none"/>
                    </w:rPr>
                  </w:pPr>
                </w:p>
              </w:tc>
              <w:tc>
                <w:tcPr>
                  <w:tcW w:w="468" w:type="pct"/>
                  <w:gridSpan w:val="2"/>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环境敏感性</w:t>
                  </w:r>
                </w:p>
              </w:tc>
              <w:tc>
                <w:tcPr>
                  <w:tcW w:w="65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大气</w:t>
                  </w:r>
                </w:p>
              </w:tc>
              <w:tc>
                <w:tcPr>
                  <w:tcW w:w="3638" w:type="pct"/>
                  <w:gridSpan w:val="10"/>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 xml:space="preserve">500m范围内人口数 </w:t>
                  </w:r>
                  <w:r>
                    <w:rPr>
                      <w:rFonts w:hint="eastAsia" w:ascii="Times New Roman" w:hAnsi="Times New Roman" w:cs="Times New Roman"/>
                      <w:sz w:val="21"/>
                      <w:szCs w:val="21"/>
                      <w:highlight w:val="none"/>
                      <w:lang w:val="en-US" w:eastAsia="zh-CN"/>
                    </w:rPr>
                    <w:t>300</w:t>
                  </w:r>
                  <w:r>
                    <w:rPr>
                      <w:rFonts w:hint="default" w:ascii="Times New Roman" w:hAnsi="Times New Roman" w:cs="Times New Roman"/>
                      <w:sz w:val="21"/>
                      <w:szCs w:val="21"/>
                      <w:highlight w:val="none"/>
                    </w:rPr>
                    <w:t>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highlight w:val="none"/>
                    </w:rPr>
                  </w:pPr>
                </w:p>
              </w:tc>
              <w:tc>
                <w:tcPr>
                  <w:tcW w:w="468"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65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2286" w:type="pct"/>
                  <w:gridSpan w:val="6"/>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每公里管段周边200m范围内人口数（最大）</w:t>
                  </w:r>
                </w:p>
              </w:tc>
              <w:tc>
                <w:tcPr>
                  <w:tcW w:w="135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r>
                    <w:rPr>
                      <w:rFonts w:hint="eastAsia" w:ascii="Times New Roman" w:hAnsi="Times New Roman" w:cs="Times New Roman"/>
                      <w:sz w:val="21"/>
                      <w:szCs w:val="21"/>
                      <w:highlight w:val="none"/>
                      <w:lang w:val="en-US" w:eastAsia="zh-CN"/>
                    </w:rPr>
                    <w:t>20</w:t>
                  </w:r>
                  <w:r>
                    <w:rPr>
                      <w:rFonts w:hint="default" w:ascii="Times New Roman" w:hAnsi="Times New Roman" w:cs="Times New Roman"/>
                      <w:sz w:val="21"/>
                      <w:szCs w:val="21"/>
                      <w:highlight w:val="none"/>
                    </w:rPr>
                    <w:t>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highlight w:val="none"/>
                    </w:rPr>
                  </w:pPr>
                </w:p>
              </w:tc>
              <w:tc>
                <w:tcPr>
                  <w:tcW w:w="468"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65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地表水</w:t>
                  </w:r>
                </w:p>
              </w:tc>
              <w:tc>
                <w:tcPr>
                  <w:tcW w:w="964"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地表水功能敏感性</w:t>
                  </w:r>
                </w:p>
              </w:tc>
              <w:tc>
                <w:tcPr>
                  <w:tcW w:w="81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F1□</w:t>
                  </w:r>
                </w:p>
              </w:tc>
              <w:tc>
                <w:tcPr>
                  <w:tcW w:w="512"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F2□</w:t>
                  </w:r>
                </w:p>
              </w:tc>
              <w:tc>
                <w:tcPr>
                  <w:tcW w:w="135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F3■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highlight w:val="none"/>
                    </w:rPr>
                  </w:pPr>
                </w:p>
              </w:tc>
              <w:tc>
                <w:tcPr>
                  <w:tcW w:w="468"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65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964"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环境敏感目标分级</w:t>
                  </w:r>
                </w:p>
              </w:tc>
              <w:tc>
                <w:tcPr>
                  <w:tcW w:w="81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S1□</w:t>
                  </w:r>
                </w:p>
              </w:tc>
              <w:tc>
                <w:tcPr>
                  <w:tcW w:w="512"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S2□</w:t>
                  </w:r>
                </w:p>
              </w:tc>
              <w:tc>
                <w:tcPr>
                  <w:tcW w:w="135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S3■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highlight w:val="none"/>
                    </w:rPr>
                  </w:pPr>
                </w:p>
              </w:tc>
              <w:tc>
                <w:tcPr>
                  <w:tcW w:w="468"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65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地下水</w:t>
                  </w:r>
                </w:p>
              </w:tc>
              <w:tc>
                <w:tcPr>
                  <w:tcW w:w="964"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地下水功能敏感性</w:t>
                  </w:r>
                </w:p>
              </w:tc>
              <w:tc>
                <w:tcPr>
                  <w:tcW w:w="81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G1□</w:t>
                  </w:r>
                </w:p>
              </w:tc>
              <w:tc>
                <w:tcPr>
                  <w:tcW w:w="512"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G2□</w:t>
                  </w:r>
                </w:p>
              </w:tc>
              <w:tc>
                <w:tcPr>
                  <w:tcW w:w="135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G3■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highlight w:val="none"/>
                    </w:rPr>
                  </w:pPr>
                </w:p>
              </w:tc>
              <w:tc>
                <w:tcPr>
                  <w:tcW w:w="468"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65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964"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包气带防污性能</w:t>
                  </w:r>
                </w:p>
              </w:tc>
              <w:tc>
                <w:tcPr>
                  <w:tcW w:w="81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D1□</w:t>
                  </w:r>
                </w:p>
              </w:tc>
              <w:tc>
                <w:tcPr>
                  <w:tcW w:w="512"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D2□</w:t>
                  </w:r>
                </w:p>
              </w:tc>
              <w:tc>
                <w:tcPr>
                  <w:tcW w:w="135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D3■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pct"/>
                  <w:gridSpan w:val="3"/>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物质及工艺系统危险性</w:t>
                  </w:r>
                </w:p>
              </w:tc>
              <w:tc>
                <w:tcPr>
                  <w:tcW w:w="6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Q值</w:t>
                  </w:r>
                </w:p>
              </w:tc>
              <w:tc>
                <w:tcPr>
                  <w:tcW w:w="964"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Q＜1■</w:t>
                  </w:r>
                </w:p>
              </w:tc>
              <w:tc>
                <w:tcPr>
                  <w:tcW w:w="81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1≤Q＜10■</w:t>
                  </w:r>
                </w:p>
              </w:tc>
              <w:tc>
                <w:tcPr>
                  <w:tcW w:w="512"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10≤Q＜100□</w:t>
                  </w:r>
                </w:p>
              </w:tc>
              <w:tc>
                <w:tcPr>
                  <w:tcW w:w="135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Q＞100□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pct"/>
                  <w:gridSpan w:val="3"/>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6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M值</w:t>
                  </w:r>
                </w:p>
              </w:tc>
              <w:tc>
                <w:tcPr>
                  <w:tcW w:w="964"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M1□</w:t>
                  </w:r>
                </w:p>
              </w:tc>
              <w:tc>
                <w:tcPr>
                  <w:tcW w:w="81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M2□</w:t>
                  </w:r>
                </w:p>
              </w:tc>
              <w:tc>
                <w:tcPr>
                  <w:tcW w:w="512"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M3□</w:t>
                  </w:r>
                </w:p>
              </w:tc>
              <w:tc>
                <w:tcPr>
                  <w:tcW w:w="135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pct"/>
                  <w:gridSpan w:val="3"/>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6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P值</w:t>
                  </w:r>
                </w:p>
              </w:tc>
              <w:tc>
                <w:tcPr>
                  <w:tcW w:w="964"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P1□</w:t>
                  </w:r>
                </w:p>
              </w:tc>
              <w:tc>
                <w:tcPr>
                  <w:tcW w:w="81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P2□</w:t>
                  </w:r>
                </w:p>
              </w:tc>
              <w:tc>
                <w:tcPr>
                  <w:tcW w:w="512"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P3□</w:t>
                  </w:r>
                </w:p>
              </w:tc>
              <w:tc>
                <w:tcPr>
                  <w:tcW w:w="135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P4■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pct"/>
                  <w:gridSpan w:val="3"/>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环境敏感程度</w:t>
                  </w:r>
                </w:p>
              </w:tc>
              <w:tc>
                <w:tcPr>
                  <w:tcW w:w="6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大气</w:t>
                  </w:r>
                </w:p>
              </w:tc>
              <w:tc>
                <w:tcPr>
                  <w:tcW w:w="964"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E1□</w:t>
                  </w:r>
                </w:p>
              </w:tc>
              <w:tc>
                <w:tcPr>
                  <w:tcW w:w="132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E2■</w:t>
                  </w:r>
                </w:p>
              </w:tc>
              <w:tc>
                <w:tcPr>
                  <w:tcW w:w="135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E3□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pct"/>
                  <w:gridSpan w:val="3"/>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6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地表水</w:t>
                  </w:r>
                </w:p>
              </w:tc>
              <w:tc>
                <w:tcPr>
                  <w:tcW w:w="964"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E1□</w:t>
                  </w:r>
                </w:p>
              </w:tc>
              <w:tc>
                <w:tcPr>
                  <w:tcW w:w="132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E2■</w:t>
                  </w:r>
                </w:p>
              </w:tc>
              <w:tc>
                <w:tcPr>
                  <w:tcW w:w="135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E3□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pct"/>
                  <w:gridSpan w:val="3"/>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6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地下水</w:t>
                  </w:r>
                </w:p>
              </w:tc>
              <w:tc>
                <w:tcPr>
                  <w:tcW w:w="964"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E1□</w:t>
                  </w:r>
                </w:p>
              </w:tc>
              <w:tc>
                <w:tcPr>
                  <w:tcW w:w="132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E2□</w:t>
                  </w:r>
                </w:p>
              </w:tc>
              <w:tc>
                <w:tcPr>
                  <w:tcW w:w="135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E3■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环境风险潜势</w:t>
                  </w:r>
                </w:p>
              </w:tc>
              <w:tc>
                <w:tcPr>
                  <w:tcW w:w="6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Ⅳ+□</w:t>
                  </w:r>
                </w:p>
              </w:tc>
              <w:tc>
                <w:tcPr>
                  <w:tcW w:w="964"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Ⅳ□</w:t>
                  </w:r>
                </w:p>
              </w:tc>
              <w:tc>
                <w:tcPr>
                  <w:tcW w:w="892"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Ⅲ□</w:t>
                  </w:r>
                </w:p>
              </w:tc>
              <w:tc>
                <w:tcPr>
                  <w:tcW w:w="892"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Ⅱ■</w:t>
                  </w:r>
                </w:p>
              </w:tc>
              <w:tc>
                <w:tcPr>
                  <w:tcW w:w="889"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评价等级</w:t>
                  </w:r>
                </w:p>
              </w:tc>
              <w:tc>
                <w:tcPr>
                  <w:tcW w:w="1614"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一级□</w:t>
                  </w:r>
                </w:p>
              </w:tc>
              <w:tc>
                <w:tcPr>
                  <w:tcW w:w="892"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二级□</w:t>
                  </w:r>
                </w:p>
              </w:tc>
              <w:tc>
                <w:tcPr>
                  <w:tcW w:w="892"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三级■</w:t>
                  </w:r>
                </w:p>
              </w:tc>
              <w:tc>
                <w:tcPr>
                  <w:tcW w:w="889"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简单分析□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gridSpan w:val="2"/>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风险</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识别</w:t>
                  </w:r>
                </w:p>
              </w:tc>
              <w:tc>
                <w:tcPr>
                  <w:tcW w:w="37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物质危险性</w:t>
                  </w:r>
                </w:p>
              </w:tc>
              <w:tc>
                <w:tcPr>
                  <w:tcW w:w="2506" w:type="pct"/>
                  <w:gridSpan w:val="6"/>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有毒有害□</w:t>
                  </w:r>
                </w:p>
              </w:tc>
              <w:tc>
                <w:tcPr>
                  <w:tcW w:w="1782" w:type="pct"/>
                  <w:gridSpan w:val="5"/>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易燃易爆■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37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环境风险类型</w:t>
                  </w:r>
                </w:p>
              </w:tc>
              <w:tc>
                <w:tcPr>
                  <w:tcW w:w="2506" w:type="pct"/>
                  <w:gridSpan w:val="6"/>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泄漏■</w:t>
                  </w:r>
                </w:p>
              </w:tc>
              <w:tc>
                <w:tcPr>
                  <w:tcW w:w="1782" w:type="pct"/>
                  <w:gridSpan w:val="5"/>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火灾、爆炸引发伴生/次生污染物排放■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37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影响途径</w:t>
                  </w:r>
                </w:p>
              </w:tc>
              <w:tc>
                <w:tcPr>
                  <w:tcW w:w="1614"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大气□</w:t>
                  </w:r>
                </w:p>
              </w:tc>
              <w:tc>
                <w:tcPr>
                  <w:tcW w:w="1338" w:type="pct"/>
                  <w:gridSpan w:val="5"/>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地表水□</w:t>
                  </w:r>
                </w:p>
              </w:tc>
              <w:tc>
                <w:tcPr>
                  <w:tcW w:w="1336"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地下水□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事故影响分析</w:t>
                  </w:r>
                </w:p>
              </w:tc>
              <w:tc>
                <w:tcPr>
                  <w:tcW w:w="1614"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源强设定方法□</w:t>
                  </w:r>
                </w:p>
              </w:tc>
              <w:tc>
                <w:tcPr>
                  <w:tcW w:w="892"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计算法□</w:t>
                  </w:r>
                </w:p>
              </w:tc>
              <w:tc>
                <w:tcPr>
                  <w:tcW w:w="892"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经验估算法□</w:t>
                  </w:r>
                </w:p>
              </w:tc>
              <w:tc>
                <w:tcPr>
                  <w:tcW w:w="889"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其他估算法■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gridSpan w:val="2"/>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风险预测与评价</w:t>
                  </w:r>
                </w:p>
              </w:tc>
              <w:tc>
                <w:tcPr>
                  <w:tcW w:w="37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大气</w:t>
                  </w:r>
                </w:p>
              </w:tc>
              <w:tc>
                <w:tcPr>
                  <w:tcW w:w="1614"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预测模型</w:t>
                  </w:r>
                </w:p>
              </w:tc>
              <w:tc>
                <w:tcPr>
                  <w:tcW w:w="892"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SLAB</w:t>
                  </w:r>
                </w:p>
              </w:tc>
              <w:tc>
                <w:tcPr>
                  <w:tcW w:w="892"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AFTOX</w:t>
                  </w:r>
                </w:p>
              </w:tc>
              <w:tc>
                <w:tcPr>
                  <w:tcW w:w="889"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37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1614" w:type="pct"/>
                  <w:gridSpan w:val="3"/>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预测结果</w:t>
                  </w:r>
                </w:p>
              </w:tc>
              <w:tc>
                <w:tcPr>
                  <w:tcW w:w="2673" w:type="pct"/>
                  <w:gridSpan w:val="8"/>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大气毒性终点浓度-1 最大影响范围  0  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37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1614" w:type="pct"/>
                  <w:gridSpan w:val="3"/>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2673" w:type="pct"/>
                  <w:gridSpan w:val="8"/>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大气毒性终点浓度-2 最大影响范围0m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37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地表水</w:t>
                  </w:r>
                </w:p>
              </w:tc>
              <w:tc>
                <w:tcPr>
                  <w:tcW w:w="4288" w:type="pct"/>
                  <w:gridSpan w:val="11"/>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最近环境敏感目标    /    ，到达时间    /    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37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地下水</w:t>
                  </w:r>
                </w:p>
              </w:tc>
              <w:tc>
                <w:tcPr>
                  <w:tcW w:w="4288" w:type="pct"/>
                  <w:gridSpan w:val="11"/>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下游厂区边界到达时间   /      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37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p>
              </w:tc>
              <w:tc>
                <w:tcPr>
                  <w:tcW w:w="4288" w:type="pct"/>
                  <w:gridSpan w:val="11"/>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最近环境敏感目标 /，到达时间/ 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重点风险防范措施</w:t>
                  </w:r>
                </w:p>
              </w:tc>
              <w:tc>
                <w:tcPr>
                  <w:tcW w:w="4288" w:type="pct"/>
                  <w:gridSpan w:val="11"/>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 气瓶充装输气管与瓶阀的连接型式应为螺纹连接，禁止采用夹具连接充装。</w:t>
                  </w:r>
                </w:p>
                <w:p>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 气瓶充装系统用的指针式压力表精度应不低于1.6 级表盘直径应不小于100 mm。校验周期不应超过6 个月。</w:t>
                  </w:r>
                </w:p>
                <w:p>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 待充气体中的杂质含量应符合相应气体标准的要求，否则禁止充装。</w:t>
                  </w:r>
                </w:p>
                <w:p>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4 气瓶充装气体吋，应严格遵守下列各项规定：</w:t>
                  </w:r>
                </w:p>
                <w:p>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5充装前应检查确认气瓶是经过检查合格的（应有记录）；</w:t>
                  </w:r>
                </w:p>
                <w:p>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6用防错装接头进行充装时.应认真仔细检査瓶阀出气口的螺纹与所装气体所规定的螺纹型式是否相符，防错装接头各零件是否灵活好用；</w:t>
                  </w:r>
                </w:p>
                <w:p>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7开启瓶阀时应缓慢操作，并应注意监听瓶内冇无异常音响；</w:t>
                  </w:r>
                </w:p>
                <w:p>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8禁止用扳手等金属器具敲击瓶阀和管道；；</w:t>
                  </w:r>
                </w:p>
                <w:p>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9、制定突发环境事件应急预案，并定期演练等措施。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评价结论与建议</w:t>
                  </w:r>
                </w:p>
              </w:tc>
              <w:tc>
                <w:tcPr>
                  <w:tcW w:w="4288" w:type="pct"/>
                  <w:gridSpan w:val="11"/>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综合以上分析，本项目主要原料及产品为</w:t>
                  </w:r>
                  <w:r>
                    <w:rPr>
                      <w:rFonts w:hint="eastAsia" w:ascii="Times New Roman" w:hAnsi="Times New Roman" w:cs="Times New Roman"/>
                      <w:sz w:val="21"/>
                      <w:szCs w:val="21"/>
                      <w:highlight w:val="none"/>
                      <w:lang w:val="en-US" w:eastAsia="zh-CN"/>
                    </w:rPr>
                    <w:t>丙烷、</w:t>
                  </w:r>
                  <w:r>
                    <w:rPr>
                      <w:rFonts w:hint="default" w:ascii="Times New Roman" w:hAnsi="Times New Roman" w:cs="Times New Roman"/>
                      <w:sz w:val="21"/>
                      <w:szCs w:val="21"/>
                      <w:highlight w:val="none"/>
                    </w:rPr>
                    <w:t>氧气、氩气、氮气和二氧化碳，不涉及有毒有害物质，但存在发生气体泄漏引发火灾、爆炸环境风险隐患。故企业应根据地方相关政府的要求编制安全评价报告。制定环境风险应急预案及相应的项风险防范措施，并切实落实在实际工作中，可有效地避免环境风险事故的发生。采取上述措施后，本项目环境的风险影响是可防可控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1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注：“□”为勾选项，“”为填写项。</w:t>
                  </w:r>
                </w:p>
              </w:tc>
            </w:tr>
          </w:tbl>
          <w:p>
            <w:pPr>
              <w:pStyle w:val="4"/>
              <w:bidi w:val="0"/>
              <w:rPr>
                <w:highlight w:val="none"/>
              </w:rPr>
            </w:pPr>
            <w:r>
              <w:rPr>
                <w:highlight w:val="none"/>
              </w:rPr>
              <w:t>（</w:t>
            </w:r>
            <w:r>
              <w:rPr>
                <w:rFonts w:hint="eastAsia"/>
                <w:highlight w:val="none"/>
              </w:rPr>
              <w:t>八</w:t>
            </w:r>
            <w:r>
              <w:rPr>
                <w:highlight w:val="none"/>
              </w:rPr>
              <w:t>）、选址可行性分析</w:t>
            </w:r>
          </w:p>
          <w:p>
            <w:pPr>
              <w:bidi w:val="0"/>
              <w:rPr>
                <w:rFonts w:hint="default" w:ascii="Times New Roman" w:hAnsi="Times New Roman" w:cs="Times New Roman"/>
                <w:b w:val="0"/>
                <w:bCs w:val="0"/>
                <w:color w:val="auto"/>
                <w:sz w:val="24"/>
                <w:highlight w:val="none"/>
                <w:u w:val="none"/>
              </w:rPr>
            </w:pPr>
            <w:r>
              <w:rPr>
                <w:rFonts w:hint="eastAsia"/>
                <w:b w:val="0"/>
                <w:bCs w:val="0"/>
                <w:highlight w:val="none"/>
                <w:u w:val="none"/>
                <w:lang w:val="en-US" w:eastAsia="zh-CN"/>
              </w:rPr>
              <w:t>8.1</w:t>
            </w:r>
            <w:r>
              <w:rPr>
                <w:rFonts w:hint="default" w:ascii="Times New Roman" w:hAnsi="Times New Roman" w:cs="Times New Roman"/>
                <w:b w:val="0"/>
                <w:bCs w:val="0"/>
                <w:color w:val="auto"/>
                <w:sz w:val="24"/>
                <w:highlight w:val="none"/>
                <w:u w:val="none"/>
              </w:rPr>
              <w:t>规划相符性</w:t>
            </w:r>
          </w:p>
          <w:p>
            <w:pPr>
              <w:bidi w:val="0"/>
              <w:rPr>
                <w:rFonts w:hint="default" w:eastAsia="宋体"/>
                <w:b w:val="0"/>
                <w:bCs w:val="0"/>
                <w:highlight w:val="none"/>
                <w:u w:val="none"/>
                <w:lang w:val="en-US" w:eastAsia="zh-CN"/>
              </w:rPr>
            </w:pPr>
            <w:r>
              <w:rPr>
                <w:rFonts w:hint="eastAsia"/>
                <w:b w:val="0"/>
                <w:bCs w:val="0"/>
                <w:highlight w:val="none"/>
                <w:u w:val="none"/>
                <w:lang w:val="en-US" w:eastAsia="zh-CN"/>
              </w:rPr>
              <w:t>本项目建设地址为</w:t>
            </w:r>
            <w:r>
              <w:rPr>
                <w:rFonts w:hint="eastAsia"/>
                <w:b w:val="0"/>
                <w:bCs w:val="0"/>
                <w:highlight w:val="none"/>
                <w:u w:val="none"/>
              </w:rPr>
              <w:t>新乡市</w:t>
            </w:r>
            <w:r>
              <w:rPr>
                <w:rFonts w:hint="eastAsia"/>
                <w:b w:val="0"/>
                <w:bCs w:val="0"/>
                <w:color w:val="000000" w:themeColor="text1"/>
                <w:szCs w:val="21"/>
                <w:highlight w:val="none"/>
                <w:u w:val="none"/>
                <w14:textFill>
                  <w14:solidFill>
                    <w14:schemeClr w14:val="tx1"/>
                  </w14:solidFill>
                </w14:textFill>
              </w:rPr>
              <w:t>新乡县大召营镇(新焦公路八公里处)</w:t>
            </w:r>
            <w:r>
              <w:rPr>
                <w:rFonts w:hint="eastAsia"/>
                <w:b w:val="0"/>
                <w:bCs w:val="0"/>
                <w:highlight w:val="none"/>
                <w:u w:val="none"/>
              </w:rPr>
              <w:t>，</w:t>
            </w:r>
            <w:r>
              <w:rPr>
                <w:rFonts w:hint="eastAsia"/>
                <w:b w:val="0"/>
                <w:bCs w:val="0"/>
                <w:highlight w:val="none"/>
                <w:u w:val="none"/>
                <w:lang w:val="en-US" w:eastAsia="zh-CN"/>
              </w:rPr>
              <w:t>位于新乡县大召营专业园区内，</w:t>
            </w:r>
            <w:r>
              <w:rPr>
                <w:rFonts w:hint="default"/>
                <w:b w:val="0"/>
                <w:bCs w:val="0"/>
                <w:highlight w:val="none"/>
                <w:u w:val="none"/>
              </w:rPr>
              <w:t>项目中心坐标：</w:t>
            </w:r>
            <w:r>
              <w:rPr>
                <w:rFonts w:hint="default"/>
                <w:b w:val="0"/>
                <w:bCs w:val="0"/>
                <w:highlight w:val="none"/>
                <w:u w:val="none"/>
                <w:lang w:eastAsia="zh-CN"/>
              </w:rPr>
              <w:t>东经</w:t>
            </w:r>
            <w:r>
              <w:rPr>
                <w:rFonts w:hint="default"/>
                <w:b w:val="0"/>
                <w:bCs w:val="0"/>
                <w:highlight w:val="none"/>
                <w:u w:val="none"/>
                <w:lang w:val="en-US" w:eastAsia="zh-CN"/>
              </w:rPr>
              <w:t>113.772715°，北纬35.283414°</w:t>
            </w:r>
            <w:r>
              <w:rPr>
                <w:rFonts w:hint="eastAsia"/>
                <w:b w:val="0"/>
                <w:bCs w:val="0"/>
                <w:highlight w:val="none"/>
                <w:u w:val="none"/>
                <w:lang w:eastAsia="zh-CN"/>
              </w:rPr>
              <w:t>。</w:t>
            </w:r>
            <w:r>
              <w:rPr>
                <w:rFonts w:hint="eastAsia"/>
                <w:b w:val="0"/>
                <w:bCs w:val="0"/>
                <w:highlight w:val="none"/>
                <w:u w:val="none"/>
                <w:lang w:val="en-US" w:eastAsia="zh-CN"/>
              </w:rPr>
              <w:t>根据新乡县大召营镇总体规划图（2013-2030）和新乡县大召营专业园区用地规划图，</w:t>
            </w:r>
            <w:r>
              <w:rPr>
                <w:rFonts w:hint="eastAsia"/>
                <w:b w:val="0"/>
                <w:bCs w:val="0"/>
                <w:highlight w:val="none"/>
                <w:u w:val="none"/>
              </w:rPr>
              <w:t>本项目所在地为二类工业用地，</w:t>
            </w:r>
            <w:r>
              <w:rPr>
                <w:rFonts w:hint="eastAsia"/>
                <w:b w:val="0"/>
                <w:bCs w:val="0"/>
                <w:highlight w:val="none"/>
                <w:u w:val="none"/>
                <w:lang w:val="en-US" w:eastAsia="zh-CN"/>
              </w:rPr>
              <w:t>项目土地用途与规划相符，</w:t>
            </w:r>
            <w:r>
              <w:rPr>
                <w:rFonts w:hint="eastAsia"/>
                <w:b w:val="0"/>
                <w:bCs w:val="0"/>
                <w:highlight w:val="none"/>
                <w:u w:val="none"/>
              </w:rPr>
              <w:t>符合新乡县大召营镇</w:t>
            </w:r>
            <w:r>
              <w:rPr>
                <w:rFonts w:hint="eastAsia"/>
                <w:b w:val="0"/>
                <w:bCs w:val="0"/>
                <w:highlight w:val="none"/>
                <w:u w:val="none"/>
                <w:lang w:val="en-US" w:eastAsia="zh-CN"/>
              </w:rPr>
              <w:t>土地规划和</w:t>
            </w:r>
            <w:r>
              <w:rPr>
                <w:rFonts w:hint="eastAsia"/>
                <w:b w:val="0"/>
                <w:bCs w:val="0"/>
                <w:highlight w:val="none"/>
                <w:u w:val="none"/>
              </w:rPr>
              <w:t>总体规划</w:t>
            </w:r>
            <w:r>
              <w:rPr>
                <w:rFonts w:hint="eastAsia"/>
                <w:b w:val="0"/>
                <w:bCs w:val="0"/>
                <w:highlight w:val="none"/>
                <w:u w:val="none"/>
                <w:lang w:eastAsia="zh-CN"/>
              </w:rPr>
              <w:t>。</w:t>
            </w:r>
            <w:r>
              <w:rPr>
                <w:rFonts w:hint="eastAsia"/>
                <w:b w:val="0"/>
                <w:bCs w:val="0"/>
                <w:highlight w:val="none"/>
                <w:u w:val="none"/>
                <w:lang w:val="en-US" w:eastAsia="zh-CN"/>
              </w:rPr>
              <w:t>根据新乡县大召营专业园区产业布局规划图，本项目位于环保过滤区，为气体分装项目，与产业布局规划不冲突，符合园区产业规划。</w:t>
            </w:r>
          </w:p>
          <w:p>
            <w:pPr>
              <w:bidi w:val="0"/>
              <w:rPr>
                <w:rFonts w:hint="default" w:eastAsia="宋体"/>
                <w:b w:val="0"/>
                <w:bCs w:val="0"/>
                <w:highlight w:val="none"/>
                <w:u w:val="none"/>
                <w:lang w:val="en-US" w:eastAsia="zh-CN"/>
              </w:rPr>
            </w:pPr>
            <w:r>
              <w:rPr>
                <w:rFonts w:hint="eastAsia"/>
                <w:b w:val="0"/>
                <w:bCs w:val="0"/>
                <w:highlight w:val="none"/>
                <w:u w:val="none"/>
                <w:lang w:val="en-US" w:eastAsia="zh-CN"/>
              </w:rPr>
              <w:t>8.2项目运营后对周围敏感点的影响</w:t>
            </w:r>
          </w:p>
          <w:p>
            <w:pPr>
              <w:bidi w:val="0"/>
              <w:rPr>
                <w:b w:val="0"/>
                <w:bCs w:val="0"/>
                <w:highlight w:val="none"/>
                <w:u w:val="none"/>
              </w:rPr>
            </w:pPr>
            <w:r>
              <w:rPr>
                <w:rFonts w:hint="eastAsia"/>
                <w:b w:val="0"/>
                <w:bCs w:val="0"/>
                <w:highlight w:val="none"/>
                <w:u w:val="none"/>
              </w:rPr>
              <w:t>项目周围主要环境敏感点为</w:t>
            </w:r>
            <w:r>
              <w:rPr>
                <w:rFonts w:hint="eastAsia"/>
                <w:b w:val="0"/>
                <w:bCs w:val="0"/>
                <w:highlight w:val="none"/>
                <w:u w:val="none"/>
                <w:lang w:eastAsia="zh-CN"/>
              </w:rPr>
              <w:t>北侧约</w:t>
            </w:r>
            <w:r>
              <w:rPr>
                <w:rFonts w:hint="eastAsia"/>
                <w:b w:val="0"/>
                <w:bCs w:val="0"/>
                <w:highlight w:val="none"/>
                <w:u w:val="none"/>
                <w:lang w:val="en-US" w:eastAsia="zh-CN"/>
              </w:rPr>
              <w:t>317m处的前高庄村，东北侧约643m处的后高庄村，西侧约487m处的代店村，西北侧约817m处的</w:t>
            </w:r>
            <w:r>
              <w:rPr>
                <w:rFonts w:hint="eastAsia"/>
                <w:b w:val="0"/>
                <w:bCs w:val="0"/>
                <w:color w:val="000000" w:themeColor="text1"/>
                <w:highlight w:val="none"/>
                <w:u w:val="none"/>
                <w:lang w:val="en-US" w:eastAsia="zh-CN"/>
                <w14:textFill>
                  <w14:solidFill>
                    <w14:schemeClr w14:val="tx1"/>
                  </w14:solidFill>
                </w14:textFill>
              </w:rPr>
              <w:t>店后营村</w:t>
            </w:r>
            <w:r>
              <w:rPr>
                <w:rFonts w:hint="eastAsia"/>
                <w:b w:val="0"/>
                <w:bCs w:val="0"/>
                <w:highlight w:val="none"/>
                <w:u w:val="none"/>
                <w:lang w:val="en-US" w:eastAsia="zh-CN"/>
              </w:rPr>
              <w:t>。距</w:t>
            </w:r>
            <w:r>
              <w:rPr>
                <w:rFonts w:hint="eastAsia"/>
                <w:b w:val="0"/>
                <w:bCs w:val="0"/>
                <w:highlight w:val="none"/>
                <w:u w:val="none"/>
                <w:lang w:eastAsia="zh-CN"/>
              </w:rPr>
              <w:t>离本项目最近的地表水体为</w:t>
            </w:r>
            <w:r>
              <w:rPr>
                <w:rFonts w:hint="eastAsia"/>
                <w:b w:val="0"/>
                <w:bCs w:val="0"/>
                <w:highlight w:val="none"/>
                <w:u w:val="none"/>
                <w:lang w:val="en-US" w:eastAsia="zh-CN"/>
              </w:rPr>
              <w:t>北</w:t>
            </w:r>
            <w:r>
              <w:rPr>
                <w:rFonts w:hint="eastAsia"/>
                <w:b w:val="0"/>
                <w:bCs w:val="0"/>
                <w:highlight w:val="none"/>
                <w:u w:val="none"/>
                <w:lang w:eastAsia="zh-CN"/>
              </w:rPr>
              <w:t>侧</w:t>
            </w:r>
            <w:r>
              <w:rPr>
                <w:rFonts w:hint="eastAsia"/>
                <w:b w:val="0"/>
                <w:bCs w:val="0"/>
                <w:highlight w:val="none"/>
                <w:u w:val="none"/>
                <w:lang w:val="en-US" w:eastAsia="zh-CN"/>
              </w:rPr>
              <w:t>5m处的西干五支排，最终汇入卫河。</w:t>
            </w:r>
          </w:p>
          <w:p>
            <w:pPr>
              <w:bidi w:val="0"/>
              <w:rPr>
                <w:rFonts w:hint="eastAsia"/>
                <w:b w:val="0"/>
                <w:bCs w:val="0"/>
                <w:highlight w:val="none"/>
                <w:u w:val="none"/>
              </w:rPr>
            </w:pPr>
            <w:r>
              <w:rPr>
                <w:rFonts w:hint="eastAsia"/>
                <w:b w:val="0"/>
                <w:bCs w:val="0"/>
                <w:highlight w:val="none"/>
                <w:u w:val="none"/>
              </w:rPr>
              <w:t>项目营运期间噪声经采取降噪措施后能实现达标排放；固体废物均得到妥善处置。对周围环境的影响较小。</w:t>
            </w:r>
          </w:p>
          <w:p>
            <w:pPr>
              <w:bidi w:val="0"/>
              <w:rPr>
                <w:rFonts w:hint="eastAsia" w:eastAsia="宋体"/>
                <w:b w:val="0"/>
                <w:bCs w:val="0"/>
                <w:highlight w:val="none"/>
                <w:u w:val="none"/>
                <w:lang w:eastAsia="zh-CN"/>
              </w:rPr>
            </w:pPr>
            <w:r>
              <w:rPr>
                <w:rFonts w:hint="eastAsia"/>
                <w:b w:val="0"/>
                <w:bCs w:val="0"/>
                <w:highlight w:val="none"/>
                <w:u w:val="none"/>
                <w:lang w:eastAsia="zh-CN"/>
              </w:rPr>
              <w:t>综</w:t>
            </w:r>
            <w:r>
              <w:rPr>
                <w:rFonts w:hint="eastAsia"/>
                <w:b w:val="0"/>
                <w:bCs w:val="0"/>
                <w:highlight w:val="none"/>
                <w:u w:val="none"/>
              </w:rPr>
              <w:t>上所述，</w:t>
            </w:r>
            <w:r>
              <w:rPr>
                <w:b w:val="0"/>
                <w:bCs w:val="0"/>
                <w:highlight w:val="none"/>
                <w:u w:val="none"/>
              </w:rPr>
              <w:t>项目营运期间产生的噪声和固体废物等方面环境影响，在采用相应的污染防治措施后</w:t>
            </w:r>
            <w:r>
              <w:rPr>
                <w:rFonts w:hint="eastAsia"/>
                <w:b w:val="0"/>
                <w:bCs w:val="0"/>
                <w:highlight w:val="none"/>
                <w:u w:val="none"/>
              </w:rPr>
              <w:t>污染物均得到合理的处置</w:t>
            </w:r>
            <w:r>
              <w:rPr>
                <w:b w:val="0"/>
                <w:bCs w:val="0"/>
                <w:highlight w:val="none"/>
                <w:u w:val="none"/>
              </w:rPr>
              <w:t>，对周围环境及敏感点影响较小</w:t>
            </w:r>
            <w:r>
              <w:rPr>
                <w:rFonts w:hint="eastAsia"/>
                <w:b w:val="0"/>
                <w:bCs w:val="0"/>
                <w:highlight w:val="none"/>
                <w:u w:val="none"/>
                <w:lang w:eastAsia="zh-CN"/>
              </w:rPr>
              <w:t>。</w:t>
            </w:r>
          </w:p>
          <w:p>
            <w:pPr>
              <w:bidi w:val="0"/>
              <w:rPr>
                <w:b w:val="0"/>
                <w:bCs w:val="0"/>
                <w:highlight w:val="none"/>
                <w:u w:val="none"/>
              </w:rPr>
            </w:pPr>
            <w:r>
              <w:rPr>
                <w:rFonts w:hint="eastAsia"/>
                <w:b w:val="0"/>
                <w:bCs w:val="0"/>
                <w:highlight w:val="none"/>
                <w:u w:val="none"/>
              </w:rPr>
              <w:t>故从环保角度出发，</w:t>
            </w:r>
            <w:r>
              <w:rPr>
                <w:b w:val="0"/>
                <w:bCs w:val="0"/>
                <w:highlight w:val="none"/>
                <w:u w:val="none"/>
              </w:rPr>
              <w:t>评价认为项目选址可行。</w:t>
            </w:r>
          </w:p>
          <w:p>
            <w:pPr>
              <w:pStyle w:val="4"/>
              <w:bidi w:val="0"/>
              <w:rPr>
                <w:highlight w:val="none"/>
              </w:rPr>
            </w:pPr>
            <w:r>
              <w:rPr>
                <w:highlight w:val="none"/>
              </w:rPr>
              <w:t>（</w:t>
            </w:r>
            <w:r>
              <w:rPr>
                <w:rFonts w:hint="eastAsia"/>
                <w:highlight w:val="none"/>
              </w:rPr>
              <w:t>九</w:t>
            </w:r>
            <w:r>
              <w:rPr>
                <w:highlight w:val="none"/>
              </w:rPr>
              <w:t>）、环保投资估算</w:t>
            </w:r>
          </w:p>
          <w:p>
            <w:pPr>
              <w:bidi w:val="0"/>
              <w:rPr>
                <w:highlight w:val="none"/>
              </w:rPr>
            </w:pPr>
            <w:r>
              <w:rPr>
                <w:highlight w:val="none"/>
              </w:rPr>
              <w:t>本项目总投资为</w:t>
            </w:r>
            <w:r>
              <w:rPr>
                <w:rFonts w:hint="eastAsia"/>
                <w:highlight w:val="none"/>
                <w:lang w:val="en-US" w:eastAsia="zh-CN"/>
              </w:rPr>
              <w:t>2320</w:t>
            </w:r>
            <w:r>
              <w:rPr>
                <w:highlight w:val="none"/>
              </w:rPr>
              <w:t>万元</w:t>
            </w:r>
            <w:r>
              <w:rPr>
                <w:rFonts w:hint="eastAsia"/>
                <w:highlight w:val="none"/>
              </w:rPr>
              <w:t>，其中</w:t>
            </w:r>
            <w:r>
              <w:rPr>
                <w:highlight w:val="none"/>
              </w:rPr>
              <w:t>环保投资总额为</w:t>
            </w:r>
            <w:r>
              <w:rPr>
                <w:rFonts w:hint="eastAsia"/>
                <w:highlight w:val="none"/>
                <w:lang w:val="en-US" w:eastAsia="zh-CN"/>
              </w:rPr>
              <w:t>30</w:t>
            </w:r>
            <w:r>
              <w:rPr>
                <w:highlight w:val="none"/>
              </w:rPr>
              <w:t>万元，占总投资的</w:t>
            </w:r>
            <w:r>
              <w:rPr>
                <w:rFonts w:hint="eastAsia"/>
                <w:highlight w:val="none"/>
                <w:lang w:val="en-US" w:eastAsia="zh-CN"/>
              </w:rPr>
              <w:t>1.29</w:t>
            </w:r>
            <w:r>
              <w:rPr>
                <w:rFonts w:hint="eastAsia"/>
                <w:highlight w:val="none"/>
              </w:rPr>
              <w:t>%</w:t>
            </w:r>
            <w:r>
              <w:rPr>
                <w:highlight w:val="none"/>
              </w:rPr>
              <w:t>。环保投资估算表见下表。</w:t>
            </w:r>
          </w:p>
          <w:p>
            <w:pPr>
              <w:bidi w:val="0"/>
              <w:ind w:left="0" w:leftChars="0" w:firstLine="0" w:firstLineChars="0"/>
              <w:jc w:val="center"/>
              <w:rPr>
                <w:highlight w:val="none"/>
              </w:rPr>
            </w:pPr>
            <w:r>
              <w:rPr>
                <w:highlight w:val="none"/>
              </w:rPr>
              <w:t>表</w:t>
            </w:r>
            <w:r>
              <w:rPr>
                <w:rFonts w:hint="eastAsia"/>
                <w:highlight w:val="none"/>
                <w:lang w:val="en-US" w:eastAsia="zh-CN"/>
              </w:rPr>
              <w:t>61</w:t>
            </w:r>
            <w:r>
              <w:rPr>
                <w:highlight w:val="none"/>
              </w:rPr>
              <w:t xml:space="preserve">       本项目环保投资估算一览表</w:t>
            </w:r>
          </w:p>
          <w:tbl>
            <w:tblPr>
              <w:tblStyle w:val="21"/>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38"/>
              <w:gridCol w:w="755"/>
              <w:gridCol w:w="2183"/>
              <w:gridCol w:w="4273"/>
              <w:gridCol w:w="136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2" w:type="pct"/>
                  <w:gridSpan w:val="2"/>
                  <w:vAlign w:val="center"/>
                </w:tcPr>
                <w:p>
                  <w:pPr>
                    <w:pStyle w:val="29"/>
                    <w:bidi w:val="0"/>
                    <w:rPr>
                      <w:highlight w:val="none"/>
                    </w:rPr>
                  </w:pPr>
                  <w:r>
                    <w:rPr>
                      <w:highlight w:val="none"/>
                    </w:rPr>
                    <w:t>类别</w:t>
                  </w:r>
                </w:p>
              </w:tc>
              <w:tc>
                <w:tcPr>
                  <w:tcW w:w="1211" w:type="pct"/>
                  <w:vAlign w:val="center"/>
                </w:tcPr>
                <w:p>
                  <w:pPr>
                    <w:pStyle w:val="29"/>
                    <w:bidi w:val="0"/>
                    <w:rPr>
                      <w:highlight w:val="none"/>
                    </w:rPr>
                  </w:pPr>
                  <w:r>
                    <w:rPr>
                      <w:highlight w:val="none"/>
                    </w:rPr>
                    <w:t>污染源</w:t>
                  </w:r>
                </w:p>
              </w:tc>
              <w:tc>
                <w:tcPr>
                  <w:tcW w:w="2370" w:type="pct"/>
                  <w:vAlign w:val="center"/>
                </w:tcPr>
                <w:p>
                  <w:pPr>
                    <w:pStyle w:val="29"/>
                    <w:bidi w:val="0"/>
                    <w:rPr>
                      <w:highlight w:val="none"/>
                    </w:rPr>
                  </w:pPr>
                  <w:r>
                    <w:rPr>
                      <w:highlight w:val="none"/>
                    </w:rPr>
                    <w:t>治理措施</w:t>
                  </w:r>
                </w:p>
              </w:tc>
              <w:tc>
                <w:tcPr>
                  <w:tcW w:w="755" w:type="pct"/>
                  <w:vAlign w:val="center"/>
                </w:tcPr>
                <w:p>
                  <w:pPr>
                    <w:pStyle w:val="29"/>
                    <w:bidi w:val="0"/>
                    <w:rPr>
                      <w:highlight w:val="none"/>
                    </w:rPr>
                  </w:pPr>
                  <w:r>
                    <w:rPr>
                      <w:highlight w:val="none"/>
                    </w:rPr>
                    <w:t>投资（万元）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3" w:type="pct"/>
                  <w:vMerge w:val="restart"/>
                  <w:vAlign w:val="center"/>
                </w:tcPr>
                <w:p>
                  <w:pPr>
                    <w:pStyle w:val="29"/>
                    <w:bidi w:val="0"/>
                    <w:rPr>
                      <w:rFonts w:hint="eastAsia" w:eastAsia="宋体"/>
                      <w:highlight w:val="none"/>
                      <w:lang w:eastAsia="zh-CN"/>
                    </w:rPr>
                  </w:pPr>
                  <w:r>
                    <w:rPr>
                      <w:rFonts w:hint="eastAsia"/>
                      <w:highlight w:val="none"/>
                      <w:lang w:eastAsia="zh-CN"/>
                    </w:rPr>
                    <w:t>营运期</w:t>
                  </w:r>
                </w:p>
              </w:tc>
              <w:tc>
                <w:tcPr>
                  <w:tcW w:w="418" w:type="pct"/>
                  <w:vAlign w:val="center"/>
                </w:tcPr>
                <w:p>
                  <w:pPr>
                    <w:pStyle w:val="29"/>
                    <w:bidi w:val="0"/>
                    <w:rPr>
                      <w:rFonts w:hint="eastAsia" w:eastAsia="宋体"/>
                      <w:highlight w:val="none"/>
                      <w:lang w:eastAsia="zh-CN"/>
                    </w:rPr>
                  </w:pPr>
                  <w:r>
                    <w:rPr>
                      <w:rFonts w:hint="eastAsia"/>
                      <w:highlight w:val="none"/>
                      <w:lang w:eastAsia="zh-CN"/>
                    </w:rPr>
                    <w:t>废气</w:t>
                  </w:r>
                </w:p>
              </w:tc>
              <w:tc>
                <w:tcPr>
                  <w:tcW w:w="1211" w:type="pct"/>
                  <w:vAlign w:val="center"/>
                </w:tcPr>
                <w:p>
                  <w:pPr>
                    <w:pStyle w:val="29"/>
                    <w:bidi w:val="0"/>
                    <w:rPr>
                      <w:rFonts w:hint="eastAsia" w:eastAsia="宋体"/>
                      <w:highlight w:val="none"/>
                      <w:lang w:eastAsia="zh-CN"/>
                    </w:rPr>
                  </w:pPr>
                  <w:r>
                    <w:rPr>
                      <w:rFonts w:hint="eastAsia"/>
                      <w:highlight w:val="none"/>
                      <w:lang w:eastAsia="zh-CN"/>
                    </w:rPr>
                    <w:t>储罐装卸废气、充装废气、汽车尾气</w:t>
                  </w:r>
                </w:p>
              </w:tc>
              <w:tc>
                <w:tcPr>
                  <w:tcW w:w="2370" w:type="pct"/>
                  <w:vAlign w:val="center"/>
                </w:tcPr>
                <w:p>
                  <w:pPr>
                    <w:pStyle w:val="29"/>
                    <w:bidi w:val="0"/>
                    <w:rPr>
                      <w:rFonts w:hint="eastAsia" w:eastAsia="宋体"/>
                      <w:highlight w:val="none"/>
                      <w:lang w:eastAsia="zh-CN"/>
                    </w:rPr>
                  </w:pPr>
                  <w:r>
                    <w:rPr>
                      <w:rFonts w:hint="eastAsia"/>
                      <w:highlight w:val="none"/>
                      <w:lang w:eastAsia="zh-CN"/>
                    </w:rPr>
                    <w:t>绿化</w:t>
                  </w:r>
                </w:p>
              </w:tc>
              <w:tc>
                <w:tcPr>
                  <w:tcW w:w="755" w:type="pct"/>
                  <w:vAlign w:val="center"/>
                </w:tcPr>
                <w:p>
                  <w:pPr>
                    <w:pStyle w:val="29"/>
                    <w:bidi w:val="0"/>
                    <w:rPr>
                      <w:rFonts w:hint="eastAsia" w:eastAsia="宋体"/>
                      <w:highlight w:val="none"/>
                      <w:lang w:val="en-US" w:eastAsia="zh-CN"/>
                    </w:rPr>
                  </w:pPr>
                  <w:r>
                    <w:rPr>
                      <w:rFonts w:hint="eastAsia"/>
                      <w:highlight w:val="none"/>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3" w:type="pct"/>
                  <w:vMerge w:val="continue"/>
                  <w:vAlign w:val="center"/>
                </w:tcPr>
                <w:p>
                  <w:pPr>
                    <w:pStyle w:val="29"/>
                    <w:bidi w:val="0"/>
                    <w:rPr>
                      <w:rFonts w:hint="eastAsia" w:eastAsia="宋体"/>
                      <w:highlight w:val="none"/>
                      <w:lang w:eastAsia="zh-CN"/>
                    </w:rPr>
                  </w:pPr>
                </w:p>
              </w:tc>
              <w:tc>
                <w:tcPr>
                  <w:tcW w:w="418" w:type="pct"/>
                  <w:vAlign w:val="center"/>
                </w:tcPr>
                <w:p>
                  <w:pPr>
                    <w:pStyle w:val="29"/>
                    <w:bidi w:val="0"/>
                    <w:rPr>
                      <w:highlight w:val="none"/>
                    </w:rPr>
                  </w:pPr>
                  <w:r>
                    <w:rPr>
                      <w:highlight w:val="none"/>
                    </w:rPr>
                    <w:t>噪声</w:t>
                  </w:r>
                </w:p>
              </w:tc>
              <w:tc>
                <w:tcPr>
                  <w:tcW w:w="1211" w:type="pct"/>
                  <w:vAlign w:val="center"/>
                </w:tcPr>
                <w:p>
                  <w:pPr>
                    <w:pStyle w:val="29"/>
                    <w:bidi w:val="0"/>
                    <w:rPr>
                      <w:highlight w:val="none"/>
                    </w:rPr>
                  </w:pPr>
                  <w:r>
                    <w:rPr>
                      <w:highlight w:val="none"/>
                    </w:rPr>
                    <w:t>生产设备</w:t>
                  </w:r>
                </w:p>
              </w:tc>
              <w:tc>
                <w:tcPr>
                  <w:tcW w:w="2370" w:type="pct"/>
                  <w:vAlign w:val="center"/>
                </w:tcPr>
                <w:p>
                  <w:pPr>
                    <w:pStyle w:val="29"/>
                    <w:bidi w:val="0"/>
                    <w:rPr>
                      <w:highlight w:val="none"/>
                    </w:rPr>
                  </w:pPr>
                  <w:r>
                    <w:rPr>
                      <w:highlight w:val="none"/>
                    </w:rPr>
                    <w:t>减振基础、厂房隔音、距离衰减</w:t>
                  </w:r>
                </w:p>
              </w:tc>
              <w:tc>
                <w:tcPr>
                  <w:tcW w:w="755" w:type="pct"/>
                  <w:vAlign w:val="center"/>
                </w:tcPr>
                <w:p>
                  <w:pPr>
                    <w:pStyle w:val="29"/>
                    <w:bidi w:val="0"/>
                    <w:rPr>
                      <w:rFonts w:hint="eastAsia" w:eastAsia="宋体"/>
                      <w:highlight w:val="none"/>
                      <w:lang w:eastAsia="zh-CN"/>
                    </w:rPr>
                  </w:pPr>
                  <w:r>
                    <w:rPr>
                      <w:rFonts w:hint="eastAsia"/>
                      <w:highlight w:val="none"/>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3" w:type="pct"/>
                  <w:vMerge w:val="continue"/>
                  <w:vAlign w:val="center"/>
                </w:tcPr>
                <w:p>
                  <w:pPr>
                    <w:pStyle w:val="29"/>
                    <w:bidi w:val="0"/>
                    <w:rPr>
                      <w:highlight w:val="none"/>
                    </w:rPr>
                  </w:pPr>
                </w:p>
              </w:tc>
              <w:tc>
                <w:tcPr>
                  <w:tcW w:w="418" w:type="pct"/>
                  <w:vAlign w:val="center"/>
                </w:tcPr>
                <w:p>
                  <w:pPr>
                    <w:pStyle w:val="29"/>
                    <w:bidi w:val="0"/>
                    <w:rPr>
                      <w:b w:val="0"/>
                      <w:bCs w:val="0"/>
                      <w:highlight w:val="none"/>
                      <w:u w:val="none"/>
                    </w:rPr>
                  </w:pPr>
                  <w:r>
                    <w:rPr>
                      <w:b w:val="0"/>
                      <w:bCs w:val="0"/>
                      <w:highlight w:val="none"/>
                      <w:u w:val="none"/>
                    </w:rPr>
                    <w:t>固废</w:t>
                  </w:r>
                </w:p>
              </w:tc>
              <w:tc>
                <w:tcPr>
                  <w:tcW w:w="1211" w:type="pct"/>
                  <w:vAlign w:val="center"/>
                </w:tcPr>
                <w:p>
                  <w:pPr>
                    <w:pStyle w:val="29"/>
                    <w:bidi w:val="0"/>
                    <w:rPr>
                      <w:b w:val="0"/>
                      <w:bCs w:val="0"/>
                      <w:highlight w:val="none"/>
                      <w:u w:val="none"/>
                    </w:rPr>
                  </w:pPr>
                  <w:r>
                    <w:rPr>
                      <w:rFonts w:hint="eastAsia"/>
                      <w:b w:val="0"/>
                      <w:bCs w:val="0"/>
                      <w:highlight w:val="none"/>
                      <w:u w:val="none"/>
                      <w:lang w:eastAsia="zh-CN"/>
                    </w:rPr>
                    <w:t>废气瓶头和废胶垫</w:t>
                  </w:r>
                </w:p>
              </w:tc>
              <w:tc>
                <w:tcPr>
                  <w:tcW w:w="2370" w:type="pct"/>
                  <w:vAlign w:val="center"/>
                </w:tcPr>
                <w:p>
                  <w:pPr>
                    <w:pStyle w:val="29"/>
                    <w:bidi w:val="0"/>
                    <w:rPr>
                      <w:b w:val="0"/>
                      <w:bCs w:val="0"/>
                      <w:highlight w:val="none"/>
                      <w:u w:val="none"/>
                    </w:rPr>
                  </w:pPr>
                  <w:r>
                    <w:rPr>
                      <w:rFonts w:hint="eastAsia"/>
                      <w:b w:val="0"/>
                      <w:bCs w:val="0"/>
                      <w:highlight w:val="none"/>
                      <w:u w:val="none"/>
                      <w:lang w:val="en-US" w:eastAsia="zh-CN"/>
                    </w:rPr>
                    <w:t>依托现有</w:t>
                  </w:r>
                  <w:r>
                    <w:rPr>
                      <w:b w:val="0"/>
                      <w:bCs w:val="0"/>
                      <w:highlight w:val="none"/>
                      <w:u w:val="none"/>
                    </w:rPr>
                    <w:t>固废暂存间（建筑面积</w:t>
                  </w:r>
                  <w:r>
                    <w:rPr>
                      <w:rFonts w:hint="eastAsia"/>
                      <w:b w:val="0"/>
                      <w:bCs w:val="0"/>
                      <w:highlight w:val="none"/>
                      <w:u w:val="none"/>
                      <w:lang w:val="en-US" w:eastAsia="zh-CN"/>
                    </w:rPr>
                    <w:t>2</w:t>
                  </w:r>
                  <w:r>
                    <w:rPr>
                      <w:rFonts w:hint="eastAsia"/>
                      <w:b w:val="0"/>
                      <w:bCs w:val="0"/>
                      <w:highlight w:val="none"/>
                      <w:u w:val="none"/>
                    </w:rPr>
                    <w:t>0</w:t>
                  </w:r>
                  <w:r>
                    <w:rPr>
                      <w:b w:val="0"/>
                      <w:bCs w:val="0"/>
                      <w:highlight w:val="none"/>
                      <w:u w:val="none"/>
                    </w:rPr>
                    <w:t>m</w:t>
                  </w:r>
                  <w:r>
                    <w:rPr>
                      <w:b w:val="0"/>
                      <w:bCs w:val="0"/>
                      <w:highlight w:val="none"/>
                      <w:u w:val="none"/>
                      <w:vertAlign w:val="superscript"/>
                    </w:rPr>
                    <w:t>2</w:t>
                  </w:r>
                  <w:r>
                    <w:rPr>
                      <w:b w:val="0"/>
                      <w:bCs w:val="0"/>
                      <w:highlight w:val="none"/>
                      <w:u w:val="none"/>
                    </w:rPr>
                    <w:t>）</w:t>
                  </w:r>
                </w:p>
              </w:tc>
              <w:tc>
                <w:tcPr>
                  <w:tcW w:w="755" w:type="pct"/>
                  <w:vAlign w:val="center"/>
                </w:tcPr>
                <w:p>
                  <w:pPr>
                    <w:pStyle w:val="29"/>
                    <w:bidi w:val="0"/>
                    <w:rPr>
                      <w:rFonts w:hint="eastAsia" w:eastAsia="宋体"/>
                      <w:b w:val="0"/>
                      <w:bCs w:val="0"/>
                      <w:highlight w:val="none"/>
                      <w:u w:val="none"/>
                      <w:lang w:eastAsia="zh-CN"/>
                    </w:rPr>
                  </w:pPr>
                  <w:r>
                    <w:rPr>
                      <w:rFonts w:hint="eastAsia"/>
                      <w:b w:val="0"/>
                      <w:bCs w:val="0"/>
                      <w:highlight w:val="none"/>
                      <w:u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3" w:type="pct"/>
                  <w:vMerge w:val="continue"/>
                  <w:vAlign w:val="center"/>
                </w:tcPr>
                <w:p>
                  <w:pPr>
                    <w:pStyle w:val="29"/>
                    <w:bidi w:val="0"/>
                    <w:rPr>
                      <w:highlight w:val="none"/>
                    </w:rPr>
                  </w:pPr>
                </w:p>
              </w:tc>
              <w:tc>
                <w:tcPr>
                  <w:tcW w:w="1630" w:type="pct"/>
                  <w:gridSpan w:val="2"/>
                  <w:vAlign w:val="center"/>
                </w:tcPr>
                <w:p>
                  <w:pPr>
                    <w:pStyle w:val="29"/>
                    <w:bidi w:val="0"/>
                    <w:rPr>
                      <w:highlight w:val="none"/>
                    </w:rPr>
                  </w:pPr>
                  <w:r>
                    <w:rPr>
                      <w:rFonts w:hint="eastAsia"/>
                      <w:highlight w:val="none"/>
                    </w:rPr>
                    <w:t>公用</w:t>
                  </w:r>
                </w:p>
              </w:tc>
              <w:tc>
                <w:tcPr>
                  <w:tcW w:w="2370" w:type="pct"/>
                  <w:vAlign w:val="center"/>
                </w:tcPr>
                <w:p>
                  <w:pPr>
                    <w:pStyle w:val="29"/>
                    <w:bidi w:val="0"/>
                    <w:rPr>
                      <w:rFonts w:hint="default"/>
                      <w:highlight w:val="none"/>
                      <w:lang w:val="en-US" w:eastAsia="zh-CN"/>
                    </w:rPr>
                  </w:pPr>
                  <w:r>
                    <w:rPr>
                      <w:rFonts w:hint="eastAsia"/>
                      <w:highlight w:val="none"/>
                    </w:rPr>
                    <w:t>用电量监控系统</w:t>
                  </w:r>
                  <w:r>
                    <w:rPr>
                      <w:rFonts w:hint="eastAsia"/>
                      <w:highlight w:val="none"/>
                      <w:lang w:eastAsia="zh-CN"/>
                    </w:rPr>
                    <w:t>，</w:t>
                  </w:r>
                  <w:r>
                    <w:rPr>
                      <w:rFonts w:hint="eastAsia"/>
                      <w:highlight w:val="none"/>
                      <w:lang w:val="en-US" w:eastAsia="zh-CN"/>
                    </w:rPr>
                    <w:t>视频监控装备</w:t>
                  </w:r>
                </w:p>
              </w:tc>
              <w:tc>
                <w:tcPr>
                  <w:tcW w:w="755" w:type="pct"/>
                  <w:vAlign w:val="center"/>
                </w:tcPr>
                <w:p>
                  <w:pPr>
                    <w:pStyle w:val="29"/>
                    <w:bidi w:val="0"/>
                    <w:rPr>
                      <w:rFonts w:hint="default"/>
                      <w:highlight w:val="none"/>
                      <w:lang w:val="en-US" w:eastAsia="zh-CN"/>
                    </w:rPr>
                  </w:pPr>
                  <w:r>
                    <w:rPr>
                      <w:rFonts w:hint="eastAsia"/>
                      <w:highlight w:val="none"/>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3" w:type="pct"/>
                  <w:vMerge w:val="continue"/>
                  <w:vAlign w:val="center"/>
                </w:tcPr>
                <w:p>
                  <w:pPr>
                    <w:pStyle w:val="29"/>
                    <w:bidi w:val="0"/>
                    <w:rPr>
                      <w:highlight w:val="none"/>
                    </w:rPr>
                  </w:pPr>
                </w:p>
              </w:tc>
              <w:tc>
                <w:tcPr>
                  <w:tcW w:w="1630" w:type="pct"/>
                  <w:gridSpan w:val="2"/>
                  <w:vAlign w:val="center"/>
                </w:tcPr>
                <w:p>
                  <w:pPr>
                    <w:pStyle w:val="29"/>
                    <w:bidi w:val="0"/>
                    <w:rPr>
                      <w:rFonts w:hint="default" w:eastAsia="宋体"/>
                      <w:highlight w:val="none"/>
                      <w:lang w:val="en-US" w:eastAsia="zh-CN"/>
                    </w:rPr>
                  </w:pPr>
                  <w:r>
                    <w:rPr>
                      <w:rFonts w:hint="eastAsia"/>
                      <w:highlight w:val="none"/>
                      <w:lang w:val="en-US" w:eastAsia="zh-CN"/>
                    </w:rPr>
                    <w:t>环境风险</w:t>
                  </w:r>
                </w:p>
              </w:tc>
              <w:tc>
                <w:tcPr>
                  <w:tcW w:w="2370" w:type="pct"/>
                  <w:vAlign w:val="center"/>
                </w:tcPr>
                <w:p>
                  <w:pPr>
                    <w:pStyle w:val="29"/>
                    <w:bidi w:val="0"/>
                    <w:rPr>
                      <w:rFonts w:hint="default" w:eastAsia="宋体"/>
                      <w:highlight w:val="none"/>
                      <w:lang w:val="en-US" w:eastAsia="zh-CN"/>
                    </w:rPr>
                  </w:pPr>
                  <w:r>
                    <w:rPr>
                      <w:rFonts w:hint="eastAsia"/>
                      <w:highlight w:val="none"/>
                      <w:lang w:val="en-US" w:eastAsia="zh-CN"/>
                    </w:rPr>
                    <w:t>风险管理</w:t>
                  </w:r>
                </w:p>
              </w:tc>
              <w:tc>
                <w:tcPr>
                  <w:tcW w:w="755" w:type="pct"/>
                  <w:vAlign w:val="center"/>
                </w:tcPr>
                <w:p>
                  <w:pPr>
                    <w:pStyle w:val="29"/>
                    <w:bidi w:val="0"/>
                    <w:rPr>
                      <w:rFonts w:hint="default"/>
                      <w:highlight w:val="none"/>
                      <w:lang w:val="en-US" w:eastAsia="zh-CN"/>
                    </w:rPr>
                  </w:pPr>
                  <w:r>
                    <w:rPr>
                      <w:rFonts w:hint="eastAsia"/>
                      <w:highlight w:val="none"/>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4" w:type="pct"/>
                  <w:gridSpan w:val="4"/>
                  <w:vAlign w:val="center"/>
                </w:tcPr>
                <w:p>
                  <w:pPr>
                    <w:pStyle w:val="29"/>
                    <w:bidi w:val="0"/>
                    <w:rPr>
                      <w:highlight w:val="none"/>
                    </w:rPr>
                  </w:pPr>
                  <w:r>
                    <w:rPr>
                      <w:highlight w:val="none"/>
                    </w:rPr>
                    <w:t>合      计</w:t>
                  </w:r>
                </w:p>
              </w:tc>
              <w:tc>
                <w:tcPr>
                  <w:tcW w:w="755" w:type="pct"/>
                  <w:vAlign w:val="center"/>
                </w:tcPr>
                <w:p>
                  <w:pPr>
                    <w:pStyle w:val="29"/>
                    <w:bidi w:val="0"/>
                    <w:rPr>
                      <w:rFonts w:hint="default" w:eastAsia="宋体"/>
                      <w:highlight w:val="none"/>
                      <w:lang w:val="en-US" w:eastAsia="zh-CN"/>
                    </w:rPr>
                  </w:pPr>
                  <w:r>
                    <w:rPr>
                      <w:rFonts w:hint="eastAsia"/>
                      <w:highlight w:val="none"/>
                      <w:lang w:val="en-US" w:eastAsia="zh-CN"/>
                    </w:rPr>
                    <w:t>30</w:t>
                  </w:r>
                </w:p>
              </w:tc>
            </w:tr>
          </w:tbl>
          <w:p>
            <w:pPr>
              <w:spacing w:line="360" w:lineRule="auto"/>
              <w:ind w:firstLine="482" w:firstLineChars="200"/>
              <w:rPr>
                <w:b/>
                <w:snapToGrid w:val="0"/>
                <w:sz w:val="24"/>
                <w:highlight w:val="none"/>
              </w:rPr>
            </w:pPr>
            <w:r>
              <w:rPr>
                <w:b/>
                <w:snapToGrid w:val="0"/>
                <w:sz w:val="24"/>
                <w:highlight w:val="none"/>
              </w:rPr>
              <w:t>（</w:t>
            </w:r>
            <w:r>
              <w:rPr>
                <w:rFonts w:hint="eastAsia"/>
                <w:b/>
                <w:snapToGrid w:val="0"/>
                <w:sz w:val="24"/>
                <w:highlight w:val="none"/>
              </w:rPr>
              <w:t>十</w:t>
            </w:r>
            <w:r>
              <w:rPr>
                <w:b/>
                <w:snapToGrid w:val="0"/>
                <w:sz w:val="24"/>
                <w:highlight w:val="none"/>
              </w:rPr>
              <w:t>）、环保验收</w:t>
            </w:r>
          </w:p>
          <w:p>
            <w:pPr>
              <w:bidi w:val="0"/>
              <w:rPr>
                <w:highlight w:val="none"/>
              </w:rPr>
            </w:pPr>
            <w:r>
              <w:rPr>
                <w:highlight w:val="none"/>
              </w:rPr>
              <w:t>本项目环保验收内容见</w:t>
            </w:r>
            <w:r>
              <w:rPr>
                <w:rFonts w:hint="eastAsia"/>
                <w:highlight w:val="none"/>
                <w:lang w:eastAsia="zh-CN"/>
              </w:rPr>
              <w:t>下表</w:t>
            </w:r>
            <w:r>
              <w:rPr>
                <w:highlight w:val="none"/>
              </w:rPr>
              <w:t>。</w:t>
            </w:r>
          </w:p>
          <w:p>
            <w:pPr>
              <w:bidi w:val="0"/>
              <w:ind w:left="0" w:leftChars="0" w:firstLine="0" w:firstLineChars="0"/>
              <w:jc w:val="center"/>
              <w:rPr>
                <w:highlight w:val="none"/>
              </w:rPr>
            </w:pPr>
            <w:r>
              <w:rPr>
                <w:highlight w:val="none"/>
              </w:rPr>
              <w:t>表</w:t>
            </w:r>
            <w:r>
              <w:rPr>
                <w:rFonts w:hint="eastAsia"/>
                <w:highlight w:val="none"/>
                <w:lang w:val="en-US" w:eastAsia="zh-CN"/>
              </w:rPr>
              <w:t>62</w:t>
            </w:r>
            <w:r>
              <w:rPr>
                <w:highlight w:val="none"/>
              </w:rPr>
              <w:t xml:space="preserve">        环保验收</w:t>
            </w:r>
            <w:r>
              <w:rPr>
                <w:rFonts w:hint="eastAsia"/>
                <w:highlight w:val="none"/>
              </w:rPr>
              <w:t>“三同时”</w:t>
            </w:r>
            <w:r>
              <w:rPr>
                <w:highlight w:val="none"/>
              </w:rPr>
              <w:t>一览表</w:t>
            </w:r>
          </w:p>
          <w:tbl>
            <w:tblPr>
              <w:tblStyle w:val="21"/>
              <w:tblpPr w:leftFromText="180" w:rightFromText="180" w:vertAnchor="text" w:horzAnchor="margin" w:tblpX="1" w:tblpY="31"/>
              <w:tblOverlap w:val="never"/>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94"/>
              <w:gridCol w:w="434"/>
              <w:gridCol w:w="663"/>
              <w:gridCol w:w="1415"/>
              <w:gridCol w:w="1300"/>
              <w:gridCol w:w="2014"/>
              <w:gridCol w:w="249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85" w:type="pct"/>
                  <w:tcBorders>
                    <w:tl2br w:val="nil"/>
                    <w:tr2bl w:val="nil"/>
                  </w:tcBorders>
                  <w:vAlign w:val="center"/>
                </w:tcPr>
                <w:p>
                  <w:pPr>
                    <w:pStyle w:val="29"/>
                    <w:bidi w:val="0"/>
                    <w:jc w:val="center"/>
                    <w:rPr>
                      <w:highlight w:val="none"/>
                    </w:rPr>
                  </w:pPr>
                  <w:r>
                    <w:rPr>
                      <w:highlight w:val="none"/>
                    </w:rPr>
                    <w:t>序号</w:t>
                  </w:r>
                </w:p>
              </w:tc>
              <w:tc>
                <w:tcPr>
                  <w:tcW w:w="609" w:type="pct"/>
                  <w:gridSpan w:val="2"/>
                  <w:tcBorders>
                    <w:tl2br w:val="nil"/>
                    <w:tr2bl w:val="nil"/>
                  </w:tcBorders>
                  <w:vAlign w:val="center"/>
                </w:tcPr>
                <w:p>
                  <w:pPr>
                    <w:pStyle w:val="29"/>
                    <w:bidi w:val="0"/>
                    <w:jc w:val="center"/>
                    <w:rPr>
                      <w:highlight w:val="none"/>
                    </w:rPr>
                  </w:pPr>
                  <w:r>
                    <w:rPr>
                      <w:highlight w:val="none"/>
                    </w:rPr>
                    <w:t>污染类别</w:t>
                  </w:r>
                </w:p>
              </w:tc>
              <w:tc>
                <w:tcPr>
                  <w:tcW w:w="785" w:type="pct"/>
                  <w:tcBorders>
                    <w:tl2br w:val="nil"/>
                    <w:tr2bl w:val="nil"/>
                  </w:tcBorders>
                  <w:vAlign w:val="center"/>
                </w:tcPr>
                <w:p>
                  <w:pPr>
                    <w:pStyle w:val="29"/>
                    <w:bidi w:val="0"/>
                    <w:jc w:val="center"/>
                    <w:rPr>
                      <w:highlight w:val="none"/>
                    </w:rPr>
                  </w:pPr>
                  <w:r>
                    <w:rPr>
                      <w:highlight w:val="none"/>
                    </w:rPr>
                    <w:t>治理内容</w:t>
                  </w:r>
                </w:p>
              </w:tc>
              <w:tc>
                <w:tcPr>
                  <w:tcW w:w="721" w:type="pct"/>
                  <w:tcBorders>
                    <w:tl2br w:val="nil"/>
                    <w:tr2bl w:val="nil"/>
                  </w:tcBorders>
                  <w:vAlign w:val="center"/>
                </w:tcPr>
                <w:p>
                  <w:pPr>
                    <w:pStyle w:val="29"/>
                    <w:bidi w:val="0"/>
                    <w:jc w:val="center"/>
                    <w:rPr>
                      <w:highlight w:val="none"/>
                    </w:rPr>
                  </w:pPr>
                  <w:r>
                    <w:rPr>
                      <w:highlight w:val="none"/>
                    </w:rPr>
                    <w:t>环保设施</w:t>
                  </w:r>
                </w:p>
              </w:tc>
              <w:tc>
                <w:tcPr>
                  <w:tcW w:w="1117" w:type="pct"/>
                  <w:tcBorders>
                    <w:tl2br w:val="nil"/>
                    <w:tr2bl w:val="nil"/>
                  </w:tcBorders>
                  <w:vAlign w:val="center"/>
                </w:tcPr>
                <w:p>
                  <w:pPr>
                    <w:pStyle w:val="29"/>
                    <w:bidi w:val="0"/>
                    <w:jc w:val="center"/>
                    <w:rPr>
                      <w:highlight w:val="none"/>
                    </w:rPr>
                  </w:pPr>
                  <w:r>
                    <w:rPr>
                      <w:highlight w:val="none"/>
                    </w:rPr>
                    <w:t>验收内容</w:t>
                  </w:r>
                </w:p>
              </w:tc>
              <w:tc>
                <w:tcPr>
                  <w:tcW w:w="1380" w:type="pct"/>
                  <w:tcBorders>
                    <w:tl2br w:val="nil"/>
                    <w:tr2bl w:val="nil"/>
                  </w:tcBorders>
                  <w:vAlign w:val="center"/>
                </w:tcPr>
                <w:p>
                  <w:pPr>
                    <w:pStyle w:val="29"/>
                    <w:bidi w:val="0"/>
                    <w:jc w:val="center"/>
                    <w:rPr>
                      <w:highlight w:val="none"/>
                    </w:rPr>
                  </w:pPr>
                  <w:r>
                    <w:rPr>
                      <w:highlight w:val="none"/>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85" w:type="pct"/>
                  <w:tcBorders>
                    <w:tl2br w:val="nil"/>
                    <w:tr2bl w:val="nil"/>
                  </w:tcBorders>
                  <w:vAlign w:val="center"/>
                </w:tcPr>
                <w:p>
                  <w:pPr>
                    <w:pStyle w:val="29"/>
                    <w:bidi w:val="0"/>
                    <w:jc w:val="center"/>
                    <w:rPr>
                      <w:rFonts w:hint="default"/>
                      <w:highlight w:val="none"/>
                      <w:lang w:val="en-US" w:eastAsia="zh-CN"/>
                    </w:rPr>
                  </w:pPr>
                  <w:r>
                    <w:rPr>
                      <w:rFonts w:hint="eastAsia"/>
                      <w:highlight w:val="none"/>
                      <w:lang w:val="en-US" w:eastAsia="zh-CN"/>
                    </w:rPr>
                    <w:t>1</w:t>
                  </w:r>
                </w:p>
              </w:tc>
              <w:tc>
                <w:tcPr>
                  <w:tcW w:w="609" w:type="pct"/>
                  <w:gridSpan w:val="2"/>
                  <w:tcBorders>
                    <w:tl2br w:val="nil"/>
                    <w:tr2bl w:val="nil"/>
                  </w:tcBorders>
                  <w:vAlign w:val="center"/>
                </w:tcPr>
                <w:p>
                  <w:pPr>
                    <w:pStyle w:val="29"/>
                    <w:bidi w:val="0"/>
                    <w:jc w:val="center"/>
                    <w:rPr>
                      <w:rFonts w:hint="eastAsia"/>
                      <w:highlight w:val="none"/>
                      <w:lang w:eastAsia="zh-CN"/>
                    </w:rPr>
                  </w:pPr>
                  <w:r>
                    <w:rPr>
                      <w:rFonts w:hint="eastAsia"/>
                      <w:highlight w:val="none"/>
                      <w:lang w:eastAsia="zh-CN"/>
                    </w:rPr>
                    <w:t>废气</w:t>
                  </w:r>
                </w:p>
              </w:tc>
              <w:tc>
                <w:tcPr>
                  <w:tcW w:w="785" w:type="pct"/>
                  <w:tcBorders>
                    <w:tl2br w:val="nil"/>
                    <w:tr2bl w:val="nil"/>
                  </w:tcBorders>
                  <w:vAlign w:val="center"/>
                </w:tcPr>
                <w:p>
                  <w:pPr>
                    <w:pStyle w:val="29"/>
                    <w:bidi w:val="0"/>
                    <w:jc w:val="center"/>
                    <w:rPr>
                      <w:rFonts w:hint="eastAsia"/>
                      <w:highlight w:val="none"/>
                      <w:lang w:eastAsia="zh-CN"/>
                    </w:rPr>
                  </w:pPr>
                  <w:r>
                    <w:rPr>
                      <w:rFonts w:hint="eastAsia"/>
                      <w:highlight w:val="none"/>
                    </w:rPr>
                    <w:t>储罐装卸废气</w:t>
                  </w:r>
                  <w:r>
                    <w:rPr>
                      <w:rFonts w:hint="eastAsia"/>
                      <w:highlight w:val="none"/>
                      <w:lang w:eastAsia="zh-CN"/>
                    </w:rPr>
                    <w:t>、充装废气、汽车尾气</w:t>
                  </w:r>
                </w:p>
              </w:tc>
              <w:tc>
                <w:tcPr>
                  <w:tcW w:w="721" w:type="pct"/>
                  <w:tcBorders>
                    <w:tl2br w:val="nil"/>
                    <w:tr2bl w:val="nil"/>
                  </w:tcBorders>
                  <w:vAlign w:val="center"/>
                </w:tcPr>
                <w:p>
                  <w:pPr>
                    <w:pStyle w:val="29"/>
                    <w:bidi w:val="0"/>
                    <w:jc w:val="center"/>
                    <w:rPr>
                      <w:rFonts w:hint="eastAsia"/>
                      <w:highlight w:val="none"/>
                      <w:lang w:eastAsia="zh-CN"/>
                    </w:rPr>
                  </w:pPr>
                  <w:r>
                    <w:rPr>
                      <w:rFonts w:hint="eastAsia"/>
                      <w:highlight w:val="none"/>
                      <w:lang w:eastAsia="zh-CN"/>
                    </w:rPr>
                    <w:t>绿化</w:t>
                  </w:r>
                </w:p>
              </w:tc>
              <w:tc>
                <w:tcPr>
                  <w:tcW w:w="1117" w:type="pct"/>
                  <w:tcBorders>
                    <w:tl2br w:val="nil"/>
                    <w:tr2bl w:val="nil"/>
                  </w:tcBorders>
                  <w:vAlign w:val="center"/>
                </w:tcPr>
                <w:p>
                  <w:pPr>
                    <w:pStyle w:val="29"/>
                    <w:bidi w:val="0"/>
                    <w:jc w:val="center"/>
                    <w:rPr>
                      <w:rFonts w:hint="eastAsia"/>
                      <w:highlight w:val="none"/>
                      <w:lang w:eastAsia="zh-CN"/>
                    </w:rPr>
                  </w:pPr>
                  <w:r>
                    <w:rPr>
                      <w:rFonts w:hint="eastAsia"/>
                      <w:highlight w:val="none"/>
                      <w:lang w:eastAsia="zh-CN"/>
                    </w:rPr>
                    <w:t>厂区绿化</w:t>
                  </w:r>
                </w:p>
              </w:tc>
              <w:tc>
                <w:tcPr>
                  <w:tcW w:w="1380" w:type="pct"/>
                  <w:tcBorders>
                    <w:tl2br w:val="nil"/>
                    <w:tr2bl w:val="nil"/>
                  </w:tcBorders>
                  <w:vAlign w:val="center"/>
                </w:tcPr>
                <w:p>
                  <w:pPr>
                    <w:pStyle w:val="29"/>
                    <w:bidi w:val="0"/>
                    <w:jc w:val="center"/>
                    <w:rPr>
                      <w:rFonts w:hint="eastAsia"/>
                      <w:highlight w:val="none"/>
                      <w:lang w:val="en-US" w:eastAsia="zh-CN"/>
                    </w:rPr>
                  </w:pPr>
                  <w:r>
                    <w:rPr>
                      <w:rFonts w:hint="eastAsia"/>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85" w:type="pct"/>
                  <w:tcBorders>
                    <w:tl2br w:val="nil"/>
                    <w:tr2bl w:val="nil"/>
                  </w:tcBorders>
                  <w:vAlign w:val="center"/>
                </w:tcPr>
                <w:p>
                  <w:pPr>
                    <w:pStyle w:val="29"/>
                    <w:bidi w:val="0"/>
                    <w:jc w:val="center"/>
                    <w:rPr>
                      <w:rFonts w:hint="eastAsia"/>
                      <w:highlight w:val="none"/>
                      <w:lang w:eastAsia="zh-CN"/>
                    </w:rPr>
                  </w:pPr>
                  <w:r>
                    <w:rPr>
                      <w:rFonts w:hint="eastAsia"/>
                      <w:highlight w:val="none"/>
                      <w:lang w:val="en-US" w:eastAsia="zh-CN"/>
                    </w:rPr>
                    <w:t>2</w:t>
                  </w:r>
                </w:p>
              </w:tc>
              <w:tc>
                <w:tcPr>
                  <w:tcW w:w="609" w:type="pct"/>
                  <w:gridSpan w:val="2"/>
                  <w:tcBorders>
                    <w:tl2br w:val="nil"/>
                    <w:tr2bl w:val="nil"/>
                  </w:tcBorders>
                  <w:vAlign w:val="center"/>
                </w:tcPr>
                <w:p>
                  <w:pPr>
                    <w:pStyle w:val="29"/>
                    <w:bidi w:val="0"/>
                    <w:jc w:val="center"/>
                    <w:rPr>
                      <w:highlight w:val="none"/>
                    </w:rPr>
                  </w:pPr>
                  <w:r>
                    <w:rPr>
                      <w:highlight w:val="none"/>
                    </w:rPr>
                    <w:t>噪声</w:t>
                  </w:r>
                </w:p>
              </w:tc>
              <w:tc>
                <w:tcPr>
                  <w:tcW w:w="785" w:type="pct"/>
                  <w:tcBorders>
                    <w:tl2br w:val="nil"/>
                    <w:tr2bl w:val="nil"/>
                  </w:tcBorders>
                  <w:vAlign w:val="center"/>
                </w:tcPr>
                <w:p>
                  <w:pPr>
                    <w:pStyle w:val="29"/>
                    <w:bidi w:val="0"/>
                    <w:jc w:val="center"/>
                    <w:rPr>
                      <w:highlight w:val="none"/>
                    </w:rPr>
                  </w:pPr>
                  <w:r>
                    <w:rPr>
                      <w:highlight w:val="none"/>
                    </w:rPr>
                    <w:t>机械运行噪声</w:t>
                  </w:r>
                </w:p>
              </w:tc>
              <w:tc>
                <w:tcPr>
                  <w:tcW w:w="721" w:type="pct"/>
                  <w:tcBorders>
                    <w:tl2br w:val="nil"/>
                    <w:tr2bl w:val="nil"/>
                  </w:tcBorders>
                  <w:vAlign w:val="center"/>
                </w:tcPr>
                <w:p>
                  <w:pPr>
                    <w:pStyle w:val="29"/>
                    <w:bidi w:val="0"/>
                    <w:jc w:val="center"/>
                    <w:rPr>
                      <w:highlight w:val="none"/>
                    </w:rPr>
                  </w:pPr>
                  <w:r>
                    <w:rPr>
                      <w:highlight w:val="none"/>
                    </w:rPr>
                    <w:t>减振基础，车间隔声、距离衰减</w:t>
                  </w:r>
                </w:p>
              </w:tc>
              <w:tc>
                <w:tcPr>
                  <w:tcW w:w="1117" w:type="pct"/>
                  <w:tcBorders>
                    <w:tl2br w:val="nil"/>
                    <w:tr2bl w:val="nil"/>
                  </w:tcBorders>
                  <w:vAlign w:val="center"/>
                </w:tcPr>
                <w:p>
                  <w:pPr>
                    <w:pStyle w:val="29"/>
                    <w:bidi w:val="0"/>
                    <w:jc w:val="center"/>
                    <w:rPr>
                      <w:highlight w:val="none"/>
                    </w:rPr>
                  </w:pPr>
                  <w:r>
                    <w:rPr>
                      <w:highlight w:val="none"/>
                    </w:rPr>
                    <w:t>减振基础，车间隔声、距离衰减</w:t>
                  </w:r>
                </w:p>
              </w:tc>
              <w:tc>
                <w:tcPr>
                  <w:tcW w:w="1380" w:type="pct"/>
                  <w:tcBorders>
                    <w:tl2br w:val="nil"/>
                    <w:tr2bl w:val="nil"/>
                  </w:tcBorders>
                  <w:vAlign w:val="center"/>
                </w:tcPr>
                <w:p>
                  <w:pPr>
                    <w:pStyle w:val="29"/>
                    <w:bidi w:val="0"/>
                    <w:jc w:val="center"/>
                    <w:rPr>
                      <w:highlight w:val="none"/>
                    </w:rPr>
                  </w:pPr>
                  <w:r>
                    <w:rPr>
                      <w:highlight w:val="none"/>
                    </w:rPr>
                    <w:t>《工业企业厂界环境噪声排放标准》（GB12348-2008）</w:t>
                  </w:r>
                  <w:r>
                    <w:rPr>
                      <w:rFonts w:hint="eastAsia"/>
                      <w:highlight w:val="none"/>
                      <w:lang w:val="en-US" w:eastAsia="zh-CN"/>
                    </w:rPr>
                    <w:t>3</w:t>
                  </w:r>
                  <w:r>
                    <w:rPr>
                      <w:highlight w:val="none"/>
                    </w:rPr>
                    <w:t>类标准［昼间≤</w:t>
                  </w:r>
                  <w:r>
                    <w:rPr>
                      <w:rFonts w:hint="eastAsia"/>
                      <w:highlight w:val="none"/>
                    </w:rPr>
                    <w:t>6</w:t>
                  </w:r>
                  <w:r>
                    <w:rPr>
                      <w:rFonts w:hint="eastAsia"/>
                      <w:highlight w:val="none"/>
                      <w:lang w:val="en-US" w:eastAsia="zh-CN"/>
                    </w:rPr>
                    <w:t>5</w:t>
                  </w:r>
                  <w:r>
                    <w:rPr>
                      <w:highlight w:val="none"/>
                    </w:rPr>
                    <w:t>dB（A）、夜间≤</w:t>
                  </w:r>
                  <w:r>
                    <w:rPr>
                      <w:rFonts w:hint="eastAsia"/>
                      <w:highlight w:val="none"/>
                    </w:rPr>
                    <w:t>5</w:t>
                  </w:r>
                  <w:r>
                    <w:rPr>
                      <w:rFonts w:hint="eastAsia"/>
                      <w:highlight w:val="none"/>
                      <w:lang w:val="en-US" w:eastAsia="zh-CN"/>
                    </w:rPr>
                    <w:t>5</w:t>
                  </w:r>
                  <w:r>
                    <w:rPr>
                      <w:highlight w:val="none"/>
                    </w:rPr>
                    <w:t>dB（A）]要求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85" w:type="pct"/>
                  <w:tcBorders>
                    <w:tl2br w:val="nil"/>
                    <w:tr2bl w:val="nil"/>
                  </w:tcBorders>
                  <w:vAlign w:val="center"/>
                </w:tcPr>
                <w:p>
                  <w:pPr>
                    <w:pStyle w:val="29"/>
                    <w:bidi w:val="0"/>
                    <w:jc w:val="center"/>
                    <w:rPr>
                      <w:rFonts w:hint="eastAsia"/>
                      <w:highlight w:val="none"/>
                      <w:lang w:eastAsia="zh-CN"/>
                    </w:rPr>
                  </w:pPr>
                  <w:r>
                    <w:rPr>
                      <w:rFonts w:hint="eastAsia"/>
                      <w:highlight w:val="none"/>
                      <w:lang w:val="en-US" w:eastAsia="zh-CN"/>
                    </w:rPr>
                    <w:t>3</w:t>
                  </w:r>
                </w:p>
              </w:tc>
              <w:tc>
                <w:tcPr>
                  <w:tcW w:w="241" w:type="pct"/>
                  <w:tcBorders>
                    <w:tl2br w:val="nil"/>
                    <w:tr2bl w:val="nil"/>
                  </w:tcBorders>
                  <w:vAlign w:val="center"/>
                </w:tcPr>
                <w:p>
                  <w:pPr>
                    <w:pStyle w:val="29"/>
                    <w:bidi w:val="0"/>
                    <w:jc w:val="center"/>
                    <w:rPr>
                      <w:b w:val="0"/>
                      <w:bCs w:val="0"/>
                      <w:highlight w:val="none"/>
                      <w:u w:val="none"/>
                    </w:rPr>
                  </w:pPr>
                  <w:r>
                    <w:rPr>
                      <w:b w:val="0"/>
                      <w:bCs w:val="0"/>
                      <w:highlight w:val="none"/>
                      <w:u w:val="none"/>
                    </w:rPr>
                    <w:t>固废</w:t>
                  </w:r>
                </w:p>
              </w:tc>
              <w:tc>
                <w:tcPr>
                  <w:tcW w:w="368" w:type="pct"/>
                  <w:tcBorders>
                    <w:tl2br w:val="nil"/>
                    <w:tr2bl w:val="nil"/>
                  </w:tcBorders>
                  <w:vAlign w:val="center"/>
                </w:tcPr>
                <w:p>
                  <w:pPr>
                    <w:pStyle w:val="29"/>
                    <w:bidi w:val="0"/>
                    <w:jc w:val="center"/>
                    <w:rPr>
                      <w:b w:val="0"/>
                      <w:bCs w:val="0"/>
                      <w:highlight w:val="none"/>
                      <w:u w:val="none"/>
                    </w:rPr>
                  </w:pPr>
                  <w:r>
                    <w:rPr>
                      <w:b w:val="0"/>
                      <w:bCs w:val="0"/>
                      <w:highlight w:val="none"/>
                      <w:u w:val="none"/>
                    </w:rPr>
                    <w:t>一</w:t>
                  </w:r>
                </w:p>
                <w:p>
                  <w:pPr>
                    <w:pStyle w:val="29"/>
                    <w:bidi w:val="0"/>
                    <w:jc w:val="center"/>
                    <w:rPr>
                      <w:b w:val="0"/>
                      <w:bCs w:val="0"/>
                      <w:highlight w:val="none"/>
                      <w:u w:val="none"/>
                    </w:rPr>
                  </w:pPr>
                  <w:r>
                    <w:rPr>
                      <w:b w:val="0"/>
                      <w:bCs w:val="0"/>
                      <w:highlight w:val="none"/>
                      <w:u w:val="none"/>
                    </w:rPr>
                    <w:t>般</w:t>
                  </w:r>
                </w:p>
                <w:p>
                  <w:pPr>
                    <w:pStyle w:val="29"/>
                    <w:bidi w:val="0"/>
                    <w:jc w:val="center"/>
                    <w:rPr>
                      <w:b w:val="0"/>
                      <w:bCs w:val="0"/>
                      <w:highlight w:val="none"/>
                      <w:u w:val="none"/>
                    </w:rPr>
                  </w:pPr>
                  <w:r>
                    <w:rPr>
                      <w:b w:val="0"/>
                      <w:bCs w:val="0"/>
                      <w:highlight w:val="none"/>
                      <w:u w:val="none"/>
                    </w:rPr>
                    <w:t>固</w:t>
                  </w:r>
                </w:p>
                <w:p>
                  <w:pPr>
                    <w:pStyle w:val="29"/>
                    <w:bidi w:val="0"/>
                    <w:jc w:val="center"/>
                    <w:rPr>
                      <w:b w:val="0"/>
                      <w:bCs w:val="0"/>
                      <w:highlight w:val="none"/>
                      <w:u w:val="none"/>
                    </w:rPr>
                  </w:pPr>
                  <w:r>
                    <w:rPr>
                      <w:b w:val="0"/>
                      <w:bCs w:val="0"/>
                      <w:highlight w:val="none"/>
                      <w:u w:val="none"/>
                    </w:rPr>
                    <w:t>废</w:t>
                  </w:r>
                </w:p>
              </w:tc>
              <w:tc>
                <w:tcPr>
                  <w:tcW w:w="785" w:type="pct"/>
                  <w:tcBorders>
                    <w:tl2br w:val="nil"/>
                    <w:tr2bl w:val="nil"/>
                  </w:tcBorders>
                  <w:vAlign w:val="center"/>
                </w:tcPr>
                <w:p>
                  <w:pPr>
                    <w:pStyle w:val="29"/>
                    <w:bidi w:val="0"/>
                    <w:jc w:val="center"/>
                    <w:rPr>
                      <w:b w:val="0"/>
                      <w:bCs w:val="0"/>
                      <w:highlight w:val="none"/>
                      <w:u w:val="none"/>
                    </w:rPr>
                  </w:pPr>
                  <w:r>
                    <w:rPr>
                      <w:rFonts w:hint="eastAsia"/>
                      <w:b w:val="0"/>
                      <w:bCs w:val="0"/>
                      <w:highlight w:val="none"/>
                      <w:u w:val="none"/>
                      <w:lang w:eastAsia="zh-CN"/>
                    </w:rPr>
                    <w:t>废气瓶头和废胶垫</w:t>
                  </w:r>
                </w:p>
              </w:tc>
              <w:tc>
                <w:tcPr>
                  <w:tcW w:w="721" w:type="pct"/>
                  <w:tcBorders>
                    <w:tl2br w:val="nil"/>
                    <w:tr2bl w:val="nil"/>
                  </w:tcBorders>
                  <w:vAlign w:val="center"/>
                </w:tcPr>
                <w:p>
                  <w:pPr>
                    <w:pStyle w:val="29"/>
                    <w:bidi w:val="0"/>
                    <w:jc w:val="center"/>
                    <w:rPr>
                      <w:b w:val="0"/>
                      <w:bCs w:val="0"/>
                      <w:highlight w:val="none"/>
                      <w:u w:val="none"/>
                    </w:rPr>
                  </w:pPr>
                  <w:r>
                    <w:rPr>
                      <w:b w:val="0"/>
                      <w:bCs w:val="0"/>
                      <w:highlight w:val="none"/>
                      <w:u w:val="none"/>
                    </w:rPr>
                    <w:t>设置集中收集装置</w:t>
                  </w:r>
                </w:p>
              </w:tc>
              <w:tc>
                <w:tcPr>
                  <w:tcW w:w="1117" w:type="pct"/>
                  <w:tcBorders>
                    <w:tl2br w:val="nil"/>
                    <w:tr2bl w:val="nil"/>
                  </w:tcBorders>
                  <w:vAlign w:val="center"/>
                </w:tcPr>
                <w:p>
                  <w:pPr>
                    <w:pStyle w:val="29"/>
                    <w:bidi w:val="0"/>
                    <w:jc w:val="center"/>
                    <w:rPr>
                      <w:b w:val="0"/>
                      <w:bCs w:val="0"/>
                      <w:highlight w:val="none"/>
                      <w:u w:val="none"/>
                    </w:rPr>
                  </w:pPr>
                  <w:r>
                    <w:rPr>
                      <w:rFonts w:hint="eastAsia"/>
                      <w:b w:val="0"/>
                      <w:bCs w:val="0"/>
                      <w:highlight w:val="none"/>
                      <w:u w:val="none"/>
                      <w:lang w:val="en-US" w:eastAsia="zh-CN"/>
                    </w:rPr>
                    <w:t>依托现有</w:t>
                  </w:r>
                  <w:r>
                    <w:rPr>
                      <w:b w:val="0"/>
                      <w:bCs w:val="0"/>
                      <w:highlight w:val="none"/>
                      <w:u w:val="none"/>
                    </w:rPr>
                    <w:t>固废暂存间一座，（建筑面积</w:t>
                  </w:r>
                  <w:r>
                    <w:rPr>
                      <w:rFonts w:hint="eastAsia"/>
                      <w:b w:val="0"/>
                      <w:bCs w:val="0"/>
                      <w:highlight w:val="none"/>
                      <w:u w:val="none"/>
                      <w:lang w:val="en-US" w:eastAsia="zh-CN"/>
                    </w:rPr>
                    <w:t>2</w:t>
                  </w:r>
                  <w:r>
                    <w:rPr>
                      <w:rFonts w:hint="eastAsia"/>
                      <w:b w:val="0"/>
                      <w:bCs w:val="0"/>
                      <w:highlight w:val="none"/>
                      <w:u w:val="none"/>
                    </w:rPr>
                    <w:t>0</w:t>
                  </w:r>
                  <w:r>
                    <w:rPr>
                      <w:b w:val="0"/>
                      <w:bCs w:val="0"/>
                      <w:highlight w:val="none"/>
                      <w:u w:val="none"/>
                    </w:rPr>
                    <w:t>m</w:t>
                  </w:r>
                  <w:r>
                    <w:rPr>
                      <w:b w:val="0"/>
                      <w:bCs w:val="0"/>
                      <w:highlight w:val="none"/>
                      <w:u w:val="none"/>
                      <w:vertAlign w:val="superscript"/>
                    </w:rPr>
                    <w:t>2</w:t>
                  </w:r>
                  <w:r>
                    <w:rPr>
                      <w:b w:val="0"/>
                      <w:bCs w:val="0"/>
                      <w:highlight w:val="none"/>
                      <w:u w:val="none"/>
                    </w:rPr>
                    <w:t>)</w:t>
                  </w:r>
                </w:p>
              </w:tc>
              <w:tc>
                <w:tcPr>
                  <w:tcW w:w="1380" w:type="pct"/>
                  <w:tcBorders>
                    <w:tl2br w:val="nil"/>
                    <w:tr2bl w:val="nil"/>
                  </w:tcBorders>
                  <w:vAlign w:val="center"/>
                </w:tcPr>
                <w:p>
                  <w:pPr>
                    <w:pStyle w:val="29"/>
                    <w:keepNext w:val="0"/>
                    <w:keepLines w:val="0"/>
                    <w:pageBreakBefore w:val="0"/>
                    <w:widowControl w:val="0"/>
                    <w:kinsoku/>
                    <w:wordWrap w:val="0"/>
                    <w:overflowPunct/>
                    <w:topLinePunct w:val="0"/>
                    <w:autoSpaceDE/>
                    <w:autoSpaceDN/>
                    <w:bidi w:val="0"/>
                    <w:adjustRightInd/>
                    <w:snapToGrid/>
                    <w:jc w:val="center"/>
                    <w:textAlignment w:val="auto"/>
                    <w:rPr>
                      <w:b w:val="0"/>
                      <w:bCs w:val="0"/>
                      <w:highlight w:val="none"/>
                      <w:u w:val="none"/>
                    </w:rPr>
                  </w:pPr>
                  <w:r>
                    <w:rPr>
                      <w:b w:val="0"/>
                      <w:bCs w:val="0"/>
                      <w:highlight w:val="none"/>
                      <w:u w:val="none"/>
                    </w:rPr>
                    <w:t>《一般工业固体废物贮存、处置场污染控制标准》（GB 18599-2001）及修改单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85" w:type="pct"/>
                  <w:tcBorders>
                    <w:tl2br w:val="nil"/>
                    <w:tr2bl w:val="nil"/>
                  </w:tcBorders>
                  <w:vAlign w:val="center"/>
                </w:tcPr>
                <w:p>
                  <w:pPr>
                    <w:pStyle w:val="29"/>
                    <w:bidi w:val="0"/>
                    <w:rPr>
                      <w:rFonts w:hint="eastAsia"/>
                      <w:highlight w:val="none"/>
                      <w:lang w:eastAsia="zh-CN"/>
                    </w:rPr>
                  </w:pPr>
                  <w:r>
                    <w:rPr>
                      <w:rFonts w:hint="eastAsia"/>
                      <w:highlight w:val="none"/>
                      <w:lang w:val="en-US" w:eastAsia="zh-CN"/>
                    </w:rPr>
                    <w:t>4</w:t>
                  </w:r>
                </w:p>
              </w:tc>
              <w:tc>
                <w:tcPr>
                  <w:tcW w:w="609" w:type="pct"/>
                  <w:gridSpan w:val="2"/>
                  <w:tcBorders>
                    <w:tl2br w:val="nil"/>
                    <w:tr2bl w:val="nil"/>
                  </w:tcBorders>
                  <w:vAlign w:val="center"/>
                </w:tcPr>
                <w:p>
                  <w:pPr>
                    <w:pStyle w:val="29"/>
                    <w:bidi w:val="0"/>
                    <w:rPr>
                      <w:highlight w:val="none"/>
                    </w:rPr>
                  </w:pPr>
                  <w:r>
                    <w:rPr>
                      <w:rFonts w:hint="eastAsia"/>
                      <w:highlight w:val="none"/>
                    </w:rPr>
                    <w:t>公用</w:t>
                  </w:r>
                </w:p>
              </w:tc>
              <w:tc>
                <w:tcPr>
                  <w:tcW w:w="785" w:type="pct"/>
                  <w:tcBorders>
                    <w:tl2br w:val="nil"/>
                    <w:tr2bl w:val="nil"/>
                  </w:tcBorders>
                  <w:vAlign w:val="center"/>
                </w:tcPr>
                <w:p>
                  <w:pPr>
                    <w:pStyle w:val="29"/>
                    <w:bidi w:val="0"/>
                    <w:rPr>
                      <w:highlight w:val="none"/>
                    </w:rPr>
                  </w:pPr>
                  <w:r>
                    <w:rPr>
                      <w:rFonts w:hint="eastAsia"/>
                      <w:highlight w:val="none"/>
                    </w:rPr>
                    <w:t>用电监控</w:t>
                  </w:r>
                </w:p>
              </w:tc>
              <w:tc>
                <w:tcPr>
                  <w:tcW w:w="3219" w:type="pct"/>
                  <w:gridSpan w:val="3"/>
                  <w:tcBorders>
                    <w:tl2br w:val="nil"/>
                    <w:tr2bl w:val="nil"/>
                  </w:tcBorders>
                  <w:vAlign w:val="center"/>
                </w:tcPr>
                <w:p>
                  <w:pPr>
                    <w:pStyle w:val="29"/>
                    <w:bidi w:val="0"/>
                    <w:rPr>
                      <w:rFonts w:hint="eastAsia"/>
                      <w:highlight w:val="none"/>
                      <w:lang w:eastAsia="zh-CN"/>
                    </w:rPr>
                  </w:pPr>
                  <w:r>
                    <w:rPr>
                      <w:rFonts w:hint="eastAsia"/>
                      <w:highlight w:val="none"/>
                    </w:rPr>
                    <w:t>在厂区总电源控制室、生产设施供电装置、污染治理设施供电装置处安装满足监控需要数量的用电监控系统终端</w:t>
                  </w:r>
                  <w:r>
                    <w:rPr>
                      <w:rFonts w:hint="eastAsia"/>
                      <w:highlight w:val="none"/>
                      <w:lang w:eastAsia="zh-CN"/>
                    </w:rPr>
                    <w:t>，</w:t>
                  </w:r>
                  <w:r>
                    <w:rPr>
                      <w:rFonts w:hint="eastAsia"/>
                      <w:highlight w:val="none"/>
                    </w:rPr>
                    <w:t>对污染物监测采样处和危废间提出视频监控装置安装要求。</w:t>
                  </w:r>
                </w:p>
              </w:tc>
            </w:tr>
          </w:tbl>
          <w:p>
            <w:pPr>
              <w:pStyle w:val="4"/>
              <w:bidi w:val="0"/>
              <w:rPr>
                <w:highlight w:val="none"/>
              </w:rPr>
            </w:pPr>
            <w:r>
              <w:rPr>
                <w:highlight w:val="none"/>
              </w:rPr>
              <w:t>（十</w:t>
            </w:r>
            <w:r>
              <w:rPr>
                <w:rFonts w:hint="eastAsia"/>
                <w:highlight w:val="none"/>
              </w:rPr>
              <w:t>一</w:t>
            </w:r>
            <w:r>
              <w:rPr>
                <w:highlight w:val="none"/>
              </w:rPr>
              <w:t>）</w:t>
            </w:r>
            <w:r>
              <w:rPr>
                <w:rFonts w:hint="eastAsia"/>
                <w:highlight w:val="none"/>
                <w:lang w:eastAsia="zh-CN"/>
              </w:rPr>
              <w:t>、</w:t>
            </w:r>
            <w:r>
              <w:rPr>
                <w:highlight w:val="none"/>
              </w:rPr>
              <w:t>环境监测管理与监测计划</w:t>
            </w:r>
          </w:p>
          <w:p>
            <w:pPr>
              <w:pStyle w:val="58"/>
              <w:spacing w:line="460" w:lineRule="exact"/>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（1）环境管理</w:t>
            </w:r>
          </w:p>
          <w:p>
            <w:pPr>
              <w:pStyle w:val="58"/>
              <w:spacing w:line="460" w:lineRule="exact"/>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为做好环境管理工作，公司应建立环境管理体系，将环境管理工作自上而下的贯穿到公司的生产管理中，现就建立环境管理体系提出如下建议：</w:t>
            </w:r>
          </w:p>
          <w:p>
            <w:pPr>
              <w:pStyle w:val="58"/>
              <w:spacing w:line="460" w:lineRule="exact"/>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a、公司的环境管理工作实行公司主要负责人负责制，以便在制定环保方针、制度、规划，协调人力、物力和财力等方面，将环境管理和生产管理结合起来。</w:t>
            </w:r>
          </w:p>
          <w:p>
            <w:pPr>
              <w:pStyle w:val="58"/>
              <w:spacing w:line="460" w:lineRule="exact"/>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b、建立环境管理机构，配备环保管理人员1名，具体制定环境管理方案并实施运行；负责与政府环保主管部门的联系与协调工作。</w:t>
            </w:r>
          </w:p>
          <w:p>
            <w:pPr>
              <w:pStyle w:val="58"/>
              <w:spacing w:line="460" w:lineRule="exact"/>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c、建立环保档案，有利于上级环保部门及公司管理层了解公司环保情况，给出相应建议。</w:t>
            </w:r>
          </w:p>
          <w:p>
            <w:pPr>
              <w:pStyle w:val="58"/>
              <w:spacing w:line="460" w:lineRule="exact"/>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（2）环境管理工作计划</w:t>
            </w:r>
          </w:p>
          <w:p>
            <w:pPr>
              <w:pStyle w:val="58"/>
              <w:spacing w:line="460" w:lineRule="exact"/>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a、严格执行各项生产及环境管理制度，保证生产的正常进行；</w:t>
            </w:r>
          </w:p>
          <w:p>
            <w:pPr>
              <w:pStyle w:val="58"/>
              <w:spacing w:line="460" w:lineRule="exact"/>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b、设立环保设施运行卡，对环保设施定期进行检查、维护，做到勤查、勤记、勤养护；</w:t>
            </w:r>
          </w:p>
          <w:p>
            <w:pPr>
              <w:pStyle w:val="58"/>
              <w:spacing w:line="460" w:lineRule="exact"/>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c、按照监测计划定期委托第三方机构对污染源进行监测，对不达标环保设施立即进行寻找原因及时处理；</w:t>
            </w:r>
          </w:p>
          <w:p>
            <w:pPr>
              <w:pStyle w:val="58"/>
              <w:spacing w:line="460" w:lineRule="exact"/>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d、不断加强技术培训，组织企业内部之间技术交流，提高业务水平，保持企业内部职工素质稳定；</w:t>
            </w:r>
          </w:p>
          <w:p>
            <w:pPr>
              <w:pStyle w:val="58"/>
              <w:spacing w:line="460" w:lineRule="exact"/>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e、重视群众监督作用，提高企业职工环境意识，鼓励职工及外部人员对生产状况提出意见，并通过积极吸收宝贵意见，提高企业环境管理水平；</w:t>
            </w:r>
          </w:p>
          <w:p>
            <w:pPr>
              <w:pStyle w:val="58"/>
              <w:spacing w:line="460" w:lineRule="exact"/>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f、积极配合环保部门的检查。</w:t>
            </w:r>
          </w:p>
          <w:p>
            <w:pPr>
              <w:pStyle w:val="58"/>
              <w:keepNext w:val="0"/>
              <w:keepLines w:val="0"/>
              <w:pageBreakBefore w:val="0"/>
              <w:widowControl w:val="0"/>
              <w:kinsoku/>
              <w:wordWrap/>
              <w:overflowPunct/>
              <w:topLinePunct w:val="0"/>
              <w:autoSpaceDE/>
              <w:autoSpaceDN/>
              <w:bidi w:val="0"/>
              <w:spacing w:line="360" w:lineRule="auto"/>
              <w:ind w:firstLine="480"/>
              <w:textAlignment w:val="auto"/>
              <w:rPr>
                <w:rFonts w:hint="default" w:ascii="Times New Roman" w:hAnsi="Times New Roman" w:cs="Times New Roman"/>
                <w:color w:val="000000"/>
                <w:szCs w:val="24"/>
                <w:highlight w:val="none"/>
              </w:rPr>
            </w:pPr>
            <w:r>
              <w:rPr>
                <w:rFonts w:hint="default" w:ascii="Times New Roman" w:hAnsi="Times New Roman" w:cs="Times New Roman"/>
                <w:color w:val="000000"/>
                <w:szCs w:val="24"/>
                <w:highlight w:val="none"/>
              </w:rPr>
              <w:t>（3）自行监测计划</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eastAsia="宋体" w:cs="Times New Roman"/>
                <w:b w:val="0"/>
                <w:bCs w:val="0"/>
                <w:sz w:val="24"/>
                <w:highlight w:val="none"/>
                <w:lang w:val="en-US" w:eastAsia="zh-CN"/>
              </w:rPr>
            </w:pPr>
            <w:r>
              <w:rPr>
                <w:rFonts w:hint="default" w:ascii="Times New Roman" w:hAnsi="Times New Roman" w:eastAsia="宋体" w:cs="Times New Roman"/>
                <w:b w:val="0"/>
                <w:bCs w:val="0"/>
                <w:color w:val="000000"/>
                <w:sz w:val="24"/>
                <w:szCs w:val="24"/>
                <w:highlight w:val="none"/>
                <w:lang w:val="en-US" w:eastAsia="zh-CN"/>
              </w:rPr>
              <w:t>项目的环境监测计划主要为污染源监测计划，建设单位应定期委托有相关的资质的单位进行监测。污染源监测计划如下：</w:t>
            </w:r>
          </w:p>
          <w:p>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eastAsia="宋体" w:cs="Times New Roman"/>
                <w:b w:val="0"/>
                <w:bCs w:val="0"/>
                <w:sz w:val="24"/>
                <w:highlight w:val="none"/>
                <w:lang w:val="en-US" w:eastAsia="zh-CN"/>
              </w:rPr>
              <w:fldChar w:fldCharType="begin"/>
            </w:r>
            <w:r>
              <w:rPr>
                <w:rFonts w:hint="default" w:ascii="Times New Roman" w:hAnsi="Times New Roman" w:eastAsia="宋体" w:cs="Times New Roman"/>
                <w:b w:val="0"/>
                <w:bCs w:val="0"/>
                <w:sz w:val="24"/>
                <w:highlight w:val="none"/>
                <w:lang w:val="en-US" w:eastAsia="zh-CN"/>
              </w:rPr>
              <w:instrText xml:space="preserve"> = 1 \* GB3 \* MERGEFORMAT </w:instrText>
            </w:r>
            <w:r>
              <w:rPr>
                <w:rFonts w:hint="default" w:ascii="Times New Roman" w:hAnsi="Times New Roman" w:eastAsia="宋体" w:cs="Times New Roman"/>
                <w:b w:val="0"/>
                <w:bCs w:val="0"/>
                <w:sz w:val="24"/>
                <w:highlight w:val="none"/>
                <w:lang w:val="en-US" w:eastAsia="zh-CN"/>
              </w:rPr>
              <w:fldChar w:fldCharType="separate"/>
            </w:r>
            <w:r>
              <w:rPr>
                <w:rFonts w:hint="default" w:ascii="Times New Roman" w:hAnsi="Times New Roman" w:cs="Times New Roman"/>
                <w:highlight w:val="none"/>
              </w:rPr>
              <w:t>①</w:t>
            </w:r>
            <w:r>
              <w:rPr>
                <w:rFonts w:hint="default" w:ascii="Times New Roman" w:hAnsi="Times New Roman" w:eastAsia="宋体" w:cs="Times New Roman"/>
                <w:b w:val="0"/>
                <w:bCs w:val="0"/>
                <w:sz w:val="24"/>
                <w:highlight w:val="none"/>
                <w:lang w:val="en-US" w:eastAsia="zh-CN"/>
              </w:rPr>
              <w:fldChar w:fldCharType="end"/>
            </w:r>
            <w:r>
              <w:rPr>
                <w:rFonts w:hint="default" w:ascii="Times New Roman" w:hAnsi="Times New Roman" w:eastAsia="宋体" w:cs="Times New Roman"/>
                <w:b w:val="0"/>
                <w:bCs w:val="0"/>
                <w:sz w:val="24"/>
                <w:highlight w:val="none"/>
                <w:lang w:val="en-US" w:eastAsia="zh-CN"/>
              </w:rPr>
              <w:t>大气污染源</w:t>
            </w:r>
          </w:p>
          <w:p>
            <w:pPr>
              <w:bidi w:val="0"/>
              <w:rPr>
                <w:highlight w:val="none"/>
              </w:rPr>
            </w:pPr>
            <w:r>
              <w:rPr>
                <w:highlight w:val="none"/>
              </w:rPr>
              <w:t>无组织废气监测</w:t>
            </w:r>
          </w:p>
          <w:p>
            <w:pPr>
              <w:bidi w:val="0"/>
              <w:rPr>
                <w:highlight w:val="none"/>
              </w:rPr>
            </w:pPr>
            <w:r>
              <w:rPr>
                <w:highlight w:val="none"/>
              </w:rPr>
              <w:t>本项目无组织废气监测点位、监测指标、频次及排放标准见</w:t>
            </w:r>
            <w:r>
              <w:rPr>
                <w:rFonts w:hint="eastAsia"/>
                <w:highlight w:val="none"/>
                <w:lang w:eastAsia="zh-CN"/>
              </w:rPr>
              <w:t>下表</w:t>
            </w:r>
            <w:r>
              <w:rPr>
                <w:highlight w:val="none"/>
              </w:rPr>
              <w:t>。</w:t>
            </w:r>
          </w:p>
          <w:p>
            <w:pPr>
              <w:bidi w:val="0"/>
              <w:ind w:left="0" w:leftChars="0" w:firstLine="0" w:firstLineChars="0"/>
              <w:jc w:val="center"/>
              <w:rPr>
                <w:highlight w:val="none"/>
              </w:rPr>
            </w:pPr>
            <w:r>
              <w:rPr>
                <w:highlight w:val="none"/>
              </w:rPr>
              <w:t>表</w:t>
            </w:r>
            <w:r>
              <w:rPr>
                <w:rFonts w:hint="eastAsia"/>
                <w:highlight w:val="none"/>
                <w:lang w:val="en-US" w:eastAsia="zh-CN"/>
              </w:rPr>
              <w:t xml:space="preserve">63   </w:t>
            </w:r>
            <w:r>
              <w:rPr>
                <w:highlight w:val="none"/>
              </w:rPr>
              <w:t xml:space="preserve"> 无组织废气监测方案</w:t>
            </w:r>
          </w:p>
          <w:tbl>
            <w:tblPr>
              <w:tblStyle w:val="22"/>
              <w:tblW w:w="4998" w:type="pct"/>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2631"/>
              <w:gridCol w:w="1302"/>
              <w:gridCol w:w="1327"/>
              <w:gridCol w:w="3751"/>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6" w:hRule="atLeast"/>
              </w:trPr>
              <w:tc>
                <w:tcPr>
                  <w:tcW w:w="1459" w:type="pct"/>
                  <w:tcBorders>
                    <w:bottom w:val="single" w:color="auto" w:sz="4" w:space="0"/>
                    <w:right w:val="single" w:color="auto" w:sz="4" w:space="0"/>
                  </w:tcBorders>
                  <w:vAlign w:val="center"/>
                </w:tcPr>
                <w:p>
                  <w:pPr>
                    <w:pStyle w:val="29"/>
                    <w:bidi w:val="0"/>
                    <w:rPr>
                      <w:highlight w:val="none"/>
                    </w:rPr>
                  </w:pPr>
                  <w:r>
                    <w:rPr>
                      <w:highlight w:val="none"/>
                    </w:rPr>
                    <w:t>监测点</w:t>
                  </w:r>
                </w:p>
              </w:tc>
              <w:tc>
                <w:tcPr>
                  <w:tcW w:w="722" w:type="pct"/>
                  <w:tcBorders>
                    <w:left w:val="single" w:color="auto" w:sz="4" w:space="0"/>
                    <w:bottom w:val="single" w:color="auto" w:sz="4" w:space="0"/>
                    <w:right w:val="single" w:color="auto" w:sz="4" w:space="0"/>
                  </w:tcBorders>
                  <w:vAlign w:val="center"/>
                </w:tcPr>
                <w:p>
                  <w:pPr>
                    <w:pStyle w:val="29"/>
                    <w:bidi w:val="0"/>
                    <w:rPr>
                      <w:highlight w:val="none"/>
                    </w:rPr>
                  </w:pPr>
                  <w:r>
                    <w:rPr>
                      <w:highlight w:val="none"/>
                    </w:rPr>
                    <w:t>监测项目</w:t>
                  </w:r>
                </w:p>
              </w:tc>
              <w:tc>
                <w:tcPr>
                  <w:tcW w:w="736" w:type="pct"/>
                  <w:tcBorders>
                    <w:left w:val="single" w:color="auto" w:sz="4" w:space="0"/>
                    <w:bottom w:val="single" w:color="auto" w:sz="4" w:space="0"/>
                    <w:right w:val="single" w:color="auto" w:sz="4" w:space="0"/>
                  </w:tcBorders>
                  <w:vAlign w:val="center"/>
                </w:tcPr>
                <w:p>
                  <w:pPr>
                    <w:pStyle w:val="29"/>
                    <w:bidi w:val="0"/>
                    <w:rPr>
                      <w:highlight w:val="none"/>
                    </w:rPr>
                  </w:pPr>
                  <w:r>
                    <w:rPr>
                      <w:highlight w:val="none"/>
                    </w:rPr>
                    <w:t>监测频次</w:t>
                  </w:r>
                </w:p>
              </w:tc>
              <w:tc>
                <w:tcPr>
                  <w:tcW w:w="2080" w:type="pct"/>
                  <w:tcBorders>
                    <w:left w:val="single" w:color="auto" w:sz="4" w:space="0"/>
                    <w:bottom w:val="single" w:color="auto" w:sz="4" w:space="0"/>
                  </w:tcBorders>
                  <w:vAlign w:val="center"/>
                </w:tcPr>
                <w:p>
                  <w:pPr>
                    <w:pStyle w:val="29"/>
                    <w:bidi w:val="0"/>
                    <w:rPr>
                      <w:highlight w:val="none"/>
                    </w:rPr>
                  </w:pPr>
                  <w:r>
                    <w:rPr>
                      <w:highlight w:val="none"/>
                    </w:rPr>
                    <w:t>执行排放标准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631" w:hRule="atLeast"/>
              </w:trPr>
              <w:tc>
                <w:tcPr>
                  <w:tcW w:w="1459" w:type="pct"/>
                  <w:tcBorders>
                    <w:top w:val="single" w:color="auto" w:sz="4" w:space="0"/>
                    <w:bottom w:val="single" w:color="auto" w:sz="12" w:space="0"/>
                    <w:right w:val="single" w:color="auto" w:sz="4" w:space="0"/>
                  </w:tcBorders>
                  <w:vAlign w:val="center"/>
                </w:tcPr>
                <w:p>
                  <w:pPr>
                    <w:pStyle w:val="29"/>
                    <w:bidi w:val="0"/>
                    <w:rPr>
                      <w:highlight w:val="none"/>
                    </w:rPr>
                  </w:pPr>
                  <w:r>
                    <w:rPr>
                      <w:highlight w:val="none"/>
                    </w:rPr>
                    <w:t>上风向厂界监控点1个、下风向厂界监控点3个</w:t>
                  </w:r>
                </w:p>
              </w:tc>
              <w:tc>
                <w:tcPr>
                  <w:tcW w:w="722" w:type="pct"/>
                  <w:tcBorders>
                    <w:top w:val="single" w:color="auto" w:sz="4" w:space="0"/>
                    <w:left w:val="single" w:color="auto" w:sz="4" w:space="0"/>
                    <w:bottom w:val="single" w:color="auto" w:sz="12" w:space="0"/>
                    <w:right w:val="single" w:color="auto" w:sz="4" w:space="0"/>
                  </w:tcBorders>
                  <w:vAlign w:val="center"/>
                </w:tcPr>
                <w:p>
                  <w:pPr>
                    <w:pStyle w:val="29"/>
                    <w:bidi w:val="0"/>
                    <w:rPr>
                      <w:rFonts w:hint="default" w:eastAsia="宋体"/>
                      <w:highlight w:val="none"/>
                      <w:lang w:val="en-US" w:eastAsia="zh-CN"/>
                    </w:rPr>
                  </w:pPr>
                  <w:r>
                    <w:rPr>
                      <w:rFonts w:hint="eastAsia"/>
                      <w:highlight w:val="none"/>
                      <w:lang w:val="en-US" w:eastAsia="zh-CN"/>
                    </w:rPr>
                    <w:t>非甲烷总烃</w:t>
                  </w:r>
                </w:p>
              </w:tc>
              <w:tc>
                <w:tcPr>
                  <w:tcW w:w="736" w:type="pct"/>
                  <w:tcBorders>
                    <w:top w:val="single" w:color="auto" w:sz="4" w:space="0"/>
                    <w:left w:val="single" w:color="auto" w:sz="4" w:space="0"/>
                    <w:bottom w:val="single" w:color="auto" w:sz="12" w:space="0"/>
                    <w:right w:val="single" w:color="auto" w:sz="4" w:space="0"/>
                  </w:tcBorders>
                  <w:vAlign w:val="center"/>
                </w:tcPr>
                <w:p>
                  <w:pPr>
                    <w:pStyle w:val="29"/>
                    <w:bidi w:val="0"/>
                    <w:rPr>
                      <w:highlight w:val="none"/>
                    </w:rPr>
                  </w:pPr>
                  <w:r>
                    <w:rPr>
                      <w:highlight w:val="none"/>
                    </w:rPr>
                    <w:t>每半年一次</w:t>
                  </w:r>
                </w:p>
              </w:tc>
              <w:tc>
                <w:tcPr>
                  <w:tcW w:w="2080" w:type="pct"/>
                  <w:tcBorders>
                    <w:top w:val="single" w:color="auto" w:sz="4" w:space="0"/>
                    <w:left w:val="single" w:color="auto" w:sz="4" w:space="0"/>
                    <w:bottom w:val="single" w:color="auto" w:sz="12" w:space="0"/>
                  </w:tcBorders>
                  <w:vAlign w:val="center"/>
                </w:tcPr>
                <w:p>
                  <w:pPr>
                    <w:pStyle w:val="29"/>
                    <w:bidi w:val="0"/>
                    <w:rPr>
                      <w:highlight w:val="none"/>
                    </w:rPr>
                  </w:pPr>
                  <w:r>
                    <w:rPr>
                      <w:rFonts w:hint="eastAsia"/>
                      <w:highlight w:val="none"/>
                    </w:rPr>
                    <w:t>《关于全省开展工业企业挥发性有机物专项治理工作中排放建议值的通知》豫环攻坚办【2017】162号文</w:t>
                  </w:r>
                </w:p>
              </w:tc>
            </w:tr>
          </w:tbl>
          <w:p>
            <w:pPr>
              <w:bidi w:val="0"/>
              <w:rPr>
                <w:highlight w:val="none"/>
              </w:rPr>
            </w:pPr>
            <w:r>
              <w:rPr>
                <w:highlight w:val="none"/>
              </w:rPr>
              <w:fldChar w:fldCharType="begin"/>
            </w:r>
            <w:r>
              <w:rPr>
                <w:highlight w:val="none"/>
              </w:rPr>
              <w:instrText xml:space="preserve"> = 2 \* GB3 \* MERGEFORMAT </w:instrText>
            </w:r>
            <w:r>
              <w:rPr>
                <w:highlight w:val="none"/>
              </w:rPr>
              <w:fldChar w:fldCharType="separate"/>
            </w:r>
            <w:r>
              <w:rPr>
                <w:highlight w:val="none"/>
              </w:rPr>
              <w:t>②</w:t>
            </w:r>
            <w:r>
              <w:rPr>
                <w:highlight w:val="none"/>
              </w:rPr>
              <w:fldChar w:fldCharType="end"/>
            </w:r>
            <w:r>
              <w:rPr>
                <w:highlight w:val="none"/>
              </w:rPr>
              <w:t>噪声污染源</w:t>
            </w:r>
          </w:p>
          <w:p>
            <w:pPr>
              <w:bidi w:val="0"/>
              <w:rPr>
                <w:highlight w:val="none"/>
              </w:rPr>
            </w:pPr>
            <w:r>
              <w:rPr>
                <w:highlight w:val="none"/>
              </w:rPr>
              <w:t>本项目噪声监测点位、指标、监测频次见</w:t>
            </w:r>
            <w:r>
              <w:rPr>
                <w:rFonts w:hint="eastAsia"/>
                <w:highlight w:val="none"/>
                <w:lang w:eastAsia="zh-CN"/>
              </w:rPr>
              <w:t>下表</w:t>
            </w:r>
            <w:r>
              <w:rPr>
                <w:highlight w:val="none"/>
              </w:rPr>
              <w:t>。</w:t>
            </w:r>
          </w:p>
          <w:p>
            <w:pPr>
              <w:bidi w:val="0"/>
              <w:ind w:left="0" w:leftChars="0" w:firstLine="0" w:firstLineChars="0"/>
              <w:jc w:val="center"/>
              <w:rPr>
                <w:highlight w:val="none"/>
              </w:rPr>
            </w:pPr>
            <w:r>
              <w:rPr>
                <w:highlight w:val="none"/>
              </w:rPr>
              <w:t>表</w:t>
            </w:r>
            <w:r>
              <w:rPr>
                <w:rFonts w:hint="eastAsia"/>
                <w:highlight w:val="none"/>
                <w:lang w:val="en-US" w:eastAsia="zh-CN"/>
              </w:rPr>
              <w:t>64</w:t>
            </w:r>
            <w:r>
              <w:rPr>
                <w:highlight w:val="none"/>
              </w:rPr>
              <w:t xml:space="preserve">    项目噪声监测方案</w:t>
            </w:r>
          </w:p>
          <w:tbl>
            <w:tblPr>
              <w:tblStyle w:val="22"/>
              <w:tblW w:w="4998"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1363"/>
              <w:gridCol w:w="1125"/>
              <w:gridCol w:w="1125"/>
              <w:gridCol w:w="1127"/>
              <w:gridCol w:w="4271"/>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pStyle w:val="29"/>
                    <w:bidi w:val="0"/>
                    <w:rPr>
                      <w:highlight w:val="none"/>
                    </w:rPr>
                  </w:pPr>
                  <w:r>
                    <w:rPr>
                      <w:highlight w:val="none"/>
                    </w:rPr>
                    <w:t>监测点</w:t>
                  </w:r>
                </w:p>
              </w:tc>
              <w:tc>
                <w:tcPr>
                  <w:tcW w:w="624" w:type="pct"/>
                  <w:tcBorders>
                    <w:tl2br w:val="nil"/>
                    <w:tr2bl w:val="nil"/>
                  </w:tcBorders>
                  <w:vAlign w:val="center"/>
                </w:tcPr>
                <w:p>
                  <w:pPr>
                    <w:pStyle w:val="29"/>
                    <w:bidi w:val="0"/>
                    <w:rPr>
                      <w:highlight w:val="none"/>
                    </w:rPr>
                  </w:pPr>
                  <w:r>
                    <w:rPr>
                      <w:highlight w:val="none"/>
                    </w:rPr>
                    <w:t>监测指标</w:t>
                  </w:r>
                </w:p>
              </w:tc>
              <w:tc>
                <w:tcPr>
                  <w:tcW w:w="624" w:type="pct"/>
                  <w:tcBorders>
                    <w:tl2br w:val="nil"/>
                    <w:tr2bl w:val="nil"/>
                  </w:tcBorders>
                  <w:vAlign w:val="center"/>
                </w:tcPr>
                <w:p>
                  <w:pPr>
                    <w:pStyle w:val="29"/>
                    <w:bidi w:val="0"/>
                    <w:rPr>
                      <w:highlight w:val="none"/>
                    </w:rPr>
                  </w:pPr>
                  <w:r>
                    <w:rPr>
                      <w:highlight w:val="none"/>
                    </w:rPr>
                    <w:t>监测项目</w:t>
                  </w:r>
                </w:p>
              </w:tc>
              <w:tc>
                <w:tcPr>
                  <w:tcW w:w="625" w:type="pct"/>
                  <w:tcBorders>
                    <w:tl2br w:val="nil"/>
                    <w:tr2bl w:val="nil"/>
                  </w:tcBorders>
                  <w:vAlign w:val="center"/>
                </w:tcPr>
                <w:p>
                  <w:pPr>
                    <w:pStyle w:val="29"/>
                    <w:bidi w:val="0"/>
                    <w:rPr>
                      <w:highlight w:val="none"/>
                    </w:rPr>
                  </w:pPr>
                  <w:r>
                    <w:rPr>
                      <w:highlight w:val="none"/>
                    </w:rPr>
                    <w:t>监测频次</w:t>
                  </w:r>
                </w:p>
              </w:tc>
              <w:tc>
                <w:tcPr>
                  <w:tcW w:w="2368" w:type="pct"/>
                  <w:tcBorders>
                    <w:tl2br w:val="nil"/>
                    <w:tr2bl w:val="nil"/>
                  </w:tcBorders>
                  <w:vAlign w:val="center"/>
                </w:tcPr>
                <w:p>
                  <w:pPr>
                    <w:pStyle w:val="29"/>
                    <w:bidi w:val="0"/>
                    <w:rPr>
                      <w:highlight w:val="none"/>
                    </w:rPr>
                  </w:pPr>
                  <w:r>
                    <w:rPr>
                      <w:highlight w:val="none"/>
                    </w:rPr>
                    <w:t>执行排放标准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pStyle w:val="29"/>
                    <w:bidi w:val="0"/>
                    <w:rPr>
                      <w:highlight w:val="none"/>
                    </w:rPr>
                  </w:pPr>
                  <w:r>
                    <w:rPr>
                      <w:highlight w:val="none"/>
                    </w:rPr>
                    <w:t>东、</w:t>
                  </w:r>
                  <w:r>
                    <w:rPr>
                      <w:rFonts w:hint="eastAsia"/>
                      <w:highlight w:val="none"/>
                    </w:rPr>
                    <w:t>西</w:t>
                  </w:r>
                  <w:r>
                    <w:rPr>
                      <w:highlight w:val="none"/>
                    </w:rPr>
                    <w:t>、</w:t>
                  </w:r>
                  <w:r>
                    <w:rPr>
                      <w:rFonts w:hint="eastAsia"/>
                      <w:highlight w:val="none"/>
                    </w:rPr>
                    <w:t>南、北</w:t>
                  </w:r>
                  <w:r>
                    <w:rPr>
                      <w:highlight w:val="none"/>
                    </w:rPr>
                    <w:t>厂界</w:t>
                  </w:r>
                </w:p>
              </w:tc>
              <w:tc>
                <w:tcPr>
                  <w:tcW w:w="624" w:type="pct"/>
                  <w:tcBorders>
                    <w:tl2br w:val="nil"/>
                    <w:tr2bl w:val="nil"/>
                  </w:tcBorders>
                  <w:vAlign w:val="center"/>
                </w:tcPr>
                <w:p>
                  <w:pPr>
                    <w:pStyle w:val="29"/>
                    <w:bidi w:val="0"/>
                    <w:rPr>
                      <w:highlight w:val="none"/>
                    </w:rPr>
                  </w:pPr>
                  <w:r>
                    <w:rPr>
                      <w:highlight w:val="none"/>
                    </w:rPr>
                    <w:t>昼间噪声</w:t>
                  </w:r>
                </w:p>
              </w:tc>
              <w:tc>
                <w:tcPr>
                  <w:tcW w:w="624" w:type="pct"/>
                  <w:tcBorders>
                    <w:tl2br w:val="nil"/>
                    <w:tr2bl w:val="nil"/>
                  </w:tcBorders>
                  <w:vAlign w:val="center"/>
                </w:tcPr>
                <w:p>
                  <w:pPr>
                    <w:pStyle w:val="29"/>
                    <w:bidi w:val="0"/>
                    <w:rPr>
                      <w:highlight w:val="none"/>
                    </w:rPr>
                  </w:pPr>
                  <w:r>
                    <w:rPr>
                      <w:highlight w:val="none"/>
                    </w:rPr>
                    <w:t>等效A声级</w:t>
                  </w:r>
                </w:p>
              </w:tc>
              <w:tc>
                <w:tcPr>
                  <w:tcW w:w="625" w:type="pct"/>
                  <w:tcBorders>
                    <w:tl2br w:val="nil"/>
                    <w:tr2bl w:val="nil"/>
                  </w:tcBorders>
                  <w:vAlign w:val="center"/>
                </w:tcPr>
                <w:p>
                  <w:pPr>
                    <w:pStyle w:val="29"/>
                    <w:bidi w:val="0"/>
                    <w:rPr>
                      <w:highlight w:val="none"/>
                    </w:rPr>
                  </w:pPr>
                  <w:r>
                    <w:rPr>
                      <w:highlight w:val="none"/>
                    </w:rPr>
                    <w:t>每个季度一次</w:t>
                  </w:r>
                </w:p>
              </w:tc>
              <w:tc>
                <w:tcPr>
                  <w:tcW w:w="2368" w:type="pct"/>
                  <w:tcBorders>
                    <w:tl2br w:val="nil"/>
                    <w:tr2bl w:val="nil"/>
                  </w:tcBorders>
                  <w:vAlign w:val="center"/>
                </w:tcPr>
                <w:p>
                  <w:pPr>
                    <w:pStyle w:val="29"/>
                    <w:bidi w:val="0"/>
                    <w:rPr>
                      <w:highlight w:val="none"/>
                    </w:rPr>
                  </w:pPr>
                  <w:r>
                    <w:rPr>
                      <w:highlight w:val="none"/>
                    </w:rPr>
                    <w:t>《工业企业厂界环境噪声排放标准》(GB12348-2008)</w:t>
                  </w:r>
                  <w:r>
                    <w:rPr>
                      <w:rFonts w:hint="eastAsia"/>
                      <w:highlight w:val="none"/>
                      <w:lang w:val="en-US" w:eastAsia="zh-CN"/>
                    </w:rPr>
                    <w:t>3</w:t>
                  </w:r>
                  <w:r>
                    <w:rPr>
                      <w:highlight w:val="none"/>
                    </w:rPr>
                    <w:t>类标准</w:t>
                  </w:r>
                </w:p>
              </w:tc>
            </w:tr>
          </w:tbl>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监测点位管理</w:t>
            </w:r>
          </w:p>
          <w:p>
            <w:pPr>
              <w:widowControl/>
              <w:spacing w:line="440" w:lineRule="exact"/>
              <w:ind w:firstLine="480" w:firstLineChars="200"/>
              <w:jc w:val="left"/>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①排污单位应建立监测点位档案，包括监测点位的管理记录，包括对标志牌的标志是否清晰完成。</w:t>
            </w:r>
          </w:p>
          <w:p>
            <w:pPr>
              <w:widowControl/>
              <w:spacing w:line="440" w:lineRule="exact"/>
              <w:ind w:firstLine="480" w:firstLineChars="200"/>
              <w:jc w:val="left"/>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②监测点位的有关建筑物及相关设施属环境保护设施的组成部分，排污单位应制定相应的管理办法和规章制度，选派人员对监测点位进行管理，并保存相关管理记录，配合监测人员开展监测工作。</w:t>
            </w:r>
          </w:p>
          <w:p>
            <w:pPr>
              <w:widowControl/>
              <w:spacing w:line="440" w:lineRule="exact"/>
              <w:ind w:firstLine="480" w:firstLineChars="200"/>
              <w:jc w:val="left"/>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③监测点位信息变化时，排污单位应及时更换标志牌相应内容。</w:t>
            </w:r>
          </w:p>
          <w:p>
            <w:pPr>
              <w:pStyle w:val="58"/>
              <w:spacing w:line="460" w:lineRule="exact"/>
              <w:ind w:firstLine="480"/>
              <w:rPr>
                <w:rFonts w:hint="default" w:ascii="Times New Roman" w:hAnsi="Times New Roman" w:cs="Times New Roman"/>
                <w:color w:val="000000"/>
                <w:szCs w:val="24"/>
                <w:highlight w:val="none"/>
              </w:rPr>
            </w:pPr>
            <w:r>
              <w:rPr>
                <w:rFonts w:hint="default" w:ascii="Times New Roman" w:hAnsi="Times New Roman" w:cs="Times New Roman"/>
                <w:color w:val="000000"/>
                <w:szCs w:val="24"/>
                <w:highlight w:val="none"/>
              </w:rPr>
              <w:t>（4）</w:t>
            </w:r>
            <w:r>
              <w:rPr>
                <w:rFonts w:hint="default" w:ascii="Times New Roman" w:hAnsi="Times New Roman" w:cs="Times New Roman"/>
                <w:color w:val="000000"/>
                <w:highlight w:val="none"/>
              </w:rPr>
              <w:t>排污口规范化设置</w:t>
            </w:r>
          </w:p>
          <w:p>
            <w:pPr>
              <w:pStyle w:val="58"/>
              <w:spacing w:line="460" w:lineRule="exact"/>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各污染源排放口设置专项图标，执行《环境图形标准排污口（源）》（GB15563.1-1995）、《环境保护图形标志—固体废物贮存（处置）场》（GB15562.2-1995）的相关要求。根据规定要求各排污口（源）提示标志形状采用正方形边框，背景颜色采用绿色，图形颜色采用白色。标志牌应设在与之功能相应的醒目处，并保持清晰、完整。具体标志牌示意详见下图。</w:t>
            </w:r>
          </w:p>
          <w:p>
            <w:pPr>
              <w:pStyle w:val="58"/>
              <w:spacing w:line="460" w:lineRule="exact"/>
              <w:ind w:left="0" w:leftChars="0" w:firstLine="0" w:firstLineChars="0"/>
              <w:rPr>
                <w:rFonts w:hint="default" w:ascii="Times New Roman" w:hAnsi="Times New Roman" w:eastAsia="宋体" w:cs="Times New Roman"/>
                <w:b w:val="0"/>
                <w:bCs w:val="0"/>
                <w:color w:val="000000"/>
                <w:kern w:val="0"/>
                <w:szCs w:val="24"/>
                <w:highlight w:val="cyan"/>
              </w:rPr>
            </w:pPr>
            <w:r>
              <w:rPr>
                <w:rFonts w:hint="default" w:ascii="Times New Roman" w:hAnsi="Times New Roman" w:cs="Times New Roman"/>
                <w:color w:val="000000"/>
                <w:highlight w:val="cyan"/>
              </w:rPr>
              <w:drawing>
                <wp:anchor distT="0" distB="0" distL="114300" distR="114300" simplePos="0" relativeHeight="299705344" behindDoc="1" locked="0" layoutInCell="1" allowOverlap="1">
                  <wp:simplePos x="0" y="0"/>
                  <wp:positionH relativeFrom="margin">
                    <wp:posOffset>300355</wp:posOffset>
                  </wp:positionH>
                  <wp:positionV relativeFrom="paragraph">
                    <wp:posOffset>278765</wp:posOffset>
                  </wp:positionV>
                  <wp:extent cx="4915535" cy="2238375"/>
                  <wp:effectExtent l="12700" t="12700" r="24765" b="15875"/>
                  <wp:wrapNone/>
                  <wp:docPr id="32"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00"/>
                          <pic:cNvPicPr>
                            <a:picLocks noChangeAspect="1"/>
                          </pic:cNvPicPr>
                        </pic:nvPicPr>
                        <pic:blipFill>
                          <a:blip r:embed="rId21"/>
                          <a:stretch>
                            <a:fillRect/>
                          </a:stretch>
                        </pic:blipFill>
                        <pic:spPr>
                          <a:xfrm>
                            <a:off x="0" y="0"/>
                            <a:ext cx="4915535" cy="2238375"/>
                          </a:xfrm>
                          <a:prstGeom prst="rect">
                            <a:avLst/>
                          </a:prstGeom>
                          <a:noFill/>
                          <a:ln w="12700" cap="flat" cmpd="sng">
                            <a:solidFill>
                              <a:srgbClr val="000000"/>
                            </a:solidFill>
                            <a:prstDash val="solid"/>
                            <a:miter/>
                            <a:headEnd type="none" w="med" len="med"/>
                            <a:tailEnd type="none" w="med" len="med"/>
                          </a:ln>
                        </pic:spPr>
                      </pic:pic>
                    </a:graphicData>
                  </a:graphic>
                </wp:anchor>
              </w:drawing>
            </w:r>
          </w:p>
          <w:p>
            <w:pPr>
              <w:pStyle w:val="58"/>
              <w:tabs>
                <w:tab w:val="center" w:pos="4650"/>
                <w:tab w:val="right" w:pos="9180"/>
              </w:tabs>
              <w:spacing w:line="360" w:lineRule="auto"/>
              <w:ind w:firstLine="0" w:firstLineChars="0"/>
              <w:jc w:val="center"/>
              <w:rPr>
                <w:rFonts w:hint="default" w:ascii="Times New Roman" w:hAnsi="Times New Roman" w:eastAsia="宋体" w:cs="Times New Roman"/>
                <w:b w:val="0"/>
                <w:bCs w:val="0"/>
                <w:color w:val="000000"/>
                <w:kern w:val="0"/>
                <w:szCs w:val="24"/>
                <w:highlight w:val="cyan"/>
              </w:rPr>
            </w:pPr>
          </w:p>
          <w:p>
            <w:pPr>
              <w:pStyle w:val="58"/>
              <w:tabs>
                <w:tab w:val="center" w:pos="4650"/>
                <w:tab w:val="right" w:pos="9180"/>
              </w:tabs>
              <w:spacing w:line="360" w:lineRule="auto"/>
              <w:ind w:firstLine="0" w:firstLineChars="0"/>
              <w:jc w:val="center"/>
              <w:rPr>
                <w:rFonts w:hint="default" w:ascii="Times New Roman" w:hAnsi="Times New Roman" w:eastAsia="宋体" w:cs="Times New Roman"/>
                <w:b w:val="0"/>
                <w:bCs w:val="0"/>
                <w:color w:val="000000"/>
                <w:kern w:val="0"/>
                <w:szCs w:val="24"/>
                <w:highlight w:val="cyan"/>
              </w:rPr>
            </w:pPr>
          </w:p>
          <w:p>
            <w:pPr>
              <w:pStyle w:val="58"/>
              <w:tabs>
                <w:tab w:val="center" w:pos="4650"/>
                <w:tab w:val="right" w:pos="9180"/>
              </w:tabs>
              <w:spacing w:line="360" w:lineRule="auto"/>
              <w:ind w:firstLine="0" w:firstLineChars="0"/>
              <w:jc w:val="center"/>
              <w:rPr>
                <w:rFonts w:hint="default" w:ascii="Times New Roman" w:hAnsi="Times New Roman" w:eastAsia="宋体" w:cs="Times New Roman"/>
                <w:b w:val="0"/>
                <w:bCs w:val="0"/>
                <w:color w:val="000000"/>
                <w:kern w:val="0"/>
                <w:szCs w:val="24"/>
                <w:highlight w:val="cyan"/>
              </w:rPr>
            </w:pPr>
          </w:p>
          <w:p>
            <w:pPr>
              <w:pStyle w:val="58"/>
              <w:tabs>
                <w:tab w:val="center" w:pos="4650"/>
                <w:tab w:val="right" w:pos="9180"/>
              </w:tabs>
              <w:spacing w:line="360" w:lineRule="auto"/>
              <w:ind w:firstLine="0" w:firstLineChars="0"/>
              <w:jc w:val="center"/>
              <w:rPr>
                <w:rFonts w:hint="default" w:ascii="Times New Roman" w:hAnsi="Times New Roman" w:eastAsia="宋体" w:cs="Times New Roman"/>
                <w:b w:val="0"/>
                <w:bCs w:val="0"/>
                <w:color w:val="000000"/>
                <w:kern w:val="0"/>
                <w:szCs w:val="24"/>
                <w:highlight w:val="cyan"/>
              </w:rPr>
            </w:pPr>
          </w:p>
          <w:p>
            <w:pPr>
              <w:pStyle w:val="58"/>
              <w:tabs>
                <w:tab w:val="center" w:pos="4650"/>
                <w:tab w:val="right" w:pos="9180"/>
              </w:tabs>
              <w:spacing w:line="360" w:lineRule="auto"/>
              <w:ind w:firstLine="0" w:firstLineChars="0"/>
              <w:jc w:val="center"/>
              <w:rPr>
                <w:rFonts w:hint="default" w:ascii="Times New Roman" w:hAnsi="Times New Roman" w:eastAsia="宋体" w:cs="Times New Roman"/>
                <w:b w:val="0"/>
                <w:bCs w:val="0"/>
                <w:color w:val="000000"/>
                <w:kern w:val="0"/>
                <w:szCs w:val="24"/>
                <w:highlight w:val="cyan"/>
              </w:rPr>
            </w:pPr>
          </w:p>
          <w:p>
            <w:pPr>
              <w:pStyle w:val="58"/>
              <w:tabs>
                <w:tab w:val="center" w:pos="4650"/>
                <w:tab w:val="right" w:pos="9180"/>
              </w:tabs>
              <w:spacing w:line="360" w:lineRule="auto"/>
              <w:ind w:firstLine="0" w:firstLineChars="0"/>
              <w:jc w:val="center"/>
              <w:rPr>
                <w:rFonts w:hint="default" w:ascii="Times New Roman" w:hAnsi="Times New Roman" w:eastAsia="宋体" w:cs="Times New Roman"/>
                <w:b w:val="0"/>
                <w:bCs w:val="0"/>
                <w:color w:val="000000"/>
                <w:kern w:val="0"/>
                <w:szCs w:val="24"/>
                <w:highlight w:val="cyan"/>
              </w:rPr>
            </w:pPr>
          </w:p>
          <w:p>
            <w:pPr>
              <w:pStyle w:val="58"/>
              <w:tabs>
                <w:tab w:val="center" w:pos="4650"/>
                <w:tab w:val="right" w:pos="9180"/>
              </w:tabs>
              <w:spacing w:line="360" w:lineRule="auto"/>
              <w:ind w:firstLine="0" w:firstLineChars="0"/>
              <w:jc w:val="center"/>
              <w:rPr>
                <w:rFonts w:hint="default" w:ascii="Times New Roman" w:hAnsi="Times New Roman" w:eastAsia="宋体" w:cs="Times New Roman"/>
                <w:b w:val="0"/>
                <w:bCs w:val="0"/>
                <w:color w:val="000000"/>
                <w:kern w:val="0"/>
                <w:szCs w:val="24"/>
                <w:highlight w:val="cyan"/>
              </w:rPr>
            </w:pPr>
          </w:p>
          <w:p>
            <w:pPr>
              <w:pStyle w:val="58"/>
              <w:tabs>
                <w:tab w:val="center" w:pos="4650"/>
                <w:tab w:val="right" w:pos="9180"/>
              </w:tabs>
              <w:spacing w:line="360" w:lineRule="auto"/>
              <w:ind w:firstLine="0" w:firstLineChars="0"/>
              <w:jc w:val="center"/>
              <w:rPr>
                <w:rFonts w:hint="default" w:ascii="Times New Roman" w:hAnsi="Times New Roman" w:eastAsia="宋体" w:cs="Times New Roman"/>
                <w:b w:val="0"/>
                <w:bCs w:val="0"/>
                <w:color w:val="000000"/>
                <w:kern w:val="0"/>
                <w:szCs w:val="24"/>
                <w:highlight w:val="cyan"/>
              </w:rPr>
            </w:pPr>
          </w:p>
          <w:p>
            <w:pPr>
              <w:pStyle w:val="28"/>
              <w:ind w:firstLine="3360" w:firstLineChars="1400"/>
              <w:jc w:val="both"/>
              <w:rPr>
                <w:highlight w:val="none"/>
                <w:vertAlign w:val="baseline"/>
              </w:rPr>
            </w:pPr>
            <w:r>
              <w:rPr>
                <w:rFonts w:hint="default" w:ascii="Times New Roman" w:hAnsi="Times New Roman" w:eastAsia="宋体" w:cs="Times New Roman"/>
                <w:b w:val="0"/>
                <w:bCs w:val="0"/>
                <w:color w:val="000000"/>
                <w:kern w:val="0"/>
                <w:szCs w:val="24"/>
                <w:highlight w:val="none"/>
              </w:rPr>
              <w:t>图</w:t>
            </w:r>
            <w:r>
              <w:rPr>
                <w:rFonts w:hint="eastAsia" w:ascii="Times New Roman" w:eastAsia="宋体" w:cs="Times New Roman"/>
                <w:b w:val="0"/>
                <w:bCs w:val="0"/>
                <w:color w:val="000000"/>
                <w:kern w:val="0"/>
                <w:szCs w:val="24"/>
                <w:highlight w:val="none"/>
                <w:lang w:val="en-US" w:eastAsia="zh-CN"/>
              </w:rPr>
              <w:t>5</w:t>
            </w:r>
            <w:r>
              <w:rPr>
                <w:rFonts w:hint="default" w:ascii="Times New Roman" w:hAnsi="Times New Roman" w:eastAsia="宋体" w:cs="Times New Roman"/>
                <w:b w:val="0"/>
                <w:bCs w:val="0"/>
                <w:color w:val="000000"/>
                <w:kern w:val="0"/>
                <w:szCs w:val="24"/>
                <w:highlight w:val="none"/>
              </w:rPr>
              <w:t xml:space="preserve">   环境保护图形</w:t>
            </w:r>
          </w:p>
          <w:p>
            <w:pPr>
              <w:pStyle w:val="28"/>
              <w:keepNext w:val="0"/>
              <w:keepLines w:val="0"/>
              <w:pageBreakBefore w:val="0"/>
              <w:widowControl w:val="0"/>
              <w:kinsoku/>
              <w:wordWrap/>
              <w:overflowPunct/>
              <w:topLinePunct w:val="0"/>
              <w:autoSpaceDE w:val="0"/>
              <w:autoSpaceDN w:val="0"/>
              <w:bidi w:val="0"/>
              <w:adjustRightInd w:val="0"/>
              <w:snapToGrid/>
              <w:ind w:firstLine="482" w:firstLineChars="200"/>
              <w:jc w:val="both"/>
              <w:textAlignment w:val="auto"/>
              <w:rPr>
                <w:highlight w:val="none"/>
                <w:vertAlign w:val="baseline"/>
              </w:rPr>
            </w:pPr>
            <w:r>
              <w:rPr>
                <w:rFonts w:hint="eastAsia" w:asciiTheme="minorEastAsia" w:hAnsiTheme="minorEastAsia" w:eastAsiaTheme="minorEastAsia" w:cstheme="minorEastAsia"/>
                <w:b/>
                <w:bCs/>
                <w:highlight w:val="none"/>
              </w:rPr>
              <w:t>（十</w:t>
            </w:r>
            <w:r>
              <w:rPr>
                <w:rFonts w:hint="eastAsia" w:asciiTheme="minorEastAsia" w:hAnsiTheme="minorEastAsia" w:eastAsiaTheme="minorEastAsia" w:cstheme="minorEastAsia"/>
                <w:b/>
                <w:bCs/>
                <w:highlight w:val="none"/>
                <w:lang w:val="en-US" w:eastAsia="zh-CN"/>
              </w:rPr>
              <w:t>二</w:t>
            </w:r>
            <w:r>
              <w:rPr>
                <w:rFonts w:hint="eastAsia" w:asciiTheme="minorEastAsia" w:hAnsiTheme="minorEastAsia" w:eastAsiaTheme="minorEastAsia" w:cstheme="minorEastAsia"/>
                <w:b/>
                <w:bCs/>
                <w:highlight w:val="none"/>
              </w:rPr>
              <w:t>）</w:t>
            </w:r>
            <w:r>
              <w:rPr>
                <w:rFonts w:hint="eastAsia" w:asciiTheme="minorEastAsia" w:hAnsiTheme="minorEastAsia" w:eastAsiaTheme="minorEastAsia" w:cstheme="minorEastAsia"/>
                <w:b/>
                <w:bCs/>
                <w:highlight w:val="none"/>
                <w:lang w:eastAsia="zh-CN"/>
              </w:rPr>
              <w:t>、</w:t>
            </w:r>
            <w:r>
              <w:rPr>
                <w:rFonts w:hint="eastAsia" w:asciiTheme="minorEastAsia" w:hAnsiTheme="minorEastAsia" w:eastAsiaTheme="minorEastAsia" w:cstheme="minorEastAsia"/>
                <w:b/>
                <w:bCs/>
                <w:highlight w:val="none"/>
                <w:lang w:val="en-US" w:eastAsia="zh-CN"/>
              </w:rPr>
              <w:t>三本账</w:t>
            </w:r>
          </w:p>
          <w:p>
            <w:pPr>
              <w:ind w:firstLine="480"/>
              <w:rPr>
                <w:rFonts w:hint="default" w:ascii="Times New Roman" w:hAnsi="Times New Roman" w:eastAsia="宋体" w:cs="Times New Roman"/>
                <w:b w:val="0"/>
                <w:bCs w:val="0"/>
                <w:color w:val="auto"/>
                <w:sz w:val="24"/>
                <w:szCs w:val="24"/>
                <w:highlight w:val="none"/>
                <w:lang w:val="zh-CN"/>
              </w:rPr>
            </w:pPr>
            <w:r>
              <w:rPr>
                <w:rFonts w:hint="default" w:ascii="Times New Roman" w:hAnsi="Times New Roman" w:eastAsia="宋体" w:cs="Times New Roman"/>
                <w:color w:val="auto"/>
                <w:highlight w:val="none"/>
              </w:rPr>
              <w:t>项目扩建前后污染物排放“三本帐”见表</w:t>
            </w:r>
            <w:r>
              <w:rPr>
                <w:rFonts w:hint="eastAsia" w:cs="Times New Roman"/>
                <w:color w:val="auto"/>
                <w:highlight w:val="none"/>
                <w:lang w:val="en-US" w:eastAsia="zh-CN"/>
              </w:rPr>
              <w:t>65</w:t>
            </w:r>
            <w:r>
              <w:rPr>
                <w:rFonts w:hint="default" w:ascii="Times New Roman" w:hAnsi="Times New Roman" w:eastAsia="宋体" w:cs="Times New Roman"/>
                <w:color w:val="auto"/>
                <w:highlight w:val="none"/>
              </w:rPr>
              <w:t>。</w:t>
            </w:r>
          </w:p>
          <w:p>
            <w:pPr>
              <w:autoSpaceDE w:val="0"/>
              <w:autoSpaceDN w:val="0"/>
              <w:spacing w:line="276" w:lineRule="auto"/>
              <w:ind w:firstLine="480"/>
              <w:jc w:val="center"/>
              <w:rPr>
                <w:rFonts w:hint="default" w:ascii="Times New Roman" w:hAnsi="Times New Roman" w:eastAsia="宋体" w:cs="Times New Roman"/>
                <w:b w:val="0"/>
                <w:bCs w:val="0"/>
                <w:color w:val="auto"/>
                <w:sz w:val="24"/>
                <w:szCs w:val="24"/>
                <w:highlight w:val="none"/>
                <w:lang w:val="zh-CN"/>
              </w:rPr>
            </w:pPr>
            <w:r>
              <w:rPr>
                <w:rFonts w:hint="default" w:ascii="Times New Roman" w:hAnsi="Times New Roman" w:eastAsia="宋体" w:cs="Times New Roman"/>
                <w:b w:val="0"/>
                <w:bCs w:val="0"/>
                <w:color w:val="auto"/>
                <w:sz w:val="24"/>
                <w:szCs w:val="24"/>
                <w:highlight w:val="none"/>
                <w:lang w:val="zh-CN"/>
              </w:rPr>
              <w:t>表</w:t>
            </w:r>
            <w:r>
              <w:rPr>
                <w:rFonts w:hint="eastAsia" w:cs="Times New Roman"/>
                <w:b w:val="0"/>
                <w:bCs w:val="0"/>
                <w:color w:val="auto"/>
                <w:sz w:val="24"/>
                <w:szCs w:val="24"/>
                <w:highlight w:val="none"/>
                <w:lang w:val="en-US" w:eastAsia="zh-CN"/>
              </w:rPr>
              <w:t>65</w:t>
            </w:r>
            <w:r>
              <w:rPr>
                <w:rFonts w:hint="default" w:ascii="Times New Roman" w:hAnsi="Times New Roman" w:eastAsia="宋体" w:cs="Times New Roman"/>
                <w:b w:val="0"/>
                <w:bCs w:val="0"/>
                <w:color w:val="auto"/>
                <w:sz w:val="24"/>
                <w:szCs w:val="24"/>
                <w:highlight w:val="none"/>
                <w:lang w:val="zh-CN"/>
              </w:rPr>
              <w:t xml:space="preserve">    项目扩建前后污染物排放“三本帐”</w:t>
            </w:r>
          </w:p>
          <w:tbl>
            <w:tblPr>
              <w:tblStyle w:val="21"/>
              <w:tblW w:w="0" w:type="auto"/>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820"/>
              <w:gridCol w:w="1522"/>
              <w:gridCol w:w="1274"/>
              <w:gridCol w:w="1230"/>
              <w:gridCol w:w="1257"/>
              <w:gridCol w:w="1588"/>
              <w:gridCol w:w="132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22" w:type="dxa"/>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类别</w:t>
                  </w:r>
                </w:p>
              </w:tc>
              <w:tc>
                <w:tcPr>
                  <w:tcW w:w="1526" w:type="dxa"/>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w:t>
                  </w:r>
                </w:p>
              </w:tc>
              <w:tc>
                <w:tcPr>
                  <w:tcW w:w="1276" w:type="dxa"/>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现有项目</w:t>
                  </w:r>
                  <w:r>
                    <w:rPr>
                      <w:rFonts w:hint="default" w:ascii="Times New Roman" w:hAnsi="Times New Roman" w:eastAsia="宋体" w:cs="Times New Roman"/>
                      <w:color w:val="auto"/>
                      <w:sz w:val="21"/>
                      <w:szCs w:val="21"/>
                      <w:highlight w:val="none"/>
                    </w:rPr>
                    <w:t>排放量</w:t>
                  </w:r>
                </w:p>
              </w:tc>
              <w:tc>
                <w:tcPr>
                  <w:tcW w:w="1233" w:type="dxa"/>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“以新带老”削减量</w:t>
                  </w:r>
                </w:p>
              </w:tc>
              <w:tc>
                <w:tcPr>
                  <w:tcW w:w="1260" w:type="dxa"/>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扩建部分排放量</w:t>
                  </w:r>
                </w:p>
              </w:tc>
              <w:tc>
                <w:tcPr>
                  <w:tcW w:w="1592" w:type="dxa"/>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新项目建设</w:t>
                  </w:r>
                  <w:r>
                    <w:rPr>
                      <w:rFonts w:hint="default" w:ascii="Times New Roman" w:hAnsi="Times New Roman" w:eastAsia="宋体" w:cs="Times New Roman"/>
                      <w:color w:val="auto"/>
                      <w:sz w:val="21"/>
                      <w:szCs w:val="21"/>
                      <w:highlight w:val="none"/>
                    </w:rPr>
                    <w:t>完成后总排放量</w:t>
                  </w:r>
                </w:p>
              </w:tc>
              <w:tc>
                <w:tcPr>
                  <w:tcW w:w="1326" w:type="dxa"/>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color w:val="auto"/>
                      <w:sz w:val="21"/>
                      <w:szCs w:val="21"/>
                      <w:highlight w:val="none"/>
                    </w:rPr>
                    <w:t>增减量变化</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27" w:hRule="atLeast"/>
                <w:jc w:val="center"/>
              </w:trPr>
              <w:tc>
                <w:tcPr>
                  <w:tcW w:w="822" w:type="dxa"/>
                  <w:vMerge w:val="restart"/>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水污</w:t>
                  </w:r>
                </w:p>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染物</w:t>
                  </w:r>
                </w:p>
              </w:tc>
              <w:tc>
                <w:tcPr>
                  <w:tcW w:w="1526" w:type="dxa"/>
                  <w:tcBorders>
                    <w:tl2br w:val="nil"/>
                    <w:tr2bl w:val="nil"/>
                  </w:tcBorders>
                  <w:noWrap w:val="0"/>
                  <w:vAlign w:val="center"/>
                </w:tcPr>
                <w:p>
                  <w:pPr>
                    <w:widowControl/>
                    <w:ind w:left="0" w:lef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000000"/>
                      <w:kern w:val="0"/>
                      <w:sz w:val="21"/>
                      <w:szCs w:val="21"/>
                      <w:highlight w:val="none"/>
                      <w:lang w:bidi="ar"/>
                    </w:rPr>
                    <w:t>COD</w:t>
                  </w:r>
                </w:p>
              </w:tc>
              <w:tc>
                <w:tcPr>
                  <w:tcW w:w="1276" w:type="dxa"/>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b w:val="0"/>
                      <w:bCs w:val="0"/>
                      <w:color w:val="auto"/>
                      <w:sz w:val="21"/>
                      <w:szCs w:val="21"/>
                      <w:highlight w:val="none"/>
                      <w:lang w:val="en-US" w:eastAsia="zh-CN"/>
                    </w:rPr>
                    <w:t>0</w:t>
                  </w:r>
                  <w:r>
                    <w:rPr>
                      <w:rFonts w:hint="eastAsia" w:cs="Times New Roman"/>
                      <w:b w:val="0"/>
                      <w:bCs w:val="0"/>
                      <w:color w:val="auto"/>
                      <w:sz w:val="21"/>
                      <w:szCs w:val="21"/>
                      <w:highlight w:val="none"/>
                      <w:lang w:val="en-US" w:eastAsia="zh-CN"/>
                    </w:rPr>
                    <w:t>.0043</w:t>
                  </w:r>
                </w:p>
              </w:tc>
              <w:tc>
                <w:tcPr>
                  <w:tcW w:w="1233"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0</w:t>
                  </w:r>
                </w:p>
              </w:tc>
              <w:tc>
                <w:tcPr>
                  <w:tcW w:w="1260"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1592" w:type="dxa"/>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w:t>
                  </w:r>
                  <w:r>
                    <w:rPr>
                      <w:rFonts w:hint="eastAsia" w:cs="Times New Roman"/>
                      <w:b w:val="0"/>
                      <w:bCs w:val="0"/>
                      <w:color w:val="auto"/>
                      <w:sz w:val="21"/>
                      <w:szCs w:val="21"/>
                      <w:highlight w:val="none"/>
                      <w:lang w:val="en-US" w:eastAsia="zh-CN"/>
                    </w:rPr>
                    <w:t>.0043</w:t>
                  </w:r>
                </w:p>
              </w:tc>
              <w:tc>
                <w:tcPr>
                  <w:tcW w:w="1326" w:type="dxa"/>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yellow"/>
                    </w:rPr>
                  </w:pPr>
                  <w:r>
                    <w:rPr>
                      <w:rFonts w:hint="default" w:ascii="Times New Roman" w:hAnsi="Times New Roman"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0</w:t>
                  </w:r>
                  <w:r>
                    <w:rPr>
                      <w:rFonts w:hint="default" w:ascii="Times New Roman" w:hAnsi="Times New Roman" w:cs="Times New Roman"/>
                      <w:b w:val="0"/>
                      <w:bCs w:val="0"/>
                      <w:color w:val="auto"/>
                      <w:sz w:val="21"/>
                      <w:szCs w:val="21"/>
                      <w:highlight w:val="none"/>
                      <w:lang w:val="en-US" w:eastAsia="zh-CN"/>
                    </w:rPr>
                    <w:t>.0043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22" w:type="dxa"/>
                  <w:vMerge w:val="continue"/>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526" w:type="dxa"/>
                  <w:tcBorders>
                    <w:tl2br w:val="nil"/>
                    <w:tr2bl w:val="nil"/>
                  </w:tcBorders>
                  <w:noWrap w:val="0"/>
                  <w:vAlign w:val="center"/>
                </w:tcPr>
                <w:p>
                  <w:pPr>
                    <w:widowControl/>
                    <w:ind w:left="0" w:lef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000000"/>
                      <w:kern w:val="0"/>
                      <w:sz w:val="21"/>
                      <w:szCs w:val="21"/>
                      <w:highlight w:val="none"/>
                      <w:lang w:bidi="ar"/>
                    </w:rPr>
                    <w:t>氨氮</w:t>
                  </w:r>
                </w:p>
              </w:tc>
              <w:tc>
                <w:tcPr>
                  <w:tcW w:w="1276" w:type="dxa"/>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w:t>
                  </w:r>
                  <w:r>
                    <w:rPr>
                      <w:rFonts w:hint="eastAsia" w:cs="Times New Roman"/>
                      <w:b w:val="0"/>
                      <w:bCs w:val="0"/>
                      <w:color w:val="auto"/>
                      <w:sz w:val="21"/>
                      <w:szCs w:val="21"/>
                      <w:highlight w:val="none"/>
                      <w:lang w:val="en-US" w:eastAsia="zh-CN"/>
                    </w:rPr>
                    <w:t>.0002</w:t>
                  </w:r>
                </w:p>
              </w:tc>
              <w:tc>
                <w:tcPr>
                  <w:tcW w:w="1233" w:type="dxa"/>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0</w:t>
                  </w:r>
                </w:p>
              </w:tc>
              <w:tc>
                <w:tcPr>
                  <w:tcW w:w="1260" w:type="dxa"/>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0</w:t>
                  </w:r>
                </w:p>
              </w:tc>
              <w:tc>
                <w:tcPr>
                  <w:tcW w:w="1592" w:type="dxa"/>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0</w:t>
                  </w:r>
                  <w:r>
                    <w:rPr>
                      <w:rFonts w:hint="eastAsia" w:cs="Times New Roman"/>
                      <w:b w:val="0"/>
                      <w:bCs w:val="0"/>
                      <w:color w:val="auto"/>
                      <w:sz w:val="21"/>
                      <w:szCs w:val="21"/>
                      <w:highlight w:val="none"/>
                      <w:lang w:val="en-US" w:eastAsia="zh-CN"/>
                    </w:rPr>
                    <w:t>.0002</w:t>
                  </w:r>
                </w:p>
              </w:tc>
              <w:tc>
                <w:tcPr>
                  <w:tcW w:w="1326" w:type="dxa"/>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yellow"/>
                    </w:rPr>
                  </w:pPr>
                  <w:r>
                    <w:rPr>
                      <w:rFonts w:hint="default" w:ascii="Times New Roman" w:hAnsi="Times New Roman"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0</w:t>
                  </w:r>
                  <w:r>
                    <w:rPr>
                      <w:rFonts w:hint="default" w:ascii="Times New Roman" w:hAnsi="Times New Roman" w:cs="Times New Roman"/>
                      <w:b w:val="0"/>
                      <w:bCs w:val="0"/>
                      <w:color w:val="auto"/>
                      <w:sz w:val="21"/>
                      <w:szCs w:val="21"/>
                      <w:highlight w:val="none"/>
                      <w:lang w:val="en-US" w:eastAsia="zh-CN"/>
                    </w:rPr>
                    <w:t>.0002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22" w:type="dxa"/>
                  <w:vMerge w:val="restart"/>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w:t>
                  </w:r>
                </w:p>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废物</w:t>
                  </w:r>
                </w:p>
              </w:tc>
              <w:tc>
                <w:tcPr>
                  <w:tcW w:w="1526" w:type="dxa"/>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b w:val="0"/>
                      <w:bCs w:val="0"/>
                      <w:color w:val="auto"/>
                      <w:sz w:val="21"/>
                      <w:szCs w:val="21"/>
                      <w:highlight w:val="none"/>
                      <w:lang w:val="en-US" w:eastAsia="zh-CN"/>
                    </w:rPr>
                    <w:t>生活垃圾</w:t>
                  </w:r>
                </w:p>
              </w:tc>
              <w:tc>
                <w:tcPr>
                  <w:tcW w:w="1276" w:type="dxa"/>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c>
                <w:tcPr>
                  <w:tcW w:w="1233" w:type="dxa"/>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1260" w:type="dxa"/>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592" w:type="dxa"/>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0</w:t>
                  </w:r>
                </w:p>
              </w:tc>
              <w:tc>
                <w:tcPr>
                  <w:tcW w:w="1326" w:type="dxa"/>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544" w:hRule="atLeast"/>
                <w:jc w:val="center"/>
              </w:trPr>
              <w:tc>
                <w:tcPr>
                  <w:tcW w:w="822" w:type="dxa"/>
                  <w:vMerge w:val="continue"/>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526" w:type="dxa"/>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电石渣</w:t>
                  </w:r>
                </w:p>
              </w:tc>
              <w:tc>
                <w:tcPr>
                  <w:tcW w:w="1276" w:type="dxa"/>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w:t>
                  </w:r>
                  <w:r>
                    <w:rPr>
                      <w:rFonts w:hint="eastAsia" w:cs="Times New Roman"/>
                      <w:b w:val="0"/>
                      <w:bCs w:val="0"/>
                      <w:color w:val="auto"/>
                      <w:sz w:val="21"/>
                      <w:szCs w:val="21"/>
                      <w:highlight w:val="none"/>
                      <w:lang w:val="en-US" w:eastAsia="zh-CN"/>
                    </w:rPr>
                    <w:t>0</w:t>
                  </w:r>
                  <w:r>
                    <w:rPr>
                      <w:rFonts w:hint="eastAsia" w:ascii="Times New Roman" w:hAnsi="Times New Roman" w:eastAsia="宋体" w:cs="Times New Roman"/>
                      <w:b w:val="0"/>
                      <w:bCs w:val="0"/>
                      <w:color w:val="auto"/>
                      <w:sz w:val="21"/>
                      <w:szCs w:val="21"/>
                      <w:highlight w:val="none"/>
                      <w:lang w:val="en-US" w:eastAsia="zh-CN"/>
                    </w:rPr>
                    <w:t>0t/a</w:t>
                  </w:r>
                </w:p>
              </w:tc>
              <w:tc>
                <w:tcPr>
                  <w:tcW w:w="1233" w:type="dxa"/>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1260" w:type="dxa"/>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1592" w:type="dxa"/>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w:t>
                  </w:r>
                  <w:r>
                    <w:rPr>
                      <w:rFonts w:hint="eastAsia" w:cs="Times New Roman"/>
                      <w:b w:val="0"/>
                      <w:bCs w:val="0"/>
                      <w:color w:val="auto"/>
                      <w:sz w:val="21"/>
                      <w:szCs w:val="21"/>
                      <w:highlight w:val="none"/>
                      <w:lang w:val="en-US" w:eastAsia="zh-CN"/>
                    </w:rPr>
                    <w:t>0</w:t>
                  </w:r>
                  <w:r>
                    <w:rPr>
                      <w:rFonts w:hint="eastAsia" w:ascii="Times New Roman" w:hAnsi="Times New Roman" w:eastAsia="宋体" w:cs="Times New Roman"/>
                      <w:b w:val="0"/>
                      <w:bCs w:val="0"/>
                      <w:color w:val="auto"/>
                      <w:sz w:val="21"/>
                      <w:szCs w:val="21"/>
                      <w:highlight w:val="none"/>
                      <w:lang w:val="en-US" w:eastAsia="zh-CN"/>
                    </w:rPr>
                    <w:t>0t/a</w:t>
                  </w:r>
                </w:p>
              </w:tc>
              <w:tc>
                <w:tcPr>
                  <w:tcW w:w="1326" w:type="dxa"/>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544" w:hRule="atLeast"/>
                <w:jc w:val="center"/>
              </w:trPr>
              <w:tc>
                <w:tcPr>
                  <w:tcW w:w="822" w:type="dxa"/>
                  <w:vMerge w:val="continue"/>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526" w:type="dxa"/>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废气瓶头和废胶垫</w:t>
                  </w:r>
                </w:p>
              </w:tc>
              <w:tc>
                <w:tcPr>
                  <w:tcW w:w="1276" w:type="dxa"/>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233" w:type="dxa"/>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260" w:type="dxa"/>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r>
                    <w:rPr>
                      <w:rFonts w:hint="eastAsia" w:ascii="Times New Roman" w:hAnsi="Times New Roman" w:eastAsia="宋体" w:cs="Times New Roman"/>
                      <w:b w:val="0"/>
                      <w:bCs w:val="0"/>
                      <w:color w:val="auto"/>
                      <w:sz w:val="21"/>
                      <w:szCs w:val="21"/>
                      <w:highlight w:val="none"/>
                      <w:lang w:val="en-US" w:eastAsia="zh-CN"/>
                    </w:rPr>
                    <w:t>t/a</w:t>
                  </w:r>
                </w:p>
              </w:tc>
              <w:tc>
                <w:tcPr>
                  <w:tcW w:w="1592" w:type="dxa"/>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0.5t/a</w:t>
                  </w:r>
                </w:p>
              </w:tc>
              <w:tc>
                <w:tcPr>
                  <w:tcW w:w="1326" w:type="dxa"/>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0.5t/a</w:t>
                  </w:r>
                </w:p>
              </w:tc>
            </w:tr>
          </w:tbl>
          <w:p>
            <w:pPr>
              <w:pStyle w:val="28"/>
              <w:jc w:val="both"/>
              <w:rPr>
                <w:rFonts w:hint="eastAsia"/>
                <w:highlight w:val="none"/>
                <w:vertAlign w:val="baseline"/>
                <w:lang w:eastAsia="zh-CN"/>
              </w:rPr>
            </w:pPr>
          </w:p>
          <w:p>
            <w:pPr>
              <w:pStyle w:val="28"/>
              <w:jc w:val="both"/>
              <w:rPr>
                <w:rFonts w:hint="eastAsia"/>
                <w:highlight w:val="none"/>
                <w:vertAlign w:val="baseline"/>
                <w:lang w:eastAsia="zh-CN"/>
              </w:rPr>
            </w:pPr>
          </w:p>
          <w:p>
            <w:pPr>
              <w:pStyle w:val="28"/>
              <w:jc w:val="both"/>
              <w:rPr>
                <w:rFonts w:hint="eastAsia"/>
                <w:highlight w:val="none"/>
                <w:vertAlign w:val="baseline"/>
                <w:lang w:eastAsia="zh-CN"/>
              </w:rPr>
            </w:pPr>
          </w:p>
          <w:p>
            <w:pPr>
              <w:pStyle w:val="28"/>
              <w:jc w:val="both"/>
              <w:rPr>
                <w:rFonts w:hint="eastAsia"/>
                <w:highlight w:val="none"/>
                <w:vertAlign w:val="baseline"/>
                <w:lang w:eastAsia="zh-CN"/>
              </w:rPr>
            </w:pPr>
          </w:p>
          <w:p>
            <w:pPr>
              <w:pStyle w:val="28"/>
              <w:jc w:val="both"/>
              <w:rPr>
                <w:rFonts w:hint="eastAsia"/>
                <w:highlight w:val="none"/>
                <w:vertAlign w:val="baseline"/>
                <w:lang w:eastAsia="zh-CN"/>
              </w:rPr>
            </w:pPr>
          </w:p>
          <w:p>
            <w:pPr>
              <w:pStyle w:val="28"/>
              <w:jc w:val="both"/>
              <w:rPr>
                <w:rFonts w:hint="eastAsia"/>
                <w:highlight w:val="none"/>
                <w:vertAlign w:val="baseline"/>
                <w:lang w:eastAsia="zh-CN"/>
              </w:rPr>
            </w:pPr>
          </w:p>
          <w:p>
            <w:pPr>
              <w:pStyle w:val="28"/>
              <w:jc w:val="both"/>
              <w:rPr>
                <w:rFonts w:hint="eastAsia"/>
                <w:highlight w:val="none"/>
                <w:vertAlign w:val="baseline"/>
                <w:lang w:eastAsia="zh-CN"/>
              </w:rPr>
            </w:pPr>
          </w:p>
          <w:p>
            <w:pPr>
              <w:pStyle w:val="28"/>
              <w:jc w:val="both"/>
              <w:rPr>
                <w:rFonts w:hint="eastAsia"/>
                <w:highlight w:val="none"/>
                <w:vertAlign w:val="baseline"/>
                <w:lang w:eastAsia="zh-CN"/>
              </w:rPr>
            </w:pPr>
          </w:p>
          <w:p>
            <w:pPr>
              <w:pStyle w:val="28"/>
              <w:jc w:val="both"/>
              <w:rPr>
                <w:rFonts w:hint="eastAsia"/>
                <w:highlight w:val="none"/>
                <w:vertAlign w:val="baseline"/>
                <w:lang w:eastAsia="zh-CN"/>
              </w:rPr>
            </w:pPr>
          </w:p>
          <w:p>
            <w:pPr>
              <w:pStyle w:val="28"/>
              <w:jc w:val="both"/>
              <w:rPr>
                <w:rFonts w:hint="eastAsia"/>
                <w:highlight w:val="none"/>
                <w:vertAlign w:val="baseline"/>
                <w:lang w:eastAsia="zh-CN"/>
              </w:rPr>
            </w:pPr>
          </w:p>
          <w:p>
            <w:pPr>
              <w:pStyle w:val="28"/>
              <w:jc w:val="both"/>
              <w:rPr>
                <w:rFonts w:hint="eastAsia"/>
                <w:highlight w:val="none"/>
                <w:vertAlign w:val="baseline"/>
                <w:lang w:eastAsia="zh-CN"/>
              </w:rPr>
            </w:pPr>
          </w:p>
          <w:p>
            <w:pPr>
              <w:pStyle w:val="28"/>
              <w:jc w:val="both"/>
              <w:rPr>
                <w:rFonts w:hint="eastAsia"/>
                <w:highlight w:val="none"/>
                <w:vertAlign w:val="baseline"/>
                <w:lang w:eastAsia="zh-CN"/>
              </w:rPr>
            </w:pPr>
          </w:p>
          <w:p>
            <w:pPr>
              <w:pStyle w:val="28"/>
              <w:jc w:val="both"/>
              <w:rPr>
                <w:rFonts w:hint="eastAsia"/>
                <w:highlight w:val="none"/>
                <w:vertAlign w:val="baseline"/>
                <w:lang w:eastAsia="zh-CN"/>
              </w:rPr>
            </w:pPr>
          </w:p>
          <w:p>
            <w:pPr>
              <w:pStyle w:val="28"/>
              <w:jc w:val="both"/>
              <w:rPr>
                <w:rFonts w:hint="eastAsia"/>
                <w:highlight w:val="none"/>
                <w:vertAlign w:val="baseline"/>
                <w:lang w:eastAsia="zh-CN"/>
              </w:rPr>
            </w:pPr>
          </w:p>
          <w:p>
            <w:pPr>
              <w:pStyle w:val="28"/>
              <w:jc w:val="both"/>
              <w:rPr>
                <w:rFonts w:hint="eastAsia"/>
                <w:highlight w:val="none"/>
                <w:vertAlign w:val="baseline"/>
                <w:lang w:eastAsia="zh-CN"/>
              </w:rPr>
            </w:pPr>
          </w:p>
          <w:p>
            <w:pPr>
              <w:pStyle w:val="28"/>
              <w:jc w:val="both"/>
              <w:rPr>
                <w:rFonts w:hint="eastAsia"/>
                <w:highlight w:val="none"/>
                <w:vertAlign w:val="baseline"/>
                <w:lang w:eastAsia="zh-CN"/>
              </w:rPr>
            </w:pPr>
          </w:p>
          <w:p>
            <w:pPr>
              <w:pStyle w:val="28"/>
              <w:jc w:val="both"/>
              <w:rPr>
                <w:rFonts w:hint="eastAsia"/>
                <w:highlight w:val="none"/>
                <w:vertAlign w:val="baseline"/>
                <w:lang w:eastAsia="zh-CN"/>
              </w:rPr>
            </w:pPr>
          </w:p>
          <w:p>
            <w:pPr>
              <w:pStyle w:val="28"/>
              <w:jc w:val="both"/>
              <w:rPr>
                <w:rFonts w:hint="eastAsia"/>
                <w:highlight w:val="none"/>
                <w:vertAlign w:val="baseline"/>
                <w:lang w:eastAsia="zh-CN"/>
              </w:rPr>
            </w:pPr>
          </w:p>
          <w:p>
            <w:pPr>
              <w:pStyle w:val="28"/>
              <w:jc w:val="both"/>
              <w:rPr>
                <w:rFonts w:hint="eastAsia"/>
                <w:highlight w:val="none"/>
                <w:vertAlign w:val="baseline"/>
                <w:lang w:eastAsia="zh-CN"/>
              </w:rPr>
            </w:pPr>
          </w:p>
          <w:p>
            <w:pPr>
              <w:pStyle w:val="28"/>
              <w:jc w:val="both"/>
              <w:rPr>
                <w:rFonts w:hint="eastAsia"/>
                <w:highlight w:val="none"/>
                <w:vertAlign w:val="baseline"/>
                <w:lang w:eastAsia="zh-CN"/>
              </w:rPr>
            </w:pPr>
          </w:p>
          <w:p>
            <w:pPr>
              <w:pStyle w:val="28"/>
              <w:jc w:val="both"/>
              <w:rPr>
                <w:rFonts w:hint="eastAsia"/>
                <w:highlight w:val="none"/>
                <w:vertAlign w:val="baseline"/>
                <w:lang w:eastAsia="zh-CN"/>
              </w:rPr>
            </w:pPr>
          </w:p>
          <w:p>
            <w:pPr>
              <w:pStyle w:val="28"/>
              <w:jc w:val="both"/>
              <w:rPr>
                <w:rFonts w:hint="eastAsia"/>
                <w:highlight w:val="none"/>
                <w:vertAlign w:val="baseline"/>
                <w:lang w:eastAsia="zh-CN"/>
              </w:rPr>
            </w:pPr>
          </w:p>
          <w:p>
            <w:pPr>
              <w:pStyle w:val="28"/>
              <w:jc w:val="both"/>
              <w:rPr>
                <w:rFonts w:hint="eastAsia"/>
                <w:highlight w:val="none"/>
                <w:vertAlign w:val="baseline"/>
                <w:lang w:eastAsia="zh-CN"/>
              </w:rPr>
            </w:pPr>
          </w:p>
          <w:p>
            <w:pPr>
              <w:pStyle w:val="28"/>
              <w:jc w:val="both"/>
              <w:rPr>
                <w:rFonts w:hint="eastAsia"/>
                <w:highlight w:val="none"/>
                <w:vertAlign w:val="baseline"/>
                <w:lang w:eastAsia="zh-CN"/>
              </w:rPr>
            </w:pPr>
          </w:p>
          <w:p>
            <w:pPr>
              <w:pStyle w:val="28"/>
              <w:jc w:val="both"/>
              <w:rPr>
                <w:rFonts w:hint="eastAsia"/>
                <w:highlight w:val="none"/>
                <w:vertAlign w:val="baseline"/>
                <w:lang w:eastAsia="zh-CN"/>
              </w:rPr>
            </w:pPr>
          </w:p>
          <w:p>
            <w:pPr>
              <w:pStyle w:val="28"/>
              <w:jc w:val="both"/>
              <w:rPr>
                <w:rFonts w:hint="eastAsia"/>
                <w:highlight w:val="none"/>
                <w:vertAlign w:val="baseline"/>
                <w:lang w:eastAsia="zh-CN"/>
              </w:rPr>
            </w:pPr>
          </w:p>
          <w:p>
            <w:pPr>
              <w:pStyle w:val="28"/>
              <w:jc w:val="both"/>
              <w:rPr>
                <w:rFonts w:hint="eastAsia"/>
                <w:highlight w:val="none"/>
                <w:vertAlign w:val="baseline"/>
                <w:lang w:eastAsia="zh-CN"/>
              </w:rPr>
            </w:pPr>
          </w:p>
          <w:p>
            <w:pPr>
              <w:pStyle w:val="28"/>
              <w:jc w:val="both"/>
              <w:rPr>
                <w:rFonts w:hint="eastAsia" w:eastAsia="仿宋_GB2312"/>
                <w:highlight w:val="none"/>
                <w:vertAlign w:val="baseline"/>
                <w:lang w:eastAsia="zh-CN"/>
              </w:rPr>
            </w:pPr>
          </w:p>
        </w:tc>
      </w:tr>
    </w:tbl>
    <w:p>
      <w:r>
        <w:br w:type="page"/>
      </w:r>
    </w:p>
    <w:p>
      <w:pPr>
        <w:pStyle w:val="2"/>
        <w:bidi w:val="0"/>
        <w:rPr>
          <w:highlight w:val="none"/>
        </w:rPr>
      </w:pPr>
      <w:r>
        <w:rPr>
          <w:highlight w:val="none"/>
        </w:rPr>
        <w:t>建设项目拟采取的防治措施及预期治理效果</w:t>
      </w:r>
    </w:p>
    <w:tbl>
      <w:tblPr>
        <w:tblStyle w:val="21"/>
        <w:tblpPr w:leftFromText="180" w:rightFromText="180" w:vertAnchor="text" w:tblpXSpec="center" w:tblpY="1"/>
        <w:tblOverlap w:val="never"/>
        <w:tblW w:w="877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
      <w:tblGrid>
        <w:gridCol w:w="1006"/>
        <w:gridCol w:w="707"/>
        <w:gridCol w:w="827"/>
        <w:gridCol w:w="2273"/>
        <w:gridCol w:w="2729"/>
        <w:gridCol w:w="122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23" w:hRule="atLeast"/>
          <w:jc w:val="center"/>
        </w:trPr>
        <w:tc>
          <w:tcPr>
            <w:tcW w:w="1006" w:type="dxa"/>
            <w:tcBorders>
              <w:bottom w:val="single" w:color="auto" w:sz="6" w:space="0"/>
              <w:tl2br w:val="single" w:color="auto" w:sz="6" w:space="0"/>
            </w:tcBorders>
            <w:vAlign w:val="center"/>
          </w:tcPr>
          <w:p>
            <w:pPr>
              <w:pStyle w:val="29"/>
              <w:bidi w:val="0"/>
              <w:rPr>
                <w:b/>
                <w:bCs/>
                <w:sz w:val="21"/>
                <w:szCs w:val="21"/>
                <w:highlight w:val="none"/>
              </w:rPr>
            </w:pPr>
            <w:r>
              <w:rPr>
                <w:rFonts w:hint="eastAsia"/>
                <w:b/>
                <w:bCs/>
                <w:sz w:val="21"/>
                <w:szCs w:val="21"/>
                <w:highlight w:val="none"/>
                <w:lang w:val="en-US" w:eastAsia="zh-CN"/>
              </w:rPr>
              <w:t xml:space="preserve">   </w:t>
            </w:r>
            <w:r>
              <w:rPr>
                <w:b/>
                <w:bCs/>
                <w:sz w:val="21"/>
                <w:szCs w:val="21"/>
                <w:highlight w:val="none"/>
              </w:rPr>
              <w:t>内容</w:t>
            </w:r>
          </w:p>
          <w:p>
            <w:pPr>
              <w:pStyle w:val="29"/>
              <w:bidi w:val="0"/>
              <w:jc w:val="both"/>
              <w:rPr>
                <w:b/>
                <w:bCs/>
                <w:sz w:val="21"/>
                <w:szCs w:val="21"/>
                <w:highlight w:val="none"/>
              </w:rPr>
            </w:pPr>
            <w:r>
              <w:rPr>
                <w:b/>
                <w:bCs/>
                <w:sz w:val="21"/>
                <w:szCs w:val="21"/>
                <w:highlight w:val="none"/>
              </w:rPr>
              <w:t>类别</w:t>
            </w:r>
          </w:p>
        </w:tc>
        <w:tc>
          <w:tcPr>
            <w:tcW w:w="1534" w:type="dxa"/>
            <w:gridSpan w:val="2"/>
            <w:vAlign w:val="center"/>
          </w:tcPr>
          <w:p>
            <w:pPr>
              <w:pStyle w:val="29"/>
              <w:bidi w:val="0"/>
              <w:rPr>
                <w:b/>
                <w:bCs/>
                <w:sz w:val="21"/>
                <w:szCs w:val="21"/>
                <w:highlight w:val="none"/>
              </w:rPr>
            </w:pPr>
            <w:r>
              <w:rPr>
                <w:b/>
                <w:bCs/>
                <w:sz w:val="21"/>
                <w:szCs w:val="21"/>
                <w:highlight w:val="none"/>
              </w:rPr>
              <w:t>排放源</w:t>
            </w:r>
          </w:p>
          <w:p>
            <w:pPr>
              <w:pStyle w:val="29"/>
              <w:bidi w:val="0"/>
              <w:rPr>
                <w:b/>
                <w:bCs/>
                <w:sz w:val="21"/>
                <w:szCs w:val="21"/>
                <w:highlight w:val="none"/>
              </w:rPr>
            </w:pPr>
            <w:r>
              <w:rPr>
                <w:b/>
                <w:bCs/>
                <w:sz w:val="21"/>
                <w:szCs w:val="21"/>
                <w:highlight w:val="none"/>
              </w:rPr>
              <w:t>（编号）</w:t>
            </w:r>
          </w:p>
        </w:tc>
        <w:tc>
          <w:tcPr>
            <w:tcW w:w="2273" w:type="dxa"/>
            <w:vAlign w:val="center"/>
          </w:tcPr>
          <w:p>
            <w:pPr>
              <w:pStyle w:val="29"/>
              <w:bidi w:val="0"/>
              <w:rPr>
                <w:b/>
                <w:bCs/>
                <w:sz w:val="21"/>
                <w:szCs w:val="21"/>
                <w:highlight w:val="none"/>
              </w:rPr>
            </w:pPr>
            <w:r>
              <w:rPr>
                <w:b/>
                <w:bCs/>
                <w:sz w:val="21"/>
                <w:szCs w:val="21"/>
                <w:highlight w:val="none"/>
              </w:rPr>
              <w:t>污染物</w:t>
            </w:r>
          </w:p>
          <w:p>
            <w:pPr>
              <w:pStyle w:val="29"/>
              <w:bidi w:val="0"/>
              <w:rPr>
                <w:b/>
                <w:bCs/>
                <w:sz w:val="21"/>
                <w:szCs w:val="21"/>
                <w:highlight w:val="none"/>
              </w:rPr>
            </w:pPr>
            <w:r>
              <w:rPr>
                <w:b/>
                <w:bCs/>
                <w:sz w:val="21"/>
                <w:szCs w:val="21"/>
                <w:highlight w:val="none"/>
              </w:rPr>
              <w:t>名称</w:t>
            </w:r>
          </w:p>
        </w:tc>
        <w:tc>
          <w:tcPr>
            <w:tcW w:w="2729" w:type="dxa"/>
            <w:tcBorders>
              <w:right w:val="single" w:color="auto" w:sz="4" w:space="0"/>
            </w:tcBorders>
            <w:vAlign w:val="center"/>
          </w:tcPr>
          <w:p>
            <w:pPr>
              <w:pStyle w:val="29"/>
              <w:bidi w:val="0"/>
              <w:rPr>
                <w:b/>
                <w:bCs/>
                <w:sz w:val="21"/>
                <w:szCs w:val="21"/>
                <w:highlight w:val="none"/>
              </w:rPr>
            </w:pPr>
            <w:r>
              <w:rPr>
                <w:b/>
                <w:bCs/>
                <w:sz w:val="21"/>
                <w:szCs w:val="21"/>
                <w:highlight w:val="none"/>
              </w:rPr>
              <w:t>防治措施</w:t>
            </w:r>
          </w:p>
        </w:tc>
        <w:tc>
          <w:tcPr>
            <w:tcW w:w="1228" w:type="dxa"/>
            <w:tcBorders>
              <w:left w:val="single" w:color="auto" w:sz="4" w:space="0"/>
            </w:tcBorders>
            <w:vAlign w:val="center"/>
          </w:tcPr>
          <w:p>
            <w:pPr>
              <w:pStyle w:val="29"/>
              <w:bidi w:val="0"/>
              <w:rPr>
                <w:b/>
                <w:bCs/>
                <w:sz w:val="21"/>
                <w:szCs w:val="21"/>
                <w:highlight w:val="none"/>
              </w:rPr>
            </w:pPr>
            <w:r>
              <w:rPr>
                <w:b/>
                <w:bCs/>
                <w:sz w:val="21"/>
                <w:szCs w:val="21"/>
                <w:highlight w:val="none"/>
              </w:rPr>
              <w:t>预期治理效果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23" w:hRule="atLeast"/>
          <w:jc w:val="center"/>
        </w:trPr>
        <w:tc>
          <w:tcPr>
            <w:tcW w:w="1006" w:type="dxa"/>
            <w:vAlign w:val="center"/>
          </w:tcPr>
          <w:p>
            <w:pPr>
              <w:pStyle w:val="29"/>
              <w:bidi w:val="0"/>
              <w:rPr>
                <w:rFonts w:hint="eastAsia"/>
                <w:b/>
                <w:bCs/>
                <w:sz w:val="21"/>
                <w:szCs w:val="21"/>
                <w:highlight w:val="none"/>
                <w:lang w:val="en-US" w:eastAsia="zh-CN"/>
              </w:rPr>
            </w:pPr>
            <w:r>
              <w:rPr>
                <w:rFonts w:hint="eastAsia"/>
                <w:b/>
                <w:bCs/>
                <w:sz w:val="21"/>
                <w:szCs w:val="21"/>
                <w:highlight w:val="none"/>
                <w:lang w:val="en-US" w:eastAsia="zh-CN"/>
              </w:rPr>
              <w:t>水</w:t>
            </w:r>
          </w:p>
          <w:p>
            <w:pPr>
              <w:pStyle w:val="29"/>
              <w:bidi w:val="0"/>
              <w:rPr>
                <w:rFonts w:hint="eastAsia"/>
                <w:b/>
                <w:bCs/>
                <w:sz w:val="21"/>
                <w:szCs w:val="21"/>
                <w:highlight w:val="none"/>
                <w:lang w:val="en-US" w:eastAsia="zh-CN"/>
              </w:rPr>
            </w:pPr>
            <w:r>
              <w:rPr>
                <w:rFonts w:hint="eastAsia"/>
                <w:b/>
                <w:bCs/>
                <w:sz w:val="21"/>
                <w:szCs w:val="21"/>
                <w:highlight w:val="none"/>
                <w:lang w:val="en-US" w:eastAsia="zh-CN"/>
              </w:rPr>
              <w:t>污</w:t>
            </w:r>
          </w:p>
          <w:p>
            <w:pPr>
              <w:pStyle w:val="29"/>
              <w:bidi w:val="0"/>
              <w:rPr>
                <w:rFonts w:hint="eastAsia"/>
                <w:b/>
                <w:bCs/>
                <w:sz w:val="21"/>
                <w:szCs w:val="21"/>
                <w:highlight w:val="none"/>
                <w:lang w:val="en-US" w:eastAsia="zh-CN"/>
              </w:rPr>
            </w:pPr>
            <w:r>
              <w:rPr>
                <w:rFonts w:hint="eastAsia"/>
                <w:b/>
                <w:bCs/>
                <w:sz w:val="21"/>
                <w:szCs w:val="21"/>
                <w:highlight w:val="none"/>
                <w:lang w:val="en-US" w:eastAsia="zh-CN"/>
              </w:rPr>
              <w:t>染</w:t>
            </w:r>
          </w:p>
          <w:p>
            <w:pPr>
              <w:pStyle w:val="29"/>
              <w:bidi w:val="0"/>
              <w:rPr>
                <w:rFonts w:hint="default"/>
                <w:b/>
                <w:bCs/>
                <w:sz w:val="21"/>
                <w:szCs w:val="21"/>
                <w:highlight w:val="none"/>
                <w:lang w:val="en-US" w:eastAsia="zh-CN"/>
              </w:rPr>
            </w:pPr>
            <w:r>
              <w:rPr>
                <w:rFonts w:hint="eastAsia"/>
                <w:b/>
                <w:bCs/>
                <w:sz w:val="21"/>
                <w:szCs w:val="21"/>
                <w:highlight w:val="none"/>
                <w:lang w:val="en-US" w:eastAsia="zh-CN"/>
              </w:rPr>
              <w:t>物</w:t>
            </w:r>
          </w:p>
        </w:tc>
        <w:tc>
          <w:tcPr>
            <w:tcW w:w="1534" w:type="dxa"/>
            <w:gridSpan w:val="2"/>
            <w:tcBorders>
              <w:bottom w:val="single" w:color="auto" w:sz="4" w:space="0"/>
            </w:tcBorders>
            <w:vAlign w:val="center"/>
          </w:tcPr>
          <w:p>
            <w:pPr>
              <w:pStyle w:val="29"/>
              <w:bidi w:val="0"/>
              <w:rPr>
                <w:rFonts w:hint="eastAsia"/>
                <w:sz w:val="21"/>
                <w:szCs w:val="21"/>
                <w:highlight w:val="none"/>
                <w:lang w:val="en-US" w:eastAsia="zh-CN"/>
              </w:rPr>
            </w:pPr>
            <w:r>
              <w:rPr>
                <w:rFonts w:hint="eastAsia"/>
                <w:sz w:val="21"/>
                <w:szCs w:val="21"/>
                <w:highlight w:val="none"/>
                <w:lang w:val="en-US" w:eastAsia="zh-CN"/>
              </w:rPr>
              <w:t>生活污水</w:t>
            </w:r>
          </w:p>
          <w:p>
            <w:pPr>
              <w:pStyle w:val="29"/>
              <w:bidi w:val="0"/>
              <w:rPr>
                <w:rFonts w:hint="default"/>
                <w:sz w:val="21"/>
                <w:szCs w:val="21"/>
                <w:highlight w:val="none"/>
                <w:lang w:val="en-US" w:eastAsia="zh-CN"/>
              </w:rPr>
            </w:pPr>
            <w:r>
              <w:rPr>
                <w:rFonts w:hint="eastAsia"/>
                <w:sz w:val="21"/>
                <w:szCs w:val="21"/>
                <w:highlight w:val="none"/>
                <w:lang w:val="en-US" w:eastAsia="zh-CN"/>
              </w:rPr>
              <w:t>（依托现有项目）</w:t>
            </w:r>
          </w:p>
        </w:tc>
        <w:tc>
          <w:tcPr>
            <w:tcW w:w="2273" w:type="dxa"/>
            <w:vAlign w:val="center"/>
          </w:tcPr>
          <w:p>
            <w:pPr>
              <w:pStyle w:val="4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highlight w:val="none"/>
              </w:rPr>
            </w:pPr>
            <w:r>
              <w:rPr>
                <w:sz w:val="21"/>
                <w:szCs w:val="21"/>
                <w:highlight w:val="none"/>
              </w:rPr>
              <w:t>COD、NH</w:t>
            </w:r>
            <w:r>
              <w:rPr>
                <w:sz w:val="21"/>
                <w:szCs w:val="21"/>
                <w:highlight w:val="none"/>
                <w:vertAlign w:val="subscript"/>
              </w:rPr>
              <w:t>3</w:t>
            </w:r>
            <w:r>
              <w:rPr>
                <w:sz w:val="21"/>
                <w:szCs w:val="21"/>
                <w:highlight w:val="none"/>
              </w:rPr>
              <w:t>-N、SS、</w:t>
            </w:r>
          </w:p>
          <w:p>
            <w:pPr>
              <w:pStyle w:val="4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highlight w:val="none"/>
              </w:rPr>
            </w:pPr>
            <w:r>
              <w:rPr>
                <w:sz w:val="21"/>
                <w:szCs w:val="21"/>
                <w:highlight w:val="none"/>
              </w:rPr>
              <w:t>BOD</w:t>
            </w:r>
            <w:r>
              <w:rPr>
                <w:sz w:val="21"/>
                <w:szCs w:val="21"/>
                <w:highlight w:val="none"/>
                <w:vertAlign w:val="subscript"/>
              </w:rPr>
              <w:t>5</w:t>
            </w:r>
            <w:r>
              <w:rPr>
                <w:sz w:val="21"/>
                <w:szCs w:val="21"/>
                <w:highlight w:val="none"/>
              </w:rPr>
              <w:t>、TP</w:t>
            </w:r>
          </w:p>
        </w:tc>
        <w:tc>
          <w:tcPr>
            <w:tcW w:w="2729" w:type="dxa"/>
            <w:tcBorders>
              <w:top w:val="single" w:color="auto" w:sz="4" w:space="0"/>
            </w:tcBorders>
            <w:vAlign w:val="center"/>
          </w:tcPr>
          <w:p>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sz w:val="21"/>
                <w:szCs w:val="21"/>
                <w:highlight w:val="none"/>
                <w:lang w:eastAsia="zh-CN"/>
              </w:rPr>
            </w:pPr>
            <w:r>
              <w:rPr>
                <w:sz w:val="21"/>
                <w:szCs w:val="21"/>
                <w:highlight w:val="none"/>
              </w:rPr>
              <w:t>经</w:t>
            </w:r>
            <w:r>
              <w:rPr>
                <w:rFonts w:hint="default"/>
                <w:sz w:val="21"/>
                <w:szCs w:val="21"/>
                <w:highlight w:val="none"/>
              </w:rPr>
              <w:t>化粪池处理</w:t>
            </w:r>
            <w:r>
              <w:rPr>
                <w:sz w:val="21"/>
                <w:szCs w:val="21"/>
                <w:highlight w:val="none"/>
              </w:rPr>
              <w:t>后通过污水管网排入</w:t>
            </w:r>
            <w:r>
              <w:rPr>
                <w:rFonts w:hint="eastAsia"/>
                <w:sz w:val="21"/>
                <w:szCs w:val="21"/>
                <w:highlight w:val="none"/>
                <w:lang w:val="en-US" w:eastAsia="zh-CN"/>
              </w:rPr>
              <w:t>大召营镇污水处理厂</w:t>
            </w:r>
            <w:r>
              <w:rPr>
                <w:sz w:val="21"/>
                <w:szCs w:val="21"/>
                <w:highlight w:val="none"/>
              </w:rPr>
              <w:t>处理</w:t>
            </w:r>
          </w:p>
        </w:tc>
        <w:tc>
          <w:tcPr>
            <w:tcW w:w="1228" w:type="dxa"/>
            <w:tcBorders>
              <w:top w:val="single" w:color="auto" w:sz="4" w:space="0"/>
            </w:tcBorders>
            <w:vAlign w:val="center"/>
          </w:tcPr>
          <w:p>
            <w:pPr>
              <w:pStyle w:val="45"/>
              <w:ind w:firstLine="0" w:firstLineChars="0"/>
              <w:rPr>
                <w:rFonts w:hint="eastAsia" w:eastAsia="宋体"/>
                <w:sz w:val="21"/>
                <w:szCs w:val="21"/>
                <w:highlight w:val="none"/>
                <w:lang w:eastAsia="zh-CN"/>
              </w:rPr>
            </w:pPr>
            <w:r>
              <w:rPr>
                <w:rFonts w:hint="eastAsia"/>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23" w:hRule="atLeast"/>
          <w:jc w:val="center"/>
        </w:trPr>
        <w:tc>
          <w:tcPr>
            <w:tcW w:w="1006" w:type="dxa"/>
            <w:vMerge w:val="restart"/>
            <w:vAlign w:val="center"/>
          </w:tcPr>
          <w:p>
            <w:pPr>
              <w:pStyle w:val="29"/>
              <w:bidi w:val="0"/>
              <w:rPr>
                <w:rFonts w:hint="eastAsia"/>
                <w:b/>
                <w:bCs/>
                <w:sz w:val="21"/>
                <w:szCs w:val="21"/>
                <w:highlight w:val="none"/>
                <w:lang w:eastAsia="zh-CN"/>
              </w:rPr>
            </w:pPr>
            <w:r>
              <w:rPr>
                <w:rFonts w:hint="eastAsia"/>
                <w:b/>
                <w:bCs/>
                <w:sz w:val="21"/>
                <w:szCs w:val="21"/>
                <w:highlight w:val="none"/>
                <w:lang w:eastAsia="zh-CN"/>
              </w:rPr>
              <w:t>大</w:t>
            </w:r>
          </w:p>
          <w:p>
            <w:pPr>
              <w:pStyle w:val="29"/>
              <w:bidi w:val="0"/>
              <w:rPr>
                <w:rFonts w:hint="eastAsia"/>
                <w:b/>
                <w:bCs/>
                <w:sz w:val="21"/>
                <w:szCs w:val="21"/>
                <w:highlight w:val="none"/>
                <w:lang w:eastAsia="zh-CN"/>
              </w:rPr>
            </w:pPr>
            <w:r>
              <w:rPr>
                <w:rFonts w:hint="eastAsia"/>
                <w:b/>
                <w:bCs/>
                <w:sz w:val="21"/>
                <w:szCs w:val="21"/>
                <w:highlight w:val="none"/>
                <w:lang w:eastAsia="zh-CN"/>
              </w:rPr>
              <w:t>气</w:t>
            </w:r>
          </w:p>
          <w:p>
            <w:pPr>
              <w:pStyle w:val="29"/>
              <w:bidi w:val="0"/>
              <w:rPr>
                <w:rFonts w:hint="eastAsia"/>
                <w:b/>
                <w:bCs/>
                <w:sz w:val="21"/>
                <w:szCs w:val="21"/>
                <w:highlight w:val="none"/>
                <w:lang w:eastAsia="zh-CN"/>
              </w:rPr>
            </w:pPr>
            <w:r>
              <w:rPr>
                <w:rFonts w:hint="eastAsia"/>
                <w:b/>
                <w:bCs/>
                <w:sz w:val="21"/>
                <w:szCs w:val="21"/>
                <w:highlight w:val="none"/>
                <w:lang w:eastAsia="zh-CN"/>
              </w:rPr>
              <w:t>污</w:t>
            </w:r>
          </w:p>
          <w:p>
            <w:pPr>
              <w:pStyle w:val="29"/>
              <w:bidi w:val="0"/>
              <w:rPr>
                <w:rFonts w:hint="eastAsia"/>
                <w:b/>
                <w:bCs/>
                <w:sz w:val="21"/>
                <w:szCs w:val="21"/>
                <w:highlight w:val="none"/>
                <w:lang w:eastAsia="zh-CN"/>
              </w:rPr>
            </w:pPr>
            <w:r>
              <w:rPr>
                <w:rFonts w:hint="eastAsia"/>
                <w:b/>
                <w:bCs/>
                <w:sz w:val="21"/>
                <w:szCs w:val="21"/>
                <w:highlight w:val="none"/>
                <w:lang w:eastAsia="zh-CN"/>
              </w:rPr>
              <w:t>染</w:t>
            </w:r>
          </w:p>
          <w:p>
            <w:pPr>
              <w:pStyle w:val="29"/>
              <w:bidi w:val="0"/>
              <w:rPr>
                <w:rFonts w:hint="eastAsia" w:eastAsia="宋体"/>
                <w:b/>
                <w:bCs/>
                <w:sz w:val="21"/>
                <w:szCs w:val="21"/>
                <w:highlight w:val="none"/>
                <w:lang w:eastAsia="zh-CN"/>
              </w:rPr>
            </w:pPr>
            <w:r>
              <w:rPr>
                <w:rFonts w:hint="eastAsia"/>
                <w:b/>
                <w:bCs/>
                <w:sz w:val="21"/>
                <w:szCs w:val="21"/>
                <w:highlight w:val="none"/>
                <w:lang w:eastAsia="zh-CN"/>
              </w:rPr>
              <w:t>物</w:t>
            </w:r>
          </w:p>
        </w:tc>
        <w:tc>
          <w:tcPr>
            <w:tcW w:w="1534" w:type="dxa"/>
            <w:gridSpan w:val="2"/>
            <w:tcBorders>
              <w:bottom w:val="single" w:color="auto" w:sz="4" w:space="0"/>
            </w:tcBorders>
            <w:vAlign w:val="center"/>
          </w:tcPr>
          <w:p>
            <w:pPr>
              <w:pStyle w:val="29"/>
              <w:bidi w:val="0"/>
              <w:rPr>
                <w:rFonts w:hint="eastAsia"/>
                <w:sz w:val="21"/>
                <w:szCs w:val="21"/>
                <w:highlight w:val="none"/>
                <w:lang w:eastAsia="zh-CN"/>
              </w:rPr>
            </w:pPr>
            <w:r>
              <w:rPr>
                <w:rFonts w:hint="eastAsia"/>
                <w:sz w:val="21"/>
                <w:szCs w:val="21"/>
                <w:highlight w:val="none"/>
                <w:lang w:eastAsia="zh-CN"/>
              </w:rPr>
              <w:t>汽车尾气</w:t>
            </w:r>
          </w:p>
        </w:tc>
        <w:tc>
          <w:tcPr>
            <w:tcW w:w="2273" w:type="dxa"/>
            <w:vAlign w:val="center"/>
          </w:tcPr>
          <w:p>
            <w:pPr>
              <w:pStyle w:val="29"/>
              <w:bidi w:val="0"/>
              <w:rPr>
                <w:sz w:val="21"/>
                <w:szCs w:val="21"/>
                <w:highlight w:val="none"/>
              </w:rPr>
            </w:pPr>
            <w:r>
              <w:rPr>
                <w:rFonts w:hint="eastAsia"/>
                <w:sz w:val="21"/>
                <w:szCs w:val="21"/>
                <w:highlight w:val="none"/>
              </w:rPr>
              <w:t>CO、HC和NOx</w:t>
            </w:r>
          </w:p>
        </w:tc>
        <w:tc>
          <w:tcPr>
            <w:tcW w:w="2729" w:type="dxa"/>
            <w:vMerge w:val="restart"/>
            <w:tcBorders>
              <w:top w:val="single" w:color="auto" w:sz="4" w:space="0"/>
            </w:tcBorders>
            <w:vAlign w:val="center"/>
          </w:tcPr>
          <w:p>
            <w:pPr>
              <w:pStyle w:val="29"/>
              <w:bidi w:val="0"/>
              <w:rPr>
                <w:rFonts w:hint="eastAsia" w:eastAsia="宋体"/>
                <w:sz w:val="21"/>
                <w:szCs w:val="21"/>
                <w:highlight w:val="none"/>
                <w:lang w:eastAsia="zh-CN"/>
              </w:rPr>
            </w:pPr>
            <w:r>
              <w:rPr>
                <w:rFonts w:hint="eastAsia"/>
                <w:sz w:val="21"/>
                <w:szCs w:val="21"/>
                <w:highlight w:val="none"/>
                <w:lang w:eastAsia="zh-CN"/>
              </w:rPr>
              <w:t>厂区绿化</w:t>
            </w:r>
          </w:p>
        </w:tc>
        <w:tc>
          <w:tcPr>
            <w:tcW w:w="1228" w:type="dxa"/>
            <w:vMerge w:val="restart"/>
            <w:tcBorders>
              <w:top w:val="single" w:color="auto" w:sz="4" w:space="0"/>
            </w:tcBorders>
            <w:vAlign w:val="center"/>
          </w:tcPr>
          <w:p>
            <w:pPr>
              <w:pStyle w:val="29"/>
              <w:bidi w:val="0"/>
              <w:rPr>
                <w:rFonts w:hint="eastAsia" w:eastAsia="宋体"/>
                <w:sz w:val="21"/>
                <w:szCs w:val="21"/>
                <w:highlight w:val="none"/>
                <w:lang w:eastAsia="zh-CN"/>
              </w:rPr>
            </w:pPr>
            <w:r>
              <w:rPr>
                <w:rFonts w:hint="eastAsia"/>
                <w:sz w:val="21"/>
                <w:szCs w:val="21"/>
                <w:highlight w:val="none"/>
                <w:lang w:eastAsia="zh-CN"/>
              </w:rPr>
              <w:t>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626" w:hRule="atLeast"/>
          <w:jc w:val="center"/>
        </w:trPr>
        <w:tc>
          <w:tcPr>
            <w:tcW w:w="1006" w:type="dxa"/>
            <w:vMerge w:val="continue"/>
            <w:vAlign w:val="center"/>
          </w:tcPr>
          <w:p>
            <w:pPr>
              <w:pStyle w:val="29"/>
              <w:bidi w:val="0"/>
              <w:rPr>
                <w:sz w:val="21"/>
                <w:szCs w:val="21"/>
                <w:highlight w:val="none"/>
              </w:rPr>
            </w:pPr>
          </w:p>
        </w:tc>
        <w:tc>
          <w:tcPr>
            <w:tcW w:w="1534" w:type="dxa"/>
            <w:gridSpan w:val="2"/>
            <w:tcBorders>
              <w:bottom w:val="single" w:color="auto" w:sz="4" w:space="0"/>
            </w:tcBorders>
            <w:vAlign w:val="center"/>
          </w:tcPr>
          <w:p>
            <w:pPr>
              <w:pStyle w:val="29"/>
              <w:bidi w:val="0"/>
              <w:rPr>
                <w:sz w:val="21"/>
                <w:szCs w:val="21"/>
                <w:highlight w:val="none"/>
              </w:rPr>
            </w:pPr>
            <w:r>
              <w:rPr>
                <w:rFonts w:hint="eastAsia"/>
                <w:sz w:val="21"/>
                <w:szCs w:val="21"/>
                <w:highlight w:val="none"/>
              </w:rPr>
              <w:t>储罐装卸废气</w:t>
            </w:r>
          </w:p>
        </w:tc>
        <w:tc>
          <w:tcPr>
            <w:tcW w:w="2273" w:type="dxa"/>
            <w:vMerge w:val="restart"/>
            <w:vAlign w:val="center"/>
          </w:tcPr>
          <w:p>
            <w:pPr>
              <w:pStyle w:val="29"/>
              <w:bidi w:val="0"/>
              <w:rPr>
                <w:sz w:val="21"/>
                <w:szCs w:val="21"/>
                <w:highlight w:val="none"/>
              </w:rPr>
            </w:pPr>
            <w:r>
              <w:rPr>
                <w:rFonts w:hint="eastAsia"/>
                <w:sz w:val="21"/>
                <w:szCs w:val="21"/>
                <w:highlight w:val="none"/>
              </w:rPr>
              <w:t>氧气、氮气、二氧化碳、氩气和</w:t>
            </w:r>
            <w:r>
              <w:rPr>
                <w:rFonts w:hint="eastAsia"/>
                <w:sz w:val="21"/>
                <w:szCs w:val="21"/>
                <w:highlight w:val="none"/>
                <w:lang w:eastAsia="zh-CN"/>
              </w:rPr>
              <w:t>丙烷</w:t>
            </w:r>
            <w:r>
              <w:rPr>
                <w:rFonts w:hint="eastAsia"/>
                <w:sz w:val="21"/>
                <w:szCs w:val="21"/>
                <w:highlight w:val="none"/>
              </w:rPr>
              <w:t>（以非甲烷总烃计）</w:t>
            </w:r>
          </w:p>
        </w:tc>
        <w:tc>
          <w:tcPr>
            <w:tcW w:w="2729" w:type="dxa"/>
            <w:vMerge w:val="continue"/>
            <w:vAlign w:val="center"/>
          </w:tcPr>
          <w:p>
            <w:pPr>
              <w:pStyle w:val="29"/>
              <w:bidi w:val="0"/>
              <w:rPr>
                <w:sz w:val="21"/>
                <w:szCs w:val="21"/>
                <w:highlight w:val="none"/>
              </w:rPr>
            </w:pPr>
          </w:p>
        </w:tc>
        <w:tc>
          <w:tcPr>
            <w:tcW w:w="1228" w:type="dxa"/>
            <w:vMerge w:val="continue"/>
            <w:vAlign w:val="center"/>
          </w:tcPr>
          <w:p>
            <w:pPr>
              <w:pStyle w:val="29"/>
              <w:bidi w:val="0"/>
              <w:rPr>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23" w:hRule="atLeast"/>
          <w:jc w:val="center"/>
        </w:trPr>
        <w:tc>
          <w:tcPr>
            <w:tcW w:w="1006" w:type="dxa"/>
            <w:vMerge w:val="continue"/>
            <w:vAlign w:val="center"/>
          </w:tcPr>
          <w:p>
            <w:pPr>
              <w:pStyle w:val="29"/>
              <w:bidi w:val="0"/>
              <w:rPr>
                <w:sz w:val="21"/>
                <w:szCs w:val="21"/>
                <w:highlight w:val="cyan"/>
              </w:rPr>
            </w:pPr>
          </w:p>
        </w:tc>
        <w:tc>
          <w:tcPr>
            <w:tcW w:w="1534" w:type="dxa"/>
            <w:gridSpan w:val="2"/>
            <w:tcBorders>
              <w:bottom w:val="single" w:color="auto" w:sz="4" w:space="0"/>
            </w:tcBorders>
            <w:vAlign w:val="center"/>
          </w:tcPr>
          <w:p>
            <w:pPr>
              <w:pStyle w:val="29"/>
              <w:bidi w:val="0"/>
              <w:rPr>
                <w:sz w:val="21"/>
                <w:szCs w:val="21"/>
                <w:highlight w:val="none"/>
              </w:rPr>
            </w:pPr>
            <w:r>
              <w:rPr>
                <w:rFonts w:hint="eastAsia"/>
                <w:sz w:val="21"/>
                <w:szCs w:val="21"/>
                <w:highlight w:val="none"/>
              </w:rPr>
              <w:t>充装废气</w:t>
            </w:r>
          </w:p>
        </w:tc>
        <w:tc>
          <w:tcPr>
            <w:tcW w:w="2273" w:type="dxa"/>
            <w:vMerge w:val="continue"/>
            <w:vAlign w:val="center"/>
          </w:tcPr>
          <w:p>
            <w:pPr>
              <w:pStyle w:val="29"/>
              <w:bidi w:val="0"/>
              <w:rPr>
                <w:sz w:val="21"/>
                <w:szCs w:val="21"/>
                <w:highlight w:val="none"/>
              </w:rPr>
            </w:pPr>
          </w:p>
        </w:tc>
        <w:tc>
          <w:tcPr>
            <w:tcW w:w="2729" w:type="dxa"/>
            <w:vMerge w:val="continue"/>
            <w:vAlign w:val="center"/>
          </w:tcPr>
          <w:p>
            <w:pPr>
              <w:pStyle w:val="29"/>
              <w:bidi w:val="0"/>
              <w:rPr>
                <w:sz w:val="21"/>
                <w:szCs w:val="21"/>
                <w:highlight w:val="none"/>
              </w:rPr>
            </w:pPr>
          </w:p>
        </w:tc>
        <w:tc>
          <w:tcPr>
            <w:tcW w:w="1228" w:type="dxa"/>
            <w:vMerge w:val="continue"/>
            <w:vAlign w:val="center"/>
          </w:tcPr>
          <w:p>
            <w:pPr>
              <w:pStyle w:val="29"/>
              <w:bidi w:val="0"/>
              <w:rPr>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23" w:hRule="atLeast"/>
          <w:jc w:val="center"/>
        </w:trPr>
        <w:tc>
          <w:tcPr>
            <w:tcW w:w="1006" w:type="dxa"/>
            <w:tcMar>
              <w:left w:w="0" w:type="dxa"/>
              <w:right w:w="0" w:type="dxa"/>
            </w:tcMar>
            <w:vAlign w:val="center"/>
          </w:tcPr>
          <w:p>
            <w:pPr>
              <w:pStyle w:val="29"/>
              <w:bidi w:val="0"/>
              <w:rPr>
                <w:b/>
                <w:bCs/>
                <w:sz w:val="21"/>
                <w:szCs w:val="21"/>
                <w:highlight w:val="none"/>
              </w:rPr>
            </w:pPr>
            <w:r>
              <w:rPr>
                <w:b/>
                <w:bCs/>
                <w:sz w:val="21"/>
                <w:szCs w:val="21"/>
                <w:highlight w:val="none"/>
              </w:rPr>
              <w:t>固</w:t>
            </w:r>
          </w:p>
          <w:p>
            <w:pPr>
              <w:pStyle w:val="29"/>
              <w:bidi w:val="0"/>
              <w:rPr>
                <w:b/>
                <w:bCs/>
                <w:sz w:val="21"/>
                <w:szCs w:val="21"/>
                <w:highlight w:val="none"/>
              </w:rPr>
            </w:pPr>
            <w:r>
              <w:rPr>
                <w:b/>
                <w:bCs/>
                <w:sz w:val="21"/>
                <w:szCs w:val="21"/>
                <w:highlight w:val="none"/>
              </w:rPr>
              <w:t>体</w:t>
            </w:r>
          </w:p>
          <w:p>
            <w:pPr>
              <w:pStyle w:val="29"/>
              <w:bidi w:val="0"/>
              <w:rPr>
                <w:b/>
                <w:bCs/>
                <w:sz w:val="21"/>
                <w:szCs w:val="21"/>
                <w:highlight w:val="none"/>
              </w:rPr>
            </w:pPr>
            <w:r>
              <w:rPr>
                <w:b/>
                <w:bCs/>
                <w:sz w:val="21"/>
                <w:szCs w:val="21"/>
                <w:highlight w:val="none"/>
              </w:rPr>
              <w:t>废</w:t>
            </w:r>
          </w:p>
          <w:p>
            <w:pPr>
              <w:pStyle w:val="29"/>
              <w:bidi w:val="0"/>
              <w:rPr>
                <w:b/>
                <w:bCs/>
                <w:sz w:val="21"/>
                <w:szCs w:val="21"/>
                <w:highlight w:val="none"/>
              </w:rPr>
            </w:pPr>
            <w:r>
              <w:rPr>
                <w:b/>
                <w:bCs/>
                <w:sz w:val="21"/>
                <w:szCs w:val="21"/>
                <w:highlight w:val="none"/>
              </w:rPr>
              <w:t>物</w:t>
            </w:r>
          </w:p>
        </w:tc>
        <w:tc>
          <w:tcPr>
            <w:tcW w:w="707" w:type="dxa"/>
            <w:tcBorders>
              <w:right w:val="single" w:color="auto" w:sz="4" w:space="0"/>
            </w:tcBorders>
            <w:vAlign w:val="center"/>
          </w:tcPr>
          <w:p>
            <w:pPr>
              <w:pStyle w:val="29"/>
              <w:bidi w:val="0"/>
              <w:rPr>
                <w:b w:val="0"/>
                <w:bCs w:val="0"/>
                <w:sz w:val="21"/>
                <w:szCs w:val="21"/>
                <w:highlight w:val="none"/>
                <w:u w:val="none"/>
              </w:rPr>
            </w:pPr>
            <w:r>
              <w:rPr>
                <w:b w:val="0"/>
                <w:bCs w:val="0"/>
                <w:sz w:val="21"/>
                <w:szCs w:val="21"/>
                <w:highlight w:val="none"/>
                <w:u w:val="none"/>
              </w:rPr>
              <w:t>一般</w:t>
            </w:r>
          </w:p>
          <w:p>
            <w:pPr>
              <w:pStyle w:val="29"/>
              <w:bidi w:val="0"/>
              <w:rPr>
                <w:b w:val="0"/>
                <w:bCs w:val="0"/>
                <w:sz w:val="21"/>
                <w:szCs w:val="21"/>
                <w:highlight w:val="none"/>
                <w:u w:val="none"/>
              </w:rPr>
            </w:pPr>
            <w:r>
              <w:rPr>
                <w:b w:val="0"/>
                <w:bCs w:val="0"/>
                <w:sz w:val="21"/>
                <w:szCs w:val="21"/>
                <w:highlight w:val="none"/>
                <w:u w:val="none"/>
              </w:rPr>
              <w:t>固废</w:t>
            </w:r>
          </w:p>
        </w:tc>
        <w:tc>
          <w:tcPr>
            <w:tcW w:w="827" w:type="dxa"/>
            <w:tcBorders>
              <w:left w:val="single" w:color="auto" w:sz="4" w:space="0"/>
            </w:tcBorders>
            <w:vAlign w:val="center"/>
          </w:tcPr>
          <w:p>
            <w:pPr>
              <w:pStyle w:val="29"/>
              <w:bidi w:val="0"/>
              <w:rPr>
                <w:b w:val="0"/>
                <w:bCs w:val="0"/>
                <w:sz w:val="21"/>
                <w:szCs w:val="21"/>
                <w:highlight w:val="none"/>
                <w:u w:val="none"/>
              </w:rPr>
            </w:pPr>
            <w:r>
              <w:rPr>
                <w:b w:val="0"/>
                <w:bCs w:val="0"/>
                <w:sz w:val="21"/>
                <w:szCs w:val="21"/>
                <w:highlight w:val="none"/>
                <w:u w:val="none"/>
              </w:rPr>
              <w:t>生产</w:t>
            </w:r>
          </w:p>
          <w:p>
            <w:pPr>
              <w:pStyle w:val="29"/>
              <w:bidi w:val="0"/>
              <w:rPr>
                <w:b w:val="0"/>
                <w:bCs w:val="0"/>
                <w:sz w:val="21"/>
                <w:szCs w:val="21"/>
                <w:highlight w:val="none"/>
                <w:u w:val="none"/>
              </w:rPr>
            </w:pPr>
            <w:r>
              <w:rPr>
                <w:b w:val="0"/>
                <w:bCs w:val="0"/>
                <w:sz w:val="21"/>
                <w:szCs w:val="21"/>
                <w:highlight w:val="none"/>
                <w:u w:val="none"/>
              </w:rPr>
              <w:t>环节</w:t>
            </w:r>
          </w:p>
        </w:tc>
        <w:tc>
          <w:tcPr>
            <w:tcW w:w="2273" w:type="dxa"/>
            <w:tcBorders>
              <w:bottom w:val="single" w:color="auto" w:sz="4" w:space="0"/>
            </w:tcBorders>
            <w:vAlign w:val="center"/>
          </w:tcPr>
          <w:p>
            <w:pPr>
              <w:pStyle w:val="29"/>
              <w:bidi w:val="0"/>
              <w:rPr>
                <w:rFonts w:hint="eastAsia" w:eastAsia="宋体"/>
                <w:b w:val="0"/>
                <w:bCs w:val="0"/>
                <w:sz w:val="21"/>
                <w:szCs w:val="21"/>
                <w:highlight w:val="none"/>
                <w:u w:val="none"/>
                <w:lang w:eastAsia="zh-CN"/>
              </w:rPr>
            </w:pPr>
            <w:r>
              <w:rPr>
                <w:rFonts w:hint="eastAsia"/>
                <w:b w:val="0"/>
                <w:bCs w:val="0"/>
                <w:sz w:val="21"/>
                <w:szCs w:val="21"/>
                <w:highlight w:val="none"/>
                <w:u w:val="none"/>
                <w:lang w:eastAsia="zh-CN"/>
              </w:rPr>
              <w:t>废气瓶头和废胶垫</w:t>
            </w:r>
          </w:p>
        </w:tc>
        <w:tc>
          <w:tcPr>
            <w:tcW w:w="2729" w:type="dxa"/>
            <w:vAlign w:val="center"/>
          </w:tcPr>
          <w:p>
            <w:pPr>
              <w:pStyle w:val="29"/>
              <w:bidi w:val="0"/>
              <w:rPr>
                <w:rFonts w:hint="eastAsia" w:eastAsia="宋体"/>
                <w:b w:val="0"/>
                <w:bCs w:val="0"/>
                <w:sz w:val="21"/>
                <w:szCs w:val="21"/>
                <w:highlight w:val="none"/>
                <w:u w:val="none"/>
                <w:lang w:eastAsia="zh-CN"/>
              </w:rPr>
            </w:pPr>
            <w:r>
              <w:rPr>
                <w:rFonts w:hint="eastAsia"/>
                <w:b w:val="0"/>
                <w:bCs w:val="0"/>
                <w:sz w:val="21"/>
                <w:szCs w:val="21"/>
                <w:highlight w:val="none"/>
                <w:u w:val="none"/>
                <w:lang w:val="en-US" w:eastAsia="zh-CN"/>
              </w:rPr>
              <w:t>依托现有</w:t>
            </w:r>
            <w:r>
              <w:rPr>
                <w:b w:val="0"/>
                <w:bCs w:val="0"/>
                <w:sz w:val="21"/>
                <w:szCs w:val="21"/>
                <w:highlight w:val="none"/>
                <w:u w:val="none"/>
              </w:rPr>
              <w:t>厂内固废暂存间集中收集后</w:t>
            </w:r>
            <w:r>
              <w:rPr>
                <w:rFonts w:hint="eastAsia"/>
                <w:b w:val="0"/>
                <w:bCs w:val="0"/>
                <w:sz w:val="21"/>
                <w:szCs w:val="21"/>
                <w:highlight w:val="none"/>
                <w:u w:val="none"/>
                <w:lang w:eastAsia="zh-CN"/>
              </w:rPr>
              <w:t>，</w:t>
            </w:r>
            <w:r>
              <w:rPr>
                <w:rFonts w:hint="eastAsia"/>
                <w:b w:val="0"/>
                <w:bCs w:val="0"/>
                <w:highlight w:val="none"/>
                <w:u w:val="none"/>
                <w:lang w:val="en-US" w:eastAsia="zh-CN"/>
              </w:rPr>
              <w:t>外售综合利用。</w:t>
            </w:r>
          </w:p>
        </w:tc>
        <w:tc>
          <w:tcPr>
            <w:tcW w:w="1228" w:type="dxa"/>
            <w:vAlign w:val="center"/>
          </w:tcPr>
          <w:p>
            <w:pPr>
              <w:pStyle w:val="29"/>
              <w:bidi w:val="0"/>
              <w:rPr>
                <w:b/>
                <w:bCs/>
                <w:sz w:val="21"/>
                <w:szCs w:val="21"/>
                <w:highlight w:val="none"/>
                <w:u w:val="single"/>
              </w:rPr>
            </w:pPr>
            <w:r>
              <w:rPr>
                <w:rFonts w:hint="eastAsia"/>
                <w:b w:val="0"/>
                <w:bCs w:val="0"/>
                <w:sz w:val="21"/>
                <w:szCs w:val="21"/>
                <w:highlight w:val="none"/>
                <w:u w:val="none"/>
              </w:rPr>
              <w:t>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23" w:hRule="atLeast"/>
          <w:jc w:val="center"/>
        </w:trPr>
        <w:tc>
          <w:tcPr>
            <w:tcW w:w="1006" w:type="dxa"/>
            <w:tcMar>
              <w:left w:w="0" w:type="dxa"/>
              <w:right w:w="0" w:type="dxa"/>
            </w:tcMar>
            <w:vAlign w:val="center"/>
          </w:tcPr>
          <w:p>
            <w:pPr>
              <w:pStyle w:val="29"/>
              <w:bidi w:val="0"/>
              <w:rPr>
                <w:b/>
                <w:bCs/>
                <w:sz w:val="21"/>
                <w:szCs w:val="21"/>
                <w:highlight w:val="none"/>
              </w:rPr>
            </w:pPr>
            <w:r>
              <w:rPr>
                <w:b/>
                <w:bCs/>
                <w:sz w:val="21"/>
                <w:szCs w:val="21"/>
                <w:highlight w:val="none"/>
              </w:rPr>
              <w:t>噪</w:t>
            </w:r>
          </w:p>
          <w:p>
            <w:pPr>
              <w:pStyle w:val="29"/>
              <w:bidi w:val="0"/>
              <w:rPr>
                <w:b/>
                <w:bCs/>
                <w:sz w:val="21"/>
                <w:szCs w:val="21"/>
                <w:highlight w:val="none"/>
              </w:rPr>
            </w:pPr>
            <w:r>
              <w:rPr>
                <w:b/>
                <w:bCs/>
                <w:sz w:val="21"/>
                <w:szCs w:val="21"/>
                <w:highlight w:val="none"/>
              </w:rPr>
              <w:t>声</w:t>
            </w:r>
          </w:p>
        </w:tc>
        <w:tc>
          <w:tcPr>
            <w:tcW w:w="1534" w:type="dxa"/>
            <w:gridSpan w:val="2"/>
            <w:tcMar>
              <w:left w:w="57" w:type="dxa"/>
              <w:right w:w="57" w:type="dxa"/>
            </w:tcMar>
            <w:vAlign w:val="center"/>
          </w:tcPr>
          <w:p>
            <w:pPr>
              <w:pStyle w:val="29"/>
              <w:bidi w:val="0"/>
              <w:rPr>
                <w:sz w:val="21"/>
                <w:szCs w:val="21"/>
                <w:highlight w:val="none"/>
              </w:rPr>
            </w:pPr>
            <w:r>
              <w:rPr>
                <w:sz w:val="21"/>
                <w:szCs w:val="21"/>
                <w:highlight w:val="none"/>
              </w:rPr>
              <w:t>高噪声设备</w:t>
            </w:r>
          </w:p>
        </w:tc>
        <w:tc>
          <w:tcPr>
            <w:tcW w:w="2273" w:type="dxa"/>
            <w:tcMar>
              <w:left w:w="57" w:type="dxa"/>
              <w:right w:w="57" w:type="dxa"/>
            </w:tcMar>
            <w:vAlign w:val="center"/>
          </w:tcPr>
          <w:p>
            <w:pPr>
              <w:pStyle w:val="29"/>
              <w:bidi w:val="0"/>
              <w:rPr>
                <w:sz w:val="21"/>
                <w:szCs w:val="21"/>
                <w:highlight w:val="none"/>
              </w:rPr>
            </w:pPr>
            <w:r>
              <w:rPr>
                <w:sz w:val="21"/>
                <w:szCs w:val="21"/>
                <w:highlight w:val="none"/>
              </w:rPr>
              <w:t>噪声</w:t>
            </w:r>
          </w:p>
        </w:tc>
        <w:tc>
          <w:tcPr>
            <w:tcW w:w="2729" w:type="dxa"/>
            <w:vAlign w:val="center"/>
          </w:tcPr>
          <w:p>
            <w:pPr>
              <w:pStyle w:val="29"/>
              <w:bidi w:val="0"/>
              <w:rPr>
                <w:sz w:val="21"/>
                <w:szCs w:val="21"/>
                <w:highlight w:val="none"/>
              </w:rPr>
            </w:pPr>
            <w:r>
              <w:rPr>
                <w:sz w:val="21"/>
                <w:szCs w:val="21"/>
                <w:highlight w:val="none"/>
              </w:rPr>
              <w:t>采取基础减震、车间隔声和距离衰减等措施</w:t>
            </w:r>
          </w:p>
        </w:tc>
        <w:tc>
          <w:tcPr>
            <w:tcW w:w="1228" w:type="dxa"/>
            <w:vAlign w:val="center"/>
          </w:tcPr>
          <w:p>
            <w:pPr>
              <w:pStyle w:val="29"/>
              <w:bidi w:val="0"/>
              <w:rPr>
                <w:sz w:val="21"/>
                <w:szCs w:val="21"/>
                <w:highlight w:val="none"/>
              </w:rPr>
            </w:pPr>
            <w:r>
              <w:rPr>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23" w:hRule="atLeast"/>
          <w:jc w:val="center"/>
        </w:trPr>
        <w:tc>
          <w:tcPr>
            <w:tcW w:w="1006" w:type="dxa"/>
            <w:tcMar>
              <w:left w:w="0" w:type="dxa"/>
              <w:right w:w="0" w:type="dxa"/>
            </w:tcMar>
            <w:vAlign w:val="center"/>
          </w:tcPr>
          <w:p>
            <w:pPr>
              <w:pStyle w:val="29"/>
              <w:bidi w:val="0"/>
              <w:rPr>
                <w:b/>
                <w:bCs/>
                <w:sz w:val="21"/>
                <w:szCs w:val="21"/>
                <w:highlight w:val="none"/>
              </w:rPr>
            </w:pPr>
            <w:r>
              <w:rPr>
                <w:b/>
                <w:bCs/>
                <w:sz w:val="21"/>
                <w:szCs w:val="21"/>
                <w:highlight w:val="none"/>
              </w:rPr>
              <w:t>主</w:t>
            </w:r>
          </w:p>
          <w:p>
            <w:pPr>
              <w:pStyle w:val="29"/>
              <w:bidi w:val="0"/>
              <w:rPr>
                <w:b/>
                <w:bCs/>
                <w:sz w:val="21"/>
                <w:szCs w:val="21"/>
                <w:highlight w:val="none"/>
              </w:rPr>
            </w:pPr>
            <w:r>
              <w:rPr>
                <w:b/>
                <w:bCs/>
                <w:sz w:val="21"/>
                <w:szCs w:val="21"/>
                <w:highlight w:val="none"/>
              </w:rPr>
              <w:t>要</w:t>
            </w:r>
          </w:p>
          <w:p>
            <w:pPr>
              <w:pStyle w:val="29"/>
              <w:bidi w:val="0"/>
              <w:rPr>
                <w:b/>
                <w:bCs/>
                <w:sz w:val="21"/>
                <w:szCs w:val="21"/>
                <w:highlight w:val="none"/>
              </w:rPr>
            </w:pPr>
            <w:r>
              <w:rPr>
                <w:b/>
                <w:bCs/>
                <w:sz w:val="21"/>
                <w:szCs w:val="21"/>
                <w:highlight w:val="none"/>
              </w:rPr>
              <w:t>生</w:t>
            </w:r>
          </w:p>
          <w:p>
            <w:pPr>
              <w:pStyle w:val="29"/>
              <w:bidi w:val="0"/>
              <w:rPr>
                <w:b/>
                <w:bCs/>
                <w:sz w:val="21"/>
                <w:szCs w:val="21"/>
                <w:highlight w:val="none"/>
              </w:rPr>
            </w:pPr>
            <w:r>
              <w:rPr>
                <w:b/>
                <w:bCs/>
                <w:sz w:val="21"/>
                <w:szCs w:val="21"/>
                <w:highlight w:val="none"/>
              </w:rPr>
              <w:t>态</w:t>
            </w:r>
          </w:p>
          <w:p>
            <w:pPr>
              <w:pStyle w:val="29"/>
              <w:bidi w:val="0"/>
              <w:rPr>
                <w:b/>
                <w:bCs/>
                <w:sz w:val="21"/>
                <w:szCs w:val="21"/>
                <w:highlight w:val="none"/>
              </w:rPr>
            </w:pPr>
            <w:r>
              <w:rPr>
                <w:b/>
                <w:bCs/>
                <w:sz w:val="21"/>
                <w:szCs w:val="21"/>
                <w:highlight w:val="none"/>
              </w:rPr>
              <w:t>影</w:t>
            </w:r>
          </w:p>
          <w:p>
            <w:pPr>
              <w:pStyle w:val="29"/>
              <w:bidi w:val="0"/>
              <w:rPr>
                <w:b/>
                <w:bCs/>
                <w:sz w:val="21"/>
                <w:szCs w:val="21"/>
                <w:highlight w:val="none"/>
              </w:rPr>
            </w:pPr>
            <w:r>
              <w:rPr>
                <w:b/>
                <w:bCs/>
                <w:sz w:val="21"/>
                <w:szCs w:val="21"/>
                <w:highlight w:val="none"/>
              </w:rPr>
              <w:t>响</w:t>
            </w:r>
          </w:p>
        </w:tc>
        <w:tc>
          <w:tcPr>
            <w:tcW w:w="7764" w:type="dxa"/>
            <w:gridSpan w:val="5"/>
            <w:tcMar>
              <w:left w:w="57" w:type="dxa"/>
              <w:right w:w="57" w:type="dxa"/>
            </w:tcMar>
          </w:tcPr>
          <w:p>
            <w:pPr>
              <w:bidi w:val="0"/>
              <w:rPr>
                <w:sz w:val="21"/>
                <w:szCs w:val="21"/>
                <w:highlight w:val="none"/>
              </w:rPr>
            </w:pPr>
          </w:p>
          <w:p>
            <w:pPr>
              <w:bidi w:val="0"/>
              <w:rPr>
                <w:sz w:val="21"/>
                <w:szCs w:val="21"/>
                <w:highlight w:val="none"/>
              </w:rPr>
            </w:pPr>
          </w:p>
          <w:p>
            <w:pPr>
              <w:bidi w:val="0"/>
              <w:rPr>
                <w:sz w:val="21"/>
                <w:szCs w:val="21"/>
                <w:highlight w:val="none"/>
              </w:rPr>
            </w:pPr>
            <w:r>
              <w:rPr>
                <w:sz w:val="21"/>
                <w:szCs w:val="21"/>
                <w:highlight w:val="none"/>
              </w:rPr>
              <w:t>本项目营运期影响生态环境的</w:t>
            </w:r>
            <w:r>
              <w:rPr>
                <w:rFonts w:hint="eastAsia"/>
                <w:sz w:val="21"/>
                <w:szCs w:val="21"/>
                <w:highlight w:val="none"/>
                <w:lang w:eastAsia="zh-CN"/>
              </w:rPr>
              <w:t>废水</w:t>
            </w:r>
            <w:r>
              <w:rPr>
                <w:sz w:val="21"/>
                <w:szCs w:val="21"/>
                <w:highlight w:val="none"/>
              </w:rPr>
              <w:t>、固废等污染物在相应的防范、治理措施下，能使其产生的影响降到较低程度，并且随着绿化设施的逐步完善，可使项目区植被得到恢复，生态环境与周围环境更加协调。</w:t>
            </w:r>
          </w:p>
          <w:p>
            <w:pPr>
              <w:bidi w:val="0"/>
              <w:rPr>
                <w:sz w:val="21"/>
                <w:szCs w:val="21"/>
                <w:highlight w:val="none"/>
              </w:rPr>
            </w:pPr>
          </w:p>
          <w:p>
            <w:pPr>
              <w:bidi w:val="0"/>
              <w:rPr>
                <w:sz w:val="21"/>
                <w:szCs w:val="21"/>
                <w:highlight w:val="none"/>
              </w:rPr>
            </w:pPr>
          </w:p>
          <w:p>
            <w:pPr>
              <w:bidi w:val="0"/>
              <w:rPr>
                <w:sz w:val="21"/>
                <w:szCs w:val="21"/>
                <w:highlight w:val="none"/>
              </w:rPr>
            </w:pPr>
          </w:p>
          <w:p>
            <w:pPr>
              <w:bidi w:val="0"/>
              <w:rPr>
                <w:rFonts w:hint="eastAsia"/>
                <w:sz w:val="21"/>
                <w:szCs w:val="21"/>
                <w:highlight w:val="none"/>
                <w:lang w:eastAsia="zh-CN"/>
              </w:rPr>
            </w:pPr>
          </w:p>
          <w:p>
            <w:pPr>
              <w:bidi w:val="0"/>
              <w:rPr>
                <w:rFonts w:hint="eastAsia"/>
                <w:sz w:val="21"/>
                <w:szCs w:val="21"/>
                <w:highlight w:val="none"/>
                <w:lang w:eastAsia="zh-CN"/>
              </w:rPr>
            </w:pPr>
          </w:p>
          <w:p>
            <w:pPr>
              <w:bidi w:val="0"/>
              <w:rPr>
                <w:rFonts w:hint="eastAsia"/>
                <w:sz w:val="21"/>
                <w:szCs w:val="21"/>
                <w:highlight w:val="none"/>
                <w:lang w:eastAsia="zh-CN"/>
              </w:rPr>
            </w:pPr>
          </w:p>
          <w:p>
            <w:pPr>
              <w:bidi w:val="0"/>
              <w:rPr>
                <w:rFonts w:hint="eastAsia"/>
                <w:sz w:val="21"/>
                <w:szCs w:val="21"/>
                <w:highlight w:val="none"/>
                <w:lang w:eastAsia="zh-CN"/>
              </w:rPr>
            </w:pPr>
          </w:p>
          <w:p>
            <w:pPr>
              <w:bidi w:val="0"/>
              <w:rPr>
                <w:rFonts w:hint="eastAsia"/>
                <w:sz w:val="21"/>
                <w:szCs w:val="21"/>
                <w:highlight w:val="none"/>
                <w:lang w:eastAsia="zh-CN"/>
              </w:rPr>
            </w:pPr>
          </w:p>
          <w:p>
            <w:pPr>
              <w:bidi w:val="0"/>
              <w:ind w:left="0" w:leftChars="0" w:firstLine="0" w:firstLineChars="0"/>
              <w:rPr>
                <w:rFonts w:hint="eastAsia" w:eastAsia="宋体"/>
                <w:sz w:val="21"/>
                <w:szCs w:val="21"/>
                <w:highlight w:val="none"/>
                <w:lang w:eastAsia="zh-CN"/>
              </w:rPr>
            </w:pPr>
          </w:p>
        </w:tc>
      </w:tr>
    </w:tbl>
    <w:p>
      <w:r>
        <w:br w:type="page"/>
      </w:r>
    </w:p>
    <w:p>
      <w:pPr>
        <w:bidi w:val="0"/>
        <w:ind w:left="0" w:leftChars="0" w:firstLine="0" w:firstLineChars="0"/>
        <w:rPr>
          <w:b/>
          <w:bCs/>
          <w:sz w:val="32"/>
          <w:szCs w:val="32"/>
          <w:highlight w:val="none"/>
        </w:rPr>
      </w:pPr>
      <w:r>
        <w:rPr>
          <w:b/>
          <w:bCs/>
          <w:sz w:val="32"/>
          <w:szCs w:val="32"/>
          <w:highlight w:val="none"/>
        </w:rPr>
        <w:t>结论与建议</w:t>
      </w:r>
    </w:p>
    <w:tbl>
      <w:tblPr>
        <w:tblStyle w:val="21"/>
        <w:tblW w:w="894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4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948" w:type="dxa"/>
            <w:noWrap w:val="0"/>
            <w:vAlign w:val="top"/>
          </w:tcPr>
          <w:p>
            <w:pPr>
              <w:keepNext w:val="0"/>
              <w:keepLines w:val="0"/>
              <w:pageBreakBefore w:val="0"/>
              <w:widowControl w:val="0"/>
              <w:kinsoku/>
              <w:wordWrap/>
              <w:overflowPunct/>
              <w:topLinePunct w:val="0"/>
              <w:autoSpaceDE/>
              <w:autoSpaceDN/>
              <w:bidi w:val="0"/>
              <w:adjustRightInd/>
              <w:snapToGrid/>
              <w:spacing w:line="312" w:lineRule="auto"/>
              <w:textAlignment w:val="auto"/>
              <w:rPr>
                <w:b/>
                <w:bCs/>
                <w:sz w:val="24"/>
                <w:szCs w:val="24"/>
                <w:highlight w:val="none"/>
              </w:rPr>
            </w:pPr>
            <w:r>
              <w:rPr>
                <w:b/>
                <w:bCs/>
                <w:sz w:val="24"/>
                <w:szCs w:val="24"/>
                <w:highlight w:val="none"/>
              </w:rPr>
              <w:t>一、项目概况</w:t>
            </w:r>
          </w:p>
          <w:p>
            <w:pPr>
              <w:keepNext w:val="0"/>
              <w:keepLines w:val="0"/>
              <w:pageBreakBefore w:val="0"/>
              <w:widowControl w:val="0"/>
              <w:kinsoku/>
              <w:wordWrap/>
              <w:overflowPunct/>
              <w:topLinePunct w:val="0"/>
              <w:autoSpaceDE/>
              <w:autoSpaceDN/>
              <w:bidi w:val="0"/>
              <w:adjustRightInd/>
              <w:snapToGrid/>
              <w:spacing w:line="360" w:lineRule="auto"/>
              <w:textAlignment w:val="auto"/>
              <w:rPr>
                <w:highlight w:val="none"/>
                <w:lang w:val="en-US" w:eastAsia="zh-CN"/>
              </w:rPr>
            </w:pPr>
            <w:r>
              <w:rPr>
                <w:rFonts w:hint="eastAsia"/>
                <w:color w:val="000000" w:themeColor="text1"/>
                <w:szCs w:val="21"/>
                <w:highlight w:val="none"/>
                <w14:textFill>
                  <w14:solidFill>
                    <w14:schemeClr w14:val="tx1"/>
                  </w14:solidFill>
                </w14:textFill>
              </w:rPr>
              <w:t>新乡市兴豫气体有限责任公司</w:t>
            </w:r>
            <w:r>
              <w:rPr>
                <w:rFonts w:hint="eastAsia"/>
                <w:highlight w:val="none"/>
                <w:lang w:eastAsia="zh-CN"/>
              </w:rPr>
              <w:t>在新乡县产业集聚区</w:t>
            </w:r>
            <w:r>
              <w:rPr>
                <w:rFonts w:hint="default"/>
                <w:highlight w:val="none"/>
              </w:rPr>
              <w:t>拟投资</w:t>
            </w:r>
            <w:r>
              <w:rPr>
                <w:rFonts w:hint="eastAsia"/>
                <w:highlight w:val="none"/>
                <w:lang w:val="en-US" w:eastAsia="zh-CN"/>
              </w:rPr>
              <w:t>2320</w:t>
            </w:r>
            <w:r>
              <w:rPr>
                <w:rFonts w:hint="default"/>
                <w:highlight w:val="none"/>
              </w:rPr>
              <w:t>万元，建设</w:t>
            </w:r>
            <w:r>
              <w:rPr>
                <w:rFonts w:hint="eastAsia"/>
                <w:color w:val="000000" w:themeColor="text1"/>
                <w:szCs w:val="21"/>
                <w:highlight w:val="none"/>
                <w14:textFill>
                  <w14:solidFill>
                    <w14:schemeClr w14:val="tx1"/>
                  </w14:solidFill>
                </w14:textFill>
              </w:rPr>
              <w:t>年分装7000吨工业气体</w:t>
            </w:r>
            <w:r>
              <w:rPr>
                <w:rFonts w:hint="eastAsia"/>
                <w:highlight w:val="none"/>
                <w:lang w:val="en-US" w:eastAsia="zh-CN"/>
              </w:rPr>
              <w:t>项目</w:t>
            </w:r>
            <w:r>
              <w:rPr>
                <w:highlight w:val="none"/>
                <w:lang w:val="en-US" w:eastAsia="zh-CN"/>
              </w:rPr>
              <w:t>，</w:t>
            </w:r>
            <w:r>
              <w:rPr>
                <w:rFonts w:hint="eastAsia"/>
                <w:highlight w:val="none"/>
                <w:lang w:val="en-US" w:eastAsia="zh-CN"/>
              </w:rPr>
              <w:t>本</w:t>
            </w:r>
            <w:r>
              <w:rPr>
                <w:highlight w:val="none"/>
              </w:rPr>
              <w:t>项目</w:t>
            </w:r>
            <w:r>
              <w:rPr>
                <w:rFonts w:hint="eastAsia"/>
                <w:highlight w:val="none"/>
                <w:lang w:eastAsia="zh-CN"/>
              </w:rPr>
              <w:t>建设</w:t>
            </w:r>
            <w:r>
              <w:rPr>
                <w:highlight w:val="none"/>
              </w:rPr>
              <w:t>不新增土地，</w:t>
            </w:r>
            <w:r>
              <w:rPr>
                <w:rFonts w:hint="eastAsia"/>
                <w:highlight w:val="none"/>
                <w:lang w:val="en-US" w:eastAsia="zh-CN"/>
              </w:rPr>
              <w:t>利用现有场地和厂房就行建设</w:t>
            </w:r>
            <w:r>
              <w:rPr>
                <w:rFonts w:hint="default"/>
                <w:highlight w:val="none"/>
              </w:rPr>
              <w:t>。</w:t>
            </w:r>
          </w:p>
          <w:p>
            <w:pPr>
              <w:keepNext w:val="0"/>
              <w:keepLines w:val="0"/>
              <w:pageBreakBefore w:val="0"/>
              <w:widowControl w:val="0"/>
              <w:kinsoku/>
              <w:wordWrap/>
              <w:overflowPunct/>
              <w:topLinePunct w:val="0"/>
              <w:autoSpaceDE/>
              <w:autoSpaceDN/>
              <w:bidi w:val="0"/>
              <w:adjustRightInd/>
              <w:snapToGrid/>
              <w:spacing w:line="312" w:lineRule="auto"/>
              <w:textAlignment w:val="auto"/>
              <w:rPr>
                <w:b/>
                <w:bCs/>
                <w:sz w:val="24"/>
                <w:szCs w:val="24"/>
                <w:highlight w:val="none"/>
              </w:rPr>
            </w:pPr>
            <w:r>
              <w:rPr>
                <w:b/>
                <w:bCs/>
                <w:sz w:val="24"/>
                <w:szCs w:val="24"/>
                <w:highlight w:val="none"/>
              </w:rPr>
              <w:t>二、环境可行性分析结论</w:t>
            </w:r>
          </w:p>
          <w:p>
            <w:pPr>
              <w:keepNext w:val="0"/>
              <w:keepLines w:val="0"/>
              <w:pageBreakBefore w:val="0"/>
              <w:widowControl w:val="0"/>
              <w:kinsoku/>
              <w:wordWrap/>
              <w:overflowPunct/>
              <w:topLinePunct w:val="0"/>
              <w:autoSpaceDE/>
              <w:autoSpaceDN/>
              <w:bidi w:val="0"/>
              <w:adjustRightInd/>
              <w:snapToGrid/>
              <w:spacing w:line="312" w:lineRule="auto"/>
              <w:textAlignment w:val="auto"/>
              <w:rPr>
                <w:b/>
                <w:bCs/>
                <w:highlight w:val="none"/>
              </w:rPr>
            </w:pPr>
            <w:r>
              <w:rPr>
                <w:b/>
                <w:bCs/>
                <w:highlight w:val="none"/>
              </w:rPr>
              <w:t>（1）产业政策符合性结论</w:t>
            </w:r>
          </w:p>
          <w:p>
            <w:pPr>
              <w:bidi w:val="0"/>
              <w:rPr>
                <w:rFonts w:hint="eastAsia"/>
                <w:highlight w:val="none"/>
              </w:rPr>
            </w:pPr>
            <w:r>
              <w:rPr>
                <w:rFonts w:hint="default"/>
                <w:highlight w:val="none"/>
                <w:lang w:val="en-US" w:eastAsia="zh-CN"/>
              </w:rPr>
              <w:t>经查阅《国民经济行业分类》（GB74754-2017），本项目</w:t>
            </w:r>
            <w:r>
              <w:rPr>
                <w:rFonts w:hint="eastAsia"/>
                <w:highlight w:val="none"/>
                <w:lang w:val="en-US" w:eastAsia="zh-CN"/>
              </w:rPr>
              <w:t>为C5942 危险化学品仓储</w:t>
            </w:r>
            <w:r>
              <w:rPr>
                <w:rFonts w:hint="eastAsia"/>
                <w:highlight w:val="none"/>
                <w:lang w:eastAsia="zh-CN"/>
              </w:rPr>
              <w:t>，</w:t>
            </w:r>
            <w:r>
              <w:rPr>
                <w:highlight w:val="none"/>
              </w:rPr>
              <w:t>经查阅</w:t>
            </w:r>
            <w:r>
              <w:rPr>
                <w:rFonts w:hint="eastAsia"/>
                <w:highlight w:val="none"/>
                <w:lang w:eastAsia="zh-CN"/>
              </w:rPr>
              <w:t>《产业结构调整指导目录（</w:t>
            </w:r>
            <w:r>
              <w:rPr>
                <w:rFonts w:hint="eastAsia"/>
                <w:highlight w:val="none"/>
                <w:lang w:val="en-US" w:eastAsia="zh-CN"/>
              </w:rPr>
              <w:t>2019年本</w:t>
            </w:r>
            <w:r>
              <w:rPr>
                <w:rFonts w:hint="eastAsia"/>
                <w:highlight w:val="none"/>
                <w:lang w:eastAsia="zh-CN"/>
              </w:rPr>
              <w:t>）》</w:t>
            </w:r>
            <w:r>
              <w:rPr>
                <w:highlight w:val="none"/>
              </w:rPr>
              <w:t>，</w:t>
            </w:r>
            <w:r>
              <w:rPr>
                <w:rFonts w:hint="default"/>
                <w:highlight w:val="none"/>
                <w:lang w:val="en-US" w:eastAsia="zh-CN"/>
              </w:rPr>
              <w:t>本项目不属于鼓励类、限制类或淘汰类，属于允许类建设项目，符合国家产业政策</w:t>
            </w:r>
            <w:r>
              <w:rPr>
                <w:rFonts w:hint="eastAsia"/>
                <w:highlight w:val="none"/>
                <w:lang w:val="en-US" w:eastAsia="zh-CN"/>
              </w:rPr>
              <w:t>。本项目已于2015年5月通过新乡县发展和改革委员会予以备案，2020年7月重新备案，项目代码为</w:t>
            </w:r>
            <w:r>
              <w:rPr>
                <w:rFonts w:hint="eastAsia"/>
                <w:highlight w:val="none"/>
              </w:rPr>
              <w:t>豫新新乡制造[2015]07033</w:t>
            </w:r>
            <w:r>
              <w:rPr>
                <w:rFonts w:hint="eastAsia"/>
                <w:highlight w:val="none"/>
                <w:lang w:val="en-US" w:eastAsia="zh-CN"/>
              </w:rPr>
              <w:t>。本项目建设符合其他文件相应要求。</w:t>
            </w:r>
          </w:p>
          <w:p>
            <w:pPr>
              <w:keepNext w:val="0"/>
              <w:keepLines w:val="0"/>
              <w:pageBreakBefore w:val="0"/>
              <w:widowControl w:val="0"/>
              <w:kinsoku/>
              <w:wordWrap/>
              <w:overflowPunct/>
              <w:topLinePunct w:val="0"/>
              <w:autoSpaceDE/>
              <w:autoSpaceDN/>
              <w:bidi w:val="0"/>
              <w:adjustRightInd/>
              <w:snapToGrid/>
              <w:spacing w:line="312" w:lineRule="auto"/>
              <w:textAlignment w:val="auto"/>
              <w:rPr>
                <w:b/>
                <w:bCs/>
                <w:highlight w:val="none"/>
              </w:rPr>
            </w:pPr>
            <w:r>
              <w:rPr>
                <w:b/>
                <w:bCs/>
                <w:highlight w:val="none"/>
              </w:rPr>
              <w:t>（2）选址可行性结论</w:t>
            </w:r>
          </w:p>
          <w:p>
            <w:pPr>
              <w:bidi w:val="0"/>
              <w:rPr>
                <w:rFonts w:hint="default" w:ascii="Times New Roman" w:hAnsi="Times New Roman" w:cs="Times New Roman"/>
                <w:b w:val="0"/>
                <w:bCs w:val="0"/>
                <w:color w:val="auto"/>
                <w:sz w:val="24"/>
                <w:highlight w:val="none"/>
                <w:u w:val="none"/>
              </w:rPr>
            </w:pPr>
            <w:r>
              <w:rPr>
                <w:rFonts w:hint="default" w:ascii="Times New Roman" w:hAnsi="Times New Roman" w:cs="Times New Roman"/>
                <w:b w:val="0"/>
                <w:bCs w:val="0"/>
                <w:highlight w:val="none"/>
                <w:u w:val="none"/>
                <w:lang w:val="en-US" w:eastAsia="zh-CN"/>
              </w:rPr>
              <w:t>Ⅰ</w:t>
            </w:r>
            <w:r>
              <w:rPr>
                <w:rFonts w:hint="eastAsia" w:ascii="Times New Roman" w:hAnsi="Times New Roman" w:cs="Times New Roman"/>
                <w:b w:val="0"/>
                <w:bCs w:val="0"/>
                <w:highlight w:val="none"/>
                <w:u w:val="none"/>
                <w:lang w:val="en-US" w:eastAsia="zh-CN"/>
              </w:rPr>
              <w:t>.</w:t>
            </w:r>
            <w:r>
              <w:rPr>
                <w:rFonts w:hint="default" w:ascii="Times New Roman" w:hAnsi="Times New Roman" w:cs="Times New Roman"/>
                <w:b w:val="0"/>
                <w:bCs w:val="0"/>
                <w:color w:val="auto"/>
                <w:sz w:val="24"/>
                <w:highlight w:val="none"/>
                <w:u w:val="none"/>
              </w:rPr>
              <w:t>规划相符性</w:t>
            </w:r>
          </w:p>
          <w:p>
            <w:pPr>
              <w:bidi w:val="0"/>
              <w:rPr>
                <w:rFonts w:hint="default" w:eastAsia="宋体"/>
                <w:b w:val="0"/>
                <w:bCs w:val="0"/>
                <w:highlight w:val="none"/>
                <w:u w:val="none"/>
                <w:lang w:val="en-US" w:eastAsia="zh-CN"/>
              </w:rPr>
            </w:pPr>
            <w:r>
              <w:rPr>
                <w:rFonts w:hint="eastAsia"/>
                <w:b w:val="0"/>
                <w:bCs w:val="0"/>
                <w:highlight w:val="none"/>
                <w:u w:val="none"/>
                <w:lang w:val="en-US" w:eastAsia="zh-CN"/>
              </w:rPr>
              <w:t>本项目建设地址为</w:t>
            </w:r>
            <w:r>
              <w:rPr>
                <w:rFonts w:hint="eastAsia"/>
                <w:b w:val="0"/>
                <w:bCs w:val="0"/>
                <w:highlight w:val="none"/>
                <w:u w:val="none"/>
              </w:rPr>
              <w:t>新乡市</w:t>
            </w:r>
            <w:r>
              <w:rPr>
                <w:rFonts w:hint="eastAsia"/>
                <w:b w:val="0"/>
                <w:bCs w:val="0"/>
                <w:color w:val="000000" w:themeColor="text1"/>
                <w:szCs w:val="21"/>
                <w:highlight w:val="none"/>
                <w:u w:val="none"/>
                <w14:textFill>
                  <w14:solidFill>
                    <w14:schemeClr w14:val="tx1"/>
                  </w14:solidFill>
                </w14:textFill>
              </w:rPr>
              <w:t>新乡县大召营镇(新焦公路八公里处)</w:t>
            </w:r>
            <w:r>
              <w:rPr>
                <w:rFonts w:hint="eastAsia"/>
                <w:b w:val="0"/>
                <w:bCs w:val="0"/>
                <w:highlight w:val="none"/>
                <w:u w:val="none"/>
              </w:rPr>
              <w:t>，</w:t>
            </w:r>
            <w:r>
              <w:rPr>
                <w:rFonts w:hint="eastAsia"/>
                <w:b w:val="0"/>
                <w:bCs w:val="0"/>
                <w:highlight w:val="none"/>
                <w:u w:val="none"/>
                <w:lang w:val="en-US" w:eastAsia="zh-CN"/>
              </w:rPr>
              <w:t>位于新乡县大召营专业园区内，</w:t>
            </w:r>
            <w:r>
              <w:rPr>
                <w:rFonts w:hint="default"/>
                <w:b w:val="0"/>
                <w:bCs w:val="0"/>
                <w:highlight w:val="none"/>
                <w:u w:val="none"/>
              </w:rPr>
              <w:t>项目中心坐标：</w:t>
            </w:r>
            <w:r>
              <w:rPr>
                <w:rFonts w:hint="default"/>
                <w:b w:val="0"/>
                <w:bCs w:val="0"/>
                <w:highlight w:val="none"/>
                <w:u w:val="none"/>
                <w:lang w:eastAsia="zh-CN"/>
              </w:rPr>
              <w:t>东经</w:t>
            </w:r>
            <w:r>
              <w:rPr>
                <w:rFonts w:hint="default"/>
                <w:b w:val="0"/>
                <w:bCs w:val="0"/>
                <w:highlight w:val="none"/>
                <w:u w:val="none"/>
                <w:lang w:val="en-US" w:eastAsia="zh-CN"/>
              </w:rPr>
              <w:t>113.772715°，北纬35.283414°</w:t>
            </w:r>
            <w:r>
              <w:rPr>
                <w:rFonts w:hint="eastAsia"/>
                <w:b w:val="0"/>
                <w:bCs w:val="0"/>
                <w:highlight w:val="none"/>
                <w:u w:val="none"/>
                <w:lang w:eastAsia="zh-CN"/>
              </w:rPr>
              <w:t>。</w:t>
            </w:r>
            <w:r>
              <w:rPr>
                <w:rFonts w:hint="eastAsia"/>
                <w:b w:val="0"/>
                <w:bCs w:val="0"/>
                <w:highlight w:val="none"/>
                <w:u w:val="none"/>
                <w:lang w:val="en-US" w:eastAsia="zh-CN"/>
              </w:rPr>
              <w:t>根据新乡县大召营镇总体规划图（2013-2030）和新乡县大召营专业园区用地规划图，</w:t>
            </w:r>
            <w:r>
              <w:rPr>
                <w:rFonts w:hint="eastAsia"/>
                <w:b w:val="0"/>
                <w:bCs w:val="0"/>
                <w:highlight w:val="none"/>
                <w:u w:val="none"/>
              </w:rPr>
              <w:t>本项目所在地为二类工业用地，</w:t>
            </w:r>
            <w:r>
              <w:rPr>
                <w:rFonts w:hint="eastAsia"/>
                <w:b w:val="0"/>
                <w:bCs w:val="0"/>
                <w:highlight w:val="none"/>
                <w:u w:val="none"/>
                <w:lang w:val="en-US" w:eastAsia="zh-CN"/>
              </w:rPr>
              <w:t>项目土地用途与规划相符，</w:t>
            </w:r>
            <w:r>
              <w:rPr>
                <w:rFonts w:hint="eastAsia"/>
                <w:b w:val="0"/>
                <w:bCs w:val="0"/>
                <w:highlight w:val="none"/>
                <w:u w:val="none"/>
              </w:rPr>
              <w:t>符合新乡县大召营镇</w:t>
            </w:r>
            <w:r>
              <w:rPr>
                <w:rFonts w:hint="eastAsia"/>
                <w:b w:val="0"/>
                <w:bCs w:val="0"/>
                <w:highlight w:val="none"/>
                <w:u w:val="none"/>
                <w:lang w:val="en-US" w:eastAsia="zh-CN"/>
              </w:rPr>
              <w:t>土地规划和</w:t>
            </w:r>
            <w:r>
              <w:rPr>
                <w:rFonts w:hint="eastAsia"/>
                <w:b w:val="0"/>
                <w:bCs w:val="0"/>
                <w:highlight w:val="none"/>
                <w:u w:val="none"/>
              </w:rPr>
              <w:t>总体规划</w:t>
            </w:r>
            <w:r>
              <w:rPr>
                <w:rFonts w:hint="eastAsia"/>
                <w:b w:val="0"/>
                <w:bCs w:val="0"/>
                <w:highlight w:val="none"/>
                <w:u w:val="none"/>
                <w:lang w:eastAsia="zh-CN"/>
              </w:rPr>
              <w:t>。</w:t>
            </w:r>
            <w:r>
              <w:rPr>
                <w:rFonts w:hint="eastAsia"/>
                <w:b w:val="0"/>
                <w:bCs w:val="0"/>
                <w:highlight w:val="none"/>
                <w:u w:val="none"/>
                <w:lang w:val="en-US" w:eastAsia="zh-CN"/>
              </w:rPr>
              <w:t>根据新乡县大召营专业园区产业布局规划图，本项目位于环保过滤区，为气体分装项目，与产业布局规划不冲突，符合园区产业规划。</w:t>
            </w:r>
          </w:p>
          <w:p>
            <w:pPr>
              <w:bidi w:val="0"/>
              <w:rPr>
                <w:rFonts w:hint="default" w:ascii="Times New Roman" w:hAnsi="Times New Roman" w:eastAsia="宋体" w:cs="Times New Roman"/>
                <w:b w:val="0"/>
                <w:bCs w:val="0"/>
                <w:highlight w:val="none"/>
                <w:u w:val="none"/>
                <w:lang w:val="en-US" w:eastAsia="zh-CN"/>
              </w:rPr>
            </w:pPr>
            <w:r>
              <w:rPr>
                <w:rFonts w:hint="default" w:ascii="Times New Roman" w:hAnsi="Times New Roman" w:cs="Times New Roman"/>
                <w:b w:val="0"/>
                <w:bCs w:val="0"/>
                <w:highlight w:val="none"/>
                <w:u w:val="none"/>
                <w:lang w:val="en-US" w:eastAsia="zh-CN"/>
              </w:rPr>
              <w:t>Ⅱ</w:t>
            </w:r>
            <w:r>
              <w:rPr>
                <w:rFonts w:hint="eastAsia" w:ascii="Times New Roman" w:hAnsi="Times New Roman" w:cs="Times New Roman"/>
                <w:b w:val="0"/>
                <w:bCs w:val="0"/>
                <w:highlight w:val="none"/>
                <w:u w:val="none"/>
                <w:lang w:val="en-US" w:eastAsia="zh-CN"/>
              </w:rPr>
              <w:t>.</w:t>
            </w:r>
            <w:r>
              <w:rPr>
                <w:rFonts w:hint="default" w:ascii="Times New Roman" w:hAnsi="Times New Roman" w:cs="Times New Roman"/>
                <w:b w:val="0"/>
                <w:bCs w:val="0"/>
                <w:highlight w:val="none"/>
                <w:u w:val="none"/>
                <w:lang w:val="en-US" w:eastAsia="zh-CN"/>
              </w:rPr>
              <w:t>项目运营后对周围敏感点的影响</w:t>
            </w:r>
          </w:p>
          <w:p>
            <w:pPr>
              <w:bidi w:val="0"/>
              <w:rPr>
                <w:b w:val="0"/>
                <w:bCs w:val="0"/>
                <w:highlight w:val="none"/>
                <w:u w:val="none"/>
              </w:rPr>
            </w:pPr>
            <w:r>
              <w:rPr>
                <w:rFonts w:hint="eastAsia"/>
                <w:b w:val="0"/>
                <w:bCs w:val="0"/>
                <w:highlight w:val="none"/>
                <w:u w:val="none"/>
              </w:rPr>
              <w:t>项目周围主要环境敏感点为</w:t>
            </w:r>
            <w:r>
              <w:rPr>
                <w:rFonts w:hint="eastAsia"/>
                <w:b w:val="0"/>
                <w:bCs w:val="0"/>
                <w:highlight w:val="none"/>
                <w:u w:val="none"/>
                <w:lang w:eastAsia="zh-CN"/>
              </w:rPr>
              <w:t>北侧约</w:t>
            </w:r>
            <w:r>
              <w:rPr>
                <w:rFonts w:hint="eastAsia"/>
                <w:b w:val="0"/>
                <w:bCs w:val="0"/>
                <w:highlight w:val="none"/>
                <w:u w:val="none"/>
                <w:lang w:val="en-US" w:eastAsia="zh-CN"/>
              </w:rPr>
              <w:t>317m处的前高庄村，东北侧约643m处的后高庄村，西侧约487m处的代店村，西北侧约817m处的</w:t>
            </w:r>
            <w:r>
              <w:rPr>
                <w:rFonts w:hint="eastAsia"/>
                <w:b w:val="0"/>
                <w:bCs w:val="0"/>
                <w:color w:val="000000" w:themeColor="text1"/>
                <w:highlight w:val="none"/>
                <w:u w:val="none"/>
                <w:lang w:val="en-US" w:eastAsia="zh-CN"/>
                <w14:textFill>
                  <w14:solidFill>
                    <w14:schemeClr w14:val="tx1"/>
                  </w14:solidFill>
                </w14:textFill>
              </w:rPr>
              <w:t>店后营村</w:t>
            </w:r>
            <w:r>
              <w:rPr>
                <w:rFonts w:hint="eastAsia"/>
                <w:b w:val="0"/>
                <w:bCs w:val="0"/>
                <w:highlight w:val="none"/>
                <w:u w:val="none"/>
                <w:lang w:val="en-US" w:eastAsia="zh-CN"/>
              </w:rPr>
              <w:t>。距</w:t>
            </w:r>
            <w:r>
              <w:rPr>
                <w:rFonts w:hint="eastAsia"/>
                <w:b w:val="0"/>
                <w:bCs w:val="0"/>
                <w:highlight w:val="none"/>
                <w:u w:val="none"/>
                <w:lang w:eastAsia="zh-CN"/>
              </w:rPr>
              <w:t>离本项目最近的地表水体为</w:t>
            </w:r>
            <w:r>
              <w:rPr>
                <w:rFonts w:hint="eastAsia"/>
                <w:b w:val="0"/>
                <w:bCs w:val="0"/>
                <w:highlight w:val="none"/>
                <w:u w:val="none"/>
                <w:lang w:val="en-US" w:eastAsia="zh-CN"/>
              </w:rPr>
              <w:t>北</w:t>
            </w:r>
            <w:r>
              <w:rPr>
                <w:rFonts w:hint="eastAsia"/>
                <w:b w:val="0"/>
                <w:bCs w:val="0"/>
                <w:highlight w:val="none"/>
                <w:u w:val="none"/>
                <w:lang w:eastAsia="zh-CN"/>
              </w:rPr>
              <w:t>侧</w:t>
            </w:r>
            <w:r>
              <w:rPr>
                <w:rFonts w:hint="eastAsia"/>
                <w:b w:val="0"/>
                <w:bCs w:val="0"/>
                <w:highlight w:val="none"/>
                <w:u w:val="none"/>
                <w:lang w:val="en-US" w:eastAsia="zh-CN"/>
              </w:rPr>
              <w:t>5m处的西干五支排，最终汇入卫河。</w:t>
            </w:r>
          </w:p>
          <w:p>
            <w:pPr>
              <w:bidi w:val="0"/>
              <w:rPr>
                <w:rFonts w:hint="eastAsia"/>
                <w:b w:val="0"/>
                <w:bCs w:val="0"/>
                <w:highlight w:val="none"/>
                <w:u w:val="none"/>
              </w:rPr>
            </w:pPr>
            <w:r>
              <w:rPr>
                <w:rFonts w:hint="eastAsia"/>
                <w:b w:val="0"/>
                <w:bCs w:val="0"/>
                <w:highlight w:val="none"/>
                <w:u w:val="none"/>
              </w:rPr>
              <w:t>项目营运期间噪声经采取降噪措施后能实现达标排放；固体废物均得到妥善处置。对周围环境的影响较小。</w:t>
            </w:r>
          </w:p>
          <w:p>
            <w:pPr>
              <w:bidi w:val="0"/>
              <w:rPr>
                <w:rFonts w:hint="eastAsia" w:eastAsia="宋体"/>
                <w:b w:val="0"/>
                <w:bCs w:val="0"/>
                <w:highlight w:val="none"/>
                <w:u w:val="none"/>
                <w:lang w:eastAsia="zh-CN"/>
              </w:rPr>
            </w:pPr>
            <w:r>
              <w:rPr>
                <w:rFonts w:hint="eastAsia"/>
                <w:b w:val="0"/>
                <w:bCs w:val="0"/>
                <w:highlight w:val="none"/>
                <w:u w:val="none"/>
                <w:lang w:eastAsia="zh-CN"/>
              </w:rPr>
              <w:t>综</w:t>
            </w:r>
            <w:r>
              <w:rPr>
                <w:rFonts w:hint="eastAsia"/>
                <w:b w:val="0"/>
                <w:bCs w:val="0"/>
                <w:highlight w:val="none"/>
                <w:u w:val="none"/>
              </w:rPr>
              <w:t>上所述，</w:t>
            </w:r>
            <w:r>
              <w:rPr>
                <w:b w:val="0"/>
                <w:bCs w:val="0"/>
                <w:highlight w:val="none"/>
                <w:u w:val="none"/>
              </w:rPr>
              <w:t>项目营运期间产生的噪声和固体废物等方面环境影响，在采用相应的污染防治措施后</w:t>
            </w:r>
            <w:r>
              <w:rPr>
                <w:rFonts w:hint="eastAsia"/>
                <w:b w:val="0"/>
                <w:bCs w:val="0"/>
                <w:highlight w:val="none"/>
                <w:u w:val="none"/>
              </w:rPr>
              <w:t>污染物均得到合理的处置</w:t>
            </w:r>
            <w:r>
              <w:rPr>
                <w:b w:val="0"/>
                <w:bCs w:val="0"/>
                <w:highlight w:val="none"/>
                <w:u w:val="none"/>
              </w:rPr>
              <w:t>，对周围环境及敏感点影响较小</w:t>
            </w:r>
            <w:r>
              <w:rPr>
                <w:rFonts w:hint="eastAsia"/>
                <w:b w:val="0"/>
                <w:bCs w:val="0"/>
                <w:highlight w:val="none"/>
                <w:u w:val="none"/>
                <w:lang w:eastAsia="zh-CN"/>
              </w:rPr>
              <w:t>。</w:t>
            </w:r>
          </w:p>
          <w:p>
            <w:pPr>
              <w:bidi w:val="0"/>
              <w:rPr>
                <w:b w:val="0"/>
                <w:bCs w:val="0"/>
                <w:highlight w:val="none"/>
                <w:u w:val="none"/>
              </w:rPr>
            </w:pPr>
            <w:r>
              <w:rPr>
                <w:rFonts w:hint="eastAsia"/>
                <w:b w:val="0"/>
                <w:bCs w:val="0"/>
                <w:highlight w:val="none"/>
                <w:u w:val="none"/>
              </w:rPr>
              <w:t>故从环保角度出发，</w:t>
            </w:r>
            <w:r>
              <w:rPr>
                <w:b w:val="0"/>
                <w:bCs w:val="0"/>
                <w:highlight w:val="none"/>
                <w:u w:val="none"/>
              </w:rPr>
              <w:t>评价认为项目选址可行。</w:t>
            </w:r>
          </w:p>
          <w:p>
            <w:pPr>
              <w:keepNext w:val="0"/>
              <w:keepLines w:val="0"/>
              <w:pageBreakBefore w:val="0"/>
              <w:widowControl w:val="0"/>
              <w:kinsoku/>
              <w:wordWrap/>
              <w:overflowPunct/>
              <w:topLinePunct w:val="0"/>
              <w:autoSpaceDE/>
              <w:autoSpaceDN/>
              <w:bidi w:val="0"/>
              <w:adjustRightInd/>
              <w:snapToGrid/>
              <w:spacing w:line="312" w:lineRule="auto"/>
              <w:textAlignment w:val="auto"/>
              <w:rPr>
                <w:b/>
                <w:bCs/>
                <w:sz w:val="24"/>
                <w:szCs w:val="24"/>
                <w:highlight w:val="none"/>
              </w:rPr>
            </w:pPr>
            <w:r>
              <w:rPr>
                <w:b/>
                <w:bCs/>
                <w:sz w:val="24"/>
                <w:szCs w:val="24"/>
                <w:highlight w:val="none"/>
              </w:rPr>
              <w:t>三、环境影响分析结论</w:t>
            </w:r>
          </w:p>
          <w:p>
            <w:pPr>
              <w:keepNext w:val="0"/>
              <w:keepLines w:val="0"/>
              <w:pageBreakBefore w:val="0"/>
              <w:widowControl w:val="0"/>
              <w:kinsoku/>
              <w:wordWrap/>
              <w:overflowPunct/>
              <w:topLinePunct w:val="0"/>
              <w:autoSpaceDE/>
              <w:autoSpaceDN/>
              <w:bidi w:val="0"/>
              <w:adjustRightInd/>
              <w:snapToGrid/>
              <w:spacing w:line="312" w:lineRule="auto"/>
              <w:textAlignment w:val="auto"/>
              <w:rPr>
                <w:b/>
                <w:bCs/>
                <w:highlight w:val="none"/>
              </w:rPr>
            </w:pPr>
            <w:r>
              <w:rPr>
                <w:b/>
                <w:bCs/>
                <w:highlight w:val="none"/>
              </w:rPr>
              <w:t>（1）</w:t>
            </w:r>
            <w:r>
              <w:rPr>
                <w:rFonts w:hint="default"/>
                <w:b/>
                <w:bCs/>
                <w:highlight w:val="none"/>
              </w:rPr>
              <w:t>大气环境影响分析</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highlight w:val="none"/>
                <w:lang w:eastAsia="zh-CN"/>
              </w:rPr>
            </w:pPr>
            <w:r>
              <w:rPr>
                <w:rFonts w:hint="eastAsia"/>
                <w:highlight w:val="none"/>
              </w:rPr>
              <w:t>本项目运营期产生的大气污染物主要</w:t>
            </w:r>
            <w:r>
              <w:rPr>
                <w:rFonts w:hint="eastAsia"/>
                <w:highlight w:val="none"/>
                <w:lang w:eastAsia="zh-CN"/>
              </w:rPr>
              <w:t>为汽车</w:t>
            </w:r>
            <w:r>
              <w:rPr>
                <w:rFonts w:hint="eastAsia"/>
                <w:highlight w:val="none"/>
                <w:lang w:val="en-US" w:eastAsia="zh-CN"/>
              </w:rPr>
              <w:t>尾气</w:t>
            </w:r>
            <w:r>
              <w:rPr>
                <w:rFonts w:hint="eastAsia"/>
                <w:highlight w:val="none"/>
                <w:lang w:eastAsia="zh-CN"/>
              </w:rPr>
              <w:t>、</w:t>
            </w:r>
            <w:r>
              <w:rPr>
                <w:rFonts w:hint="eastAsia"/>
                <w:sz w:val="24"/>
                <w:szCs w:val="32"/>
                <w:highlight w:val="none"/>
              </w:rPr>
              <w:t>储罐装卸废气</w:t>
            </w:r>
            <w:r>
              <w:rPr>
                <w:rFonts w:hint="eastAsia"/>
                <w:sz w:val="24"/>
                <w:szCs w:val="32"/>
                <w:highlight w:val="none"/>
                <w:lang w:eastAsia="zh-CN"/>
              </w:rPr>
              <w:t>和充装废气</w:t>
            </w:r>
            <w:r>
              <w:rPr>
                <w:rFonts w:hint="eastAsia"/>
                <w:highlight w:val="none"/>
                <w:lang w:eastAsia="zh-CN"/>
              </w:rPr>
              <w:t>。</w:t>
            </w:r>
          </w:p>
          <w:p>
            <w:pPr>
              <w:keepNext w:val="0"/>
              <w:keepLines w:val="0"/>
              <w:widowControl/>
              <w:suppressLineNumbers w:val="0"/>
              <w:jc w:val="left"/>
              <w:rPr>
                <w:rFonts w:hint="default" w:ascii="Times New Roman" w:hAnsi="Times New Roman" w:eastAsia="宋体" w:cs="Times New Roman"/>
                <w:color w:val="000000"/>
                <w:kern w:val="0"/>
                <w:sz w:val="24"/>
                <w:szCs w:val="24"/>
                <w:highlight w:val="none"/>
                <w:vertAlign w:val="baseline"/>
                <w:lang w:val="en-US" w:eastAsia="zh-CN" w:bidi="ar"/>
              </w:rPr>
            </w:pPr>
            <w:r>
              <w:rPr>
                <w:rFonts w:hint="eastAsia" w:ascii="宋体" w:hAnsi="宋体" w:eastAsia="宋体" w:cs="宋体"/>
                <w:color w:val="000000"/>
                <w:kern w:val="0"/>
                <w:sz w:val="24"/>
                <w:szCs w:val="24"/>
                <w:highlight w:val="none"/>
                <w:lang w:val="en-US" w:eastAsia="zh-CN" w:bidi="ar"/>
              </w:rPr>
              <w:t>本项目气体充装是气、液两相转变的过程，流程短、密闭性好；本项目储罐装卸废气和充装废气的主要成分为氧气、氮气、氩气、二氧化碳和极少量丙烷（以非甲烷总烃计），表现为无组织排放。项目采用的仪器较为精密，密封性能较好，溢出量很小，不会对周围环境产生影响，因此不对该气体排放做定量分析。</w:t>
            </w:r>
            <w:r>
              <w:rPr>
                <w:rFonts w:hint="default" w:ascii="Times New Roman" w:hAnsi="Times New Roman" w:cs="Times New Roman"/>
                <w:color w:val="000000"/>
                <w:kern w:val="0"/>
                <w:sz w:val="24"/>
                <w:szCs w:val="24"/>
                <w:highlight w:val="none"/>
                <w:lang w:val="en-US" w:eastAsia="zh-CN" w:bidi="ar"/>
              </w:rPr>
              <w:t>项目所涉及丙烷（</w:t>
            </w:r>
            <w:r>
              <w:rPr>
                <w:rFonts w:hint="default" w:ascii="Times New Roman" w:hAnsi="Times New Roman" w:eastAsia="宋体" w:cs="Times New Roman"/>
                <w:b w:val="0"/>
                <w:bCs w:val="0"/>
                <w:color w:val="000000"/>
                <w:kern w:val="0"/>
                <w:sz w:val="24"/>
                <w:szCs w:val="24"/>
                <w:highlight w:val="none"/>
                <w:u w:val="none"/>
                <w:lang w:val="en-US" w:eastAsia="zh-CN" w:bidi="ar"/>
              </w:rPr>
              <w:t>以非甲烷总烃计</w:t>
            </w:r>
            <w:r>
              <w:rPr>
                <w:rFonts w:hint="default" w:ascii="Times New Roman" w:hAnsi="Times New Roman" w:cs="Times New Roman"/>
                <w:color w:val="000000"/>
                <w:kern w:val="0"/>
                <w:sz w:val="24"/>
                <w:szCs w:val="24"/>
                <w:highlight w:val="none"/>
                <w:lang w:val="en-US" w:eastAsia="zh-CN" w:bidi="ar"/>
              </w:rPr>
              <w:t>）应满足</w:t>
            </w:r>
            <w:r>
              <w:rPr>
                <w:rFonts w:hint="default" w:ascii="Times New Roman" w:hAnsi="Times New Roman" w:eastAsia="宋体" w:cs="Times New Roman"/>
                <w:color w:val="000000"/>
                <w:kern w:val="0"/>
                <w:sz w:val="24"/>
                <w:szCs w:val="24"/>
                <w:highlight w:val="none"/>
                <w:lang w:val="en-US" w:eastAsia="zh-CN" w:bidi="ar"/>
              </w:rPr>
              <w:t>《关于全省开展工业企业挥发性有机物专项治理工作中排放建议值的通知》豫环攻坚办【2017】162号文</w:t>
            </w:r>
            <w:r>
              <w:rPr>
                <w:rFonts w:hint="default" w:ascii="Times New Roman" w:hAnsi="Times New Roman" w:cs="Times New Roman"/>
                <w:sz w:val="24"/>
                <w:szCs w:val="24"/>
                <w:highlight w:val="none"/>
              </w:rPr>
              <w:t>厂界无组织排放</w:t>
            </w:r>
            <w:r>
              <w:rPr>
                <w:rFonts w:hint="default" w:ascii="Times New Roman" w:hAnsi="Times New Roman" w:cs="Times New Roman"/>
                <w:sz w:val="24"/>
                <w:szCs w:val="24"/>
                <w:highlight w:val="none"/>
                <w:lang w:val="en-US" w:eastAsia="zh-CN"/>
              </w:rPr>
              <w:t>2.0</w:t>
            </w:r>
            <w:r>
              <w:rPr>
                <w:rFonts w:hint="default" w:ascii="Times New Roman" w:hAnsi="Times New Roman" w:cs="Times New Roman"/>
                <w:sz w:val="24"/>
                <w:szCs w:val="24"/>
                <w:highlight w:val="none"/>
              </w:rPr>
              <w:t>mg/m</w:t>
            </w:r>
            <w:r>
              <w:rPr>
                <w:rFonts w:hint="default" w:ascii="Times New Roman" w:hAnsi="Times New Roman" w:cs="Times New Roman"/>
                <w:sz w:val="24"/>
                <w:szCs w:val="24"/>
                <w:highlight w:val="none"/>
                <w:vertAlign w:val="superscript"/>
              </w:rPr>
              <w:t>3</w:t>
            </w:r>
            <w:r>
              <w:rPr>
                <w:rFonts w:hint="default" w:ascii="Times New Roman" w:hAnsi="Times New Roman" w:cs="Times New Roman"/>
                <w:sz w:val="24"/>
                <w:szCs w:val="24"/>
                <w:highlight w:val="none"/>
                <w:vertAlign w:val="baseline"/>
                <w:lang w:val="en-US" w:eastAsia="zh-CN"/>
              </w:rPr>
              <w:t>标准要求。</w:t>
            </w:r>
          </w:p>
          <w:p>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汽车尾气被环境空气稀释、扩散，排放方式为间歇，且排放量小，周边地下开阔，空气扩散条件良好，尾气能迅速稀释、扩散。</w:t>
            </w:r>
            <w:r>
              <w:rPr>
                <w:rFonts w:hint="eastAsia"/>
                <w:highlight w:val="none"/>
                <w:lang w:val="en-US" w:eastAsia="zh-CN"/>
              </w:rPr>
              <w:t>以上污染物经处理后均能达到</w:t>
            </w:r>
            <w:r>
              <w:rPr>
                <w:rFonts w:hint="default"/>
                <w:highlight w:val="none"/>
                <w:lang w:val="en-US" w:eastAsia="zh-CN"/>
              </w:rPr>
              <w:t>相关</w:t>
            </w:r>
            <w:r>
              <w:rPr>
                <w:rFonts w:hint="eastAsia"/>
                <w:highlight w:val="none"/>
                <w:lang w:val="en-US" w:eastAsia="zh-CN"/>
              </w:rPr>
              <w:t>排放</w:t>
            </w:r>
            <w:r>
              <w:rPr>
                <w:rFonts w:hint="default"/>
                <w:highlight w:val="none"/>
                <w:lang w:val="en-US" w:eastAsia="zh-CN"/>
              </w:rPr>
              <w:t>标准</w:t>
            </w:r>
            <w:r>
              <w:rPr>
                <w:rFonts w:hint="default"/>
                <w:highlight w:val="none"/>
              </w:rPr>
              <w:t>要求</w:t>
            </w:r>
            <w:r>
              <w:rPr>
                <w:highlight w:val="none"/>
              </w:rPr>
              <w:t>。</w:t>
            </w:r>
          </w:p>
          <w:p>
            <w:pPr>
              <w:keepNext w:val="0"/>
              <w:keepLines w:val="0"/>
              <w:widowControl/>
              <w:suppressLineNumbers w:val="0"/>
              <w:jc w:val="left"/>
              <w:rPr>
                <w:rFonts w:hint="eastAsia"/>
                <w:highlight w:val="none"/>
                <w:lang w:eastAsia="zh-CN"/>
              </w:rPr>
            </w:pPr>
            <w:r>
              <w:rPr>
                <w:highlight w:val="none"/>
              </w:rPr>
              <w:t>评价认为项目营运期产生的废气采取措施后排放量较小，对周围环境影响较小。</w:t>
            </w:r>
          </w:p>
          <w:p>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b/>
                <w:bCs/>
                <w:highlight w:val="none"/>
                <w:lang w:eastAsia="zh-CN"/>
              </w:rPr>
            </w:pPr>
            <w:r>
              <w:rPr>
                <w:rFonts w:hint="eastAsia"/>
                <w:b/>
                <w:bCs/>
                <w:highlight w:val="none"/>
                <w:lang w:eastAsia="zh-CN"/>
              </w:rPr>
              <w:t>（</w:t>
            </w:r>
            <w:r>
              <w:rPr>
                <w:rFonts w:hint="eastAsia"/>
                <w:b/>
                <w:bCs/>
                <w:highlight w:val="none"/>
                <w:lang w:val="en-US" w:eastAsia="zh-CN"/>
              </w:rPr>
              <w:t>2</w:t>
            </w:r>
            <w:r>
              <w:rPr>
                <w:rFonts w:hint="eastAsia"/>
                <w:b/>
                <w:bCs/>
                <w:highlight w:val="none"/>
                <w:lang w:eastAsia="zh-CN"/>
              </w:rPr>
              <w:t>）水环境影响分析</w:t>
            </w:r>
          </w:p>
          <w:p>
            <w:pPr>
              <w:snapToGrid w:val="0"/>
              <w:spacing w:line="360" w:lineRule="auto"/>
              <w:ind w:firstLine="480" w:firstLineChars="200"/>
              <w:rPr>
                <w:rFonts w:hint="eastAsia" w:ascii="Times New Roman" w:hAnsi="Times New Roman" w:eastAsia="宋体" w:cs="Times New Roman"/>
                <w:b w:val="0"/>
                <w:bCs w:val="0"/>
                <w:color w:val="auto"/>
                <w:sz w:val="24"/>
                <w:highlight w:val="none"/>
                <w:u w:val="none"/>
                <w:lang w:val="en-US" w:eastAsia="zh-CN"/>
              </w:rPr>
            </w:pPr>
            <w:r>
              <w:rPr>
                <w:rFonts w:hint="default" w:ascii="Times New Roman" w:hAnsi="Times New Roman" w:eastAsia="宋体" w:cs="Times New Roman"/>
                <w:b w:val="0"/>
                <w:bCs w:val="0"/>
                <w:color w:val="auto"/>
                <w:sz w:val="24"/>
                <w:highlight w:val="none"/>
                <w:u w:val="none"/>
                <w:lang w:val="en-US" w:eastAsia="zh-CN"/>
              </w:rPr>
              <w:t>本项目无生产废水产生，项目依托现有员工，不新增劳动定员，无新增生活污水。</w:t>
            </w:r>
            <w:r>
              <w:rPr>
                <w:rFonts w:hint="eastAsia" w:hAnsi="宋体"/>
                <w:b w:val="0"/>
                <w:bCs/>
                <w:snapToGrid w:val="0"/>
                <w:kern w:val="0"/>
                <w:sz w:val="24"/>
                <w:highlight w:val="none"/>
                <w:lang w:val="en-US" w:eastAsia="zh-CN"/>
              </w:rPr>
              <w:t>现有项目生活污水由定期清运改为进入大召营镇污水处理厂处理。生活污水经化粪池处理后满足大召营镇污水处理厂</w:t>
            </w:r>
            <w:r>
              <w:rPr>
                <w:rFonts w:hint="eastAsia"/>
                <w:sz w:val="24"/>
                <w:lang w:val="en-US" w:eastAsia="zh-CN"/>
              </w:rPr>
              <w:t>收水</w:t>
            </w:r>
            <w:r>
              <w:rPr>
                <w:sz w:val="24"/>
              </w:rPr>
              <w:t>水质</w:t>
            </w:r>
            <w:r>
              <w:rPr>
                <w:rFonts w:hint="eastAsia"/>
                <w:sz w:val="24"/>
                <w:lang w:val="en-US" w:eastAsia="zh-CN"/>
              </w:rPr>
              <w:t>要求：</w:t>
            </w:r>
            <w:r>
              <w:rPr>
                <w:sz w:val="24"/>
              </w:rPr>
              <w:t>COD400ml/L、氨氮</w:t>
            </w:r>
            <w:r>
              <w:rPr>
                <w:rFonts w:hint="eastAsia"/>
                <w:sz w:val="24"/>
              </w:rPr>
              <w:t>35</w:t>
            </w:r>
            <w:r>
              <w:rPr>
                <w:sz w:val="24"/>
              </w:rPr>
              <w:t>mg/L、SS</w:t>
            </w:r>
            <w:r>
              <w:rPr>
                <w:rFonts w:hint="eastAsia"/>
                <w:sz w:val="24"/>
              </w:rPr>
              <w:t>30</w:t>
            </w:r>
            <w:r>
              <w:rPr>
                <w:sz w:val="24"/>
              </w:rPr>
              <w:t>0mg/L</w:t>
            </w:r>
            <w:r>
              <w:rPr>
                <w:rFonts w:hint="eastAsia"/>
                <w:sz w:val="24"/>
              </w:rPr>
              <w:t>，总磷4.5</w:t>
            </w:r>
            <w:r>
              <w:rPr>
                <w:sz w:val="24"/>
              </w:rPr>
              <w:t>mg/L</w:t>
            </w:r>
            <w:r>
              <w:rPr>
                <w:rFonts w:hint="eastAsia"/>
                <w:sz w:val="24"/>
                <w:lang w:eastAsia="zh-CN"/>
              </w:rPr>
              <w:t>。</w:t>
            </w:r>
            <w:r>
              <w:rPr>
                <w:rFonts w:hint="eastAsia"/>
                <w:b w:val="0"/>
                <w:bCs w:val="0"/>
                <w:sz w:val="24"/>
                <w:highlight w:val="none"/>
                <w:u w:val="none"/>
                <w:lang w:val="en-US" w:eastAsia="zh-CN"/>
              </w:rPr>
              <w:t>现有项目</w:t>
            </w:r>
            <w:r>
              <w:rPr>
                <w:b w:val="0"/>
                <w:bCs w:val="0"/>
                <w:sz w:val="24"/>
                <w:highlight w:val="none"/>
                <w:u w:val="none"/>
              </w:rPr>
              <w:t>污染物排放总量为：COD0.0</w:t>
            </w:r>
            <w:r>
              <w:rPr>
                <w:rFonts w:hint="eastAsia"/>
                <w:b w:val="0"/>
                <w:bCs w:val="0"/>
                <w:sz w:val="24"/>
                <w:highlight w:val="none"/>
                <w:u w:val="none"/>
                <w:lang w:val="en-US" w:eastAsia="zh-CN"/>
              </w:rPr>
              <w:t>043</w:t>
            </w:r>
            <w:r>
              <w:rPr>
                <w:b w:val="0"/>
                <w:bCs w:val="0"/>
                <w:sz w:val="24"/>
                <w:highlight w:val="none"/>
                <w:u w:val="none"/>
              </w:rPr>
              <w:t>t/a，氨氮0.00</w:t>
            </w:r>
            <w:r>
              <w:rPr>
                <w:rFonts w:hint="eastAsia"/>
                <w:b w:val="0"/>
                <w:bCs w:val="0"/>
                <w:sz w:val="24"/>
                <w:highlight w:val="none"/>
                <w:u w:val="none"/>
                <w:lang w:val="en-US" w:eastAsia="zh-CN"/>
              </w:rPr>
              <w:t>02</w:t>
            </w:r>
            <w:r>
              <w:rPr>
                <w:b w:val="0"/>
                <w:bCs w:val="0"/>
                <w:sz w:val="24"/>
                <w:highlight w:val="none"/>
                <w:u w:val="none"/>
              </w:rPr>
              <w:t>t/a</w:t>
            </w:r>
            <w:r>
              <w:rPr>
                <w:rFonts w:hint="eastAsia"/>
                <w:b w:val="0"/>
                <w:bCs w:val="0"/>
                <w:sz w:val="24"/>
                <w:highlight w:val="none"/>
                <w:u w:val="none"/>
                <w:lang w:eastAsia="zh-CN"/>
              </w:rPr>
              <w:t>。</w:t>
            </w:r>
          </w:p>
          <w:p>
            <w:pPr>
              <w:keepNext w:val="0"/>
              <w:keepLines w:val="0"/>
              <w:pageBreakBefore w:val="0"/>
              <w:widowControl w:val="0"/>
              <w:kinsoku/>
              <w:wordWrap/>
              <w:overflowPunct/>
              <w:topLinePunct w:val="0"/>
              <w:autoSpaceDE/>
              <w:autoSpaceDN/>
              <w:bidi w:val="0"/>
              <w:adjustRightInd/>
              <w:snapToGrid/>
              <w:spacing w:line="312" w:lineRule="auto"/>
              <w:textAlignment w:val="auto"/>
              <w:rPr>
                <w:b/>
                <w:bCs/>
                <w:highlight w:val="none"/>
              </w:rPr>
            </w:pPr>
            <w:r>
              <w:rPr>
                <w:b/>
                <w:bCs/>
                <w:highlight w:val="none"/>
              </w:rPr>
              <w:t>（</w:t>
            </w:r>
            <w:r>
              <w:rPr>
                <w:rFonts w:hint="eastAsia"/>
                <w:b/>
                <w:bCs/>
                <w:highlight w:val="none"/>
                <w:lang w:val="en-US" w:eastAsia="zh-CN"/>
              </w:rPr>
              <w:t>3</w:t>
            </w:r>
            <w:r>
              <w:rPr>
                <w:b/>
                <w:bCs/>
                <w:highlight w:val="none"/>
              </w:rPr>
              <w:t>）声环境影响分析</w:t>
            </w:r>
          </w:p>
          <w:p>
            <w:pPr>
              <w:bidi w:val="0"/>
              <w:rPr>
                <w:highlight w:val="none"/>
              </w:rPr>
            </w:pPr>
            <w:r>
              <w:rPr>
                <w:highlight w:val="none"/>
              </w:rPr>
              <w:t>本项目噪声主要来自于设备运行，采取设备安装减振基础、厂房隔声等措施后，项目厂界噪声能够满足《工业企业厂界环境噪声排放标准》（GB12348-2008）</w:t>
            </w:r>
            <w:r>
              <w:rPr>
                <w:rFonts w:hint="eastAsia"/>
                <w:highlight w:val="none"/>
                <w:lang w:val="en-US" w:eastAsia="zh-CN"/>
              </w:rPr>
              <w:t>3</w:t>
            </w:r>
            <w:r>
              <w:rPr>
                <w:highlight w:val="none"/>
              </w:rPr>
              <w:t>类标准［昼间≤</w:t>
            </w:r>
            <w:r>
              <w:rPr>
                <w:rFonts w:hint="eastAsia"/>
                <w:highlight w:val="none"/>
              </w:rPr>
              <w:t>6</w:t>
            </w:r>
            <w:r>
              <w:rPr>
                <w:rFonts w:hint="eastAsia"/>
                <w:highlight w:val="none"/>
                <w:lang w:val="en-US" w:eastAsia="zh-CN"/>
              </w:rPr>
              <w:t>5</w:t>
            </w:r>
            <w:r>
              <w:rPr>
                <w:highlight w:val="none"/>
              </w:rPr>
              <w:t>dB（A）、夜间≤</w:t>
            </w:r>
            <w:r>
              <w:rPr>
                <w:rFonts w:hint="eastAsia"/>
                <w:highlight w:val="none"/>
              </w:rPr>
              <w:t>5</w:t>
            </w:r>
            <w:r>
              <w:rPr>
                <w:rFonts w:hint="eastAsia"/>
                <w:highlight w:val="none"/>
                <w:lang w:val="en-US" w:eastAsia="zh-CN"/>
              </w:rPr>
              <w:t>5</w:t>
            </w:r>
            <w:r>
              <w:rPr>
                <w:highlight w:val="none"/>
              </w:rPr>
              <w:t>dB（A）]要求，对周围的声环境影响不大。</w:t>
            </w:r>
          </w:p>
          <w:p>
            <w:pPr>
              <w:keepNext w:val="0"/>
              <w:keepLines w:val="0"/>
              <w:pageBreakBefore w:val="0"/>
              <w:widowControl w:val="0"/>
              <w:kinsoku/>
              <w:wordWrap/>
              <w:overflowPunct/>
              <w:topLinePunct w:val="0"/>
              <w:autoSpaceDE/>
              <w:autoSpaceDN/>
              <w:bidi w:val="0"/>
              <w:adjustRightInd/>
              <w:snapToGrid/>
              <w:spacing w:line="312" w:lineRule="auto"/>
              <w:textAlignment w:val="auto"/>
              <w:rPr>
                <w:b/>
                <w:bCs/>
                <w:highlight w:val="none"/>
                <w:u w:val="none"/>
              </w:rPr>
            </w:pPr>
            <w:r>
              <w:rPr>
                <w:b/>
                <w:bCs/>
                <w:highlight w:val="none"/>
                <w:u w:val="none"/>
              </w:rPr>
              <w:t>（</w:t>
            </w:r>
            <w:r>
              <w:rPr>
                <w:rFonts w:hint="eastAsia"/>
                <w:b/>
                <w:bCs/>
                <w:highlight w:val="none"/>
                <w:u w:val="none"/>
                <w:lang w:val="en-US" w:eastAsia="zh-CN"/>
              </w:rPr>
              <w:t>4</w:t>
            </w:r>
            <w:r>
              <w:rPr>
                <w:b/>
                <w:bCs/>
                <w:highlight w:val="none"/>
                <w:u w:val="none"/>
              </w:rPr>
              <w:t>）固体废物对环境影响分析</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b w:val="0"/>
                <w:bCs w:val="0"/>
                <w:highlight w:val="none"/>
                <w:u w:val="none"/>
                <w:lang w:val="en-US" w:eastAsia="zh-CN"/>
              </w:rPr>
            </w:pPr>
            <w:r>
              <w:rPr>
                <w:rFonts w:hint="eastAsia"/>
                <w:b w:val="0"/>
                <w:bCs w:val="0"/>
                <w:highlight w:val="none"/>
                <w:u w:val="none"/>
                <w:lang w:eastAsia="zh-CN"/>
              </w:rPr>
              <w:t>本</w:t>
            </w:r>
            <w:r>
              <w:rPr>
                <w:rFonts w:hint="eastAsia"/>
                <w:b w:val="0"/>
                <w:bCs w:val="0"/>
                <w:highlight w:val="none"/>
                <w:u w:val="none"/>
              </w:rPr>
              <w:t>项目</w:t>
            </w:r>
            <w:r>
              <w:rPr>
                <w:rFonts w:hint="eastAsia"/>
                <w:b w:val="0"/>
                <w:bCs w:val="0"/>
                <w:highlight w:val="none"/>
                <w:u w:val="none"/>
                <w:lang w:eastAsia="zh-CN"/>
              </w:rPr>
              <w:t>报废气瓶的使用年限为</w:t>
            </w:r>
            <w:r>
              <w:rPr>
                <w:rFonts w:hint="eastAsia"/>
                <w:b w:val="0"/>
                <w:bCs w:val="0"/>
                <w:highlight w:val="none"/>
                <w:u w:val="none"/>
                <w:lang w:val="en-US" w:eastAsia="zh-CN"/>
              </w:rPr>
              <w:t>30年。目前暂无报废气瓶产生，当有废气瓶产生时，交由第三方报废机构进行处理。</w:t>
            </w:r>
          </w:p>
          <w:p>
            <w:pPr>
              <w:bidi w:val="0"/>
              <w:rPr>
                <w:b w:val="0"/>
                <w:bCs w:val="0"/>
                <w:highlight w:val="none"/>
                <w:u w:val="none"/>
              </w:rPr>
            </w:pPr>
            <w:r>
              <w:rPr>
                <w:rFonts w:hint="eastAsia"/>
                <w:b w:val="0"/>
                <w:bCs w:val="0"/>
                <w:highlight w:val="none"/>
                <w:u w:val="none"/>
                <w:lang w:eastAsia="zh-CN"/>
              </w:rPr>
              <w:t>项目产生的固体废物主要为一般固废。</w:t>
            </w:r>
            <w:r>
              <w:rPr>
                <w:rFonts w:hint="eastAsia"/>
                <w:b w:val="0"/>
                <w:bCs w:val="0"/>
                <w:highlight w:val="none"/>
                <w:u w:val="none"/>
              </w:rPr>
              <w:t>一般固体废物包括生产过程中产生的</w:t>
            </w:r>
            <w:r>
              <w:rPr>
                <w:rFonts w:hint="eastAsia"/>
                <w:b w:val="0"/>
                <w:bCs w:val="0"/>
                <w:highlight w:val="none"/>
                <w:u w:val="none"/>
                <w:lang w:eastAsia="zh-CN"/>
              </w:rPr>
              <w:t>废气瓶头和废胶垫</w:t>
            </w:r>
            <w:r>
              <w:rPr>
                <w:rFonts w:hint="eastAsia"/>
                <w:b w:val="0"/>
                <w:bCs w:val="0"/>
                <w:highlight w:val="none"/>
                <w:u w:val="none"/>
              </w:rPr>
              <w:t>以及职工生活产生的生活垃圾。</w:t>
            </w:r>
            <w:r>
              <w:rPr>
                <w:rFonts w:hint="eastAsia"/>
                <w:b w:val="0"/>
                <w:bCs w:val="0"/>
                <w:highlight w:val="none"/>
                <w:u w:val="none"/>
                <w:lang w:eastAsia="zh-CN"/>
              </w:rPr>
              <w:t>项目废气瓶头和废胶垫的产生量为</w:t>
            </w:r>
            <w:r>
              <w:rPr>
                <w:rFonts w:hint="eastAsia"/>
                <w:b w:val="0"/>
                <w:bCs w:val="0"/>
                <w:highlight w:val="none"/>
                <w:u w:val="none"/>
                <w:lang w:val="en-US" w:eastAsia="zh-CN"/>
              </w:rPr>
              <w:t>0.5t/a，厂区固废间集中收集后外售综合利用</w:t>
            </w:r>
            <w:r>
              <w:rPr>
                <w:b w:val="0"/>
                <w:bCs w:val="0"/>
                <w:highlight w:val="none"/>
                <w:u w:val="none"/>
              </w:rPr>
              <w:t>。</w:t>
            </w:r>
          </w:p>
          <w:p>
            <w:pPr>
              <w:bidi w:val="0"/>
              <w:rPr>
                <w:rFonts w:hint="eastAsia"/>
                <w:highlight w:val="none"/>
                <w:lang w:eastAsia="zh-CN"/>
              </w:rPr>
            </w:pPr>
            <w:r>
              <w:rPr>
                <w:highlight w:val="none"/>
              </w:rPr>
              <w:t>评价认为，建设项目固体废物全部妥善处置，能够避免固体废物排放对环境的二次污染，不会对当地的景观环境和生态环境产生不利影响。</w:t>
            </w:r>
          </w:p>
          <w:p>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b/>
                <w:bCs/>
                <w:highlight w:val="none"/>
                <w:lang w:eastAsia="zh-CN"/>
              </w:rPr>
            </w:pPr>
            <w:r>
              <w:rPr>
                <w:rFonts w:hint="eastAsia"/>
                <w:b/>
                <w:bCs/>
                <w:highlight w:val="none"/>
                <w:lang w:eastAsia="zh-CN"/>
              </w:rPr>
              <w:t>（</w:t>
            </w:r>
            <w:r>
              <w:rPr>
                <w:rFonts w:hint="eastAsia"/>
                <w:b/>
                <w:bCs/>
                <w:highlight w:val="none"/>
                <w:lang w:val="en-US" w:eastAsia="zh-CN"/>
              </w:rPr>
              <w:t>5</w:t>
            </w:r>
            <w:r>
              <w:rPr>
                <w:rFonts w:hint="eastAsia"/>
                <w:b/>
                <w:bCs/>
                <w:highlight w:val="none"/>
                <w:lang w:eastAsia="zh-CN"/>
              </w:rPr>
              <w:t>）</w:t>
            </w:r>
            <w:r>
              <w:rPr>
                <w:rFonts w:hint="eastAsia"/>
                <w:b/>
                <w:bCs/>
                <w:highlight w:val="none"/>
                <w:lang w:val="en-US" w:eastAsia="zh-CN"/>
              </w:rPr>
              <w:t>风险评估</w:t>
            </w:r>
            <w:r>
              <w:rPr>
                <w:b/>
                <w:bCs/>
                <w:highlight w:val="none"/>
              </w:rPr>
              <w:t>对环境影响分析</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highlight w:val="none"/>
                <w:lang w:eastAsia="zh-CN"/>
              </w:rPr>
            </w:pPr>
            <w:r>
              <w:rPr>
                <w:rFonts w:hint="default" w:ascii="Times New Roman" w:hAnsi="Times New Roman" w:cs="Times New Roman"/>
                <w:highlight w:val="none"/>
                <w:lang w:eastAsia="zh-CN"/>
              </w:rPr>
              <w:t>项目实施后主要从事</w:t>
            </w:r>
            <w:r>
              <w:rPr>
                <w:rFonts w:hint="eastAsia" w:cs="Times New Roman"/>
                <w:highlight w:val="none"/>
                <w:lang w:val="en-US" w:eastAsia="zh-CN"/>
              </w:rPr>
              <w:t>气体分装</w:t>
            </w:r>
            <w:r>
              <w:rPr>
                <w:rFonts w:hint="default" w:ascii="Times New Roman" w:hAnsi="Times New Roman" w:cs="Times New Roman"/>
                <w:highlight w:val="none"/>
                <w:lang w:eastAsia="zh-CN"/>
              </w:rPr>
              <w:t>。根据《建设项目环境风险评价技术导则》（HJ 169-2018）和《危险化学品重大危险源辨识》（GB18218-2018），建设单位应按照本评价要求，做好各项风险的防范措施。项目在严格落实环评提出各项措施和要求的前提下，项目风险事故基本可在厂内解决，影响在可恢复范围内，影响不大。</w:t>
            </w:r>
          </w:p>
          <w:p>
            <w:pPr>
              <w:keepNext w:val="0"/>
              <w:keepLines w:val="0"/>
              <w:pageBreakBefore w:val="0"/>
              <w:widowControl w:val="0"/>
              <w:kinsoku/>
              <w:wordWrap/>
              <w:overflowPunct/>
              <w:topLinePunct w:val="0"/>
              <w:autoSpaceDE/>
              <w:autoSpaceDN/>
              <w:bidi w:val="0"/>
              <w:adjustRightInd/>
              <w:snapToGrid/>
              <w:spacing w:line="360" w:lineRule="auto"/>
              <w:textAlignment w:val="auto"/>
              <w:rPr>
                <w:b/>
                <w:bCs/>
                <w:highlight w:val="none"/>
              </w:rPr>
            </w:pPr>
            <w:r>
              <w:rPr>
                <w:b/>
                <w:bCs/>
                <w:highlight w:val="none"/>
              </w:rPr>
              <w:t>（</w:t>
            </w:r>
            <w:r>
              <w:rPr>
                <w:rFonts w:hint="eastAsia"/>
                <w:b/>
                <w:bCs/>
                <w:highlight w:val="none"/>
                <w:lang w:val="en-US" w:eastAsia="zh-CN"/>
              </w:rPr>
              <w:t>6</w:t>
            </w:r>
            <w:r>
              <w:rPr>
                <w:b/>
                <w:bCs/>
                <w:highlight w:val="none"/>
              </w:rPr>
              <w:t>）项目总量控制指标</w:t>
            </w:r>
          </w:p>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default" w:ascii="Times New Roman" w:hAnsi="Times New Roman" w:cs="Times New Roman"/>
                <w:b/>
                <w:bCs/>
                <w:sz w:val="24"/>
                <w:highlight w:val="none"/>
                <w:u w:val="single"/>
                <w:lang w:val="en-US" w:eastAsia="zh-CN"/>
              </w:rPr>
            </w:pPr>
            <w:r>
              <w:rPr>
                <w:rFonts w:hint="default" w:ascii="Times New Roman" w:hAnsi="Times New Roman" w:cs="Times New Roman"/>
                <w:b/>
                <w:bCs/>
                <w:sz w:val="24"/>
                <w:highlight w:val="none"/>
                <w:u w:val="single"/>
                <w:lang w:val="en-US" w:eastAsia="zh-CN"/>
              </w:rPr>
              <w:t>根据《新乡市生态环境局关于转发&lt;河南省生态环境厅关于印发建设项目主要污染物排放总量指标管理工作内部规程的通知&gt;的通知》，建设项目环境影响评价文件中应明确建设项目主要污染物排放总量指标及替代方案。</w:t>
            </w:r>
          </w:p>
          <w:p>
            <w:pPr>
              <w:snapToGrid w:val="0"/>
              <w:spacing w:line="360" w:lineRule="auto"/>
              <w:ind w:firstLine="482" w:firstLineChars="200"/>
              <w:rPr>
                <w:rFonts w:hint="eastAsia" w:eastAsia="宋体"/>
                <w:b/>
                <w:bCs/>
                <w:highlight w:val="none"/>
                <w:u w:val="single"/>
                <w:lang w:val="en-US" w:eastAsia="zh-CN"/>
              </w:rPr>
            </w:pPr>
            <w:r>
              <w:rPr>
                <w:rFonts w:hint="eastAsia"/>
                <w:b/>
                <w:bCs/>
                <w:highlight w:val="none"/>
                <w:u w:val="single"/>
                <w:lang w:eastAsia="zh-CN"/>
              </w:rPr>
              <w:t>本</w:t>
            </w:r>
            <w:r>
              <w:rPr>
                <w:rFonts w:hint="default"/>
                <w:b/>
                <w:bCs/>
                <w:highlight w:val="none"/>
                <w:u w:val="single"/>
              </w:rPr>
              <w:t>项目生产过程中，</w:t>
            </w:r>
            <w:r>
              <w:rPr>
                <w:b/>
                <w:bCs/>
                <w:highlight w:val="none"/>
                <w:u w:val="single"/>
              </w:rPr>
              <w:t>无SO</w:t>
            </w:r>
            <w:r>
              <w:rPr>
                <w:b/>
                <w:bCs/>
                <w:highlight w:val="none"/>
                <w:u w:val="single"/>
                <w:vertAlign w:val="subscript"/>
              </w:rPr>
              <w:t>2</w:t>
            </w:r>
            <w:r>
              <w:rPr>
                <w:b/>
                <w:bCs/>
                <w:highlight w:val="none"/>
                <w:u w:val="single"/>
              </w:rPr>
              <w:t>、NO</w:t>
            </w:r>
            <w:r>
              <w:rPr>
                <w:b/>
                <w:bCs/>
                <w:highlight w:val="none"/>
                <w:u w:val="single"/>
                <w:vertAlign w:val="subscript"/>
              </w:rPr>
              <w:t>x</w:t>
            </w:r>
            <w:r>
              <w:rPr>
                <w:b/>
                <w:bCs/>
                <w:highlight w:val="none"/>
                <w:u w:val="single"/>
              </w:rPr>
              <w:t>产生</w:t>
            </w:r>
            <w:r>
              <w:rPr>
                <w:rFonts w:hint="eastAsia"/>
                <w:b/>
                <w:bCs/>
                <w:highlight w:val="none"/>
                <w:u w:val="single"/>
                <w:lang w:eastAsia="zh-CN"/>
              </w:rPr>
              <w:t>，极少量氧气、氩气、氮气、二氧化碳及丙烷进行无组织排放。</w:t>
            </w:r>
            <w:r>
              <w:rPr>
                <w:rFonts w:hint="eastAsia"/>
                <w:b/>
                <w:bCs/>
                <w:highlight w:val="none"/>
                <w:u w:val="single"/>
              </w:rPr>
              <w:t>本项目无生产废水产生，</w:t>
            </w:r>
            <w:r>
              <w:rPr>
                <w:rFonts w:hint="eastAsia"/>
                <w:b/>
                <w:bCs/>
                <w:highlight w:val="none"/>
                <w:u w:val="single"/>
                <w:lang w:val="en-US" w:eastAsia="zh-CN"/>
              </w:rPr>
              <w:t>但依托现有项目员工</w:t>
            </w:r>
            <w:r>
              <w:rPr>
                <w:rFonts w:hint="eastAsia"/>
                <w:b/>
                <w:bCs/>
                <w:highlight w:val="none"/>
                <w:u w:val="single"/>
              </w:rPr>
              <w:t>，</w:t>
            </w:r>
            <w:r>
              <w:rPr>
                <w:rFonts w:hint="eastAsia"/>
                <w:b/>
                <w:bCs/>
                <w:highlight w:val="none"/>
                <w:u w:val="single"/>
                <w:lang w:val="en-US" w:eastAsia="zh-CN"/>
              </w:rPr>
              <w:t>现有项目生活污水经厂区化粪池（15m</w:t>
            </w:r>
            <w:r>
              <w:rPr>
                <w:rFonts w:hint="eastAsia"/>
                <w:b/>
                <w:bCs/>
                <w:highlight w:val="none"/>
                <w:u w:val="single"/>
                <w:vertAlign w:val="superscript"/>
                <w:lang w:val="en-US" w:eastAsia="zh-CN"/>
              </w:rPr>
              <w:t>3</w:t>
            </w:r>
            <w:r>
              <w:rPr>
                <w:rFonts w:hint="eastAsia"/>
                <w:b/>
                <w:bCs/>
                <w:highlight w:val="none"/>
                <w:u w:val="single"/>
                <w:lang w:val="en-US" w:eastAsia="zh-CN"/>
              </w:rPr>
              <w:t>）处理后</w:t>
            </w:r>
            <w:r>
              <w:rPr>
                <w:b/>
                <w:bCs/>
                <w:sz w:val="24"/>
                <w:highlight w:val="none"/>
                <w:u w:val="single"/>
              </w:rPr>
              <w:t>排入污水管网，之后进入大召营镇污水处理厂处理</w:t>
            </w:r>
            <w:r>
              <w:rPr>
                <w:rFonts w:hint="eastAsia"/>
                <w:b/>
                <w:bCs/>
                <w:sz w:val="24"/>
                <w:highlight w:val="none"/>
                <w:u w:val="single"/>
                <w:lang w:eastAsia="zh-CN"/>
              </w:rPr>
              <w:t>。</w:t>
            </w:r>
            <w:r>
              <w:rPr>
                <w:rFonts w:hint="eastAsia"/>
                <w:b/>
                <w:bCs/>
                <w:sz w:val="24"/>
                <w:highlight w:val="none"/>
                <w:u w:val="single"/>
                <w:lang w:val="en-US" w:eastAsia="zh-CN"/>
              </w:rPr>
              <w:t>现有项目</w:t>
            </w:r>
            <w:r>
              <w:rPr>
                <w:b/>
                <w:bCs/>
                <w:sz w:val="24"/>
                <w:highlight w:val="none"/>
                <w:u w:val="single"/>
              </w:rPr>
              <w:t>污染物排放总量为：COD0.0</w:t>
            </w:r>
            <w:r>
              <w:rPr>
                <w:rFonts w:hint="eastAsia"/>
                <w:b/>
                <w:bCs/>
                <w:sz w:val="24"/>
                <w:highlight w:val="none"/>
                <w:u w:val="single"/>
                <w:lang w:val="en-US" w:eastAsia="zh-CN"/>
              </w:rPr>
              <w:t>043</w:t>
            </w:r>
            <w:r>
              <w:rPr>
                <w:b/>
                <w:bCs/>
                <w:sz w:val="24"/>
                <w:highlight w:val="none"/>
                <w:u w:val="single"/>
              </w:rPr>
              <w:t>t/a，氨氮0.00</w:t>
            </w:r>
            <w:r>
              <w:rPr>
                <w:rFonts w:hint="eastAsia"/>
                <w:b/>
                <w:bCs/>
                <w:sz w:val="24"/>
                <w:highlight w:val="none"/>
                <w:u w:val="single"/>
                <w:lang w:val="en-US" w:eastAsia="zh-CN"/>
              </w:rPr>
              <w:t>02</w:t>
            </w:r>
            <w:r>
              <w:rPr>
                <w:b/>
                <w:bCs/>
                <w:sz w:val="24"/>
                <w:highlight w:val="none"/>
                <w:u w:val="single"/>
              </w:rPr>
              <w:t>t/a</w:t>
            </w:r>
            <w:r>
              <w:rPr>
                <w:rFonts w:hint="eastAsia"/>
                <w:b/>
                <w:bCs/>
                <w:sz w:val="24"/>
                <w:highlight w:val="none"/>
                <w:u w:val="single"/>
                <w:lang w:eastAsia="zh-CN"/>
              </w:rPr>
              <w:t>。</w:t>
            </w:r>
          </w:p>
          <w:p>
            <w:pPr>
              <w:bidi w:val="0"/>
              <w:rPr>
                <w:rFonts w:hint="eastAsia"/>
                <w:b/>
                <w:bCs/>
                <w:highlight w:val="none"/>
                <w:u w:val="single"/>
              </w:rPr>
            </w:pPr>
            <w:r>
              <w:rPr>
                <w:rFonts w:hint="default" w:ascii="Times New Roman" w:hAnsi="Times New Roman" w:cs="Times New Roman"/>
                <w:b/>
                <w:bCs/>
                <w:color w:val="auto"/>
                <w:sz w:val="24"/>
                <w:szCs w:val="24"/>
                <w:highlight w:val="none"/>
                <w:u w:val="single"/>
                <w:lang w:val="en-US" w:eastAsia="zh-CN"/>
              </w:rPr>
              <w:t>项目重点污染物新增排放量需要进行双倍替代，所需替代量为</w:t>
            </w:r>
            <w:r>
              <w:rPr>
                <w:b/>
                <w:bCs/>
                <w:sz w:val="24"/>
                <w:highlight w:val="none"/>
                <w:u w:val="single"/>
              </w:rPr>
              <w:t>COD0.0</w:t>
            </w:r>
            <w:r>
              <w:rPr>
                <w:rFonts w:hint="eastAsia"/>
                <w:b/>
                <w:bCs/>
                <w:sz w:val="24"/>
                <w:highlight w:val="none"/>
                <w:u w:val="single"/>
                <w:lang w:val="en-US" w:eastAsia="zh-CN"/>
              </w:rPr>
              <w:t>086</w:t>
            </w:r>
            <w:r>
              <w:rPr>
                <w:b/>
                <w:bCs/>
                <w:sz w:val="24"/>
                <w:highlight w:val="none"/>
                <w:u w:val="single"/>
              </w:rPr>
              <w:t>t/a，氨氮0.00</w:t>
            </w:r>
            <w:r>
              <w:rPr>
                <w:rFonts w:hint="eastAsia"/>
                <w:b/>
                <w:bCs/>
                <w:sz w:val="24"/>
                <w:highlight w:val="none"/>
                <w:u w:val="single"/>
                <w:lang w:val="en-US" w:eastAsia="zh-CN"/>
              </w:rPr>
              <w:t>04</w:t>
            </w:r>
            <w:r>
              <w:rPr>
                <w:b/>
                <w:bCs/>
                <w:sz w:val="24"/>
                <w:highlight w:val="none"/>
                <w:u w:val="single"/>
              </w:rPr>
              <w:t>t/a</w:t>
            </w:r>
            <w:r>
              <w:rPr>
                <w:rFonts w:hint="default" w:ascii="Times New Roman" w:hAnsi="Times New Roman" w:cs="Times New Roman"/>
                <w:b/>
                <w:bCs/>
                <w:color w:val="auto"/>
                <w:sz w:val="24"/>
                <w:szCs w:val="24"/>
                <w:highlight w:val="none"/>
                <w:u w:val="single"/>
                <w:lang w:val="en-US" w:eastAsia="zh-CN"/>
              </w:rPr>
              <w:t>，</w:t>
            </w:r>
            <w:r>
              <w:rPr>
                <w:rFonts w:hint="eastAsia"/>
                <w:b/>
                <w:bCs/>
                <w:highlight w:val="none"/>
                <w:u w:val="single"/>
              </w:rPr>
              <w:t>拟</w:t>
            </w:r>
            <w:r>
              <w:rPr>
                <w:rFonts w:hint="eastAsia"/>
                <w:b/>
                <w:bCs/>
                <w:highlight w:val="none"/>
                <w:u w:val="single"/>
                <w:lang w:val="en-US" w:eastAsia="zh-CN"/>
              </w:rPr>
              <w:t>从翟坡污水处理厂污水治理项目（</w:t>
            </w:r>
            <w:r>
              <w:rPr>
                <w:b/>
                <w:bCs/>
                <w:sz w:val="24"/>
                <w:highlight w:val="none"/>
                <w:u w:val="single"/>
              </w:rPr>
              <w:t>COD</w:t>
            </w:r>
            <w:r>
              <w:rPr>
                <w:rFonts w:hint="eastAsia"/>
                <w:b/>
                <w:bCs/>
                <w:sz w:val="24"/>
                <w:highlight w:val="none"/>
                <w:u w:val="single"/>
                <w:lang w:val="en-US" w:eastAsia="zh-CN"/>
              </w:rPr>
              <w:t>16.13504</w:t>
            </w:r>
            <w:r>
              <w:rPr>
                <w:b/>
                <w:bCs/>
                <w:sz w:val="24"/>
                <w:highlight w:val="none"/>
                <w:u w:val="single"/>
              </w:rPr>
              <w:t>t/a，氨氮</w:t>
            </w:r>
            <w:r>
              <w:rPr>
                <w:rFonts w:hint="eastAsia"/>
                <w:b/>
                <w:bCs/>
                <w:sz w:val="24"/>
                <w:highlight w:val="none"/>
                <w:u w:val="single"/>
                <w:lang w:val="en-US" w:eastAsia="zh-CN"/>
              </w:rPr>
              <w:t>3.454152</w:t>
            </w:r>
            <w:r>
              <w:rPr>
                <w:b/>
                <w:bCs/>
                <w:sz w:val="24"/>
                <w:highlight w:val="none"/>
                <w:u w:val="single"/>
              </w:rPr>
              <w:t>t/a</w:t>
            </w:r>
            <w:r>
              <w:rPr>
                <w:rFonts w:hint="eastAsia"/>
                <w:b/>
                <w:bCs/>
                <w:highlight w:val="none"/>
                <w:u w:val="single"/>
                <w:lang w:val="en-US" w:eastAsia="zh-CN"/>
              </w:rPr>
              <w:t>）中进行扣除</w:t>
            </w:r>
            <w:r>
              <w:rPr>
                <w:rFonts w:hint="default" w:ascii="Times New Roman" w:hAnsi="Times New Roman" w:cs="Times New Roman"/>
                <w:b/>
                <w:bCs/>
                <w:sz w:val="24"/>
                <w:highlight w:val="none"/>
                <w:u w:val="single"/>
                <w:lang w:val="en-US" w:eastAsia="zh-CN"/>
              </w:rPr>
              <w:t>，</w:t>
            </w:r>
            <w:r>
              <w:rPr>
                <w:rFonts w:hint="default" w:ascii="Times New Roman" w:hAnsi="Times New Roman" w:cs="Times New Roman"/>
                <w:b/>
                <w:bCs/>
                <w:color w:val="auto"/>
                <w:sz w:val="24"/>
                <w:highlight w:val="none"/>
                <w:u w:val="single"/>
                <w:lang w:val="en-US" w:eastAsia="zh-CN"/>
              </w:rPr>
              <w:t>能够满足项目替代要求</w:t>
            </w:r>
            <w:r>
              <w:rPr>
                <w:rFonts w:hint="eastAsia" w:ascii="Times New Roman" w:hAnsi="Times New Roman" w:cs="Times New Roman"/>
                <w:b/>
                <w:bCs/>
                <w:color w:val="auto"/>
                <w:sz w:val="24"/>
                <w:highlight w:val="none"/>
                <w:u w:val="single"/>
                <w:lang w:val="en-US" w:eastAsia="zh-CN"/>
              </w:rPr>
              <w:t>。</w:t>
            </w:r>
          </w:p>
          <w:p>
            <w:pPr>
              <w:keepNext w:val="0"/>
              <w:keepLines w:val="0"/>
              <w:pageBreakBefore w:val="0"/>
              <w:widowControl w:val="0"/>
              <w:kinsoku/>
              <w:wordWrap/>
              <w:overflowPunct/>
              <w:topLinePunct w:val="0"/>
              <w:autoSpaceDE/>
              <w:autoSpaceDN/>
              <w:bidi w:val="0"/>
              <w:adjustRightInd/>
              <w:snapToGrid/>
              <w:spacing w:line="312" w:lineRule="auto"/>
              <w:textAlignment w:val="auto"/>
              <w:rPr>
                <w:b/>
                <w:bCs/>
                <w:highlight w:val="none"/>
              </w:rPr>
            </w:pPr>
            <w:r>
              <w:rPr>
                <w:b/>
                <w:bCs/>
                <w:highlight w:val="none"/>
              </w:rPr>
              <w:t>（</w:t>
            </w:r>
            <w:r>
              <w:rPr>
                <w:rFonts w:hint="eastAsia"/>
                <w:b/>
                <w:bCs/>
                <w:highlight w:val="none"/>
                <w:lang w:val="en-US" w:eastAsia="zh-CN"/>
              </w:rPr>
              <w:t>7</w:t>
            </w:r>
            <w:r>
              <w:rPr>
                <w:b/>
                <w:bCs/>
                <w:highlight w:val="none"/>
              </w:rPr>
              <w:t>）环保投资</w:t>
            </w:r>
          </w:p>
          <w:p>
            <w:pPr>
              <w:keepNext w:val="0"/>
              <w:keepLines w:val="0"/>
              <w:pageBreakBefore w:val="0"/>
              <w:widowControl w:val="0"/>
              <w:kinsoku/>
              <w:wordWrap/>
              <w:overflowPunct/>
              <w:topLinePunct w:val="0"/>
              <w:autoSpaceDE/>
              <w:autoSpaceDN/>
              <w:bidi w:val="0"/>
              <w:adjustRightInd/>
              <w:snapToGrid/>
              <w:spacing w:line="312" w:lineRule="auto"/>
              <w:textAlignment w:val="auto"/>
              <w:rPr>
                <w:highlight w:val="none"/>
              </w:rPr>
            </w:pPr>
            <w:r>
              <w:rPr>
                <w:rFonts w:hint="eastAsia"/>
                <w:highlight w:val="none"/>
                <w:lang w:eastAsia="zh-CN"/>
              </w:rPr>
              <w:t>本</w:t>
            </w:r>
            <w:r>
              <w:rPr>
                <w:highlight w:val="none"/>
              </w:rPr>
              <w:t>项目</w:t>
            </w:r>
            <w:r>
              <w:rPr>
                <w:rFonts w:hint="eastAsia"/>
                <w:highlight w:val="none"/>
                <w:lang w:eastAsia="zh-CN"/>
              </w:rPr>
              <w:t>总投资为</w:t>
            </w:r>
            <w:r>
              <w:rPr>
                <w:rFonts w:hint="eastAsia"/>
                <w:highlight w:val="none"/>
                <w:lang w:val="en-US" w:eastAsia="zh-CN"/>
              </w:rPr>
              <w:t>2320万元，</w:t>
            </w:r>
            <w:r>
              <w:rPr>
                <w:highlight w:val="none"/>
              </w:rPr>
              <w:t>环保投资为</w:t>
            </w:r>
            <w:r>
              <w:rPr>
                <w:rFonts w:hint="eastAsia"/>
                <w:highlight w:val="none"/>
                <w:lang w:val="en-US" w:eastAsia="zh-CN"/>
              </w:rPr>
              <w:t>30</w:t>
            </w:r>
            <w:r>
              <w:rPr>
                <w:highlight w:val="none"/>
              </w:rPr>
              <w:t>万元，占总投资的</w:t>
            </w:r>
            <w:r>
              <w:rPr>
                <w:rFonts w:hint="eastAsia"/>
                <w:highlight w:val="none"/>
                <w:lang w:val="en-US" w:eastAsia="zh-CN"/>
              </w:rPr>
              <w:t>1.29</w:t>
            </w:r>
            <w:r>
              <w:rPr>
                <w:highlight w:val="none"/>
              </w:rPr>
              <w:t>%</w:t>
            </w:r>
            <w:r>
              <w:rPr>
                <w:rFonts w:hint="eastAsia"/>
                <w:highlight w:val="none"/>
                <w:lang w:eastAsia="zh-CN"/>
              </w:rPr>
              <w:t>。</w:t>
            </w:r>
          </w:p>
          <w:p>
            <w:pPr>
              <w:keepNext w:val="0"/>
              <w:keepLines w:val="0"/>
              <w:pageBreakBefore w:val="0"/>
              <w:widowControl w:val="0"/>
              <w:kinsoku/>
              <w:wordWrap/>
              <w:overflowPunct/>
              <w:topLinePunct w:val="0"/>
              <w:autoSpaceDE/>
              <w:autoSpaceDN/>
              <w:bidi w:val="0"/>
              <w:adjustRightInd/>
              <w:snapToGrid/>
              <w:spacing w:line="312" w:lineRule="auto"/>
              <w:textAlignment w:val="auto"/>
              <w:rPr>
                <w:b/>
                <w:bCs/>
                <w:sz w:val="24"/>
                <w:szCs w:val="24"/>
                <w:highlight w:val="none"/>
              </w:rPr>
            </w:pPr>
            <w:r>
              <w:rPr>
                <w:b/>
                <w:bCs/>
                <w:sz w:val="24"/>
                <w:szCs w:val="24"/>
                <w:highlight w:val="none"/>
              </w:rPr>
              <w:t>四、建议</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highlight w:val="none"/>
              </w:rPr>
            </w:pPr>
            <w:r>
              <w:rPr>
                <w:rFonts w:hint="default"/>
                <w:highlight w:val="none"/>
              </w:rPr>
              <w:t>（1）</w:t>
            </w:r>
            <w:r>
              <w:rPr>
                <w:highlight w:val="none"/>
              </w:rPr>
              <w:t>建设单位应认真贯彻执行有关建设项目环境保护管理文件的精神，建立健全的各项环境保护规章制度，严格实</w:t>
            </w:r>
            <w:r>
              <w:rPr>
                <w:rFonts w:hint="default"/>
                <w:highlight w:val="none"/>
              </w:rPr>
              <w:t>行</w:t>
            </w:r>
            <w:r>
              <w:rPr>
                <w:rFonts w:hint="eastAsia"/>
                <w:highlight w:val="none"/>
              </w:rPr>
              <w:t>“三同时”</w:t>
            </w:r>
            <w:r>
              <w:rPr>
                <w:highlight w:val="none"/>
              </w:rPr>
              <w:t>政策，即污染治理设施要同主项目同时设计、同时建设、同时投产；</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highlight w:val="none"/>
              </w:rPr>
            </w:pPr>
            <w:r>
              <w:rPr>
                <w:rFonts w:hint="default"/>
                <w:highlight w:val="none"/>
              </w:rPr>
              <w:t>（2）加强对设备的维护保养，要求合理布置车间内的高噪声设备，并采取基础减震处理；</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highlight w:val="none"/>
                <w:lang w:eastAsia="zh-CN"/>
              </w:rPr>
            </w:pPr>
            <w:r>
              <w:rPr>
                <w:rFonts w:hint="eastAsia"/>
                <w:highlight w:val="none"/>
                <w:lang w:eastAsia="zh-CN"/>
              </w:rPr>
              <w:t>（</w:t>
            </w:r>
            <w:r>
              <w:rPr>
                <w:rFonts w:hint="eastAsia"/>
                <w:highlight w:val="none"/>
                <w:lang w:val="en-US" w:eastAsia="zh-CN"/>
              </w:rPr>
              <w:t>3</w:t>
            </w:r>
            <w:r>
              <w:rPr>
                <w:rFonts w:hint="eastAsia"/>
                <w:highlight w:val="none"/>
                <w:lang w:eastAsia="zh-CN"/>
              </w:rPr>
              <w:t>）</w:t>
            </w:r>
            <w:r>
              <w:rPr>
                <w:highlight w:val="none"/>
              </w:rPr>
              <w:t>对固废进行分类收集，有回收利用价值的全部回收利用，无利用价值的集中存放，委托环卫部门统一清运，做到日产日清；</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highlight w:val="none"/>
              </w:rPr>
            </w:pPr>
            <w:r>
              <w:rPr>
                <w:rFonts w:hint="default"/>
                <w:highlight w:val="none"/>
              </w:rPr>
              <w:t>（</w:t>
            </w:r>
            <w:r>
              <w:rPr>
                <w:rFonts w:hint="eastAsia"/>
                <w:highlight w:val="none"/>
                <w:lang w:val="en-US" w:eastAsia="zh-CN"/>
              </w:rPr>
              <w:t>4</w:t>
            </w:r>
            <w:r>
              <w:rPr>
                <w:rFonts w:hint="default"/>
                <w:highlight w:val="none"/>
              </w:rPr>
              <w:t>）建议加强清洁生产管理，在项目投产运行后各生产环节尽量做到节约资源，降低消耗，减少污染；</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highlight w:val="none"/>
                <w:lang w:eastAsia="zh-CN"/>
              </w:rPr>
            </w:pPr>
            <w:r>
              <w:rPr>
                <w:rFonts w:hint="default"/>
                <w:highlight w:val="none"/>
              </w:rPr>
              <w:t>（</w:t>
            </w:r>
            <w:r>
              <w:rPr>
                <w:rFonts w:hint="eastAsia"/>
                <w:highlight w:val="none"/>
                <w:lang w:val="en-US" w:eastAsia="zh-CN"/>
              </w:rPr>
              <w:t>5</w:t>
            </w:r>
            <w:r>
              <w:rPr>
                <w:rFonts w:hint="default"/>
                <w:highlight w:val="none"/>
              </w:rPr>
              <w:t>）</w:t>
            </w:r>
            <w:r>
              <w:rPr>
                <w:highlight w:val="none"/>
              </w:rPr>
              <w:t>加强环境意识教育，制定环保设施操作管理规程，建立健全各项环保岗位责任制，确保环保设施正常、稳定运行，防止污染事故发生，一旦发生事故排放，应立即停止生产系统的生产，并组织维修，待系统正常运转后，方能正常生产</w:t>
            </w:r>
            <w:r>
              <w:rPr>
                <w:rFonts w:hint="eastAsia"/>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textAlignment w:val="auto"/>
              <w:rPr>
                <w:rFonts w:hint="default" w:ascii="Times New Roman" w:hAnsi="Times New Roman" w:cs="Times New Roman"/>
                <w:b/>
                <w:bCs/>
                <w:i w:val="0"/>
                <w:iCs w:val="0"/>
                <w:sz w:val="24"/>
                <w:szCs w:val="24"/>
                <w:highlight w:val="none"/>
              </w:rPr>
            </w:pPr>
            <w:r>
              <w:rPr>
                <w:rFonts w:hint="default" w:ascii="Times New Roman" w:hAnsi="Times New Roman" w:cs="Times New Roman"/>
                <w:b/>
                <w:bCs/>
                <w:i w:val="0"/>
                <w:iCs w:val="0"/>
                <w:sz w:val="24"/>
                <w:szCs w:val="24"/>
                <w:highlight w:val="none"/>
              </w:rPr>
              <w:t>五、环评总结论</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i w:val="0"/>
                <w:iCs w:val="0"/>
                <w:highlight w:val="none"/>
                <w:lang w:val="en-US" w:eastAsia="zh-CN"/>
              </w:rPr>
            </w:pPr>
            <w:r>
              <w:rPr>
                <w:rFonts w:hint="default" w:ascii="Times New Roman" w:hAnsi="Times New Roman" w:cs="Times New Roman"/>
                <w:b/>
                <w:bCs/>
                <w:i w:val="0"/>
                <w:iCs w:val="0"/>
                <w:highlight w:val="none"/>
                <w:lang w:val="en-US" w:eastAsia="zh-CN"/>
              </w:rPr>
              <w:t>新乡市兴豫气体有限责任公司年分装7000吨工业气体项目，符合国家产业政策，项目选址合理。建设单位在认真落实环评提出的各项环保治理措施和建议的基础上，项目产生的污染物均能达标排放，对周围环境影响较小。从环保角度分析，本项目建设是可行的。</w:t>
            </w:r>
          </w:p>
          <w:p>
            <w:pPr>
              <w:pStyle w:val="7"/>
              <w:ind w:left="0" w:leftChars="0" w:firstLine="0" w:firstLineChars="0"/>
              <w:rPr>
                <w:rFonts w:hint="default" w:ascii="Times New Roman" w:hAnsi="Times New Roman" w:cs="Times New Roman"/>
                <w:highlight w:val="none"/>
                <w:lang w:val="en-US" w:eastAsia="zh-CN"/>
              </w:rPr>
            </w:pPr>
          </w:p>
          <w:p>
            <w:pPr>
              <w:pStyle w:val="6"/>
              <w:adjustRightInd w:val="0"/>
              <w:snapToGrid w:val="0"/>
              <w:spacing w:line="360" w:lineRule="auto"/>
              <w:jc w:val="right"/>
              <w:rPr>
                <w:rFonts w:hint="default" w:ascii="Times New Roman" w:hAnsi="Times New Roman" w:eastAsia="宋体" w:cs="Times New Roman"/>
                <w:b/>
                <w:bCs/>
                <w:sz w:val="24"/>
                <w:szCs w:val="24"/>
                <w:highlight w:val="none"/>
                <w:lang w:val="en-US" w:eastAsia="zh-CN"/>
              </w:rPr>
            </w:pPr>
            <w:r>
              <w:rPr>
                <w:rFonts w:hint="default" w:ascii="Times New Roman" w:hAnsi="Times New Roman" w:cs="Times New Roman"/>
                <w:b/>
                <w:bCs/>
                <w:sz w:val="24"/>
                <w:szCs w:val="24"/>
                <w:highlight w:val="none"/>
                <w:lang w:val="en-US" w:eastAsia="zh-CN"/>
              </w:rPr>
              <w:t>新乡市国环宏博节能环保科技有限公司</w:t>
            </w:r>
          </w:p>
          <w:p>
            <w:pPr>
              <w:pStyle w:val="6"/>
              <w:adjustRightInd w:val="0"/>
              <w:snapToGrid w:val="0"/>
              <w:spacing w:line="360" w:lineRule="auto"/>
              <w:ind w:left="0" w:leftChars="0" w:firstLine="0" w:firstLineChars="0"/>
              <w:jc w:val="both"/>
              <w:rPr>
                <w:rFonts w:hint="eastAsia"/>
                <w:b/>
                <w:kern w:val="2"/>
                <w:sz w:val="24"/>
                <w:highlight w:val="none"/>
                <w:lang w:val="en-US" w:eastAsia="zh-CN"/>
              </w:rPr>
            </w:pPr>
            <w:r>
              <w:rPr>
                <w:rFonts w:hint="eastAsia"/>
                <w:b/>
                <w:kern w:val="2"/>
                <w:sz w:val="24"/>
                <w:highlight w:val="none"/>
                <w:lang w:val="en-US" w:eastAsia="zh-CN"/>
              </w:rPr>
              <w:t xml:space="preserve">                         </w:t>
            </w:r>
          </w:p>
          <w:p>
            <w:pPr>
              <w:pStyle w:val="6"/>
              <w:adjustRightInd w:val="0"/>
              <w:snapToGrid w:val="0"/>
              <w:spacing w:line="360" w:lineRule="auto"/>
              <w:ind w:left="0" w:leftChars="0" w:firstLine="0" w:firstLineChars="0"/>
              <w:jc w:val="both"/>
              <w:rPr>
                <w:rFonts w:hint="eastAsia"/>
                <w:b/>
                <w:kern w:val="2"/>
                <w:sz w:val="24"/>
                <w:highlight w:val="none"/>
                <w:lang w:val="en-US" w:eastAsia="zh-CN"/>
              </w:rPr>
            </w:pPr>
          </w:p>
          <w:p>
            <w:pPr>
              <w:pStyle w:val="6"/>
              <w:adjustRightInd w:val="0"/>
              <w:snapToGrid w:val="0"/>
              <w:spacing w:line="360" w:lineRule="auto"/>
              <w:ind w:left="0" w:leftChars="0" w:firstLine="0" w:firstLineChars="0"/>
              <w:jc w:val="both"/>
              <w:rPr>
                <w:rFonts w:hint="eastAsia"/>
                <w:b/>
                <w:kern w:val="2"/>
                <w:sz w:val="24"/>
                <w:highlight w:val="none"/>
                <w:lang w:val="en-US" w:eastAsia="zh-CN"/>
              </w:rPr>
            </w:pPr>
          </w:p>
          <w:p>
            <w:pPr>
              <w:pStyle w:val="6"/>
              <w:adjustRightInd w:val="0"/>
              <w:snapToGrid w:val="0"/>
              <w:spacing w:line="360" w:lineRule="auto"/>
              <w:ind w:left="0" w:leftChars="0" w:firstLine="0" w:firstLineChars="0"/>
              <w:jc w:val="both"/>
              <w:rPr>
                <w:rFonts w:hint="eastAsia"/>
                <w:b/>
                <w:kern w:val="2"/>
                <w:sz w:val="24"/>
                <w:highlight w:val="none"/>
                <w:lang w:val="en-US" w:eastAsia="zh-CN"/>
              </w:rPr>
            </w:pPr>
          </w:p>
          <w:p>
            <w:pPr>
              <w:pStyle w:val="6"/>
              <w:adjustRightInd w:val="0"/>
              <w:snapToGrid w:val="0"/>
              <w:spacing w:line="360" w:lineRule="auto"/>
              <w:ind w:left="0" w:leftChars="0" w:firstLine="0" w:firstLineChars="0"/>
              <w:jc w:val="both"/>
              <w:rPr>
                <w:rFonts w:hint="eastAsia"/>
                <w:b/>
                <w:kern w:val="2"/>
                <w:sz w:val="24"/>
                <w:highlight w:val="none"/>
                <w:lang w:val="en-US" w:eastAsia="zh-CN"/>
              </w:rPr>
            </w:pPr>
          </w:p>
          <w:p>
            <w:pPr>
              <w:pStyle w:val="6"/>
              <w:adjustRightInd w:val="0"/>
              <w:snapToGrid w:val="0"/>
              <w:spacing w:line="360" w:lineRule="auto"/>
              <w:ind w:left="0" w:leftChars="0" w:firstLine="0" w:firstLineChars="0"/>
              <w:jc w:val="both"/>
              <w:rPr>
                <w:rFonts w:hint="eastAsia"/>
                <w:b/>
                <w:kern w:val="2"/>
                <w:sz w:val="24"/>
                <w:highlight w:val="none"/>
                <w:lang w:val="en-US" w:eastAsia="zh-CN"/>
              </w:rPr>
            </w:pPr>
          </w:p>
          <w:p>
            <w:pPr>
              <w:pStyle w:val="6"/>
              <w:adjustRightInd w:val="0"/>
              <w:snapToGrid w:val="0"/>
              <w:spacing w:line="360" w:lineRule="auto"/>
              <w:ind w:left="0" w:leftChars="0" w:firstLine="0" w:firstLineChars="0"/>
              <w:jc w:val="both"/>
              <w:rPr>
                <w:rFonts w:hint="eastAsia"/>
                <w:b/>
                <w:kern w:val="2"/>
                <w:sz w:val="24"/>
                <w:highlight w:val="none"/>
                <w:lang w:val="en-US" w:eastAsia="zh-CN"/>
              </w:rPr>
            </w:pPr>
          </w:p>
          <w:p>
            <w:pPr>
              <w:pStyle w:val="6"/>
              <w:adjustRightInd w:val="0"/>
              <w:snapToGrid w:val="0"/>
              <w:spacing w:line="360" w:lineRule="auto"/>
              <w:ind w:left="0" w:leftChars="0" w:firstLine="0" w:firstLineChars="0"/>
              <w:jc w:val="both"/>
              <w:rPr>
                <w:rFonts w:hint="eastAsia"/>
                <w:b/>
                <w:kern w:val="2"/>
                <w:sz w:val="24"/>
                <w:highlight w:val="none"/>
                <w:lang w:val="en-US" w:eastAsia="zh-CN"/>
              </w:rPr>
            </w:pPr>
          </w:p>
          <w:p>
            <w:pPr>
              <w:pStyle w:val="6"/>
              <w:adjustRightInd w:val="0"/>
              <w:snapToGrid w:val="0"/>
              <w:spacing w:line="360" w:lineRule="auto"/>
              <w:ind w:left="0" w:leftChars="0" w:firstLine="0" w:firstLineChars="0"/>
              <w:jc w:val="both"/>
              <w:rPr>
                <w:rFonts w:hint="eastAsia"/>
                <w:b/>
                <w:kern w:val="2"/>
                <w:sz w:val="24"/>
                <w:highlight w:val="none"/>
                <w:lang w:val="en-US" w:eastAsia="zh-CN"/>
              </w:rPr>
            </w:pPr>
          </w:p>
          <w:p>
            <w:pPr>
              <w:pStyle w:val="6"/>
              <w:adjustRightInd w:val="0"/>
              <w:snapToGrid w:val="0"/>
              <w:spacing w:line="360" w:lineRule="auto"/>
              <w:ind w:left="0" w:leftChars="0" w:firstLine="0" w:firstLineChars="0"/>
              <w:jc w:val="both"/>
              <w:rPr>
                <w:rFonts w:hint="eastAsia"/>
                <w:b/>
                <w:kern w:val="2"/>
                <w:sz w:val="24"/>
                <w:highlight w:val="none"/>
                <w:lang w:val="en-US" w:eastAsia="zh-CN"/>
              </w:rPr>
            </w:pPr>
          </w:p>
          <w:p>
            <w:pPr>
              <w:pStyle w:val="6"/>
              <w:adjustRightInd w:val="0"/>
              <w:snapToGrid w:val="0"/>
              <w:spacing w:line="360" w:lineRule="auto"/>
              <w:ind w:left="0" w:leftChars="0" w:firstLine="0" w:firstLineChars="0"/>
              <w:jc w:val="both"/>
              <w:rPr>
                <w:rFonts w:hint="eastAsia"/>
                <w:b/>
                <w:kern w:val="2"/>
                <w:sz w:val="24"/>
                <w:highlight w:val="none"/>
                <w:lang w:val="en-US" w:eastAsia="zh-CN"/>
              </w:rPr>
            </w:pPr>
          </w:p>
          <w:p>
            <w:pPr>
              <w:pStyle w:val="6"/>
              <w:adjustRightInd w:val="0"/>
              <w:snapToGrid w:val="0"/>
              <w:spacing w:line="360" w:lineRule="auto"/>
              <w:ind w:left="0" w:leftChars="0" w:firstLine="0" w:firstLineChars="0"/>
              <w:jc w:val="both"/>
              <w:rPr>
                <w:rFonts w:hint="eastAsia"/>
                <w:b/>
                <w:kern w:val="2"/>
                <w:sz w:val="24"/>
                <w:highlight w:val="none"/>
                <w:lang w:val="en-US" w:eastAsia="zh-CN"/>
              </w:rPr>
            </w:pPr>
          </w:p>
          <w:p>
            <w:pPr>
              <w:pStyle w:val="6"/>
              <w:adjustRightInd w:val="0"/>
              <w:snapToGrid w:val="0"/>
              <w:spacing w:line="360" w:lineRule="auto"/>
              <w:ind w:left="0" w:leftChars="0" w:firstLine="0" w:firstLineChars="0"/>
              <w:jc w:val="both"/>
              <w:rPr>
                <w:rFonts w:hint="eastAsia"/>
                <w:b/>
                <w:kern w:val="2"/>
                <w:sz w:val="24"/>
                <w:highlight w:val="none"/>
                <w:lang w:val="en-US" w:eastAsia="zh-CN"/>
              </w:rPr>
            </w:pPr>
          </w:p>
          <w:p>
            <w:pPr>
              <w:pStyle w:val="6"/>
              <w:adjustRightInd w:val="0"/>
              <w:snapToGrid w:val="0"/>
              <w:spacing w:line="360" w:lineRule="auto"/>
              <w:ind w:left="0" w:leftChars="0" w:firstLine="0" w:firstLineChars="0"/>
              <w:jc w:val="both"/>
              <w:rPr>
                <w:rFonts w:hint="eastAsia"/>
                <w:b/>
                <w:kern w:val="2"/>
                <w:sz w:val="24"/>
                <w:highlight w:val="none"/>
                <w:lang w:val="en-US" w:eastAsia="zh-CN"/>
              </w:rPr>
            </w:pPr>
          </w:p>
          <w:p>
            <w:pPr>
              <w:pStyle w:val="6"/>
              <w:adjustRightInd w:val="0"/>
              <w:snapToGrid w:val="0"/>
              <w:spacing w:line="360" w:lineRule="auto"/>
              <w:ind w:left="0" w:leftChars="0" w:firstLine="0" w:firstLineChars="0"/>
              <w:jc w:val="both"/>
              <w:rPr>
                <w:rFonts w:hint="eastAsia"/>
                <w:b/>
                <w:kern w:val="2"/>
                <w:sz w:val="24"/>
                <w:highlight w:val="none"/>
                <w:lang w:val="en-US" w:eastAsia="zh-CN"/>
              </w:rPr>
            </w:pPr>
          </w:p>
          <w:p>
            <w:pPr>
              <w:pStyle w:val="6"/>
              <w:adjustRightInd w:val="0"/>
              <w:snapToGrid w:val="0"/>
              <w:spacing w:line="360" w:lineRule="auto"/>
              <w:ind w:left="0" w:leftChars="0" w:firstLine="0" w:firstLineChars="0"/>
              <w:jc w:val="both"/>
              <w:rPr>
                <w:rFonts w:hint="eastAsia"/>
                <w:b/>
                <w:kern w:val="2"/>
                <w:sz w:val="24"/>
                <w:highlight w:val="none"/>
                <w:lang w:val="en-US" w:eastAsia="zh-CN"/>
              </w:rPr>
            </w:pPr>
          </w:p>
          <w:p>
            <w:pPr>
              <w:pStyle w:val="6"/>
              <w:adjustRightInd w:val="0"/>
              <w:snapToGrid w:val="0"/>
              <w:spacing w:line="360" w:lineRule="auto"/>
              <w:ind w:left="0" w:leftChars="0" w:firstLine="0" w:firstLineChars="0"/>
              <w:jc w:val="both"/>
              <w:rPr>
                <w:rFonts w:hint="eastAsia"/>
                <w:b/>
                <w:kern w:val="2"/>
                <w:sz w:val="24"/>
                <w:highlight w:val="none"/>
                <w:lang w:val="en-US" w:eastAsia="zh-CN"/>
              </w:rPr>
            </w:pPr>
          </w:p>
          <w:p>
            <w:pPr>
              <w:pStyle w:val="6"/>
              <w:adjustRightInd w:val="0"/>
              <w:snapToGrid w:val="0"/>
              <w:spacing w:line="360" w:lineRule="auto"/>
              <w:ind w:left="0" w:leftChars="0" w:firstLine="0" w:firstLineChars="0"/>
              <w:jc w:val="both"/>
              <w:rPr>
                <w:rFonts w:hint="eastAsia"/>
                <w:b/>
                <w:kern w:val="2"/>
                <w:sz w:val="24"/>
                <w:highlight w:val="none"/>
                <w:lang w:val="en-US" w:eastAsia="zh-CN"/>
              </w:rPr>
            </w:pPr>
          </w:p>
          <w:p>
            <w:pPr>
              <w:pStyle w:val="6"/>
              <w:adjustRightInd w:val="0"/>
              <w:snapToGrid w:val="0"/>
              <w:spacing w:line="360" w:lineRule="auto"/>
              <w:ind w:left="0" w:leftChars="0" w:firstLine="0" w:firstLineChars="0"/>
              <w:jc w:val="both"/>
              <w:rPr>
                <w:rFonts w:hint="eastAsia"/>
                <w:b/>
                <w:kern w:val="2"/>
                <w:sz w:val="24"/>
                <w:highlight w:val="none"/>
                <w:lang w:val="en-US" w:eastAsia="zh-CN"/>
              </w:rPr>
            </w:pPr>
          </w:p>
          <w:p>
            <w:pPr>
              <w:pStyle w:val="6"/>
              <w:adjustRightInd w:val="0"/>
              <w:snapToGrid w:val="0"/>
              <w:spacing w:line="360" w:lineRule="auto"/>
              <w:ind w:left="0" w:leftChars="0" w:firstLine="0" w:firstLineChars="0"/>
              <w:jc w:val="both"/>
              <w:rPr>
                <w:rFonts w:hint="eastAsia"/>
                <w:b/>
                <w:kern w:val="2"/>
                <w:sz w:val="24"/>
                <w:highlight w:val="none"/>
                <w:lang w:val="en-US" w:eastAsia="zh-CN"/>
              </w:rPr>
            </w:pPr>
          </w:p>
          <w:p>
            <w:pPr>
              <w:pStyle w:val="6"/>
              <w:adjustRightInd w:val="0"/>
              <w:snapToGrid w:val="0"/>
              <w:spacing w:line="360" w:lineRule="auto"/>
              <w:ind w:left="0" w:leftChars="0" w:firstLine="0" w:firstLineChars="0"/>
              <w:jc w:val="both"/>
              <w:rPr>
                <w:rFonts w:hint="eastAsia"/>
                <w:b/>
                <w:kern w:val="2"/>
                <w:sz w:val="24"/>
                <w:highlight w:val="none"/>
                <w:lang w:val="en-US" w:eastAsia="zh-CN"/>
              </w:rPr>
            </w:pPr>
          </w:p>
          <w:p>
            <w:pPr>
              <w:pStyle w:val="6"/>
              <w:adjustRightInd w:val="0"/>
              <w:snapToGrid w:val="0"/>
              <w:spacing w:line="360" w:lineRule="auto"/>
              <w:ind w:left="0" w:leftChars="0" w:firstLine="0" w:firstLineChars="0"/>
              <w:jc w:val="both"/>
              <w:rPr>
                <w:rFonts w:hint="eastAsia"/>
                <w:b/>
                <w:kern w:val="2"/>
                <w:sz w:val="24"/>
                <w:highlight w:val="none"/>
                <w:lang w:val="en-US" w:eastAsia="zh-CN"/>
              </w:rPr>
            </w:pPr>
          </w:p>
          <w:p>
            <w:pPr>
              <w:pStyle w:val="6"/>
              <w:adjustRightInd w:val="0"/>
              <w:snapToGrid w:val="0"/>
              <w:spacing w:line="360" w:lineRule="auto"/>
              <w:ind w:left="0" w:leftChars="0" w:firstLine="0" w:firstLineChars="0"/>
              <w:jc w:val="both"/>
              <w:rPr>
                <w:b/>
                <w:kern w:val="2"/>
                <w:sz w:val="24"/>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687" w:hRule="atLeast"/>
          <w:jc w:val="center"/>
        </w:trPr>
        <w:tc>
          <w:tcPr>
            <w:tcW w:w="8948" w:type="dxa"/>
            <w:noWrap w:val="0"/>
            <w:vAlign w:val="top"/>
          </w:tcPr>
          <w:p>
            <w:pPr>
              <w:adjustRightInd w:val="0"/>
              <w:snapToGrid w:val="0"/>
              <w:spacing w:line="520" w:lineRule="exact"/>
              <w:rPr>
                <w:rFonts w:ascii="Times New Roman" w:hAnsi="Times New Roman"/>
                <w:bCs/>
                <w:sz w:val="24"/>
                <w:highlight w:val="none"/>
              </w:rPr>
            </w:pPr>
            <w:r>
              <w:rPr>
                <w:rFonts w:ascii="Times New Roman" w:hAnsi="Times New Roman"/>
                <w:bCs/>
                <w:sz w:val="24"/>
                <w:highlight w:val="none"/>
              </w:rPr>
              <w:t>预审意见：</w:t>
            </w:r>
          </w:p>
          <w:p>
            <w:pPr>
              <w:adjustRightInd w:val="0"/>
              <w:snapToGrid w:val="0"/>
              <w:spacing w:before="240" w:line="520" w:lineRule="exact"/>
              <w:rPr>
                <w:rFonts w:ascii="Times New Roman" w:hAnsi="Times New Roman"/>
                <w:b/>
                <w:bCs/>
                <w:sz w:val="24"/>
                <w:highlight w:val="none"/>
              </w:rPr>
            </w:pPr>
          </w:p>
          <w:p>
            <w:pPr>
              <w:adjustRightInd w:val="0"/>
              <w:snapToGrid w:val="0"/>
              <w:spacing w:before="240" w:line="520" w:lineRule="exact"/>
              <w:rPr>
                <w:rFonts w:ascii="Times New Roman" w:hAnsi="Times New Roman"/>
                <w:b/>
                <w:bCs/>
                <w:sz w:val="24"/>
                <w:highlight w:val="none"/>
              </w:rPr>
            </w:pPr>
          </w:p>
          <w:p>
            <w:pPr>
              <w:adjustRightInd w:val="0"/>
              <w:snapToGrid w:val="0"/>
              <w:spacing w:before="240" w:line="520" w:lineRule="exact"/>
              <w:rPr>
                <w:rFonts w:ascii="Times New Roman" w:hAnsi="Times New Roman"/>
                <w:b/>
                <w:bCs/>
                <w:sz w:val="24"/>
                <w:highlight w:val="none"/>
              </w:rPr>
            </w:pPr>
          </w:p>
          <w:p>
            <w:pPr>
              <w:adjustRightInd w:val="0"/>
              <w:snapToGrid w:val="0"/>
              <w:spacing w:before="240" w:line="520" w:lineRule="exact"/>
              <w:rPr>
                <w:rFonts w:ascii="Times New Roman" w:hAnsi="Times New Roman"/>
                <w:b/>
                <w:bCs/>
                <w:sz w:val="24"/>
                <w:highlight w:val="none"/>
              </w:rPr>
            </w:pPr>
          </w:p>
          <w:p>
            <w:pPr>
              <w:adjustRightInd w:val="0"/>
              <w:snapToGrid w:val="0"/>
              <w:spacing w:before="240" w:line="520" w:lineRule="exact"/>
              <w:rPr>
                <w:rFonts w:ascii="Times New Roman" w:hAnsi="Times New Roman"/>
                <w:b/>
                <w:bCs/>
                <w:sz w:val="24"/>
                <w:highlight w:val="none"/>
              </w:rPr>
            </w:pPr>
          </w:p>
          <w:p>
            <w:pPr>
              <w:adjustRightInd w:val="0"/>
              <w:snapToGrid w:val="0"/>
              <w:spacing w:before="240" w:line="520" w:lineRule="exact"/>
              <w:rPr>
                <w:rFonts w:ascii="Times New Roman" w:hAnsi="Times New Roman"/>
                <w:bCs/>
                <w:sz w:val="24"/>
                <w:highlight w:val="none"/>
              </w:rPr>
            </w:pPr>
            <w:r>
              <w:rPr>
                <w:rFonts w:ascii="Times New Roman" w:hAnsi="Times New Roman"/>
                <w:bCs/>
                <w:sz w:val="24"/>
                <w:highlight w:val="none"/>
              </w:rPr>
              <w:t xml:space="preserve">                                                   公   章</w:t>
            </w:r>
          </w:p>
          <w:p>
            <w:pPr>
              <w:adjustRightInd w:val="0"/>
              <w:snapToGrid w:val="0"/>
              <w:spacing w:before="240" w:line="520" w:lineRule="exact"/>
              <w:rPr>
                <w:rFonts w:ascii="Times New Roman" w:hAnsi="Times New Roman"/>
                <w:bCs/>
                <w:sz w:val="24"/>
                <w:highlight w:val="none"/>
              </w:rPr>
            </w:pPr>
          </w:p>
          <w:p>
            <w:pPr>
              <w:tabs>
                <w:tab w:val="left" w:pos="720"/>
              </w:tabs>
              <w:adjustRightInd w:val="0"/>
              <w:snapToGrid w:val="0"/>
              <w:spacing w:line="520" w:lineRule="exact"/>
              <w:rPr>
                <w:rFonts w:ascii="Times New Roman" w:hAnsi="Times New Roman"/>
                <w:b/>
                <w:sz w:val="24"/>
                <w:highlight w:val="none"/>
              </w:rPr>
            </w:pPr>
            <w:r>
              <w:rPr>
                <w:rFonts w:ascii="Times New Roman" w:hAnsi="Times New Roman"/>
                <w:bCs/>
                <w:sz w:val="24"/>
                <w:highlight w:val="none"/>
              </w:rPr>
              <w:t>经办人：                                        年    月    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48" w:type="dxa"/>
            <w:noWrap w:val="0"/>
            <w:vAlign w:val="top"/>
          </w:tcPr>
          <w:p>
            <w:pPr>
              <w:adjustRightInd w:val="0"/>
              <w:snapToGrid w:val="0"/>
              <w:spacing w:line="520" w:lineRule="exact"/>
              <w:rPr>
                <w:rFonts w:ascii="Times New Roman" w:hAnsi="Times New Roman"/>
                <w:bCs/>
                <w:sz w:val="24"/>
                <w:highlight w:val="none"/>
              </w:rPr>
            </w:pPr>
            <w:r>
              <w:rPr>
                <w:rFonts w:ascii="Times New Roman" w:hAnsi="Times New Roman"/>
                <w:bCs/>
                <w:sz w:val="24"/>
                <w:highlight w:val="none"/>
              </w:rPr>
              <w:t>下一级环境保护行政主管部门审查意见：</w:t>
            </w:r>
          </w:p>
          <w:p>
            <w:pPr>
              <w:adjustRightInd w:val="0"/>
              <w:snapToGrid w:val="0"/>
              <w:spacing w:before="240" w:line="520" w:lineRule="exact"/>
              <w:rPr>
                <w:rFonts w:ascii="Times New Roman" w:hAnsi="Times New Roman"/>
                <w:sz w:val="24"/>
                <w:highlight w:val="none"/>
              </w:rPr>
            </w:pPr>
          </w:p>
          <w:p>
            <w:pPr>
              <w:adjustRightInd w:val="0"/>
              <w:snapToGrid w:val="0"/>
              <w:spacing w:before="240" w:line="520" w:lineRule="exact"/>
              <w:rPr>
                <w:rFonts w:ascii="Times New Roman" w:hAnsi="Times New Roman"/>
                <w:sz w:val="24"/>
                <w:highlight w:val="none"/>
              </w:rPr>
            </w:pPr>
          </w:p>
          <w:p>
            <w:pPr>
              <w:adjustRightInd w:val="0"/>
              <w:snapToGrid w:val="0"/>
              <w:spacing w:before="240" w:line="520" w:lineRule="exact"/>
              <w:rPr>
                <w:rFonts w:ascii="Times New Roman" w:hAnsi="Times New Roman"/>
                <w:sz w:val="24"/>
                <w:highlight w:val="none"/>
              </w:rPr>
            </w:pPr>
          </w:p>
          <w:p>
            <w:pPr>
              <w:adjustRightInd w:val="0"/>
              <w:snapToGrid w:val="0"/>
              <w:spacing w:before="240" w:line="520" w:lineRule="exact"/>
              <w:rPr>
                <w:rFonts w:ascii="Times New Roman" w:hAnsi="Times New Roman"/>
                <w:sz w:val="24"/>
                <w:highlight w:val="none"/>
              </w:rPr>
            </w:pPr>
          </w:p>
          <w:p>
            <w:pPr>
              <w:adjustRightInd w:val="0"/>
              <w:snapToGrid w:val="0"/>
              <w:spacing w:before="240" w:line="520" w:lineRule="exact"/>
              <w:rPr>
                <w:rFonts w:ascii="Times New Roman" w:hAnsi="Times New Roman"/>
                <w:sz w:val="24"/>
                <w:highlight w:val="none"/>
              </w:rPr>
            </w:pPr>
          </w:p>
          <w:p>
            <w:pPr>
              <w:adjustRightInd w:val="0"/>
              <w:snapToGrid w:val="0"/>
              <w:spacing w:line="520" w:lineRule="exact"/>
              <w:rPr>
                <w:rFonts w:ascii="Times New Roman" w:hAnsi="Times New Roman"/>
                <w:bCs/>
                <w:sz w:val="24"/>
                <w:highlight w:val="none"/>
              </w:rPr>
            </w:pPr>
            <w:r>
              <w:rPr>
                <w:rFonts w:ascii="Times New Roman" w:hAnsi="Times New Roman"/>
                <w:bCs/>
                <w:sz w:val="24"/>
                <w:highlight w:val="none"/>
              </w:rPr>
              <w:t xml:space="preserve">                                                   公  章</w:t>
            </w:r>
          </w:p>
          <w:p>
            <w:pPr>
              <w:adjustRightInd w:val="0"/>
              <w:snapToGrid w:val="0"/>
              <w:spacing w:line="520" w:lineRule="exact"/>
              <w:rPr>
                <w:rFonts w:ascii="Times New Roman" w:hAnsi="Times New Roman"/>
                <w:bCs/>
                <w:sz w:val="24"/>
                <w:highlight w:val="none"/>
              </w:rPr>
            </w:pPr>
          </w:p>
          <w:p>
            <w:pPr>
              <w:adjustRightInd w:val="0"/>
              <w:snapToGrid w:val="0"/>
              <w:spacing w:line="520" w:lineRule="exact"/>
              <w:rPr>
                <w:rFonts w:ascii="Times New Roman" w:hAnsi="Times New Roman"/>
                <w:bCs/>
                <w:sz w:val="24"/>
                <w:highlight w:val="none"/>
              </w:rPr>
            </w:pPr>
          </w:p>
          <w:p>
            <w:pPr>
              <w:adjustRightInd w:val="0"/>
              <w:snapToGrid w:val="0"/>
              <w:spacing w:line="520" w:lineRule="exact"/>
              <w:rPr>
                <w:rFonts w:ascii="Times New Roman" w:hAnsi="Times New Roman"/>
                <w:bCs/>
                <w:sz w:val="24"/>
                <w:highlight w:val="none"/>
              </w:rPr>
            </w:pPr>
            <w:r>
              <w:rPr>
                <w:rFonts w:ascii="Times New Roman" w:hAnsi="Times New Roman"/>
                <w:bCs/>
                <w:sz w:val="24"/>
                <w:highlight w:val="none"/>
              </w:rPr>
              <w:t>经办人：                                       年    月    日</w:t>
            </w:r>
          </w:p>
          <w:p>
            <w:pPr>
              <w:adjustRightInd w:val="0"/>
              <w:snapToGrid w:val="0"/>
              <w:spacing w:line="520" w:lineRule="exact"/>
              <w:rPr>
                <w:rFonts w:ascii="Times New Roman" w:hAnsi="Times New Roman"/>
                <w:bCs/>
                <w:sz w:val="24"/>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167" w:hRule="atLeast"/>
          <w:jc w:val="center"/>
        </w:trPr>
        <w:tc>
          <w:tcPr>
            <w:tcW w:w="8948" w:type="dxa"/>
            <w:noWrap w:val="0"/>
            <w:vAlign w:val="top"/>
          </w:tcPr>
          <w:p>
            <w:pPr>
              <w:adjustRightInd w:val="0"/>
              <w:snapToGrid w:val="0"/>
              <w:spacing w:line="520" w:lineRule="exact"/>
              <w:rPr>
                <w:rFonts w:ascii="Times New Roman" w:hAnsi="Times New Roman"/>
                <w:bCs/>
                <w:sz w:val="24"/>
                <w:highlight w:val="none"/>
              </w:rPr>
            </w:pPr>
            <w:r>
              <w:rPr>
                <w:rFonts w:ascii="Times New Roman" w:hAnsi="Times New Roman"/>
                <w:bCs/>
                <w:sz w:val="24"/>
                <w:highlight w:val="none"/>
              </w:rPr>
              <w:t>审批意见：</w:t>
            </w:r>
          </w:p>
          <w:p>
            <w:pPr>
              <w:adjustRightInd w:val="0"/>
              <w:snapToGrid w:val="0"/>
              <w:spacing w:before="240" w:after="240" w:line="520" w:lineRule="exact"/>
              <w:rPr>
                <w:rFonts w:ascii="Times New Roman" w:hAnsi="Times New Roman"/>
                <w:b/>
                <w:bCs/>
                <w:sz w:val="24"/>
                <w:highlight w:val="none"/>
              </w:rPr>
            </w:pPr>
          </w:p>
          <w:p>
            <w:pPr>
              <w:adjustRightInd w:val="0"/>
              <w:snapToGrid w:val="0"/>
              <w:spacing w:before="240" w:after="240" w:line="520" w:lineRule="exact"/>
              <w:rPr>
                <w:rFonts w:ascii="Times New Roman" w:hAnsi="Times New Roman"/>
                <w:b/>
                <w:bCs/>
                <w:sz w:val="24"/>
                <w:highlight w:val="none"/>
              </w:rPr>
            </w:pPr>
          </w:p>
          <w:p>
            <w:pPr>
              <w:adjustRightInd w:val="0"/>
              <w:snapToGrid w:val="0"/>
              <w:spacing w:before="240" w:after="240" w:line="520" w:lineRule="exact"/>
              <w:rPr>
                <w:rFonts w:ascii="Times New Roman" w:hAnsi="Times New Roman"/>
                <w:b/>
                <w:bCs/>
                <w:sz w:val="24"/>
                <w:highlight w:val="none"/>
              </w:rPr>
            </w:pPr>
          </w:p>
          <w:p>
            <w:pPr>
              <w:adjustRightInd w:val="0"/>
              <w:snapToGrid w:val="0"/>
              <w:spacing w:before="240" w:after="240" w:line="520" w:lineRule="exact"/>
              <w:rPr>
                <w:rFonts w:ascii="Times New Roman" w:hAnsi="Times New Roman"/>
                <w:b/>
                <w:bCs/>
                <w:sz w:val="24"/>
                <w:highlight w:val="none"/>
              </w:rPr>
            </w:pPr>
          </w:p>
          <w:p>
            <w:pPr>
              <w:adjustRightInd w:val="0"/>
              <w:snapToGrid w:val="0"/>
              <w:spacing w:before="240" w:after="240" w:line="520" w:lineRule="exact"/>
              <w:rPr>
                <w:rFonts w:ascii="Times New Roman" w:hAnsi="Times New Roman"/>
                <w:b/>
                <w:bCs/>
                <w:sz w:val="24"/>
                <w:highlight w:val="none"/>
              </w:rPr>
            </w:pPr>
          </w:p>
          <w:p>
            <w:pPr>
              <w:adjustRightInd w:val="0"/>
              <w:snapToGrid w:val="0"/>
              <w:spacing w:before="240" w:after="240" w:line="520" w:lineRule="exact"/>
              <w:rPr>
                <w:rFonts w:ascii="Times New Roman" w:hAnsi="Times New Roman"/>
                <w:b/>
                <w:bCs/>
                <w:sz w:val="24"/>
                <w:highlight w:val="none"/>
              </w:rPr>
            </w:pPr>
          </w:p>
          <w:p>
            <w:pPr>
              <w:adjustRightInd w:val="0"/>
              <w:snapToGrid w:val="0"/>
              <w:spacing w:before="240" w:after="240" w:line="520" w:lineRule="exact"/>
              <w:rPr>
                <w:rFonts w:ascii="Times New Roman" w:hAnsi="Times New Roman"/>
                <w:b/>
                <w:bCs/>
                <w:sz w:val="24"/>
                <w:highlight w:val="none"/>
              </w:rPr>
            </w:pPr>
          </w:p>
          <w:p>
            <w:pPr>
              <w:adjustRightInd w:val="0"/>
              <w:snapToGrid w:val="0"/>
              <w:spacing w:before="240" w:after="240" w:line="520" w:lineRule="exact"/>
              <w:rPr>
                <w:rFonts w:ascii="Times New Roman" w:hAnsi="Times New Roman"/>
                <w:b/>
                <w:bCs/>
                <w:sz w:val="24"/>
                <w:highlight w:val="none"/>
              </w:rPr>
            </w:pPr>
          </w:p>
          <w:p>
            <w:pPr>
              <w:adjustRightInd w:val="0"/>
              <w:snapToGrid w:val="0"/>
              <w:spacing w:before="240" w:after="240" w:line="520" w:lineRule="exact"/>
              <w:rPr>
                <w:rFonts w:ascii="Times New Roman" w:hAnsi="Times New Roman"/>
                <w:b/>
                <w:bCs/>
                <w:sz w:val="24"/>
                <w:highlight w:val="none"/>
              </w:rPr>
            </w:pPr>
          </w:p>
          <w:p>
            <w:pPr>
              <w:adjustRightInd w:val="0"/>
              <w:snapToGrid w:val="0"/>
              <w:spacing w:before="240" w:after="240" w:line="520" w:lineRule="exact"/>
              <w:rPr>
                <w:rFonts w:ascii="Times New Roman" w:hAnsi="Times New Roman"/>
                <w:b/>
                <w:bCs/>
                <w:sz w:val="24"/>
                <w:highlight w:val="none"/>
              </w:rPr>
            </w:pPr>
          </w:p>
          <w:p>
            <w:pPr>
              <w:adjustRightInd w:val="0"/>
              <w:snapToGrid w:val="0"/>
              <w:spacing w:before="240" w:after="240" w:line="520" w:lineRule="exact"/>
              <w:rPr>
                <w:rFonts w:ascii="Times New Roman" w:hAnsi="Times New Roman"/>
                <w:b/>
                <w:bCs/>
                <w:sz w:val="24"/>
                <w:highlight w:val="none"/>
              </w:rPr>
            </w:pPr>
          </w:p>
          <w:p>
            <w:pPr>
              <w:adjustRightInd w:val="0"/>
              <w:snapToGrid w:val="0"/>
              <w:spacing w:before="240" w:after="240" w:line="520" w:lineRule="exact"/>
              <w:rPr>
                <w:rFonts w:ascii="Times New Roman" w:hAnsi="Times New Roman"/>
                <w:b/>
                <w:bCs/>
                <w:sz w:val="24"/>
                <w:highlight w:val="none"/>
              </w:rPr>
            </w:pPr>
          </w:p>
          <w:p>
            <w:pPr>
              <w:adjustRightInd w:val="0"/>
              <w:snapToGrid w:val="0"/>
              <w:spacing w:line="520" w:lineRule="exact"/>
              <w:rPr>
                <w:rFonts w:ascii="Times New Roman" w:hAnsi="Times New Roman"/>
                <w:bCs/>
                <w:sz w:val="24"/>
                <w:highlight w:val="none"/>
              </w:rPr>
            </w:pPr>
          </w:p>
          <w:p>
            <w:pPr>
              <w:adjustRightInd w:val="0"/>
              <w:snapToGrid w:val="0"/>
              <w:spacing w:line="520" w:lineRule="exact"/>
              <w:rPr>
                <w:rFonts w:ascii="Times New Roman" w:hAnsi="Times New Roman"/>
                <w:bCs/>
                <w:sz w:val="24"/>
                <w:highlight w:val="none"/>
              </w:rPr>
            </w:pPr>
          </w:p>
          <w:p>
            <w:pPr>
              <w:adjustRightInd w:val="0"/>
              <w:snapToGrid w:val="0"/>
              <w:spacing w:line="520" w:lineRule="exact"/>
              <w:rPr>
                <w:rFonts w:ascii="Times New Roman" w:hAnsi="Times New Roman"/>
                <w:bCs/>
                <w:sz w:val="24"/>
                <w:highlight w:val="none"/>
              </w:rPr>
            </w:pPr>
            <w:r>
              <w:rPr>
                <w:rFonts w:ascii="Times New Roman" w:hAnsi="Times New Roman"/>
                <w:bCs/>
                <w:sz w:val="24"/>
                <w:highlight w:val="none"/>
              </w:rPr>
              <w:t xml:space="preserve">              </w:t>
            </w:r>
          </w:p>
          <w:p>
            <w:pPr>
              <w:adjustRightInd w:val="0"/>
              <w:snapToGrid w:val="0"/>
              <w:spacing w:line="520" w:lineRule="exact"/>
              <w:rPr>
                <w:rFonts w:ascii="Times New Roman" w:hAnsi="Times New Roman"/>
                <w:bCs/>
                <w:sz w:val="24"/>
                <w:highlight w:val="none"/>
              </w:rPr>
            </w:pPr>
          </w:p>
          <w:p>
            <w:pPr>
              <w:adjustRightInd w:val="0"/>
              <w:snapToGrid w:val="0"/>
              <w:spacing w:line="520" w:lineRule="exact"/>
              <w:rPr>
                <w:rFonts w:ascii="Times New Roman" w:hAnsi="Times New Roman"/>
                <w:bCs/>
                <w:sz w:val="24"/>
                <w:highlight w:val="none"/>
              </w:rPr>
            </w:pPr>
            <w:r>
              <w:rPr>
                <w:rFonts w:ascii="Times New Roman" w:hAnsi="Times New Roman"/>
                <w:bCs/>
                <w:sz w:val="24"/>
                <w:highlight w:val="none"/>
              </w:rPr>
              <w:t xml:space="preserve">                                                      公  章</w:t>
            </w:r>
          </w:p>
          <w:p>
            <w:pPr>
              <w:adjustRightInd w:val="0"/>
              <w:snapToGrid w:val="0"/>
              <w:spacing w:line="520" w:lineRule="exact"/>
              <w:rPr>
                <w:rFonts w:ascii="Times New Roman" w:hAnsi="Times New Roman"/>
                <w:bCs/>
                <w:sz w:val="24"/>
                <w:highlight w:val="none"/>
              </w:rPr>
            </w:pPr>
            <w:r>
              <w:rPr>
                <w:rFonts w:ascii="Times New Roman" w:hAnsi="Times New Roman"/>
                <w:bCs/>
                <w:sz w:val="24"/>
                <w:highlight w:val="none"/>
              </w:rPr>
              <w:t>经办人：                                           年    月   日</w:t>
            </w:r>
          </w:p>
          <w:p>
            <w:pPr>
              <w:adjustRightInd w:val="0"/>
              <w:snapToGrid w:val="0"/>
              <w:spacing w:line="520" w:lineRule="exact"/>
              <w:rPr>
                <w:rFonts w:ascii="Times New Roman" w:hAnsi="Times New Roman"/>
                <w:sz w:val="24"/>
                <w:highlight w:val="yellow"/>
              </w:rPr>
            </w:pPr>
          </w:p>
        </w:tc>
      </w:tr>
    </w:tbl>
    <w:p>
      <w:r>
        <w:br w:type="page"/>
      </w:r>
    </w:p>
    <w:tbl>
      <w:tblPr>
        <w:tblStyle w:val="21"/>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4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511" w:hRule="atLeast"/>
          <w:jc w:val="center"/>
        </w:trPr>
        <w:tc>
          <w:tcPr>
            <w:tcW w:w="8946" w:type="dxa"/>
            <w:noWrap w:val="0"/>
            <w:vAlign w:val="top"/>
          </w:tcPr>
          <w:p>
            <w:pPr>
              <w:pStyle w:val="45"/>
              <w:bidi w:val="0"/>
              <w:rPr>
                <w:rFonts w:hint="default"/>
                <w:highlight w:val="none"/>
              </w:rPr>
            </w:pPr>
            <w:r>
              <w:rPr>
                <w:rFonts w:hint="default"/>
                <w:highlight w:val="none"/>
              </w:rPr>
              <w:t>注     释</w:t>
            </w:r>
          </w:p>
          <w:p>
            <w:pPr>
              <w:bidi w:val="0"/>
              <w:rPr>
                <w:rFonts w:hint="default"/>
                <w:highlight w:val="none"/>
              </w:rPr>
            </w:pPr>
            <w:r>
              <w:rPr>
                <w:rFonts w:hint="default"/>
                <w:highlight w:val="none"/>
              </w:rPr>
              <w:t>一、本报告表应附以下附</w:t>
            </w:r>
            <w:r>
              <w:rPr>
                <w:rFonts w:hint="eastAsia"/>
                <w:highlight w:val="none"/>
                <w:lang w:eastAsia="zh-CN"/>
              </w:rPr>
              <w:t>图</w:t>
            </w:r>
            <w:r>
              <w:rPr>
                <w:rFonts w:hint="default"/>
                <w:highlight w:val="none"/>
              </w:rPr>
              <w:t>、附</w:t>
            </w:r>
            <w:r>
              <w:rPr>
                <w:rFonts w:hint="eastAsia"/>
                <w:highlight w:val="none"/>
                <w:lang w:eastAsia="zh-CN"/>
              </w:rPr>
              <w:t>件</w:t>
            </w:r>
            <w:r>
              <w:rPr>
                <w:rFonts w:hint="default"/>
                <w:highlight w:val="none"/>
              </w:rPr>
              <w:t>：</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highlight w:val="none"/>
              </w:rPr>
            </w:pPr>
            <w:r>
              <w:rPr>
                <w:rFonts w:hint="default"/>
                <w:highlight w:val="none"/>
              </w:rPr>
              <w:t>附图一  项目地理位置图</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highlight w:val="none"/>
              </w:rPr>
            </w:pPr>
            <w:r>
              <w:rPr>
                <w:rFonts w:hint="default"/>
                <w:highlight w:val="none"/>
              </w:rPr>
              <w:t>附图二  项目周边环境</w:t>
            </w:r>
            <w:r>
              <w:rPr>
                <w:rFonts w:hint="eastAsia"/>
                <w:highlight w:val="none"/>
                <w:lang w:eastAsia="zh-CN"/>
              </w:rPr>
              <w:t>示意</w:t>
            </w:r>
            <w:r>
              <w:rPr>
                <w:rFonts w:hint="default"/>
                <w:highlight w:val="none"/>
              </w:rPr>
              <w:t>图</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highlight w:val="none"/>
                <w:lang w:val="en-US" w:eastAsia="zh-CN"/>
              </w:rPr>
            </w:pPr>
            <w:r>
              <w:rPr>
                <w:rFonts w:hint="default"/>
                <w:highlight w:val="none"/>
                <w:lang w:eastAsia="zh-CN"/>
              </w:rPr>
              <w:t>附图</w:t>
            </w:r>
            <w:r>
              <w:rPr>
                <w:rFonts w:hint="eastAsia"/>
                <w:highlight w:val="none"/>
                <w:lang w:eastAsia="zh-CN"/>
              </w:rPr>
              <w:t>三</w:t>
            </w:r>
            <w:r>
              <w:rPr>
                <w:rFonts w:hint="default"/>
                <w:highlight w:val="none"/>
                <w:lang w:val="en-US" w:eastAsia="zh-CN"/>
              </w:rPr>
              <w:t xml:space="preserve">  </w:t>
            </w:r>
            <w:r>
              <w:rPr>
                <w:rFonts w:hint="eastAsia"/>
                <w:highlight w:val="none"/>
                <w:lang w:val="en-US" w:eastAsia="zh-CN"/>
              </w:rPr>
              <w:t>项目厂区平面布置图</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highlight w:val="none"/>
                <w:lang w:val="en-US" w:eastAsia="zh-CN"/>
              </w:rPr>
            </w:pPr>
            <w:r>
              <w:rPr>
                <w:rFonts w:hint="default"/>
                <w:highlight w:val="none"/>
                <w:lang w:val="en-US" w:eastAsia="zh-CN"/>
              </w:rPr>
              <w:t>附图</w:t>
            </w:r>
            <w:r>
              <w:rPr>
                <w:rFonts w:hint="eastAsia"/>
                <w:highlight w:val="none"/>
                <w:lang w:val="en-US" w:eastAsia="zh-CN"/>
              </w:rPr>
              <w:t>四</w:t>
            </w:r>
            <w:r>
              <w:rPr>
                <w:rFonts w:hint="default"/>
                <w:highlight w:val="none"/>
                <w:lang w:val="en-US" w:eastAsia="zh-CN"/>
              </w:rPr>
              <w:t xml:space="preserve"> </w:t>
            </w:r>
            <w:r>
              <w:rPr>
                <w:rFonts w:hint="eastAsia"/>
                <w:highlight w:val="none"/>
                <w:lang w:val="en-US" w:eastAsia="zh-CN"/>
              </w:rPr>
              <w:t xml:space="preserve"> 新乡县大召营镇总体规划图（2013-2030）</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highlight w:val="none"/>
                <w:lang w:val="en-US" w:eastAsia="zh-CN"/>
              </w:rPr>
            </w:pPr>
            <w:r>
              <w:rPr>
                <w:rFonts w:hint="eastAsia"/>
                <w:highlight w:val="none"/>
                <w:lang w:val="en-US" w:eastAsia="zh-CN"/>
              </w:rPr>
              <w:t>附图五  大召营镇土地利用总体规划图（2010-2020）</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highlight w:val="none"/>
                <w:lang w:val="en-US" w:eastAsia="zh-CN"/>
              </w:rPr>
            </w:pPr>
            <w:r>
              <w:rPr>
                <w:rFonts w:hint="eastAsia"/>
                <w:highlight w:val="none"/>
                <w:lang w:val="en-US" w:eastAsia="zh-CN"/>
              </w:rPr>
              <w:t>附图六  新乡县大召营专业园区用地规划图</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highlight w:val="none"/>
                <w:lang w:val="en-US" w:eastAsia="zh-CN"/>
              </w:rPr>
            </w:pPr>
            <w:r>
              <w:rPr>
                <w:rFonts w:hint="eastAsia"/>
                <w:highlight w:val="none"/>
                <w:lang w:val="en-US" w:eastAsia="zh-CN"/>
              </w:rPr>
              <w:t>附图七  新乡县大召营专业园区产业布局规划图</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highlight w:val="none"/>
                <w:lang w:val="en-US" w:eastAsia="zh-CN"/>
              </w:rPr>
            </w:pPr>
            <w:r>
              <w:rPr>
                <w:rFonts w:hint="eastAsia"/>
                <w:highlight w:val="none"/>
                <w:lang w:val="en-US" w:eastAsia="zh-CN"/>
              </w:rPr>
              <w:t>附图八  项目现场照片图</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highlight w:val="none"/>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highlight w:val="none"/>
              </w:rPr>
            </w:pPr>
            <w:r>
              <w:rPr>
                <w:rFonts w:hint="default"/>
                <w:highlight w:val="none"/>
              </w:rPr>
              <w:t>附件一  委托书</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highlight w:val="none"/>
              </w:rPr>
            </w:pPr>
            <w:r>
              <w:rPr>
                <w:rFonts w:hint="default"/>
                <w:highlight w:val="none"/>
              </w:rPr>
              <w:t xml:space="preserve">附件二  </w:t>
            </w:r>
            <w:r>
              <w:rPr>
                <w:rFonts w:hint="default"/>
                <w:highlight w:val="none"/>
                <w:lang w:eastAsia="zh-CN"/>
              </w:rPr>
              <w:t>发改委备案</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highlight w:val="none"/>
                <w:lang w:val="en-US" w:eastAsia="zh-CN"/>
              </w:rPr>
            </w:pPr>
            <w:r>
              <w:rPr>
                <w:rFonts w:hint="default"/>
                <w:highlight w:val="none"/>
              </w:rPr>
              <w:t xml:space="preserve">附件三  </w:t>
            </w:r>
            <w:r>
              <w:rPr>
                <w:rFonts w:hint="eastAsia"/>
                <w:highlight w:val="none"/>
                <w:lang w:val="en-US" w:eastAsia="zh-CN"/>
              </w:rPr>
              <w:t>现有项目环评批复</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highlight w:val="none"/>
                <w:lang w:val="en-US" w:eastAsia="zh-CN"/>
              </w:rPr>
            </w:pPr>
            <w:r>
              <w:rPr>
                <w:rFonts w:hint="eastAsia"/>
                <w:highlight w:val="none"/>
                <w:lang w:val="en-US" w:eastAsia="zh-CN"/>
              </w:rPr>
              <w:t>附件四  现有项目验收意见</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highlight w:val="none"/>
                <w:lang w:eastAsia="zh-CN"/>
              </w:rPr>
            </w:pPr>
            <w:r>
              <w:rPr>
                <w:rFonts w:hint="eastAsia"/>
                <w:highlight w:val="none"/>
                <w:lang w:val="en-US" w:eastAsia="zh-CN"/>
              </w:rPr>
              <w:t xml:space="preserve">附件五  </w:t>
            </w:r>
            <w:r>
              <w:rPr>
                <w:rFonts w:hint="eastAsia"/>
                <w:highlight w:val="none"/>
                <w:lang w:eastAsia="zh-CN"/>
              </w:rPr>
              <w:t>规范化证明</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highlight w:val="none"/>
                <w:lang w:val="en-US" w:eastAsia="zh-CN"/>
              </w:rPr>
            </w:pPr>
            <w:r>
              <w:rPr>
                <w:rFonts w:hint="eastAsia"/>
                <w:highlight w:val="none"/>
                <w:lang w:eastAsia="zh-CN"/>
              </w:rPr>
              <w:t>附件</w:t>
            </w:r>
            <w:r>
              <w:rPr>
                <w:rFonts w:hint="eastAsia"/>
                <w:highlight w:val="none"/>
                <w:lang w:val="en-US" w:eastAsia="zh-CN"/>
              </w:rPr>
              <w:t>六  确认书</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highlight w:val="none"/>
                <w:lang w:val="en-US" w:eastAsia="zh-CN"/>
              </w:rPr>
            </w:pPr>
            <w:r>
              <w:rPr>
                <w:rFonts w:hint="eastAsia"/>
                <w:highlight w:val="none"/>
                <w:lang w:val="en-US" w:eastAsia="zh-CN"/>
              </w:rPr>
              <w:t>附件七  土地租赁合同</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highlight w:val="none"/>
                <w:lang w:val="en-US" w:eastAsia="zh-CN"/>
              </w:rPr>
            </w:pPr>
            <w:r>
              <w:rPr>
                <w:rFonts w:hint="eastAsia"/>
                <w:highlight w:val="none"/>
                <w:lang w:val="en-US" w:eastAsia="zh-CN"/>
              </w:rPr>
              <w:t>附件八  土壤环境影响评价自查表</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highlight w:val="none"/>
                <w:lang w:val="en-US" w:eastAsia="zh-CN"/>
              </w:rPr>
            </w:pPr>
            <w:r>
              <w:rPr>
                <w:rFonts w:hint="eastAsia"/>
                <w:highlight w:val="none"/>
                <w:lang w:val="en-US" w:eastAsia="zh-CN"/>
              </w:rPr>
              <w:t>附件九  罚款证明</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lang w:val="en-US" w:eastAsia="zh-CN"/>
              </w:rPr>
            </w:pPr>
            <w:r>
              <w:rPr>
                <w:rFonts w:hint="eastAsia"/>
                <w:highlight w:val="none"/>
                <w:lang w:val="en-US" w:eastAsia="zh-CN"/>
              </w:rPr>
              <w:t>附件十  检测报告</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eastAsia="宋体"/>
                <w:highlight w:val="none"/>
                <w:lang w:val="en-US" w:eastAsia="zh-CN"/>
              </w:rPr>
            </w:pPr>
            <w:r>
              <w:rPr>
                <w:rFonts w:hint="eastAsia"/>
                <w:highlight w:val="none"/>
                <w:lang w:val="en-US" w:eastAsia="zh-CN"/>
              </w:rPr>
              <w:t>附件十一 电石渣处置协议</w:t>
            </w:r>
          </w:p>
          <w:p>
            <w:pPr>
              <w:bidi w:val="0"/>
              <w:rPr>
                <w:rFonts w:hint="default"/>
                <w:highlight w:val="none"/>
              </w:rPr>
            </w:pPr>
            <w:r>
              <w:rPr>
                <w:rFonts w:hint="default"/>
                <w:highlight w:val="none"/>
              </w:rPr>
              <w:t>二、如果本报告表不能说明项目产生的污染及对环境造成的影响，应进行专项评价。根据建设项目的特点和当地环境特征，应选下列1～2项进行专项评价。</w:t>
            </w:r>
          </w:p>
          <w:p>
            <w:pPr>
              <w:bidi w:val="0"/>
              <w:rPr>
                <w:rFonts w:hint="default"/>
                <w:highlight w:val="none"/>
              </w:rPr>
            </w:pPr>
            <w:r>
              <w:rPr>
                <w:rFonts w:hint="default"/>
                <w:highlight w:val="none"/>
              </w:rPr>
              <w:t>1、大气环境影响专项评价</w:t>
            </w:r>
          </w:p>
          <w:p>
            <w:pPr>
              <w:bidi w:val="0"/>
              <w:rPr>
                <w:rFonts w:hint="default"/>
                <w:highlight w:val="none"/>
              </w:rPr>
            </w:pPr>
            <w:r>
              <w:rPr>
                <w:rFonts w:hint="default"/>
                <w:highlight w:val="none"/>
              </w:rPr>
              <w:t>2、水环境影响专项评价（包括地表水和地下水）</w:t>
            </w:r>
          </w:p>
          <w:p>
            <w:pPr>
              <w:bidi w:val="0"/>
              <w:rPr>
                <w:rFonts w:hint="default"/>
                <w:highlight w:val="none"/>
              </w:rPr>
            </w:pPr>
            <w:r>
              <w:rPr>
                <w:rFonts w:hint="default"/>
                <w:highlight w:val="none"/>
              </w:rPr>
              <w:t>3、生态影响专项评价</w:t>
            </w:r>
          </w:p>
          <w:p>
            <w:pPr>
              <w:bidi w:val="0"/>
              <w:rPr>
                <w:rFonts w:hint="default"/>
                <w:highlight w:val="none"/>
              </w:rPr>
            </w:pPr>
            <w:r>
              <w:rPr>
                <w:rFonts w:hint="default"/>
                <w:highlight w:val="none"/>
              </w:rPr>
              <w:t>4、声环境专项评价</w:t>
            </w:r>
          </w:p>
          <w:p>
            <w:pPr>
              <w:bidi w:val="0"/>
              <w:rPr>
                <w:rFonts w:hint="default"/>
                <w:highlight w:val="none"/>
              </w:rPr>
            </w:pPr>
            <w:r>
              <w:rPr>
                <w:rFonts w:hint="default"/>
                <w:highlight w:val="none"/>
              </w:rPr>
              <w:t>5、土壤影响专项评价</w:t>
            </w:r>
          </w:p>
          <w:p>
            <w:pPr>
              <w:bidi w:val="0"/>
              <w:rPr>
                <w:rFonts w:hint="default"/>
                <w:highlight w:val="none"/>
              </w:rPr>
            </w:pPr>
            <w:r>
              <w:rPr>
                <w:rFonts w:hint="default"/>
                <w:highlight w:val="none"/>
              </w:rPr>
              <w:t>6、固定废物影响专项评价</w:t>
            </w:r>
          </w:p>
          <w:p>
            <w:pPr>
              <w:bidi w:val="0"/>
              <w:rPr>
                <w:rFonts w:hint="default" w:ascii="Times New Roman" w:hAnsi="Times New Roman" w:eastAsia="宋体" w:cs="Times New Roman"/>
                <w:bCs/>
                <w:szCs w:val="24"/>
              </w:rPr>
            </w:pPr>
            <w:r>
              <w:rPr>
                <w:rFonts w:hint="default"/>
                <w:highlight w:val="none"/>
              </w:rPr>
              <w:t>以上专项评价未包括的可另列专项，专项评价按照《环境影响评价技术导则》中的要求进行。</w:t>
            </w:r>
          </w:p>
        </w:tc>
      </w:tr>
    </w:tbl>
    <w:p>
      <w:pPr>
        <w:pStyle w:val="28"/>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pStyle w:val="28"/>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sz w:val="21"/>
        </w:rPr>
        <mc:AlternateContent>
          <mc:Choice Requires="wps">
            <w:drawing>
              <wp:anchor distT="0" distB="0" distL="114300" distR="114300" simplePos="0" relativeHeight="396060672" behindDoc="0" locked="0" layoutInCell="1" allowOverlap="1">
                <wp:simplePos x="0" y="0"/>
                <wp:positionH relativeFrom="column">
                  <wp:posOffset>973455</wp:posOffset>
                </wp:positionH>
                <wp:positionV relativeFrom="paragraph">
                  <wp:posOffset>8581390</wp:posOffset>
                </wp:positionV>
                <wp:extent cx="3486150" cy="43815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3486150" cy="438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843" w:firstLineChars="300"/>
                              <w:rPr>
                                <w:b/>
                                <w:bCs/>
                              </w:rPr>
                            </w:pPr>
                            <w:r>
                              <w:rPr>
                                <w:rFonts w:hint="eastAsia"/>
                                <w:b/>
                                <w:bCs/>
                                <w:sz w:val="28"/>
                                <w:szCs w:val="28"/>
                                <w:lang w:eastAsia="zh-CN"/>
                              </w:rPr>
                              <w:t>附图一</w:t>
                            </w:r>
                            <w:r>
                              <w:rPr>
                                <w:rFonts w:hint="eastAsia"/>
                                <w:b/>
                                <w:bCs/>
                                <w:sz w:val="28"/>
                                <w:szCs w:val="28"/>
                                <w:lang w:val="en-US" w:eastAsia="zh-CN"/>
                              </w:rPr>
                              <w:t xml:space="preserve">      项目地理位置图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6.65pt;margin-top:675.7pt;height:34.5pt;width:274.5pt;z-index:396060672;mso-width-relative:page;mso-height-relative:page;" filled="f" stroked="f" coordsize="21600,21600" o:gfxdata="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HePUS2wAAAA0BAAAPAAAAAAAAAAEAIAAAACIAAABkcnMv&#10;ZG93bnJldi54bWxQSwECFAAUAAAACACHTuJAefOeAzkCAABoBAAADgAAAAAAAAABACAAAAAqAQAA&#10;ZHJzL2Uyb0RvYy54bWxQSwUGAAAAAAYABgBZAQAA1QUAAAAA&#10;">
                <v:fill on="f" focussize="0,0"/>
                <v:stroke on="f" weight="0.5pt"/>
                <v:imagedata o:title=""/>
                <o:lock v:ext="edit" aspectratio="f"/>
                <v:textbox>
                  <w:txbxContent>
                    <w:p>
                      <w:pPr>
                        <w:ind w:firstLine="843" w:firstLineChars="300"/>
                        <w:rPr>
                          <w:b/>
                          <w:bCs/>
                        </w:rPr>
                      </w:pPr>
                      <w:r>
                        <w:rPr>
                          <w:rFonts w:hint="eastAsia"/>
                          <w:b/>
                          <w:bCs/>
                          <w:sz w:val="28"/>
                          <w:szCs w:val="28"/>
                          <w:lang w:eastAsia="zh-CN"/>
                        </w:rPr>
                        <w:t>附图一</w:t>
                      </w:r>
                      <w:r>
                        <w:rPr>
                          <w:rFonts w:hint="eastAsia"/>
                          <w:b/>
                          <w:bCs/>
                          <w:sz w:val="28"/>
                          <w:szCs w:val="28"/>
                          <w:lang w:val="en-US" w:eastAsia="zh-CN"/>
                        </w:rPr>
                        <w:t xml:space="preserve">      项目地理位置图</w:t>
                      </w:r>
                    </w:p>
                  </w:txbxContent>
                </v:textbox>
              </v:shape>
            </w:pict>
          </mc:Fallback>
        </mc:AlternateContent>
      </w:r>
      <w:r>
        <w:rPr>
          <w:rFonts w:hint="eastAsia" w:eastAsiaTheme="minorEastAsia"/>
          <w:lang w:eastAsia="zh-CN"/>
        </w:rPr>
        <w:drawing>
          <wp:anchor distT="0" distB="0" distL="114300" distR="114300" simplePos="0" relativeHeight="347800576" behindDoc="0" locked="0" layoutInCell="1" allowOverlap="1">
            <wp:simplePos x="0" y="0"/>
            <wp:positionH relativeFrom="column">
              <wp:posOffset>-624205</wp:posOffset>
            </wp:positionH>
            <wp:positionV relativeFrom="paragraph">
              <wp:posOffset>-635</wp:posOffset>
            </wp:positionV>
            <wp:extent cx="6404610" cy="8455660"/>
            <wp:effectExtent l="0" t="0" r="15240" b="2540"/>
            <wp:wrapSquare wrapText="bothSides"/>
            <wp:docPr id="54" name="图片 5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图片1"/>
                    <pic:cNvPicPr>
                      <a:picLocks noChangeAspect="1"/>
                    </pic:cNvPicPr>
                  </pic:nvPicPr>
                  <pic:blipFill>
                    <a:blip r:embed="rId22"/>
                    <a:stretch>
                      <a:fillRect/>
                    </a:stretch>
                  </pic:blipFill>
                  <pic:spPr>
                    <a:xfrm>
                      <a:off x="0" y="0"/>
                      <a:ext cx="6404610" cy="8455660"/>
                    </a:xfrm>
                    <a:prstGeom prst="rect">
                      <a:avLst/>
                    </a:prstGeom>
                  </pic:spPr>
                </pic:pic>
              </a:graphicData>
            </a:graphic>
          </wp:anchor>
        </w:drawing>
      </w:r>
    </w:p>
    <w:p>
      <w:pPr>
        <w:pStyle w:val="28"/>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sz w:val="21"/>
        </w:rPr>
        <mc:AlternateContent>
          <mc:Choice Requires="wps">
            <w:drawing>
              <wp:anchor distT="0" distB="0" distL="114300" distR="114300" simplePos="0" relativeHeight="2539403264" behindDoc="0" locked="0" layoutInCell="1" allowOverlap="1">
                <wp:simplePos x="0" y="0"/>
                <wp:positionH relativeFrom="column">
                  <wp:posOffset>3029585</wp:posOffset>
                </wp:positionH>
                <wp:positionV relativeFrom="paragraph">
                  <wp:posOffset>5170170</wp:posOffset>
                </wp:positionV>
                <wp:extent cx="3486150" cy="43815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3486150" cy="438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843" w:firstLineChars="300"/>
                              <w:rPr>
                                <w:b/>
                                <w:bCs/>
                                <w:highlight w:val="none"/>
                              </w:rPr>
                            </w:pPr>
                            <w:r>
                              <w:rPr>
                                <w:rFonts w:hint="eastAsia"/>
                                <w:b/>
                                <w:bCs/>
                                <w:sz w:val="28"/>
                                <w:szCs w:val="28"/>
                                <w:highlight w:val="none"/>
                                <w:lang w:eastAsia="zh-CN"/>
                              </w:rPr>
                              <w:t>附图二</w:t>
                            </w:r>
                            <w:r>
                              <w:rPr>
                                <w:rFonts w:hint="eastAsia"/>
                                <w:b/>
                                <w:bCs/>
                                <w:sz w:val="28"/>
                                <w:szCs w:val="28"/>
                                <w:highlight w:val="none"/>
                                <w:lang w:val="en-US" w:eastAsia="zh-CN"/>
                              </w:rPr>
                              <w:t xml:space="preserve">     项目周边环境示意图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8.55pt;margin-top:407.1pt;height:34.5pt;width:274.5pt;z-index:-1755564032;mso-width-relative:page;mso-height-relative:page;" filled="f" stroked="f" coordsize="21600,21600" o:gfxdata="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&#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INQ6MncAAAADAEAAA8AAAAAAAAAAQAgAAAAIgAAAGRy&#10;cy9kb3ducmV2LnhtbFBLAQIUABQAAAAIAIdO4kA8y9ZPOgIAAGgEAAAOAAAAAAAAAAEAIAAAACsB&#10;AABkcnMvZTJvRG9jLnhtbFBLBQYAAAAABgAGAFkBAADXBQAAAAA=&#10;">
                <v:fill on="f" focussize="0,0"/>
                <v:stroke on="f" weight="0.5pt"/>
                <v:imagedata o:title=""/>
                <o:lock v:ext="edit" aspectratio="f"/>
                <v:textbox>
                  <w:txbxContent>
                    <w:p>
                      <w:pPr>
                        <w:ind w:firstLine="843" w:firstLineChars="300"/>
                        <w:rPr>
                          <w:b/>
                          <w:bCs/>
                          <w:highlight w:val="none"/>
                        </w:rPr>
                      </w:pPr>
                      <w:r>
                        <w:rPr>
                          <w:rFonts w:hint="eastAsia"/>
                          <w:b/>
                          <w:bCs/>
                          <w:sz w:val="28"/>
                          <w:szCs w:val="28"/>
                          <w:highlight w:val="none"/>
                          <w:lang w:eastAsia="zh-CN"/>
                        </w:rPr>
                        <w:t>附图二</w:t>
                      </w:r>
                      <w:r>
                        <w:rPr>
                          <w:rFonts w:hint="eastAsia"/>
                          <w:b/>
                          <w:bCs/>
                          <w:sz w:val="28"/>
                          <w:szCs w:val="28"/>
                          <w:highlight w:val="none"/>
                          <w:lang w:val="en-US" w:eastAsia="zh-CN"/>
                        </w:rPr>
                        <w:t xml:space="preserve">     项目周边环境示意图</w:t>
                      </w:r>
                    </w:p>
                  </w:txbxContent>
                </v:textbox>
              </v:shape>
            </w:pict>
          </mc:Fallback>
        </mc:AlternateContent>
      </w:r>
      <w:r>
        <w:drawing>
          <wp:anchor distT="0" distB="0" distL="114300" distR="114300" simplePos="0" relativeHeight="396061696" behindDoc="1" locked="0" layoutInCell="1" allowOverlap="1">
            <wp:simplePos x="0" y="0"/>
            <wp:positionH relativeFrom="column">
              <wp:posOffset>180975</wp:posOffset>
            </wp:positionH>
            <wp:positionV relativeFrom="paragraph">
              <wp:posOffset>-584835</wp:posOffset>
            </wp:positionV>
            <wp:extent cx="8535035" cy="5647690"/>
            <wp:effectExtent l="0" t="0" r="18415" b="10160"/>
            <wp:wrapNone/>
            <wp:docPr id="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
                    <pic:cNvPicPr>
                      <a:picLocks noChangeAspect="1"/>
                    </pic:cNvPicPr>
                  </pic:nvPicPr>
                  <pic:blipFill>
                    <a:blip r:embed="rId23"/>
                    <a:stretch>
                      <a:fillRect/>
                    </a:stretch>
                  </pic:blipFill>
                  <pic:spPr>
                    <a:xfrm>
                      <a:off x="0" y="0"/>
                      <a:ext cx="8535035" cy="5647690"/>
                    </a:xfrm>
                    <a:prstGeom prst="rect">
                      <a:avLst/>
                    </a:prstGeom>
                    <a:noFill/>
                    <a:ln>
                      <a:noFill/>
                    </a:ln>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sz w:val="21"/>
        </w:rPr>
        <mc:AlternateContent>
          <mc:Choice Requires="wps">
            <w:drawing>
              <wp:anchor distT="0" distB="0" distL="114300" distR="114300" simplePos="0" relativeHeight="295670784" behindDoc="0" locked="0" layoutInCell="1" allowOverlap="1">
                <wp:simplePos x="0" y="0"/>
                <wp:positionH relativeFrom="column">
                  <wp:posOffset>904240</wp:posOffset>
                </wp:positionH>
                <wp:positionV relativeFrom="paragraph">
                  <wp:posOffset>7987030</wp:posOffset>
                </wp:positionV>
                <wp:extent cx="3838575" cy="438150"/>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3838575" cy="438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auto"/>
                              </w:rPr>
                            </w:pPr>
                            <w:r>
                              <w:rPr>
                                <w:rFonts w:hint="eastAsia"/>
                                <w:b/>
                                <w:bCs/>
                                <w:color w:val="auto"/>
                                <w:sz w:val="28"/>
                                <w:szCs w:val="28"/>
                                <w:lang w:eastAsia="zh-CN"/>
                              </w:rPr>
                              <w:t>附图三</w:t>
                            </w:r>
                            <w:r>
                              <w:rPr>
                                <w:rFonts w:hint="eastAsia"/>
                                <w:b/>
                                <w:bCs/>
                                <w:color w:val="auto"/>
                                <w:sz w:val="28"/>
                                <w:szCs w:val="28"/>
                                <w:lang w:val="en-US" w:eastAsia="zh-CN"/>
                              </w:rPr>
                              <w:t xml:space="preserve">          项目厂区平面布置图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1.2pt;margin-top:628.9pt;height:34.5pt;width:302.25pt;z-index:295670784;mso-width-relative:page;mso-height-relative:page;" filled="f" stroked="f" coordsize="21600,21600" o:gfxdata="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Gi/Ry3QAAAA0BAAAPAAAAAAAAAAEAIAAAACIA&#10;AABkcnMvZG93bnJldi54bWxQSwECFAAUAAAACACHTuJAu8xTdT0CAABoBAAADgAAAAAAAAABACAA&#10;AAAsAQAAZHJzL2Uyb0RvYy54bWxQSwUGAAAAAAYABgBZAQAA2wUAAAAA&#10;">
                <v:fill on="f" focussize="0,0"/>
                <v:stroke on="f" weight="0.5pt"/>
                <v:imagedata o:title=""/>
                <o:lock v:ext="edit" aspectratio="f"/>
                <v:textbox>
                  <w:txbxContent>
                    <w:p>
                      <w:pPr>
                        <w:rPr>
                          <w:b/>
                          <w:bCs/>
                          <w:color w:val="auto"/>
                        </w:rPr>
                      </w:pPr>
                      <w:r>
                        <w:rPr>
                          <w:rFonts w:hint="eastAsia"/>
                          <w:b/>
                          <w:bCs/>
                          <w:color w:val="auto"/>
                          <w:sz w:val="28"/>
                          <w:szCs w:val="28"/>
                          <w:lang w:eastAsia="zh-CN"/>
                        </w:rPr>
                        <w:t>附图三</w:t>
                      </w:r>
                      <w:r>
                        <w:rPr>
                          <w:rFonts w:hint="eastAsia"/>
                          <w:b/>
                          <w:bCs/>
                          <w:color w:val="auto"/>
                          <w:sz w:val="28"/>
                          <w:szCs w:val="28"/>
                          <w:lang w:val="en-US" w:eastAsia="zh-CN"/>
                        </w:rPr>
                        <w:t xml:space="preserve">          项目厂区平面布置图</w:t>
                      </w:r>
                    </w:p>
                  </w:txbxContent>
                </v:textbox>
              </v:shape>
            </w:pict>
          </mc:Fallback>
        </mc:AlternateContent>
      </w:r>
      <w:r>
        <w:drawing>
          <wp:inline distT="0" distB="0" distL="114300" distR="114300">
            <wp:extent cx="5556250" cy="7861300"/>
            <wp:effectExtent l="0" t="0" r="6350" b="6350"/>
            <wp:docPr id="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
                    <pic:cNvPicPr>
                      <a:picLocks noChangeAspect="1"/>
                    </pic:cNvPicPr>
                  </pic:nvPicPr>
                  <pic:blipFill>
                    <a:blip r:embed="rId24"/>
                    <a:stretch>
                      <a:fillRect/>
                    </a:stretch>
                  </pic:blipFill>
                  <pic:spPr>
                    <a:xfrm>
                      <a:off x="0" y="0"/>
                      <a:ext cx="5556250" cy="7861300"/>
                    </a:xfrm>
                    <a:prstGeom prst="rect">
                      <a:avLst/>
                    </a:prstGeom>
                    <a:noFill/>
                    <a:ln>
                      <a:noFill/>
                    </a:ln>
                  </pic:spPr>
                </pic:pic>
              </a:graphicData>
            </a:graphic>
          </wp:inline>
        </w:drawing>
      </w:r>
    </w:p>
    <w:p>
      <w:pPr>
        <w:pStyle w:val="28"/>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mc:AlternateContent>
          <mc:Choice Requires="wps">
            <w:drawing>
              <wp:anchor distT="0" distB="0" distL="114300" distR="114300" simplePos="0" relativeHeight="2346926080" behindDoc="0" locked="0" layoutInCell="1" allowOverlap="1">
                <wp:simplePos x="0" y="0"/>
                <wp:positionH relativeFrom="column">
                  <wp:posOffset>1934845</wp:posOffset>
                </wp:positionH>
                <wp:positionV relativeFrom="paragraph">
                  <wp:posOffset>5013325</wp:posOffset>
                </wp:positionV>
                <wp:extent cx="5257800" cy="400050"/>
                <wp:effectExtent l="0" t="0" r="0" b="0"/>
                <wp:wrapSquare wrapText="bothSides"/>
                <wp:docPr id="80" name="文本框 67"/>
                <wp:cNvGraphicFramePr/>
                <a:graphic xmlns:a="http://schemas.openxmlformats.org/drawingml/2006/main">
                  <a:graphicData uri="http://schemas.microsoft.com/office/word/2010/wordprocessingShape">
                    <wps:wsp>
                      <wps:cNvSpPr txBox="1"/>
                      <wps:spPr>
                        <a:xfrm>
                          <a:off x="0" y="0"/>
                          <a:ext cx="5257800" cy="400050"/>
                        </a:xfrm>
                        <a:prstGeom prst="rect">
                          <a:avLst/>
                        </a:prstGeom>
                        <a:noFill/>
                        <a:ln w="6350">
                          <a:noFill/>
                        </a:ln>
                        <a:effectLst/>
                      </wps:spPr>
                      <wps:txbx>
                        <w:txbxContent>
                          <w:p>
                            <w:pPr>
                              <w:jc w:val="center"/>
                              <w:rPr>
                                <w:rFonts w:ascii="Times New Roman" w:hAnsi="Times New Roman"/>
                                <w:b/>
                                <w:sz w:val="24"/>
                                <w:szCs w:val="24"/>
                              </w:rPr>
                            </w:pPr>
                            <w:r>
                              <w:rPr>
                                <w:rFonts w:hint="eastAsia"/>
                                <w:b/>
                                <w:bCs/>
                                <w:color w:val="auto"/>
                                <w:sz w:val="28"/>
                                <w:szCs w:val="28"/>
                                <w:lang w:val="en-US" w:eastAsia="zh-CN"/>
                              </w:rPr>
                              <w:t>附图四   新乡县大召营镇总体规划图</w:t>
                            </w:r>
                            <w:r>
                              <w:rPr>
                                <w:rFonts w:hint="default" w:ascii="Times New Roman" w:hAnsi="Times New Roman" w:cs="Times New Roman"/>
                                <w:b/>
                                <w:sz w:val="28"/>
                                <w:szCs w:val="28"/>
                              </w:rPr>
                              <w:t>（2013-2030）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7" o:spid="_x0000_s1026" o:spt="202" type="#_x0000_t202" style="position:absolute;left:0pt;margin-left:152.35pt;margin-top:394.75pt;height:31.5pt;width:414pt;mso-wrap-distance-bottom:0pt;mso-wrap-distance-left:9pt;mso-wrap-distance-right:9pt;mso-wrap-distance-top:0pt;z-index:-1948041216;mso-width-relative:page;mso-height-relative:page;" filled="f" stroked="f" coordsize="21600,21600" o:gfxdata="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LV+elndAAAADAEAAA8AAAAAAAAAAQAg&#10;AAAAIgAAAGRycy9kb3ducmV2LnhtbFBLAQIUABQAAAAIAIdO4kBX4VMpQgIAAHYEAAAOAAAAAAAA&#10;AAEAIAAAACwBAABkcnMvZTJvRG9jLnhtbFBLBQYAAAAABgAGAFkBAADgBQAAAAA=&#10;">
                <v:fill on="f" focussize="0,0"/>
                <v:stroke on="f" weight="0.5pt"/>
                <v:imagedata o:title=""/>
                <o:lock v:ext="edit" aspectratio="f"/>
                <v:textbox>
                  <w:txbxContent>
                    <w:p>
                      <w:pPr>
                        <w:jc w:val="center"/>
                        <w:rPr>
                          <w:rFonts w:ascii="Times New Roman" w:hAnsi="Times New Roman"/>
                          <w:b/>
                          <w:sz w:val="24"/>
                          <w:szCs w:val="24"/>
                        </w:rPr>
                      </w:pPr>
                      <w:r>
                        <w:rPr>
                          <w:rFonts w:hint="eastAsia"/>
                          <w:b/>
                          <w:bCs/>
                          <w:color w:val="auto"/>
                          <w:sz w:val="28"/>
                          <w:szCs w:val="28"/>
                          <w:lang w:val="en-US" w:eastAsia="zh-CN"/>
                        </w:rPr>
                        <w:t>附图四   新乡县大召营镇总体规划图</w:t>
                      </w:r>
                      <w:r>
                        <w:rPr>
                          <w:rFonts w:hint="default" w:ascii="Times New Roman" w:hAnsi="Times New Roman" w:cs="Times New Roman"/>
                          <w:b/>
                          <w:sz w:val="28"/>
                          <w:szCs w:val="28"/>
                        </w:rPr>
                        <w:t>（2013-2030）</w:t>
                      </w:r>
                    </w:p>
                  </w:txbxContent>
                </v:textbox>
                <w10:wrap type="square"/>
              </v:shape>
            </w:pict>
          </mc:Fallback>
        </mc:AlternateContent>
      </w:r>
      <w:r>
        <w:drawing>
          <wp:anchor distT="0" distB="0" distL="114300" distR="114300" simplePos="0" relativeHeight="295671808" behindDoc="1" locked="0" layoutInCell="1" allowOverlap="1">
            <wp:simplePos x="0" y="0"/>
            <wp:positionH relativeFrom="column">
              <wp:posOffset>171450</wp:posOffset>
            </wp:positionH>
            <wp:positionV relativeFrom="paragraph">
              <wp:posOffset>-316230</wp:posOffset>
            </wp:positionV>
            <wp:extent cx="8581390" cy="5287010"/>
            <wp:effectExtent l="0" t="0" r="10160" b="8890"/>
            <wp:wrapNone/>
            <wp:docPr id="6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7"/>
                    <pic:cNvPicPr>
                      <a:picLocks noChangeAspect="1"/>
                    </pic:cNvPicPr>
                  </pic:nvPicPr>
                  <pic:blipFill>
                    <a:blip r:embed="rId25"/>
                    <a:stretch>
                      <a:fillRect/>
                    </a:stretch>
                  </pic:blipFill>
                  <pic:spPr>
                    <a:xfrm>
                      <a:off x="0" y="0"/>
                      <a:ext cx="8581390" cy="5287010"/>
                    </a:xfrm>
                    <a:prstGeom prst="rect">
                      <a:avLst/>
                    </a:prstGeom>
                    <a:noFill/>
                    <a:ln>
                      <a:noFill/>
                    </a:ln>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mc:AlternateContent>
          <mc:Choice Requires="wps">
            <w:drawing>
              <wp:anchor distT="0" distB="0" distL="114300" distR="114300" simplePos="0" relativeHeight="103258112" behindDoc="0" locked="0" layoutInCell="1" allowOverlap="1">
                <wp:simplePos x="0" y="0"/>
                <wp:positionH relativeFrom="column">
                  <wp:posOffset>450850</wp:posOffset>
                </wp:positionH>
                <wp:positionV relativeFrom="paragraph">
                  <wp:posOffset>8423910</wp:posOffset>
                </wp:positionV>
                <wp:extent cx="4246880" cy="428625"/>
                <wp:effectExtent l="0" t="0" r="0" b="0"/>
                <wp:wrapSquare wrapText="bothSides"/>
                <wp:docPr id="82" name="文本框 72"/>
                <wp:cNvGraphicFramePr/>
                <a:graphic xmlns:a="http://schemas.openxmlformats.org/drawingml/2006/main">
                  <a:graphicData uri="http://schemas.microsoft.com/office/word/2010/wordprocessingShape">
                    <wps:wsp>
                      <wps:cNvSpPr txBox="1"/>
                      <wps:spPr>
                        <a:xfrm>
                          <a:off x="0" y="0"/>
                          <a:ext cx="4246880" cy="428625"/>
                        </a:xfrm>
                        <a:prstGeom prst="rect">
                          <a:avLst/>
                        </a:prstGeom>
                        <a:noFill/>
                        <a:ln w="6350">
                          <a:noFill/>
                        </a:ln>
                        <a:effectLst/>
                      </wps:spPr>
                      <wps:txbx>
                        <w:txbxContent>
                          <w:p>
                            <w:pPr>
                              <w:jc w:val="both"/>
                              <w:rPr>
                                <w:rFonts w:hint="default" w:ascii="Times New Roman" w:hAnsi="Times New Roman" w:eastAsia="宋体" w:cs="Times New Roman"/>
                                <w:b/>
                                <w:sz w:val="28"/>
                                <w:szCs w:val="28"/>
                              </w:rPr>
                            </w:pPr>
                            <w:r>
                              <w:rPr>
                                <w:rFonts w:hint="default" w:ascii="Times New Roman" w:hAnsi="Times New Roman" w:eastAsia="宋体" w:cs="Times New Roman"/>
                                <w:b/>
                                <w:sz w:val="28"/>
                                <w:szCs w:val="28"/>
                              </w:rPr>
                              <w:t>附图</w:t>
                            </w:r>
                            <w:r>
                              <w:rPr>
                                <w:rFonts w:hint="eastAsia" w:ascii="Times New Roman" w:hAnsi="Times New Roman" w:eastAsia="宋体" w:cs="Times New Roman"/>
                                <w:b/>
                                <w:sz w:val="28"/>
                                <w:szCs w:val="28"/>
                                <w:lang w:val="en-US" w:eastAsia="zh-CN"/>
                              </w:rPr>
                              <w:t>五</w:t>
                            </w:r>
                            <w:r>
                              <w:rPr>
                                <w:rFonts w:hint="default" w:ascii="Times New Roman" w:hAnsi="Times New Roman" w:eastAsia="宋体" w:cs="Times New Roman"/>
                                <w:b/>
                                <w:sz w:val="28"/>
                                <w:szCs w:val="28"/>
                              </w:rPr>
                              <w:t xml:space="preserve">  大召营镇土地利用总体规划图（2010-2020）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72" o:spid="_x0000_s1026" o:spt="202" type="#_x0000_t202" style="position:absolute;left:0pt;margin-left:35.5pt;margin-top:663.3pt;height:33.75pt;width:334.4pt;mso-wrap-distance-bottom:0pt;mso-wrap-distance-left:9pt;mso-wrap-distance-right:9pt;mso-wrap-distance-top:0pt;z-index:103258112;mso-width-relative:page;mso-height-relative:page;" filled="f" stroked="f" coordsize="21600,21600" o:gfxdata="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Bi+H4rcAAAADAEAAA8AAAAAAAAAAQAg&#10;AAAAIgAAAGRycy9kb3ducmV2LnhtbFBLAQIUABQAAAAIAIdO4kCJWYXiQwIAAHYEAAAOAAAAAAAA&#10;AAEAIAAAACsBAABkcnMvZTJvRG9jLnhtbFBLBQYAAAAABgAGAFkBAADgBQAAAAA=&#10;">
                <v:fill on="f" focussize="0,0"/>
                <v:stroke on="f" weight="0.5pt"/>
                <v:imagedata o:title=""/>
                <o:lock v:ext="edit" aspectratio="f"/>
                <v:textbox>
                  <w:txbxContent>
                    <w:p>
                      <w:pPr>
                        <w:jc w:val="both"/>
                        <w:rPr>
                          <w:rFonts w:hint="default" w:ascii="Times New Roman" w:hAnsi="Times New Roman" w:eastAsia="宋体" w:cs="Times New Roman"/>
                          <w:b/>
                          <w:sz w:val="28"/>
                          <w:szCs w:val="28"/>
                        </w:rPr>
                      </w:pPr>
                      <w:r>
                        <w:rPr>
                          <w:rFonts w:hint="default" w:ascii="Times New Roman" w:hAnsi="Times New Roman" w:eastAsia="宋体" w:cs="Times New Roman"/>
                          <w:b/>
                          <w:sz w:val="28"/>
                          <w:szCs w:val="28"/>
                        </w:rPr>
                        <w:t>附图</w:t>
                      </w:r>
                      <w:r>
                        <w:rPr>
                          <w:rFonts w:hint="eastAsia" w:ascii="Times New Roman" w:hAnsi="Times New Roman" w:eastAsia="宋体" w:cs="Times New Roman"/>
                          <w:b/>
                          <w:sz w:val="28"/>
                          <w:szCs w:val="28"/>
                          <w:lang w:val="en-US" w:eastAsia="zh-CN"/>
                        </w:rPr>
                        <w:t>五</w:t>
                      </w:r>
                      <w:r>
                        <w:rPr>
                          <w:rFonts w:hint="default" w:ascii="Times New Roman" w:hAnsi="Times New Roman" w:eastAsia="宋体" w:cs="Times New Roman"/>
                          <w:b/>
                          <w:sz w:val="28"/>
                          <w:szCs w:val="28"/>
                        </w:rPr>
                        <w:t xml:space="preserve">  大召营镇土地利用总体规划图（2010-2020）</w:t>
                      </w:r>
                    </w:p>
                  </w:txbxContent>
                </v:textbox>
                <w10:wrap type="square"/>
              </v:shape>
            </w:pict>
          </mc:Fallback>
        </mc:AlternateContent>
      </w:r>
      <w:r>
        <w:drawing>
          <wp:inline distT="0" distB="0" distL="114300" distR="114300">
            <wp:extent cx="5681345" cy="8137525"/>
            <wp:effectExtent l="0" t="0" r="14605" b="15875"/>
            <wp:docPr id="6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8"/>
                    <pic:cNvPicPr>
                      <a:picLocks noChangeAspect="1"/>
                    </pic:cNvPicPr>
                  </pic:nvPicPr>
                  <pic:blipFill>
                    <a:blip r:embed="rId26"/>
                    <a:stretch>
                      <a:fillRect/>
                    </a:stretch>
                  </pic:blipFill>
                  <pic:spPr>
                    <a:xfrm>
                      <a:off x="0" y="0"/>
                      <a:ext cx="5681345" cy="8137525"/>
                    </a:xfrm>
                    <a:prstGeom prst="rect">
                      <a:avLst/>
                    </a:prstGeom>
                    <a:noFill/>
                    <a:ln>
                      <a:noFill/>
                    </a:ln>
                  </pic:spPr>
                </pic:pic>
              </a:graphicData>
            </a:graphic>
          </wp:inline>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drawing>
          <wp:inline distT="0" distB="0" distL="114300" distR="114300">
            <wp:extent cx="5520055" cy="8028940"/>
            <wp:effectExtent l="0" t="0" r="4445" b="10160"/>
            <wp:docPr id="6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9"/>
                    <pic:cNvPicPr>
                      <a:picLocks noChangeAspect="1"/>
                    </pic:cNvPicPr>
                  </pic:nvPicPr>
                  <pic:blipFill>
                    <a:blip r:embed="rId27"/>
                    <a:stretch>
                      <a:fillRect/>
                    </a:stretch>
                  </pic:blipFill>
                  <pic:spPr>
                    <a:xfrm>
                      <a:off x="0" y="0"/>
                      <a:ext cx="5520055" cy="8028940"/>
                    </a:xfrm>
                    <a:prstGeom prst="rect">
                      <a:avLst/>
                    </a:prstGeom>
                    <a:noFill/>
                    <a:ln>
                      <a:noFill/>
                    </a:ln>
                  </pic:spPr>
                </pic:pic>
              </a:graphicData>
            </a:graphic>
          </wp:inline>
        </w:drawing>
      </w:r>
      <w:r>
        <w:rPr>
          <w:rFonts w:hint="eastAsia"/>
        </w:rPr>
        <mc:AlternateContent>
          <mc:Choice Requires="wps">
            <w:drawing>
              <wp:anchor distT="0" distB="0" distL="114300" distR="114300" simplePos="0" relativeHeight="2154585088" behindDoc="0" locked="0" layoutInCell="1" allowOverlap="1">
                <wp:simplePos x="0" y="0"/>
                <wp:positionH relativeFrom="column">
                  <wp:posOffset>179070</wp:posOffset>
                </wp:positionH>
                <wp:positionV relativeFrom="paragraph">
                  <wp:posOffset>8158480</wp:posOffset>
                </wp:positionV>
                <wp:extent cx="4610100" cy="376555"/>
                <wp:effectExtent l="0" t="0" r="0" b="0"/>
                <wp:wrapSquare wrapText="bothSides"/>
                <wp:docPr id="84" name="文本框 7"/>
                <wp:cNvGraphicFramePr/>
                <a:graphic xmlns:a="http://schemas.openxmlformats.org/drawingml/2006/main">
                  <a:graphicData uri="http://schemas.microsoft.com/office/word/2010/wordprocessingShape">
                    <wps:wsp>
                      <wps:cNvSpPr txBox="1"/>
                      <wps:spPr>
                        <a:xfrm>
                          <a:off x="0" y="0"/>
                          <a:ext cx="4610100" cy="376555"/>
                        </a:xfrm>
                        <a:prstGeom prst="rect">
                          <a:avLst/>
                        </a:prstGeom>
                        <a:noFill/>
                        <a:ln w="9525">
                          <a:noFill/>
                        </a:ln>
                      </wps:spPr>
                      <wps:txbx>
                        <w:txbxContent>
                          <w:p>
                            <w:pPr>
                              <w:ind w:firstLine="1124" w:firstLineChars="400"/>
                              <w:rPr>
                                <w:rFonts w:hint="eastAsia"/>
                                <w:b/>
                                <w:bCs/>
                                <w:color w:val="auto"/>
                                <w:sz w:val="28"/>
                                <w:szCs w:val="28"/>
                                <w:lang w:val="en-US" w:eastAsia="zh-CN"/>
                              </w:rPr>
                            </w:pPr>
                            <w:r>
                              <w:rPr>
                                <w:rFonts w:hint="eastAsia"/>
                                <w:b/>
                                <w:bCs/>
                                <w:color w:val="auto"/>
                                <w:sz w:val="28"/>
                                <w:szCs w:val="28"/>
                                <w:lang w:val="en-US" w:eastAsia="zh-CN"/>
                              </w:rPr>
                              <w:t>附图六    新乡县大召营专业园区用地规划图</w:t>
                            </w:r>
                          </w:p>
                        </w:txbxContent>
                      </wps:txbx>
                      <wps:bodyPr upright="1"/>
                    </wps:wsp>
                  </a:graphicData>
                </a:graphic>
              </wp:anchor>
            </w:drawing>
          </mc:Choice>
          <mc:Fallback>
            <w:pict>
              <v:shape id="文本框 7" o:spid="_x0000_s1026" o:spt="202" type="#_x0000_t202" style="position:absolute;left:0pt;margin-left:14.1pt;margin-top:642.4pt;height:29.65pt;width:363pt;mso-wrap-distance-bottom:0pt;mso-wrap-distance-left:9pt;mso-wrap-distance-right:9pt;mso-wrap-distance-top:0pt;z-index:-2140382208;mso-width-relative:page;mso-height-relative:page;" filled="f" stroked="f" coordsize="21600,21600" o:gfxdata="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KF8fd1wAAAAwBAAAPAAAAAAAAAAEAIAAAACIAAABkcnMvZG93bnJldi54bWxQSwECFAAUAAAA&#10;CACHTuJAptHxm7YBAABYAwAADgAAAAAAAAABACAAAAAmAQAAZHJzL2Uyb0RvYy54bWxQSwUGAAAA&#10;AAYABgBZAQAATgUAAAAA&#10;">
                <v:fill on="f" focussize="0,0"/>
                <v:stroke on="f"/>
                <v:imagedata o:title=""/>
                <o:lock v:ext="edit" aspectratio="f"/>
                <v:textbox>
                  <w:txbxContent>
                    <w:p>
                      <w:pPr>
                        <w:ind w:firstLine="1124" w:firstLineChars="400"/>
                        <w:rPr>
                          <w:rFonts w:hint="eastAsia"/>
                          <w:b/>
                          <w:bCs/>
                          <w:color w:val="auto"/>
                          <w:sz w:val="28"/>
                          <w:szCs w:val="28"/>
                          <w:lang w:val="en-US" w:eastAsia="zh-CN"/>
                        </w:rPr>
                      </w:pPr>
                      <w:r>
                        <w:rPr>
                          <w:rFonts w:hint="eastAsia"/>
                          <w:b/>
                          <w:bCs/>
                          <w:color w:val="auto"/>
                          <w:sz w:val="28"/>
                          <w:szCs w:val="28"/>
                          <w:lang w:val="en-US" w:eastAsia="zh-CN"/>
                        </w:rPr>
                        <w:t>附图六    新乡县大召营专业园区用地规划图</w:t>
                      </w:r>
                    </w:p>
                  </w:txbxContent>
                </v:textbox>
                <w10:wrap type="square"/>
              </v:shape>
            </w:pict>
          </mc:Fallback>
        </mc:AlternateContent>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mc:AlternateContent>
          <mc:Choice Requires="wps">
            <w:drawing>
              <wp:anchor distT="0" distB="0" distL="114300" distR="114300" simplePos="0" relativeHeight="4267223040" behindDoc="0" locked="0" layoutInCell="1" allowOverlap="1">
                <wp:simplePos x="0" y="0"/>
                <wp:positionH relativeFrom="column">
                  <wp:posOffset>559435</wp:posOffset>
                </wp:positionH>
                <wp:positionV relativeFrom="paragraph">
                  <wp:posOffset>8409940</wp:posOffset>
                </wp:positionV>
                <wp:extent cx="4455795" cy="421640"/>
                <wp:effectExtent l="0" t="0" r="0" b="0"/>
                <wp:wrapSquare wrapText="bothSides"/>
                <wp:docPr id="73" name="文本框 74"/>
                <wp:cNvGraphicFramePr/>
                <a:graphic xmlns:a="http://schemas.openxmlformats.org/drawingml/2006/main">
                  <a:graphicData uri="http://schemas.microsoft.com/office/word/2010/wordprocessingShape">
                    <wps:wsp>
                      <wps:cNvSpPr txBox="1"/>
                      <wps:spPr>
                        <a:xfrm>
                          <a:off x="0" y="0"/>
                          <a:ext cx="4455795" cy="421640"/>
                        </a:xfrm>
                        <a:prstGeom prst="rect">
                          <a:avLst/>
                        </a:prstGeom>
                        <a:noFill/>
                        <a:ln w="6350">
                          <a:noFill/>
                        </a:ln>
                        <a:effectLst/>
                      </wps:spPr>
                      <wps:txbx>
                        <w:txbxContent>
                          <w:p>
                            <w:pPr>
                              <w:jc w:val="center"/>
                              <w:rPr>
                                <w:rFonts w:ascii="Times New Roman" w:hAnsi="Times New Roman"/>
                                <w:b/>
                                <w:sz w:val="28"/>
                                <w:szCs w:val="28"/>
                              </w:rPr>
                            </w:pPr>
                            <w:r>
                              <w:rPr>
                                <w:rFonts w:ascii="Times New Roman" w:hAnsi="Times New Roman"/>
                                <w:b/>
                                <w:sz w:val="28"/>
                                <w:szCs w:val="28"/>
                              </w:rPr>
                              <w:t>附图</w:t>
                            </w:r>
                            <w:r>
                              <w:rPr>
                                <w:rFonts w:hint="eastAsia" w:ascii="Times New Roman" w:hAnsi="Times New Roman"/>
                                <w:b/>
                                <w:sz w:val="28"/>
                                <w:szCs w:val="28"/>
                                <w:lang w:val="en-US" w:eastAsia="zh-CN"/>
                              </w:rPr>
                              <w:t>七</w:t>
                            </w:r>
                            <w:r>
                              <w:rPr>
                                <w:rFonts w:ascii="Times New Roman" w:hAnsi="Times New Roman"/>
                                <w:b/>
                                <w:sz w:val="28"/>
                                <w:szCs w:val="28"/>
                              </w:rPr>
                              <w:t xml:space="preserve">    </w:t>
                            </w:r>
                            <w:r>
                              <w:rPr>
                                <w:rFonts w:hint="eastAsia" w:ascii="Times New Roman" w:hAnsi="Times New Roman"/>
                                <w:b/>
                                <w:sz w:val="28"/>
                                <w:szCs w:val="28"/>
                                <w:lang w:eastAsia="zh-CN"/>
                              </w:rPr>
                              <w:t>新乡县</w:t>
                            </w:r>
                            <w:r>
                              <w:rPr>
                                <w:rFonts w:ascii="Times New Roman" w:hAnsi="Times New Roman"/>
                                <w:b/>
                                <w:sz w:val="28"/>
                                <w:szCs w:val="28"/>
                              </w:rPr>
                              <w:t>大召营专业园区</w:t>
                            </w:r>
                            <w:r>
                              <w:rPr>
                                <w:rFonts w:hint="eastAsia" w:ascii="Times New Roman" w:hAnsi="Times New Roman"/>
                                <w:b/>
                                <w:sz w:val="28"/>
                                <w:szCs w:val="28"/>
                                <w:lang w:val="en-US" w:eastAsia="zh-CN"/>
                              </w:rPr>
                              <w:t>产业布局</w:t>
                            </w:r>
                            <w:r>
                              <w:rPr>
                                <w:rFonts w:ascii="Times New Roman" w:hAnsi="Times New Roman"/>
                                <w:b/>
                                <w:sz w:val="28"/>
                                <w:szCs w:val="28"/>
                              </w:rPr>
                              <w:t>规划图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74" o:spid="_x0000_s1026" o:spt="202" type="#_x0000_t202" style="position:absolute;left:0pt;margin-left:44.05pt;margin-top:662.2pt;height:33.2pt;width:350.85pt;mso-wrap-distance-bottom:0pt;mso-wrap-distance-left:9pt;mso-wrap-distance-right:9pt;mso-wrap-distance-top:0pt;z-index:-27744256;mso-width-relative:page;mso-height-relative:page;" filled="f" stroked="f" coordsize="21600,21600" o:gfxdata="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6aAHg2gAAAAwBAAAPAAAAAAAAAAEA&#10;IAAAACIAAABkcnMvZG93bnJldi54bWxQSwECFAAUAAAACACHTuJA16SOWEYCAAB2BAAADgAAAAAA&#10;AAABACAAAAApAQAAZHJzL2Uyb0RvYy54bWxQSwUGAAAAAAYABgBZAQAA4QUAAAAA&#10;">
                <v:fill on="f" focussize="0,0"/>
                <v:stroke on="f" weight="0.5pt"/>
                <v:imagedata o:title=""/>
                <o:lock v:ext="edit" aspectratio="f"/>
                <v:textbox>
                  <w:txbxContent>
                    <w:p>
                      <w:pPr>
                        <w:jc w:val="center"/>
                        <w:rPr>
                          <w:rFonts w:ascii="Times New Roman" w:hAnsi="Times New Roman"/>
                          <w:b/>
                          <w:sz w:val="28"/>
                          <w:szCs w:val="28"/>
                        </w:rPr>
                      </w:pPr>
                      <w:r>
                        <w:rPr>
                          <w:rFonts w:ascii="Times New Roman" w:hAnsi="Times New Roman"/>
                          <w:b/>
                          <w:sz w:val="28"/>
                          <w:szCs w:val="28"/>
                        </w:rPr>
                        <w:t>附图</w:t>
                      </w:r>
                      <w:r>
                        <w:rPr>
                          <w:rFonts w:hint="eastAsia" w:ascii="Times New Roman" w:hAnsi="Times New Roman"/>
                          <w:b/>
                          <w:sz w:val="28"/>
                          <w:szCs w:val="28"/>
                          <w:lang w:val="en-US" w:eastAsia="zh-CN"/>
                        </w:rPr>
                        <w:t>七</w:t>
                      </w:r>
                      <w:r>
                        <w:rPr>
                          <w:rFonts w:ascii="Times New Roman" w:hAnsi="Times New Roman"/>
                          <w:b/>
                          <w:sz w:val="28"/>
                          <w:szCs w:val="28"/>
                        </w:rPr>
                        <w:t xml:space="preserve">    </w:t>
                      </w:r>
                      <w:r>
                        <w:rPr>
                          <w:rFonts w:hint="eastAsia" w:ascii="Times New Roman" w:hAnsi="Times New Roman"/>
                          <w:b/>
                          <w:sz w:val="28"/>
                          <w:szCs w:val="28"/>
                          <w:lang w:eastAsia="zh-CN"/>
                        </w:rPr>
                        <w:t>新乡县</w:t>
                      </w:r>
                      <w:r>
                        <w:rPr>
                          <w:rFonts w:ascii="Times New Roman" w:hAnsi="Times New Roman"/>
                          <w:b/>
                          <w:sz w:val="28"/>
                          <w:szCs w:val="28"/>
                        </w:rPr>
                        <w:t>大召营专业园区</w:t>
                      </w:r>
                      <w:r>
                        <w:rPr>
                          <w:rFonts w:hint="eastAsia" w:ascii="Times New Roman" w:hAnsi="Times New Roman"/>
                          <w:b/>
                          <w:sz w:val="28"/>
                          <w:szCs w:val="28"/>
                          <w:lang w:val="en-US" w:eastAsia="zh-CN"/>
                        </w:rPr>
                        <w:t>产业布局</w:t>
                      </w:r>
                      <w:r>
                        <w:rPr>
                          <w:rFonts w:ascii="Times New Roman" w:hAnsi="Times New Roman"/>
                          <w:b/>
                          <w:sz w:val="28"/>
                          <w:szCs w:val="28"/>
                        </w:rPr>
                        <w:t>规划图</w:t>
                      </w:r>
                    </w:p>
                  </w:txbxContent>
                </v:textbox>
                <w10:wrap type="square"/>
              </v:shape>
            </w:pict>
          </mc:Fallback>
        </mc:AlternateContent>
      </w:r>
      <w:r>
        <w:drawing>
          <wp:inline distT="0" distB="0" distL="114300" distR="114300">
            <wp:extent cx="5334000" cy="8171180"/>
            <wp:effectExtent l="0" t="0" r="0" b="1270"/>
            <wp:docPr id="6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0"/>
                    <pic:cNvPicPr>
                      <a:picLocks noChangeAspect="1"/>
                    </pic:cNvPicPr>
                  </pic:nvPicPr>
                  <pic:blipFill>
                    <a:blip r:embed="rId28"/>
                    <a:stretch>
                      <a:fillRect/>
                    </a:stretch>
                  </pic:blipFill>
                  <pic:spPr>
                    <a:xfrm>
                      <a:off x="0" y="0"/>
                      <a:ext cx="5334000" cy="8171180"/>
                    </a:xfrm>
                    <a:prstGeom prst="rect">
                      <a:avLst/>
                    </a:prstGeom>
                    <a:noFill/>
                    <a:ln>
                      <a:noFill/>
                    </a:ln>
                  </pic:spPr>
                </pic:pic>
              </a:graphicData>
            </a:graphic>
          </wp:inline>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mc:AlternateContent>
          <mc:Choice Requires="wps">
            <w:drawing>
              <wp:anchor distT="0" distB="0" distL="114300" distR="114300" simplePos="0" relativeHeight="4186566656" behindDoc="0" locked="0" layoutInCell="1" allowOverlap="1">
                <wp:simplePos x="0" y="0"/>
                <wp:positionH relativeFrom="column">
                  <wp:posOffset>454660</wp:posOffset>
                </wp:positionH>
                <wp:positionV relativeFrom="paragraph">
                  <wp:posOffset>8104505</wp:posOffset>
                </wp:positionV>
                <wp:extent cx="4585335" cy="533400"/>
                <wp:effectExtent l="0" t="0" r="0" b="0"/>
                <wp:wrapNone/>
                <wp:docPr id="66" name="文本框 6"/>
                <wp:cNvGraphicFramePr/>
                <a:graphic xmlns:a="http://schemas.openxmlformats.org/drawingml/2006/main">
                  <a:graphicData uri="http://schemas.microsoft.com/office/word/2010/wordprocessingShape">
                    <wps:wsp>
                      <wps:cNvSpPr txBox="1"/>
                      <wps:spPr>
                        <a:xfrm>
                          <a:off x="0" y="0"/>
                          <a:ext cx="4585335" cy="533400"/>
                        </a:xfrm>
                        <a:prstGeom prst="rect">
                          <a:avLst/>
                        </a:prstGeom>
                        <a:noFill/>
                        <a:ln w="9525">
                          <a:noFill/>
                        </a:ln>
                      </wps:spPr>
                      <wps:txbx>
                        <w:txbxContent>
                          <w:p>
                            <w:pPr>
                              <w:jc w:val="center"/>
                              <w:rPr>
                                <w:b/>
                                <w:sz w:val="28"/>
                                <w:szCs w:val="28"/>
                              </w:rPr>
                            </w:pPr>
                            <w:r>
                              <w:rPr>
                                <w:rFonts w:hint="eastAsia"/>
                                <w:b/>
                                <w:sz w:val="28"/>
                                <w:szCs w:val="28"/>
                              </w:rPr>
                              <w:t>附图</w:t>
                            </w:r>
                            <w:r>
                              <w:rPr>
                                <w:rFonts w:hint="eastAsia"/>
                                <w:b/>
                                <w:sz w:val="28"/>
                                <w:szCs w:val="28"/>
                                <w:lang w:val="en-US" w:eastAsia="zh-CN"/>
                              </w:rPr>
                              <w:t>八</w:t>
                            </w:r>
                            <w:r>
                              <w:rPr>
                                <w:rFonts w:hint="eastAsia"/>
                                <w:b/>
                                <w:sz w:val="28"/>
                                <w:szCs w:val="28"/>
                              </w:rPr>
                              <w:t xml:space="preserve"> </w:t>
                            </w:r>
                            <w:r>
                              <w:rPr>
                                <w:rFonts w:hint="eastAsia"/>
                                <w:b/>
                                <w:sz w:val="28"/>
                                <w:szCs w:val="28"/>
                                <w:lang w:val="en-US" w:eastAsia="zh-CN"/>
                              </w:rPr>
                              <w:t xml:space="preserve">      </w:t>
                            </w:r>
                            <w:r>
                              <w:rPr>
                                <w:rFonts w:hint="eastAsia"/>
                                <w:b/>
                                <w:sz w:val="28"/>
                                <w:szCs w:val="28"/>
                              </w:rPr>
                              <w:t xml:space="preserve"> 项目</w:t>
                            </w:r>
                            <w:r>
                              <w:rPr>
                                <w:rFonts w:hint="eastAsia"/>
                                <w:b/>
                                <w:sz w:val="28"/>
                                <w:szCs w:val="28"/>
                                <w:lang w:eastAsia="zh-CN"/>
                              </w:rPr>
                              <w:t>现场照片图</w:t>
                            </w:r>
                          </w:p>
                        </w:txbxContent>
                      </wps:txbx>
                      <wps:bodyPr upright="1"/>
                    </wps:wsp>
                  </a:graphicData>
                </a:graphic>
              </wp:anchor>
            </w:drawing>
          </mc:Choice>
          <mc:Fallback>
            <w:pict>
              <v:shape id="文本框 6" o:spid="_x0000_s1026" o:spt="202" type="#_x0000_t202" style="position:absolute;left:0pt;margin-left:35.8pt;margin-top:638.15pt;height:42pt;width:361.05pt;z-index:-108400640;mso-width-relative:page;mso-height-relative:page;" filled="f" stroked="f" coordsize="21600,21600" o:gfxdata="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B4WegjZAAAADAEAAA8AAAAAAAAAAQAgAAAAIgAAAGRycy9kb3ducmV2LnhtbFBLAQIUABQA&#10;AAAIAIdO4kBHZw9ZtgEAAFgDAAAOAAAAAAAAAAEAIAAAACgBAABkcnMvZTJvRG9jLnhtbFBLBQYA&#10;AAAABgAGAFkBAABQBQAAAAA=&#10;">
                <v:fill on="f" focussize="0,0"/>
                <v:stroke on="f"/>
                <v:imagedata o:title=""/>
                <o:lock v:ext="edit" aspectratio="f"/>
                <v:textbox>
                  <w:txbxContent>
                    <w:p>
                      <w:pPr>
                        <w:jc w:val="center"/>
                        <w:rPr>
                          <w:b/>
                          <w:sz w:val="28"/>
                          <w:szCs w:val="28"/>
                        </w:rPr>
                      </w:pPr>
                      <w:r>
                        <w:rPr>
                          <w:rFonts w:hint="eastAsia"/>
                          <w:b/>
                          <w:sz w:val="28"/>
                          <w:szCs w:val="28"/>
                        </w:rPr>
                        <w:t>附图</w:t>
                      </w:r>
                      <w:r>
                        <w:rPr>
                          <w:rFonts w:hint="eastAsia"/>
                          <w:b/>
                          <w:sz w:val="28"/>
                          <w:szCs w:val="28"/>
                          <w:lang w:val="en-US" w:eastAsia="zh-CN"/>
                        </w:rPr>
                        <w:t>八</w:t>
                      </w:r>
                      <w:r>
                        <w:rPr>
                          <w:rFonts w:hint="eastAsia"/>
                          <w:b/>
                          <w:sz w:val="28"/>
                          <w:szCs w:val="28"/>
                        </w:rPr>
                        <w:t xml:space="preserve"> </w:t>
                      </w:r>
                      <w:r>
                        <w:rPr>
                          <w:rFonts w:hint="eastAsia"/>
                          <w:b/>
                          <w:sz w:val="28"/>
                          <w:szCs w:val="28"/>
                          <w:lang w:val="en-US" w:eastAsia="zh-CN"/>
                        </w:rPr>
                        <w:t xml:space="preserve">      </w:t>
                      </w:r>
                      <w:r>
                        <w:rPr>
                          <w:rFonts w:hint="eastAsia"/>
                          <w:b/>
                          <w:sz w:val="28"/>
                          <w:szCs w:val="28"/>
                        </w:rPr>
                        <w:t xml:space="preserve"> 项目</w:t>
                      </w:r>
                      <w:r>
                        <w:rPr>
                          <w:rFonts w:hint="eastAsia"/>
                          <w:b/>
                          <w:sz w:val="28"/>
                          <w:szCs w:val="28"/>
                          <w:lang w:eastAsia="zh-CN"/>
                        </w:rPr>
                        <w:t>现场照片图</w:t>
                      </w:r>
                    </w:p>
                  </w:txbxContent>
                </v:textbox>
              </v:shape>
            </w:pict>
          </mc:Fallback>
        </mc:AlternateContent>
      </w:r>
      <w:r>
        <w:drawing>
          <wp:anchor distT="0" distB="0" distL="114300" distR="114300" simplePos="0" relativeHeight="4267224064" behindDoc="1" locked="0" layoutInCell="1" allowOverlap="1">
            <wp:simplePos x="0" y="0"/>
            <wp:positionH relativeFrom="column">
              <wp:posOffset>-523875</wp:posOffset>
            </wp:positionH>
            <wp:positionV relativeFrom="paragraph">
              <wp:posOffset>243840</wp:posOffset>
            </wp:positionV>
            <wp:extent cx="6530340" cy="7066280"/>
            <wp:effectExtent l="0" t="0" r="3810" b="1270"/>
            <wp:wrapNone/>
            <wp:docPr id="6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1"/>
                    <pic:cNvPicPr>
                      <a:picLocks noChangeAspect="1"/>
                    </pic:cNvPicPr>
                  </pic:nvPicPr>
                  <pic:blipFill>
                    <a:blip r:embed="rId29"/>
                    <a:stretch>
                      <a:fillRect/>
                    </a:stretch>
                  </pic:blipFill>
                  <pic:spPr>
                    <a:xfrm>
                      <a:off x="0" y="0"/>
                      <a:ext cx="6530340" cy="7066280"/>
                    </a:xfrm>
                    <a:prstGeom prst="rect">
                      <a:avLst/>
                    </a:prstGeom>
                    <a:noFill/>
                    <a:ln>
                      <a:noFill/>
                    </a:ln>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sz w:val="21"/>
        </w:rPr>
        <mc:AlternateContent>
          <mc:Choice Requires="wps">
            <w:drawing>
              <wp:anchor distT="0" distB="0" distL="114300" distR="114300" simplePos="0" relativeHeight="50498560" behindDoc="0" locked="0" layoutInCell="1" allowOverlap="1">
                <wp:simplePos x="0" y="0"/>
                <wp:positionH relativeFrom="column">
                  <wp:posOffset>4349750</wp:posOffset>
                </wp:positionH>
                <wp:positionV relativeFrom="paragraph">
                  <wp:posOffset>-332105</wp:posOffset>
                </wp:positionV>
                <wp:extent cx="1266825" cy="49530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1266825" cy="4953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b/>
                                <w:bCs/>
                                <w:sz w:val="30"/>
                                <w:szCs w:val="30"/>
                                <w:lang w:val="en-US" w:eastAsia="zh-CN"/>
                              </w:rPr>
                            </w:pPr>
                            <w:r>
                              <w:rPr>
                                <w:rFonts w:hint="eastAsia"/>
                                <w:b/>
                                <w:bCs/>
                                <w:sz w:val="30"/>
                                <w:szCs w:val="30"/>
                                <w:lang w:eastAsia="zh-CN"/>
                              </w:rPr>
                              <w:t>附件</w:t>
                            </w:r>
                            <w:r>
                              <w:rPr>
                                <w:rFonts w:hint="eastAsia"/>
                                <w:b/>
                                <w:bCs/>
                                <w:sz w:val="30"/>
                                <w:szCs w:val="30"/>
                                <w:lang w:val="en-US" w:eastAsia="zh-CN"/>
                              </w:rPr>
                              <w:t>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2.5pt;margin-top:-26.15pt;height:39pt;width:99.75pt;z-index:50498560;mso-width-relative:page;mso-height-relative:page;" filled="f" stroked="f" coordsize="21600,21600" o:gfxdata="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xHFHztsAAAAKAQAADwAAAAAAAAABACAAAAAiAAAA&#10;ZHJzL2Rvd25yZXYueG1sUEsBAhQAFAAAAAgAh07iQGTNT6s9AgAAaAQAAA4AAAAAAAAAAQAgAAAA&#10;KgEAAGRycy9lMm9Eb2MueG1sUEsFBgAAAAAGAAYAWQEAANkFAAAAAA==&#10;">
                <v:fill on="f" focussize="0,0"/>
                <v:stroke on="f" weight="0.5pt"/>
                <v:imagedata o:title=""/>
                <o:lock v:ext="edit" aspectratio="f"/>
                <v:textbox>
                  <w:txbxContent>
                    <w:p>
                      <w:pPr>
                        <w:jc w:val="center"/>
                        <w:rPr>
                          <w:rFonts w:hint="default" w:eastAsia="宋体"/>
                          <w:b/>
                          <w:bCs/>
                          <w:sz w:val="30"/>
                          <w:szCs w:val="30"/>
                          <w:lang w:val="en-US" w:eastAsia="zh-CN"/>
                        </w:rPr>
                      </w:pPr>
                      <w:r>
                        <w:rPr>
                          <w:rFonts w:hint="eastAsia"/>
                          <w:b/>
                          <w:bCs/>
                          <w:sz w:val="30"/>
                          <w:szCs w:val="30"/>
                          <w:lang w:eastAsia="zh-CN"/>
                        </w:rPr>
                        <w:t>附件</w:t>
                      </w:r>
                      <w:r>
                        <w:rPr>
                          <w:rFonts w:hint="eastAsia"/>
                          <w:b/>
                          <w:bCs/>
                          <w:sz w:val="30"/>
                          <w:szCs w:val="30"/>
                          <w:lang w:val="en-US" w:eastAsia="zh-CN"/>
                        </w:rPr>
                        <w:t>一</w:t>
                      </w:r>
                    </w:p>
                  </w:txbxContent>
                </v:textbox>
              </v:shape>
            </w:pict>
          </mc:Fallback>
        </mc:AlternateContent>
      </w:r>
      <w:r>
        <w:rPr>
          <w:rFonts w:hint="eastAsia"/>
          <w:sz w:val="28"/>
          <w:szCs w:val="28"/>
          <w:lang w:val="en-US" w:eastAsia="zh-CN"/>
        </w:rPr>
        <w:drawing>
          <wp:anchor distT="0" distB="0" distL="114300" distR="114300" simplePos="0" relativeHeight="3237911552" behindDoc="1" locked="0" layoutInCell="1" allowOverlap="1">
            <wp:simplePos x="0" y="0"/>
            <wp:positionH relativeFrom="column">
              <wp:posOffset>-1016000</wp:posOffset>
            </wp:positionH>
            <wp:positionV relativeFrom="paragraph">
              <wp:posOffset>-706755</wp:posOffset>
            </wp:positionV>
            <wp:extent cx="7166610" cy="10136505"/>
            <wp:effectExtent l="0" t="0" r="15240" b="17145"/>
            <wp:wrapNone/>
            <wp:docPr id="55" name="图片 55" descr="lADPGqGobHTiukPNEkTNDOo_3306_4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lADPGqGobHTiukPNEkTNDOo_3306_4676"/>
                    <pic:cNvPicPr>
                      <a:picLocks noChangeAspect="1"/>
                    </pic:cNvPicPr>
                  </pic:nvPicPr>
                  <pic:blipFill>
                    <a:blip r:embed="rId30"/>
                    <a:stretch>
                      <a:fillRect/>
                    </a:stretch>
                  </pic:blipFill>
                  <pic:spPr>
                    <a:xfrm>
                      <a:off x="0" y="0"/>
                      <a:ext cx="7166610" cy="10136505"/>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sz w:val="21"/>
        </w:rPr>
        <mc:AlternateContent>
          <mc:Choice Requires="wps">
            <w:drawing>
              <wp:anchor distT="0" distB="0" distL="114300" distR="114300" simplePos="0" relativeHeight="2343849984" behindDoc="0" locked="0" layoutInCell="1" allowOverlap="1">
                <wp:simplePos x="0" y="0"/>
                <wp:positionH relativeFrom="column">
                  <wp:posOffset>4473575</wp:posOffset>
                </wp:positionH>
                <wp:positionV relativeFrom="paragraph">
                  <wp:posOffset>-9386570</wp:posOffset>
                </wp:positionV>
                <wp:extent cx="1189990" cy="49530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189990" cy="4953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b/>
                                <w:bCs/>
                                <w:sz w:val="30"/>
                                <w:szCs w:val="30"/>
                                <w:lang w:val="en-US" w:eastAsia="zh-CN"/>
                              </w:rPr>
                            </w:pPr>
                            <w:r>
                              <w:rPr>
                                <w:rFonts w:hint="eastAsia"/>
                                <w:b/>
                                <w:bCs/>
                                <w:sz w:val="30"/>
                                <w:szCs w:val="30"/>
                                <w:lang w:eastAsia="zh-CN"/>
                              </w:rPr>
                              <w:t>附件</w:t>
                            </w:r>
                            <w:r>
                              <w:rPr>
                                <w:rFonts w:hint="eastAsia"/>
                                <w:b/>
                                <w:bCs/>
                                <w:sz w:val="30"/>
                                <w:szCs w:val="30"/>
                                <w:lang w:val="en-US" w:eastAsia="zh-CN"/>
                              </w:rPr>
                              <w:t>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2.25pt;margin-top:-739.1pt;height:39pt;width:93.7pt;z-index:-1951117312;mso-width-relative:page;mso-height-relative:page;" filled="f" stroked="f" coordsize="21600,21600" o:gfxdata="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PcJuEt8AAAAPAQAADwAAAAAAAAABACAAAAAi&#10;AAAAZHJzL2Rvd25yZXYueG1sUEsBAhQAFAAAAAgAh07iQI+tR9w8AgAAaAQAAA4AAAAAAAAAAQAg&#10;AAAALgEAAGRycy9lMm9Eb2MueG1sUEsFBgAAAAAGAAYAWQEAANwFAAAAAA==&#10;">
                <v:fill on="f" focussize="0,0"/>
                <v:stroke on="f" weight="0.5pt"/>
                <v:imagedata o:title=""/>
                <o:lock v:ext="edit" aspectratio="f"/>
                <v:textbox>
                  <w:txbxContent>
                    <w:p>
                      <w:pPr>
                        <w:jc w:val="center"/>
                        <w:rPr>
                          <w:rFonts w:hint="default" w:eastAsia="宋体"/>
                          <w:b/>
                          <w:bCs/>
                          <w:sz w:val="30"/>
                          <w:szCs w:val="30"/>
                          <w:lang w:val="en-US" w:eastAsia="zh-CN"/>
                        </w:rPr>
                      </w:pPr>
                      <w:r>
                        <w:rPr>
                          <w:rFonts w:hint="eastAsia"/>
                          <w:b/>
                          <w:bCs/>
                          <w:sz w:val="30"/>
                          <w:szCs w:val="30"/>
                          <w:lang w:eastAsia="zh-CN"/>
                        </w:rPr>
                        <w:t>附件</w:t>
                      </w:r>
                      <w:r>
                        <w:rPr>
                          <w:rFonts w:hint="eastAsia"/>
                          <w:b/>
                          <w:bCs/>
                          <w:sz w:val="30"/>
                          <w:szCs w:val="30"/>
                          <w:lang w:val="en-US" w:eastAsia="zh-CN"/>
                        </w:rPr>
                        <w:t>二</w:t>
                      </w:r>
                    </w:p>
                  </w:txbxContent>
                </v:textbox>
              </v:shape>
            </w:pict>
          </mc:Fallback>
        </mc:AlternateContent>
      </w:r>
      <w:r>
        <w:rPr>
          <w:rFonts w:hint="eastAsia" w:eastAsiaTheme="minorEastAsia"/>
          <w:lang w:eastAsia="zh-CN"/>
        </w:rPr>
        <w:drawing>
          <wp:anchor distT="0" distB="0" distL="114300" distR="114300" simplePos="0" relativeHeight="2343848960" behindDoc="0" locked="0" layoutInCell="1" allowOverlap="1">
            <wp:simplePos x="0" y="0"/>
            <wp:positionH relativeFrom="column">
              <wp:posOffset>-1038225</wp:posOffset>
            </wp:positionH>
            <wp:positionV relativeFrom="paragraph">
              <wp:posOffset>-401955</wp:posOffset>
            </wp:positionV>
            <wp:extent cx="7346950" cy="9858375"/>
            <wp:effectExtent l="0" t="0" r="6350" b="9525"/>
            <wp:wrapSquare wrapText="bothSides"/>
            <wp:docPr id="57" name="图片 57" descr="兴豫20200722164244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兴豫20200722164244_008"/>
                    <pic:cNvPicPr>
                      <a:picLocks noChangeAspect="1"/>
                    </pic:cNvPicPr>
                  </pic:nvPicPr>
                  <pic:blipFill>
                    <a:blip r:embed="rId31"/>
                    <a:stretch>
                      <a:fillRect/>
                    </a:stretch>
                  </pic:blipFill>
                  <pic:spPr>
                    <a:xfrm>
                      <a:off x="0" y="0"/>
                      <a:ext cx="7346950" cy="9858375"/>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sz w:val="21"/>
        </w:rPr>
        <mc:AlternateContent>
          <mc:Choice Requires="wps">
            <w:drawing>
              <wp:anchor distT="0" distB="0" distL="114300" distR="114300" simplePos="0" relativeHeight="521762816" behindDoc="0" locked="0" layoutInCell="1" allowOverlap="1">
                <wp:simplePos x="0" y="0"/>
                <wp:positionH relativeFrom="column">
                  <wp:posOffset>4492625</wp:posOffset>
                </wp:positionH>
                <wp:positionV relativeFrom="paragraph">
                  <wp:posOffset>-442595</wp:posOffset>
                </wp:positionV>
                <wp:extent cx="1200150" cy="495300"/>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1200150" cy="4953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b/>
                                <w:bCs/>
                                <w:sz w:val="30"/>
                                <w:szCs w:val="30"/>
                                <w:lang w:val="en-US" w:eastAsia="zh-CN"/>
                              </w:rPr>
                            </w:pPr>
                            <w:r>
                              <w:rPr>
                                <w:rFonts w:hint="eastAsia"/>
                                <w:b/>
                                <w:bCs/>
                                <w:sz w:val="30"/>
                                <w:szCs w:val="30"/>
                                <w:lang w:eastAsia="zh-CN"/>
                              </w:rPr>
                              <w:t>附件</w:t>
                            </w:r>
                            <w:r>
                              <w:rPr>
                                <w:rFonts w:hint="eastAsia"/>
                                <w:b/>
                                <w:bCs/>
                                <w:sz w:val="30"/>
                                <w:szCs w:val="30"/>
                                <w:lang w:val="en-US" w:eastAsia="zh-CN"/>
                              </w:rPr>
                              <w:t>三</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3.75pt;margin-top:-34.85pt;height:39pt;width:94.5pt;z-index:521762816;mso-width-relative:page;mso-height-relative:page;" filled="f" stroked="f" coordsize="21600,21600" o:gfxdata="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oNtPA2gAAAAkBAAAPAAAAAAAAAAEAIAAAACIAAABkcnMv&#10;ZG93bnJldi54bWxQSwECFAAUAAAACACHTuJAdHF1rjoCAABoBAAADgAAAAAAAAABACAAAAApAQAA&#10;ZHJzL2Uyb0RvYy54bWxQSwUGAAAAAAYABgBZAQAA1QUAAAAA&#10;">
                <v:fill on="f" focussize="0,0"/>
                <v:stroke on="f" weight="0.5pt"/>
                <v:imagedata o:title=""/>
                <o:lock v:ext="edit" aspectratio="f"/>
                <v:textbox>
                  <w:txbxContent>
                    <w:p>
                      <w:pPr>
                        <w:jc w:val="center"/>
                        <w:rPr>
                          <w:rFonts w:hint="default" w:eastAsia="宋体"/>
                          <w:b/>
                          <w:bCs/>
                          <w:sz w:val="30"/>
                          <w:szCs w:val="30"/>
                          <w:lang w:val="en-US" w:eastAsia="zh-CN"/>
                        </w:rPr>
                      </w:pPr>
                      <w:r>
                        <w:rPr>
                          <w:rFonts w:hint="eastAsia"/>
                          <w:b/>
                          <w:bCs/>
                          <w:sz w:val="30"/>
                          <w:szCs w:val="30"/>
                          <w:lang w:eastAsia="zh-CN"/>
                        </w:rPr>
                        <w:t>附件</w:t>
                      </w:r>
                      <w:r>
                        <w:rPr>
                          <w:rFonts w:hint="eastAsia"/>
                          <w:b/>
                          <w:bCs/>
                          <w:sz w:val="30"/>
                          <w:szCs w:val="30"/>
                          <w:lang w:val="en-US" w:eastAsia="zh-CN"/>
                        </w:rPr>
                        <w:t>三</w:t>
                      </w:r>
                    </w:p>
                  </w:txbxContent>
                </v:textbox>
              </v:shape>
            </w:pict>
          </mc:Fallback>
        </mc:AlternateContent>
      </w:r>
      <w:r>
        <w:rPr>
          <w:rFonts w:hint="eastAsia" w:eastAsiaTheme="minorEastAsia"/>
          <w:lang w:eastAsia="zh-CN"/>
        </w:rPr>
        <w:drawing>
          <wp:anchor distT="0" distB="0" distL="114300" distR="114300" simplePos="0" relativeHeight="1251053568" behindDoc="1" locked="0" layoutInCell="1" allowOverlap="1">
            <wp:simplePos x="0" y="0"/>
            <wp:positionH relativeFrom="column">
              <wp:posOffset>-1095375</wp:posOffset>
            </wp:positionH>
            <wp:positionV relativeFrom="paragraph">
              <wp:posOffset>-864870</wp:posOffset>
            </wp:positionV>
            <wp:extent cx="7372985" cy="10427335"/>
            <wp:effectExtent l="0" t="0" r="18415" b="12065"/>
            <wp:wrapNone/>
            <wp:docPr id="68" name="图片 68" descr="lADPDhYBNfgoeAvNEkTNDOo_3306_4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lADPDhYBNfgoeAvNEkTNDOo_3306_4676"/>
                    <pic:cNvPicPr>
                      <a:picLocks noChangeAspect="1"/>
                    </pic:cNvPicPr>
                  </pic:nvPicPr>
                  <pic:blipFill>
                    <a:blip r:embed="rId32"/>
                    <a:stretch>
                      <a:fillRect/>
                    </a:stretch>
                  </pic:blipFill>
                  <pic:spPr>
                    <a:xfrm>
                      <a:off x="0" y="0"/>
                      <a:ext cx="7372985" cy="10427335"/>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sz w:val="21"/>
        </w:rPr>
        <mc:AlternateContent>
          <mc:Choice Requires="wps">
            <w:drawing>
              <wp:anchor distT="0" distB="0" distL="114300" distR="114300" simplePos="0" relativeHeight="2766389248" behindDoc="0" locked="0" layoutInCell="1" allowOverlap="1">
                <wp:simplePos x="0" y="0"/>
                <wp:positionH relativeFrom="column">
                  <wp:posOffset>4711700</wp:posOffset>
                </wp:positionH>
                <wp:positionV relativeFrom="paragraph">
                  <wp:posOffset>-309245</wp:posOffset>
                </wp:positionV>
                <wp:extent cx="1304290" cy="495300"/>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1304290" cy="4953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b/>
                                <w:bCs/>
                                <w:sz w:val="30"/>
                                <w:szCs w:val="30"/>
                                <w:lang w:val="en-US" w:eastAsia="zh-CN"/>
                              </w:rPr>
                            </w:pPr>
                            <w:r>
                              <w:rPr>
                                <w:rFonts w:hint="eastAsia"/>
                                <w:b/>
                                <w:bCs/>
                                <w:sz w:val="30"/>
                                <w:szCs w:val="30"/>
                                <w:lang w:eastAsia="zh-CN"/>
                              </w:rPr>
                              <w:t>附件</w:t>
                            </w:r>
                            <w:r>
                              <w:rPr>
                                <w:rFonts w:hint="eastAsia"/>
                                <w:b/>
                                <w:bCs/>
                                <w:sz w:val="30"/>
                                <w:szCs w:val="30"/>
                                <w:lang w:val="en-US" w:eastAsia="zh-CN"/>
                              </w:rPr>
                              <w:t>四</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1pt;margin-top:-24.35pt;height:39pt;width:102.7pt;z-index:-1528578048;mso-width-relative:page;mso-height-relative:page;" filled="f" stroked="f" coordsize="21600,21600" o:gfxdata="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bXX03AAAAAoBAAAPAAAAAAAAAAEAIAAAACIAAABk&#10;cnMvZG93bnJldi54bWxQSwECFAAUAAAACACHTuJAK3OwxDsCAABoBAAADgAAAAAAAAABACAAAAAr&#10;AQAAZHJzL2Uyb0RvYy54bWxQSwUGAAAAAAYABgBZAQAA2AUAAAAA&#10;">
                <v:fill on="f" focussize="0,0"/>
                <v:stroke on="f" weight="0.5pt"/>
                <v:imagedata o:title=""/>
                <o:lock v:ext="edit" aspectratio="f"/>
                <v:textbox>
                  <w:txbxContent>
                    <w:p>
                      <w:pPr>
                        <w:jc w:val="center"/>
                        <w:rPr>
                          <w:rFonts w:hint="default" w:eastAsia="宋体"/>
                          <w:b/>
                          <w:bCs/>
                          <w:sz w:val="30"/>
                          <w:szCs w:val="30"/>
                          <w:lang w:val="en-US" w:eastAsia="zh-CN"/>
                        </w:rPr>
                      </w:pPr>
                      <w:r>
                        <w:rPr>
                          <w:rFonts w:hint="eastAsia"/>
                          <w:b/>
                          <w:bCs/>
                          <w:sz w:val="30"/>
                          <w:szCs w:val="30"/>
                          <w:lang w:eastAsia="zh-CN"/>
                        </w:rPr>
                        <w:t>附件</w:t>
                      </w:r>
                      <w:r>
                        <w:rPr>
                          <w:rFonts w:hint="eastAsia"/>
                          <w:b/>
                          <w:bCs/>
                          <w:sz w:val="30"/>
                          <w:szCs w:val="30"/>
                          <w:lang w:val="en-US" w:eastAsia="zh-CN"/>
                        </w:rPr>
                        <w:t>四</w:t>
                      </w:r>
                    </w:p>
                  </w:txbxContent>
                </v:textbox>
              </v:shape>
            </w:pict>
          </mc:Fallback>
        </mc:AlternateContent>
      </w:r>
      <w:r>
        <w:rPr>
          <w:rFonts w:hint="eastAsia" w:eastAsiaTheme="minorEastAsia"/>
          <w:lang w:eastAsia="zh-CN"/>
        </w:rPr>
        <w:drawing>
          <wp:anchor distT="0" distB="0" distL="114300" distR="114300" simplePos="0" relativeHeight="3573921792" behindDoc="1" locked="0" layoutInCell="1" allowOverlap="1">
            <wp:simplePos x="0" y="0"/>
            <wp:positionH relativeFrom="column">
              <wp:posOffset>-828675</wp:posOffset>
            </wp:positionH>
            <wp:positionV relativeFrom="paragraph">
              <wp:posOffset>-521970</wp:posOffset>
            </wp:positionV>
            <wp:extent cx="6816090" cy="9640570"/>
            <wp:effectExtent l="0" t="0" r="3810" b="17780"/>
            <wp:wrapNone/>
            <wp:docPr id="70" name="图片 70" descr="lADPGpqNbysUaKjNEkTNDOo_3306_4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lADPGpqNbysUaKjNEkTNDOo_3306_4676"/>
                    <pic:cNvPicPr>
                      <a:picLocks noChangeAspect="1"/>
                    </pic:cNvPicPr>
                  </pic:nvPicPr>
                  <pic:blipFill>
                    <a:blip r:embed="rId33"/>
                    <a:stretch>
                      <a:fillRect/>
                    </a:stretch>
                  </pic:blipFill>
                  <pic:spPr>
                    <a:xfrm>
                      <a:off x="0" y="0"/>
                      <a:ext cx="6816090" cy="9640570"/>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sz w:val="21"/>
        </w:rPr>
        <mc:AlternateContent>
          <mc:Choice Requires="wps">
            <w:drawing>
              <wp:anchor distT="0" distB="0" distL="114300" distR="114300" simplePos="0" relativeHeight="2309625856" behindDoc="0" locked="0" layoutInCell="1" allowOverlap="1">
                <wp:simplePos x="0" y="0"/>
                <wp:positionH relativeFrom="column">
                  <wp:posOffset>4425950</wp:posOffset>
                </wp:positionH>
                <wp:positionV relativeFrom="paragraph">
                  <wp:posOffset>-252095</wp:posOffset>
                </wp:positionV>
                <wp:extent cx="1361440" cy="495300"/>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1361440" cy="4953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b/>
                                <w:bCs/>
                                <w:sz w:val="30"/>
                                <w:szCs w:val="30"/>
                                <w:lang w:val="en-US" w:eastAsia="zh-CN"/>
                              </w:rPr>
                            </w:pPr>
                            <w:r>
                              <w:rPr>
                                <w:rFonts w:hint="eastAsia"/>
                                <w:b/>
                                <w:bCs/>
                                <w:sz w:val="30"/>
                                <w:szCs w:val="30"/>
                                <w:lang w:eastAsia="zh-CN"/>
                              </w:rPr>
                              <w:t>附件</w:t>
                            </w:r>
                            <w:r>
                              <w:rPr>
                                <w:rFonts w:hint="eastAsia"/>
                                <w:b/>
                                <w:bCs/>
                                <w:sz w:val="30"/>
                                <w:szCs w:val="30"/>
                                <w:lang w:val="en-US" w:eastAsia="zh-CN"/>
                              </w:rPr>
                              <w:t>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8.5pt;margin-top:-19.85pt;height:39pt;width:107.2pt;z-index:-1985341440;mso-width-relative:page;mso-height-relative:page;" filled="f" stroked="f" coordsize="21600,21600" o:gfxdata="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34lwl3AAAAAoBAAAPAAAAAAAAAAEAIAAAACIAAABk&#10;cnMvZG93bnJldi54bWxQSwECFAAUAAAACACHTuJAOCYQSTsCAABoBAAADgAAAAAAAAABACAAAAAr&#10;AQAAZHJzL2Uyb0RvYy54bWxQSwUGAAAAAAYABgBZAQAA2AUAAAAA&#10;">
                <v:fill on="f" focussize="0,0"/>
                <v:stroke on="f" weight="0.5pt"/>
                <v:imagedata o:title=""/>
                <o:lock v:ext="edit" aspectratio="f"/>
                <v:textbox>
                  <w:txbxContent>
                    <w:p>
                      <w:pPr>
                        <w:jc w:val="center"/>
                        <w:rPr>
                          <w:rFonts w:hint="default" w:eastAsia="宋体"/>
                          <w:b/>
                          <w:bCs/>
                          <w:sz w:val="30"/>
                          <w:szCs w:val="30"/>
                          <w:lang w:val="en-US" w:eastAsia="zh-CN"/>
                        </w:rPr>
                      </w:pPr>
                      <w:r>
                        <w:rPr>
                          <w:rFonts w:hint="eastAsia"/>
                          <w:b/>
                          <w:bCs/>
                          <w:sz w:val="30"/>
                          <w:szCs w:val="30"/>
                          <w:lang w:eastAsia="zh-CN"/>
                        </w:rPr>
                        <w:t>附件</w:t>
                      </w:r>
                      <w:r>
                        <w:rPr>
                          <w:rFonts w:hint="eastAsia"/>
                          <w:b/>
                          <w:bCs/>
                          <w:sz w:val="30"/>
                          <w:szCs w:val="30"/>
                          <w:lang w:val="en-US" w:eastAsia="zh-CN"/>
                        </w:rPr>
                        <w:t>五</w:t>
                      </w:r>
                    </w:p>
                  </w:txbxContent>
                </v:textbox>
              </v:shape>
            </w:pict>
          </mc:Fallback>
        </mc:AlternateContent>
      </w:r>
      <w:r>
        <w:rPr>
          <w:sz w:val="21"/>
        </w:rPr>
        <w:drawing>
          <wp:anchor distT="0" distB="0" distL="114300" distR="114300" simplePos="0" relativeHeight="4146471936" behindDoc="1" locked="0" layoutInCell="1" allowOverlap="1">
            <wp:simplePos x="0" y="0"/>
            <wp:positionH relativeFrom="column">
              <wp:posOffset>-1134745</wp:posOffset>
            </wp:positionH>
            <wp:positionV relativeFrom="paragraph">
              <wp:posOffset>-909955</wp:posOffset>
            </wp:positionV>
            <wp:extent cx="7562215" cy="10695305"/>
            <wp:effectExtent l="0" t="0" r="635" b="10795"/>
            <wp:wrapNone/>
            <wp:docPr id="72" name="图片 72" descr="兴豫20200722164244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兴豫20200722164244_001"/>
                    <pic:cNvPicPr>
                      <a:picLocks noChangeAspect="1"/>
                    </pic:cNvPicPr>
                  </pic:nvPicPr>
                  <pic:blipFill>
                    <a:blip r:embed="rId34"/>
                    <a:stretch>
                      <a:fillRect/>
                    </a:stretch>
                  </pic:blipFill>
                  <pic:spPr>
                    <a:xfrm>
                      <a:off x="0" y="0"/>
                      <a:ext cx="7562215" cy="10695305"/>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eastAsiaTheme="minorEastAsia"/>
          <w:lang w:eastAsia="zh-CN"/>
        </w:rPr>
        <w:drawing>
          <wp:anchor distT="0" distB="0" distL="114300" distR="114300" simplePos="0" relativeHeight="3417182208" behindDoc="1" locked="0" layoutInCell="1" allowOverlap="1">
            <wp:simplePos x="0" y="0"/>
            <wp:positionH relativeFrom="column">
              <wp:posOffset>-1134110</wp:posOffset>
            </wp:positionH>
            <wp:positionV relativeFrom="paragraph">
              <wp:posOffset>-900430</wp:posOffset>
            </wp:positionV>
            <wp:extent cx="7553960" cy="10683240"/>
            <wp:effectExtent l="0" t="0" r="8890" b="3810"/>
            <wp:wrapNone/>
            <wp:docPr id="75" name="图片 75" descr="兴豫20200722164244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兴豫20200722164244_005"/>
                    <pic:cNvPicPr>
                      <a:picLocks noChangeAspect="1"/>
                    </pic:cNvPicPr>
                  </pic:nvPicPr>
                  <pic:blipFill>
                    <a:blip r:embed="rId35"/>
                    <a:stretch>
                      <a:fillRect/>
                    </a:stretch>
                  </pic:blipFill>
                  <pic:spPr>
                    <a:xfrm>
                      <a:off x="0" y="0"/>
                      <a:ext cx="7553960" cy="10683240"/>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sz w:val="21"/>
        </w:rPr>
        <mc:AlternateContent>
          <mc:Choice Requires="wps">
            <w:drawing>
              <wp:anchor distT="0" distB="0" distL="114300" distR="114300" simplePos="0" relativeHeight="4095470592" behindDoc="0" locked="0" layoutInCell="1" allowOverlap="1">
                <wp:simplePos x="0" y="0"/>
                <wp:positionH relativeFrom="column">
                  <wp:posOffset>4692650</wp:posOffset>
                </wp:positionH>
                <wp:positionV relativeFrom="paragraph">
                  <wp:posOffset>-507365</wp:posOffset>
                </wp:positionV>
                <wp:extent cx="1209040" cy="495300"/>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1209040" cy="4953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b/>
                                <w:bCs/>
                                <w:sz w:val="30"/>
                                <w:szCs w:val="30"/>
                                <w:lang w:val="en-US" w:eastAsia="zh-CN"/>
                              </w:rPr>
                            </w:pPr>
                            <w:r>
                              <w:rPr>
                                <w:rFonts w:hint="eastAsia"/>
                                <w:b/>
                                <w:bCs/>
                                <w:sz w:val="30"/>
                                <w:szCs w:val="30"/>
                                <w:lang w:eastAsia="zh-CN"/>
                              </w:rPr>
                              <w:t>附件</w:t>
                            </w:r>
                            <w:r>
                              <w:rPr>
                                <w:rFonts w:hint="eastAsia"/>
                                <w:b/>
                                <w:bCs/>
                                <w:sz w:val="30"/>
                                <w:szCs w:val="30"/>
                                <w:lang w:val="en-US" w:eastAsia="zh-CN"/>
                              </w:rPr>
                              <w:t>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9.5pt;margin-top:-39.95pt;height:39pt;width:95.2pt;z-index:-199496704;mso-width-relative:page;mso-height-relative:page;" filled="f" stroked="f" coordsize="21600,21600" o:gfxdata="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xCq89wAAAAKAQAADwAAAAAAAAABACAAAAAiAAAA&#10;ZHJzL2Rvd25yZXYueG1sUEsBAhQAFAAAAAgAh07iQCb880c8AgAAaAQAAA4AAAAAAAAAAQAgAAAA&#10;KwEAAGRycy9lMm9Eb2MueG1sUEsFBgAAAAAGAAYAWQEAANkFAAAAAA==&#10;">
                <v:fill on="f" focussize="0,0"/>
                <v:stroke on="f" weight="0.5pt"/>
                <v:imagedata o:title=""/>
                <o:lock v:ext="edit" aspectratio="f"/>
                <v:textbox>
                  <w:txbxContent>
                    <w:p>
                      <w:pPr>
                        <w:jc w:val="center"/>
                        <w:rPr>
                          <w:rFonts w:hint="default" w:eastAsia="宋体"/>
                          <w:b/>
                          <w:bCs/>
                          <w:sz w:val="30"/>
                          <w:szCs w:val="30"/>
                          <w:lang w:val="en-US" w:eastAsia="zh-CN"/>
                        </w:rPr>
                      </w:pPr>
                      <w:r>
                        <w:rPr>
                          <w:rFonts w:hint="eastAsia"/>
                          <w:b/>
                          <w:bCs/>
                          <w:sz w:val="30"/>
                          <w:szCs w:val="30"/>
                          <w:lang w:eastAsia="zh-CN"/>
                        </w:rPr>
                        <w:t>附件</w:t>
                      </w:r>
                      <w:r>
                        <w:rPr>
                          <w:rFonts w:hint="eastAsia"/>
                          <w:b/>
                          <w:bCs/>
                          <w:sz w:val="30"/>
                          <w:szCs w:val="30"/>
                          <w:lang w:val="en-US" w:eastAsia="zh-CN"/>
                        </w:rPr>
                        <w:t>六</w:t>
                      </w:r>
                    </w:p>
                  </w:txbxContent>
                </v:textbox>
              </v:shape>
            </w:pict>
          </mc:Fallback>
        </mc:AlternateContent>
      </w:r>
      <w:r>
        <w:rPr>
          <w:rFonts w:hint="eastAsia" w:eastAsiaTheme="minorEastAsia"/>
          <w:lang w:eastAsia="zh-CN"/>
        </w:rPr>
        <w:drawing>
          <wp:anchor distT="0" distB="0" distL="114300" distR="114300" simplePos="0" relativeHeight="244528128" behindDoc="1" locked="0" layoutInCell="1" allowOverlap="1">
            <wp:simplePos x="0" y="0"/>
            <wp:positionH relativeFrom="column">
              <wp:posOffset>-1047750</wp:posOffset>
            </wp:positionH>
            <wp:positionV relativeFrom="paragraph">
              <wp:posOffset>-844550</wp:posOffset>
            </wp:positionV>
            <wp:extent cx="7422515" cy="10497820"/>
            <wp:effectExtent l="0" t="0" r="6985" b="17780"/>
            <wp:wrapNone/>
            <wp:docPr id="76" name="图片 76" descr="lADPGo_k8zz7_yTNEkTNDOo_3306_4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lADPGo_k8zz7_yTNEkTNDOo_3306_4676"/>
                    <pic:cNvPicPr>
                      <a:picLocks noChangeAspect="1"/>
                    </pic:cNvPicPr>
                  </pic:nvPicPr>
                  <pic:blipFill>
                    <a:blip r:embed="rId36"/>
                    <a:stretch>
                      <a:fillRect/>
                    </a:stretch>
                  </pic:blipFill>
                  <pic:spPr>
                    <a:xfrm>
                      <a:off x="0" y="0"/>
                      <a:ext cx="7422515" cy="10497820"/>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sz w:val="21"/>
        </w:rPr>
        <mc:AlternateContent>
          <mc:Choice Requires="wps">
            <w:drawing>
              <wp:anchor distT="0" distB="0" distL="114300" distR="114300" simplePos="0" relativeHeight="4088341504" behindDoc="0" locked="0" layoutInCell="1" allowOverlap="1">
                <wp:simplePos x="0" y="0"/>
                <wp:positionH relativeFrom="column">
                  <wp:posOffset>4692650</wp:posOffset>
                </wp:positionH>
                <wp:positionV relativeFrom="paragraph">
                  <wp:posOffset>-9224645</wp:posOffset>
                </wp:positionV>
                <wp:extent cx="1209040" cy="495300"/>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1209040" cy="4953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b/>
                                <w:bCs/>
                                <w:sz w:val="30"/>
                                <w:szCs w:val="30"/>
                                <w:lang w:val="en-US" w:eastAsia="zh-CN"/>
                              </w:rPr>
                            </w:pPr>
                            <w:r>
                              <w:rPr>
                                <w:rFonts w:hint="eastAsia"/>
                                <w:b/>
                                <w:bCs/>
                                <w:sz w:val="30"/>
                                <w:szCs w:val="30"/>
                                <w:lang w:eastAsia="zh-CN"/>
                              </w:rPr>
                              <w:t>附件</w:t>
                            </w:r>
                            <w:r>
                              <w:rPr>
                                <w:rFonts w:hint="eastAsia"/>
                                <w:b/>
                                <w:bCs/>
                                <w:sz w:val="30"/>
                                <w:szCs w:val="30"/>
                                <w:lang w:val="en-US" w:eastAsia="zh-CN"/>
                              </w:rPr>
                              <w:t>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9.5pt;margin-top:-726.35pt;height:39pt;width:95.2pt;z-index:-206625792;mso-width-relative:page;mso-height-relative:page;" filled="f" stroked="f" coordsize="21600,21600" o:gfxdata="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YeI7W+AAAAAPAQAADwAAAAAAAAABACAAAAAi&#10;AAAAZHJzL2Rvd25yZXYueG1sUEsBAhQAFAAAAAgAh07iQJw1WS47AgAAaAQAAA4AAAAAAAAAAQAg&#10;AAAALwEAAGRycy9lMm9Eb2MueG1sUEsFBgAAAAAGAAYAWQEAANwFAAAAAA==&#10;">
                <v:fill on="f" focussize="0,0"/>
                <v:stroke on="f" weight="0.5pt"/>
                <v:imagedata o:title=""/>
                <o:lock v:ext="edit" aspectratio="f"/>
                <v:textbox>
                  <w:txbxContent>
                    <w:p>
                      <w:pPr>
                        <w:jc w:val="center"/>
                        <w:rPr>
                          <w:rFonts w:hint="default" w:eastAsia="宋体"/>
                          <w:b/>
                          <w:bCs/>
                          <w:sz w:val="30"/>
                          <w:szCs w:val="30"/>
                          <w:lang w:val="en-US" w:eastAsia="zh-CN"/>
                        </w:rPr>
                      </w:pPr>
                      <w:r>
                        <w:rPr>
                          <w:rFonts w:hint="eastAsia"/>
                          <w:b/>
                          <w:bCs/>
                          <w:sz w:val="30"/>
                          <w:szCs w:val="30"/>
                          <w:lang w:eastAsia="zh-CN"/>
                        </w:rPr>
                        <w:t>附件</w:t>
                      </w:r>
                      <w:r>
                        <w:rPr>
                          <w:rFonts w:hint="eastAsia"/>
                          <w:b/>
                          <w:bCs/>
                          <w:sz w:val="30"/>
                          <w:szCs w:val="30"/>
                          <w:lang w:val="en-US" w:eastAsia="zh-CN"/>
                        </w:rPr>
                        <w:t>七</w:t>
                      </w:r>
                    </w:p>
                  </w:txbxContent>
                </v:textbox>
              </v:shape>
            </w:pict>
          </mc:Fallback>
        </mc:AlternateContent>
      </w:r>
      <w:r>
        <w:rPr>
          <w:sz w:val="21"/>
        </w:rPr>
        <w:drawing>
          <wp:anchor distT="0" distB="0" distL="114300" distR="114300" simplePos="0" relativeHeight="2852659200" behindDoc="0" locked="0" layoutInCell="1" allowOverlap="1">
            <wp:simplePos x="0" y="0"/>
            <wp:positionH relativeFrom="column">
              <wp:posOffset>-1066165</wp:posOffset>
            </wp:positionH>
            <wp:positionV relativeFrom="paragraph">
              <wp:posOffset>-693420</wp:posOffset>
            </wp:positionV>
            <wp:extent cx="7410450" cy="10384155"/>
            <wp:effectExtent l="0" t="0" r="0" b="17145"/>
            <wp:wrapSquare wrapText="bothSides"/>
            <wp:docPr id="77" name="图片 77" descr="兴豫20200722164244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兴豫20200722164244_002"/>
                    <pic:cNvPicPr>
                      <a:picLocks noChangeAspect="1"/>
                    </pic:cNvPicPr>
                  </pic:nvPicPr>
                  <pic:blipFill>
                    <a:blip r:embed="rId37"/>
                    <a:stretch>
                      <a:fillRect/>
                    </a:stretch>
                  </pic:blipFill>
                  <pic:spPr>
                    <a:xfrm>
                      <a:off x="0" y="0"/>
                      <a:ext cx="7410450" cy="10384155"/>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eastAsiaTheme="minorEastAsia"/>
          <w:lang w:eastAsia="zh-CN"/>
        </w:rPr>
        <w:drawing>
          <wp:anchor distT="0" distB="0" distL="114300" distR="114300" simplePos="0" relativeHeight="1745106944" behindDoc="0" locked="0" layoutInCell="1" allowOverlap="1">
            <wp:simplePos x="0" y="0"/>
            <wp:positionH relativeFrom="column">
              <wp:posOffset>-1038225</wp:posOffset>
            </wp:positionH>
            <wp:positionV relativeFrom="paragraph">
              <wp:posOffset>-737870</wp:posOffset>
            </wp:positionV>
            <wp:extent cx="7362825" cy="10268585"/>
            <wp:effectExtent l="0" t="0" r="9525" b="18415"/>
            <wp:wrapSquare wrapText="bothSides"/>
            <wp:docPr id="83" name="图片 83" descr="兴豫20200722164244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兴豫20200722164244_003"/>
                    <pic:cNvPicPr>
                      <a:picLocks noChangeAspect="1"/>
                    </pic:cNvPicPr>
                  </pic:nvPicPr>
                  <pic:blipFill>
                    <a:blip r:embed="rId38"/>
                    <a:stretch>
                      <a:fillRect/>
                    </a:stretch>
                  </pic:blipFill>
                  <pic:spPr>
                    <a:xfrm>
                      <a:off x="0" y="0"/>
                      <a:ext cx="7362825" cy="10268585"/>
                    </a:xfrm>
                    <a:prstGeom prst="rect">
                      <a:avLst/>
                    </a:prstGeom>
                  </pic:spPr>
                </pic:pic>
              </a:graphicData>
            </a:graphic>
          </wp:anchor>
        </w:drawing>
      </w:r>
    </w:p>
    <w:p>
      <w:pPr>
        <w:tabs>
          <w:tab w:val="left" w:pos="0"/>
        </w:tabs>
        <w:ind w:left="-161" w:leftChars="-67" w:firstLine="160" w:firstLineChars="67"/>
        <w:jc w:val="center"/>
        <w:rPr>
          <w:rFonts w:hint="default" w:eastAsia="宋体"/>
          <w:b/>
          <w:color w:val="FF0000"/>
          <w:sz w:val="28"/>
          <w:lang w:val="en-US" w:eastAsia="zh-CN"/>
        </w:rPr>
      </w:pPr>
      <w:r>
        <mc:AlternateContent>
          <mc:Choice Requires="wps">
            <w:drawing>
              <wp:anchor distT="0" distB="0" distL="114300" distR="114300" simplePos="0" relativeHeight="62256128" behindDoc="0" locked="0" layoutInCell="1" allowOverlap="1">
                <wp:simplePos x="0" y="0"/>
                <wp:positionH relativeFrom="column">
                  <wp:posOffset>4271645</wp:posOffset>
                </wp:positionH>
                <wp:positionV relativeFrom="paragraph">
                  <wp:posOffset>-238760</wp:posOffset>
                </wp:positionV>
                <wp:extent cx="1689100" cy="46355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689100" cy="463550"/>
                        </a:xfrm>
                        <a:prstGeom prst="rect">
                          <a:avLst/>
                        </a:prstGeom>
                        <a:noFill/>
                        <a:ln w="6350">
                          <a:noFill/>
                        </a:ln>
                        <a:effectLst/>
                      </wps:spPr>
                      <wps:txbx>
                        <w:txbxContent>
                          <w:p>
                            <w:pPr>
                              <w:jc w:val="center"/>
                              <w:rPr>
                                <w:rFonts w:hint="default" w:ascii="宋体" w:hAnsi="宋体" w:eastAsia="宋体" w:cs="宋体"/>
                                <w:b/>
                                <w:bCs/>
                                <w:sz w:val="28"/>
                                <w:szCs w:val="28"/>
                                <w:lang w:val="en-US" w:eastAsia="zh-CN"/>
                              </w:rPr>
                            </w:pPr>
                            <w:r>
                              <w:rPr>
                                <w:rFonts w:hint="eastAsia" w:ascii="宋体" w:hAnsi="宋体" w:eastAsia="宋体" w:cs="宋体"/>
                                <w:b/>
                                <w:bCs/>
                                <w:sz w:val="28"/>
                                <w:szCs w:val="28"/>
                              </w:rPr>
                              <w:t>附件</w:t>
                            </w:r>
                            <w:r>
                              <w:rPr>
                                <w:rFonts w:hint="eastAsia" w:ascii="宋体" w:hAnsi="宋体" w:cs="宋体"/>
                                <w:b/>
                                <w:bCs/>
                                <w:sz w:val="28"/>
                                <w:szCs w:val="28"/>
                                <w:lang w:val="en-US" w:eastAsia="zh-CN"/>
                              </w:rPr>
                              <w:t>八</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6.35pt;margin-top:-18.8pt;height:36.5pt;width:133pt;z-index:62256128;mso-width-relative:page;mso-height-relative:page;" filled="f" stroked="f" coordsize="21600,21600" o:gfxdata="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Sa51i9wAAAAKAQAADwAAAAAAAAABACAA&#10;AAAiAAAAZHJzL2Rvd25yZXYueG1sUEsBAhQAFAAAAAgAh07iQJ2e+txCAgAAdgQAAA4AAAAAAAAA&#10;AQAgAAAAKwEAAGRycy9lMm9Eb2MueG1sUEsFBgAAAAAGAAYAWQEAAN8FAAAAAA==&#10;">
                <v:fill on="f" focussize="0,0"/>
                <v:stroke on="f" weight="0.5pt"/>
                <v:imagedata o:title=""/>
                <o:lock v:ext="edit" aspectratio="f"/>
                <v:textbox>
                  <w:txbxContent>
                    <w:p>
                      <w:pPr>
                        <w:jc w:val="center"/>
                        <w:rPr>
                          <w:rFonts w:hint="default" w:ascii="宋体" w:hAnsi="宋体" w:eastAsia="宋体" w:cs="宋体"/>
                          <w:b/>
                          <w:bCs/>
                          <w:sz w:val="28"/>
                          <w:szCs w:val="28"/>
                          <w:lang w:val="en-US" w:eastAsia="zh-CN"/>
                        </w:rPr>
                      </w:pPr>
                      <w:r>
                        <w:rPr>
                          <w:rFonts w:hint="eastAsia" w:ascii="宋体" w:hAnsi="宋体" w:eastAsia="宋体" w:cs="宋体"/>
                          <w:b/>
                          <w:bCs/>
                          <w:sz w:val="28"/>
                          <w:szCs w:val="28"/>
                        </w:rPr>
                        <w:t>附件</w:t>
                      </w:r>
                      <w:r>
                        <w:rPr>
                          <w:rFonts w:hint="eastAsia" w:ascii="宋体" w:hAnsi="宋体" w:cs="宋体"/>
                          <w:b/>
                          <w:bCs/>
                          <w:sz w:val="28"/>
                          <w:szCs w:val="28"/>
                          <w:lang w:val="en-US" w:eastAsia="zh-CN"/>
                        </w:rPr>
                        <w:t>八</w:t>
                      </w:r>
                    </w:p>
                  </w:txbxContent>
                </v:textbox>
              </v:shape>
            </w:pict>
          </mc:Fallback>
        </mc:AlternateContent>
      </w:r>
      <w:r>
        <w:rPr>
          <w:rFonts w:hint="eastAsia"/>
          <w:b/>
          <w:sz w:val="28"/>
        </w:rPr>
        <w:t>建设项目土壤环境影响评价自查表</w:t>
      </w:r>
    </w:p>
    <w:tbl>
      <w:tblPr>
        <w:tblStyle w:val="21"/>
        <w:tblW w:w="917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Layout w:type="fixed"/>
        <w:tblCellMar>
          <w:top w:w="0" w:type="dxa"/>
          <w:left w:w="0" w:type="dxa"/>
          <w:bottom w:w="0" w:type="dxa"/>
          <w:right w:w="0" w:type="dxa"/>
        </w:tblCellMar>
      </w:tblPr>
      <w:tblGrid>
        <w:gridCol w:w="477"/>
        <w:gridCol w:w="1860"/>
        <w:gridCol w:w="1417"/>
        <w:gridCol w:w="1410"/>
        <w:gridCol w:w="885"/>
        <w:gridCol w:w="413"/>
        <w:gridCol w:w="2087"/>
        <w:gridCol w:w="62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2337" w:type="dxa"/>
            <w:gridSpan w:val="2"/>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工作内容</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完成情况</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hint="eastAsia" w:ascii="Times New Roman" w:hAnsi="Times New Roman"/>
                <w:kern w:val="0"/>
                <w:sz w:val="21"/>
                <w:szCs w:val="21"/>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restart"/>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影响识别</w:t>
            </w: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影响类型</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Theme="minorEastAsia"/>
                <w:kern w:val="0"/>
                <w:sz w:val="21"/>
                <w:szCs w:val="21"/>
                <w:lang w:eastAsia="zh-CN"/>
              </w:rPr>
            </w:pPr>
            <w:r>
              <w:rPr>
                <w:rFonts w:ascii="Times New Roman" w:hAnsi="Times New Roman"/>
                <w:kern w:val="0"/>
                <w:sz w:val="21"/>
                <w:szCs w:val="21"/>
              </w:rPr>
              <w:t>污染影响型</w:t>
            </w:r>
            <w:r>
              <w:rPr>
                <w:rFonts w:ascii="Times New Roman" w:hAnsi="Times New Roman" w:cs="Times New Roman"/>
                <w:sz w:val="21"/>
                <w:szCs w:val="21"/>
              </w:rPr>
              <w:sym w:font="Wingdings" w:char="00FE"/>
            </w:r>
            <w:r>
              <w:rPr>
                <w:rFonts w:ascii="Times New Roman" w:hAnsi="Times New Roman"/>
                <w:kern w:val="0"/>
                <w:sz w:val="21"/>
                <w:szCs w:val="21"/>
              </w:rPr>
              <w:t>；生态影响型</w:t>
            </w:r>
            <w:r>
              <w:rPr>
                <w:rFonts w:hint="eastAsia" w:ascii="Times New Roman" w:hAnsi="Times New Roman"/>
                <w:kern w:val="0"/>
                <w:sz w:val="21"/>
                <w:szCs w:val="21"/>
                <w:lang w:eastAsia="zh-CN"/>
              </w:rPr>
              <w:t>□</w:t>
            </w:r>
            <w:r>
              <w:rPr>
                <w:rFonts w:ascii="Times New Roman" w:hAnsi="Times New Roman"/>
                <w:kern w:val="0"/>
                <w:sz w:val="21"/>
                <w:szCs w:val="21"/>
              </w:rPr>
              <w:t>；两种兼有</w:t>
            </w:r>
            <w:r>
              <w:rPr>
                <w:rFonts w:hint="eastAsia" w:ascii="Times New Roman" w:hAnsi="Times New Roman"/>
                <w:kern w:val="0"/>
                <w:sz w:val="21"/>
                <w:szCs w:val="21"/>
                <w:lang w:eastAsia="zh-CN"/>
              </w:rPr>
              <w:t>□</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土地利用类型</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Theme="minorEastAsia"/>
                <w:kern w:val="0"/>
                <w:sz w:val="21"/>
                <w:szCs w:val="21"/>
                <w:lang w:eastAsia="zh-CN"/>
              </w:rPr>
            </w:pPr>
            <w:r>
              <w:rPr>
                <w:rFonts w:ascii="Times New Roman" w:hAnsi="Times New Roman"/>
                <w:kern w:val="0"/>
                <w:sz w:val="21"/>
                <w:szCs w:val="21"/>
              </w:rPr>
              <w:t>建设用地</w:t>
            </w:r>
            <w:r>
              <w:rPr>
                <w:rFonts w:ascii="Times New Roman" w:hAnsi="Times New Roman" w:cs="Times New Roman"/>
                <w:sz w:val="21"/>
                <w:szCs w:val="21"/>
              </w:rPr>
              <w:sym w:font="Wingdings" w:char="00FE"/>
            </w:r>
            <w:r>
              <w:rPr>
                <w:rFonts w:ascii="Times New Roman" w:hAnsi="Times New Roman"/>
                <w:kern w:val="0"/>
                <w:sz w:val="21"/>
                <w:szCs w:val="21"/>
              </w:rPr>
              <w:t>；农用地</w:t>
            </w:r>
            <w:r>
              <w:rPr>
                <w:rFonts w:hint="eastAsia" w:ascii="Times New Roman" w:hAnsi="Times New Roman"/>
                <w:kern w:val="0"/>
                <w:sz w:val="21"/>
                <w:szCs w:val="21"/>
                <w:lang w:eastAsia="zh-CN"/>
              </w:rPr>
              <w:t>□</w:t>
            </w:r>
            <w:r>
              <w:rPr>
                <w:rFonts w:ascii="Times New Roman" w:hAnsi="Times New Roman"/>
                <w:kern w:val="0"/>
                <w:sz w:val="21"/>
                <w:szCs w:val="21"/>
              </w:rPr>
              <w:t>；未利用地</w:t>
            </w:r>
            <w:r>
              <w:rPr>
                <w:rFonts w:hint="eastAsia" w:ascii="Times New Roman" w:hAnsi="Times New Roman"/>
                <w:kern w:val="0"/>
                <w:sz w:val="21"/>
                <w:szCs w:val="21"/>
                <w:lang w:eastAsia="zh-CN"/>
              </w:rPr>
              <w:t>□</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占地规模</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hint="eastAsia"/>
                <w:kern w:val="0"/>
                <w:sz w:val="21"/>
                <w:szCs w:val="21"/>
                <w:lang w:val="en-US" w:eastAsia="zh-CN"/>
              </w:rPr>
              <w:t>3150</w:t>
            </w:r>
            <w:r>
              <w:rPr>
                <w:rFonts w:ascii="Times New Roman" w:hAnsi="Times New Roman"/>
                <w:kern w:val="0"/>
                <w:sz w:val="21"/>
                <w:szCs w:val="21"/>
              </w:rPr>
              <w:t>m</w:t>
            </w:r>
            <w:r>
              <w:rPr>
                <w:rFonts w:ascii="Times New Roman" w:hAnsi="Times New Roman"/>
                <w:kern w:val="0"/>
                <w:sz w:val="21"/>
                <w:szCs w:val="21"/>
                <w:vertAlign w:val="superscript"/>
              </w:rPr>
              <w:t>2</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color w:val="000000"/>
                <w:kern w:val="0"/>
                <w:sz w:val="21"/>
                <w:szCs w:val="21"/>
              </w:rPr>
            </w:pPr>
            <w:r>
              <w:rPr>
                <w:rFonts w:ascii="Times New Roman" w:hAnsi="Times New Roman"/>
                <w:color w:val="000000"/>
                <w:kern w:val="0"/>
                <w:sz w:val="21"/>
                <w:szCs w:val="21"/>
              </w:rPr>
              <w:t>敏感目标信息</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color w:val="000000"/>
                <w:kern w:val="0"/>
                <w:sz w:val="21"/>
                <w:szCs w:val="21"/>
              </w:rPr>
            </w:pPr>
            <w:r>
              <w:rPr>
                <w:rFonts w:hint="eastAsia" w:ascii="Times New Roman" w:hAnsi="Times New Roman"/>
                <w:color w:val="000000"/>
                <w:kern w:val="0"/>
                <w:sz w:val="21"/>
                <w:szCs w:val="21"/>
              </w:rPr>
              <w:t>敏感</w:t>
            </w:r>
            <w:r>
              <w:rPr>
                <w:rFonts w:ascii="Times New Roman" w:hAnsi="Times New Roman"/>
                <w:color w:val="000000"/>
                <w:kern w:val="0"/>
                <w:sz w:val="21"/>
                <w:szCs w:val="21"/>
              </w:rPr>
              <w:t>目标（</w:t>
            </w:r>
            <w:r>
              <w:rPr>
                <w:rFonts w:hint="eastAsia" w:ascii="Times New Roman" w:hAnsi="Times New Roman"/>
                <w:color w:val="000000"/>
                <w:kern w:val="0"/>
                <w:sz w:val="21"/>
                <w:szCs w:val="21"/>
              </w:rPr>
              <w:t>无</w:t>
            </w:r>
            <w:r>
              <w:rPr>
                <w:rFonts w:ascii="Times New Roman" w:hAnsi="Times New Roman"/>
                <w:color w:val="000000"/>
                <w:kern w:val="0"/>
                <w:sz w:val="21"/>
                <w:szCs w:val="21"/>
              </w:rPr>
              <w:t>）</w:t>
            </w:r>
            <w:r>
              <w:rPr>
                <w:rFonts w:hint="eastAsia" w:ascii="Times New Roman" w:hAnsi="Times New Roman"/>
                <w:color w:val="000000"/>
                <w:kern w:val="0"/>
                <w:sz w:val="21"/>
                <w:szCs w:val="21"/>
              </w:rPr>
              <w:t>、</w:t>
            </w:r>
            <w:r>
              <w:rPr>
                <w:rFonts w:ascii="Times New Roman" w:hAnsi="Times New Roman"/>
                <w:color w:val="000000"/>
                <w:kern w:val="0"/>
                <w:sz w:val="21"/>
                <w:szCs w:val="21"/>
              </w:rPr>
              <w:t>方位（</w:t>
            </w:r>
            <w:r>
              <w:rPr>
                <w:rFonts w:hint="eastAsia" w:ascii="Times New Roman" w:hAnsi="Times New Roman"/>
                <w:color w:val="000000"/>
                <w:kern w:val="0"/>
                <w:sz w:val="21"/>
                <w:szCs w:val="21"/>
              </w:rPr>
              <w:t>/</w:t>
            </w:r>
            <w:r>
              <w:rPr>
                <w:rFonts w:ascii="Times New Roman" w:hAnsi="Times New Roman"/>
                <w:color w:val="000000"/>
                <w:kern w:val="0"/>
                <w:sz w:val="21"/>
                <w:szCs w:val="21"/>
              </w:rPr>
              <w:t>）</w:t>
            </w:r>
            <w:r>
              <w:rPr>
                <w:rFonts w:hint="eastAsia" w:ascii="Times New Roman" w:hAnsi="Times New Roman"/>
                <w:color w:val="000000"/>
                <w:kern w:val="0"/>
                <w:sz w:val="21"/>
                <w:szCs w:val="21"/>
              </w:rPr>
              <w:t>、</w:t>
            </w:r>
            <w:r>
              <w:rPr>
                <w:rFonts w:ascii="Times New Roman" w:hAnsi="Times New Roman"/>
                <w:color w:val="000000"/>
                <w:kern w:val="0"/>
                <w:sz w:val="21"/>
                <w:szCs w:val="21"/>
              </w:rPr>
              <w:t>距离（</w:t>
            </w:r>
            <w:r>
              <w:rPr>
                <w:rFonts w:hint="eastAsia" w:ascii="Times New Roman" w:hAnsi="Times New Roman"/>
                <w:color w:val="000000"/>
                <w:kern w:val="0"/>
                <w:sz w:val="21"/>
                <w:szCs w:val="21"/>
              </w:rPr>
              <w:t>/</w:t>
            </w:r>
            <w:r>
              <w:rPr>
                <w:rFonts w:ascii="Times New Roman" w:hAnsi="Times New Roman"/>
                <w:color w:val="000000"/>
                <w:kern w:val="0"/>
                <w:sz w:val="21"/>
                <w:szCs w:val="21"/>
              </w:rPr>
              <w:t>）</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影响途径</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大气沉降</w:t>
            </w:r>
            <w:r>
              <w:rPr>
                <w:rFonts w:ascii="Times New Roman" w:hAnsi="Times New Roman" w:cs="Times New Roman"/>
                <w:sz w:val="21"/>
                <w:szCs w:val="21"/>
              </w:rPr>
              <w:sym w:font="Wingdings" w:char="00A8"/>
            </w:r>
            <w:r>
              <w:rPr>
                <w:rFonts w:ascii="Times New Roman" w:hAnsi="Times New Roman"/>
                <w:kern w:val="0"/>
                <w:sz w:val="21"/>
                <w:szCs w:val="21"/>
              </w:rPr>
              <w:t>；地面漫流</w:t>
            </w:r>
            <w:r>
              <w:rPr>
                <w:rFonts w:ascii="Times New Roman" w:hAnsi="Times New Roman" w:cs="Times New Roman"/>
                <w:sz w:val="21"/>
                <w:szCs w:val="21"/>
              </w:rPr>
              <w:sym w:font="Wingdings" w:char="00FE"/>
            </w:r>
            <w:r>
              <w:rPr>
                <w:rFonts w:ascii="Times New Roman" w:hAnsi="Times New Roman"/>
                <w:kern w:val="0"/>
                <w:sz w:val="21"/>
                <w:szCs w:val="21"/>
              </w:rPr>
              <w:t>；垂直渗入</w:t>
            </w:r>
            <w:r>
              <w:rPr>
                <w:rFonts w:hint="eastAsia" w:ascii="Times New Roman" w:hAnsi="Times New Roman"/>
                <w:kern w:val="0"/>
                <w:sz w:val="21"/>
                <w:szCs w:val="21"/>
                <w:lang w:eastAsia="zh-CN"/>
              </w:rPr>
              <w:t>□</w:t>
            </w:r>
            <w:r>
              <w:rPr>
                <w:rFonts w:ascii="Times New Roman" w:hAnsi="Times New Roman"/>
                <w:kern w:val="0"/>
                <w:sz w:val="21"/>
                <w:szCs w:val="21"/>
              </w:rPr>
              <w:t>；地下水位</w:t>
            </w:r>
            <w:r>
              <w:rPr>
                <w:rFonts w:hint="eastAsia" w:ascii="Times New Roman" w:hAnsi="Times New Roman"/>
                <w:kern w:val="0"/>
                <w:sz w:val="21"/>
                <w:szCs w:val="21"/>
                <w:lang w:eastAsia="zh-CN"/>
              </w:rPr>
              <w:t>□</w:t>
            </w:r>
            <w:r>
              <w:rPr>
                <w:rFonts w:ascii="Times New Roman" w:hAnsi="Times New Roman"/>
                <w:kern w:val="0"/>
                <w:sz w:val="21"/>
                <w:szCs w:val="21"/>
              </w:rPr>
              <w:t>；其他（）</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全部污染物</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kern w:val="0"/>
                <w:sz w:val="21"/>
                <w:szCs w:val="21"/>
              </w:rPr>
            </w:pPr>
            <w:r>
              <w:rPr>
                <w:rFonts w:hint="eastAsia" w:ascii="Times New Roman" w:hAnsi="Times New Roman"/>
                <w:kern w:val="0"/>
                <w:sz w:val="21"/>
                <w:szCs w:val="21"/>
              </w:rPr>
              <w:t>45项因子、石油烃</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特征因子</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hint="eastAsia" w:ascii="Times New Roman" w:hAnsi="Times New Roman"/>
                <w:kern w:val="0"/>
                <w:sz w:val="21"/>
                <w:szCs w:val="21"/>
              </w:rPr>
              <w:t>石油烃</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所属土壤环境影响评价项目类别</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Theme="minorEastAsia"/>
                <w:kern w:val="0"/>
                <w:sz w:val="21"/>
                <w:szCs w:val="21"/>
                <w:lang w:eastAsia="zh-CN"/>
              </w:rPr>
            </w:pPr>
            <w:r>
              <w:rPr>
                <w:rFonts w:ascii="Times New Roman" w:hAnsi="Times New Roman"/>
                <w:kern w:val="0"/>
                <w:sz w:val="21"/>
                <w:szCs w:val="21"/>
              </w:rPr>
              <w:t>I类</w:t>
            </w:r>
            <w:r>
              <w:rPr>
                <w:rFonts w:hint="eastAsia" w:ascii="Times New Roman" w:hAnsi="Times New Roman"/>
                <w:kern w:val="0"/>
                <w:sz w:val="21"/>
                <w:szCs w:val="21"/>
                <w:lang w:eastAsia="zh-CN"/>
              </w:rPr>
              <w:t>□</w:t>
            </w:r>
            <w:r>
              <w:rPr>
                <w:rFonts w:ascii="Times New Roman" w:hAnsi="Times New Roman"/>
                <w:kern w:val="0"/>
                <w:sz w:val="21"/>
                <w:szCs w:val="21"/>
              </w:rPr>
              <w:t>；Ⅱ类</w:t>
            </w:r>
            <w:r>
              <w:rPr>
                <w:rFonts w:ascii="Times New Roman" w:hAnsi="Times New Roman" w:cs="Times New Roman"/>
                <w:sz w:val="21"/>
                <w:szCs w:val="21"/>
              </w:rPr>
              <w:sym w:font="Wingdings" w:char="00A8"/>
            </w:r>
            <w:r>
              <w:rPr>
                <w:rFonts w:ascii="Times New Roman" w:hAnsi="Times New Roman"/>
                <w:kern w:val="0"/>
                <w:sz w:val="21"/>
                <w:szCs w:val="21"/>
              </w:rPr>
              <w:t>；Ⅲ类</w:t>
            </w:r>
            <w:r>
              <w:rPr>
                <w:rFonts w:hint="eastAsia" w:ascii="MS Gothic" w:hAnsi="MS Gothic" w:eastAsia="宋体" w:cs="MS Gothic"/>
                <w:kern w:val="0"/>
                <w:sz w:val="21"/>
                <w:szCs w:val="21"/>
                <w:lang w:eastAsia="zh-CN"/>
              </w:rPr>
              <w:t>☑</w:t>
            </w:r>
            <w:r>
              <w:rPr>
                <w:rFonts w:ascii="Times New Roman" w:hAnsi="Times New Roman"/>
                <w:kern w:val="0"/>
                <w:sz w:val="21"/>
                <w:szCs w:val="21"/>
              </w:rPr>
              <w:t>；Ⅳ类</w:t>
            </w:r>
            <w:r>
              <w:rPr>
                <w:rFonts w:hint="eastAsia" w:ascii="Times New Roman" w:hAnsi="Times New Roman"/>
                <w:kern w:val="0"/>
                <w:sz w:val="21"/>
                <w:szCs w:val="21"/>
                <w:lang w:eastAsia="zh-CN"/>
              </w:rPr>
              <w:t>□</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敏感程度</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敏感</w:t>
            </w:r>
            <w:r>
              <w:rPr>
                <w:rFonts w:hint="eastAsia" w:ascii="MS Gothic" w:hAnsi="MS Gothic" w:eastAsia="MS Gothic" w:cs="MS Gothic"/>
                <w:kern w:val="0"/>
                <w:sz w:val="21"/>
                <w:szCs w:val="21"/>
              </w:rPr>
              <w:t>☑</w:t>
            </w:r>
            <w:r>
              <w:rPr>
                <w:rFonts w:ascii="Times New Roman" w:hAnsi="Times New Roman"/>
                <w:kern w:val="0"/>
                <w:sz w:val="21"/>
                <w:szCs w:val="21"/>
              </w:rPr>
              <w:t>；较敏感□；不敏感</w:t>
            </w:r>
            <w:r>
              <w:rPr>
                <w:rFonts w:ascii="Times New Roman" w:hAnsi="Times New Roman" w:cs="Times New Roman"/>
                <w:sz w:val="21"/>
                <w:szCs w:val="21"/>
              </w:rPr>
              <w:sym w:font="Wingdings" w:char="00A8"/>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2337" w:type="dxa"/>
            <w:gridSpan w:val="2"/>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评价工作等级</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kern w:val="0"/>
                <w:sz w:val="21"/>
                <w:szCs w:val="21"/>
              </w:rPr>
            </w:pPr>
            <w:r>
              <w:rPr>
                <w:rFonts w:ascii="Times New Roman" w:hAnsi="Times New Roman"/>
                <w:kern w:val="0"/>
                <w:sz w:val="21"/>
                <w:szCs w:val="21"/>
              </w:rPr>
              <w:t>一级□；二级</w:t>
            </w:r>
            <w:r>
              <w:rPr>
                <w:rFonts w:ascii="Times New Roman" w:hAnsi="Times New Roman" w:cs="Times New Roman"/>
                <w:sz w:val="21"/>
                <w:szCs w:val="21"/>
              </w:rPr>
              <w:sym w:font="Wingdings" w:char="00A8"/>
            </w:r>
            <w:r>
              <w:rPr>
                <w:rFonts w:ascii="Times New Roman" w:hAnsi="Times New Roman"/>
                <w:kern w:val="0"/>
                <w:sz w:val="21"/>
                <w:szCs w:val="21"/>
              </w:rPr>
              <w:t>；三级</w:t>
            </w:r>
            <w:r>
              <w:rPr>
                <w:rFonts w:hint="eastAsia" w:ascii="MS Gothic" w:hAnsi="MS Gothic" w:eastAsia="MS Gothic" w:cs="MS Gothic"/>
                <w:kern w:val="0"/>
                <w:sz w:val="21"/>
                <w:szCs w:val="21"/>
              </w:rPr>
              <w:t>☑</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restart"/>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现状调查内容</w:t>
            </w: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资料收集</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hint="eastAsia" w:ascii="Times New Roman" w:hAnsi="Times New Roman"/>
                <w:kern w:val="0"/>
                <w:sz w:val="21"/>
                <w:szCs w:val="21"/>
              </w:rPr>
              <w:t>a）</w:t>
            </w:r>
            <w:r>
              <w:rPr>
                <w:rFonts w:ascii="Times New Roman" w:hAnsi="Times New Roman"/>
                <w:kern w:val="0"/>
                <w:sz w:val="21"/>
                <w:szCs w:val="21"/>
              </w:rPr>
              <w:t>□；</w:t>
            </w:r>
            <w:r>
              <w:rPr>
                <w:rFonts w:hint="eastAsia" w:ascii="Times New Roman" w:hAnsi="Times New Roman"/>
                <w:kern w:val="0"/>
                <w:sz w:val="21"/>
                <w:szCs w:val="21"/>
              </w:rPr>
              <w:t>b）</w:t>
            </w:r>
            <w:r>
              <w:rPr>
                <w:rFonts w:ascii="Times New Roman" w:hAnsi="Times New Roman"/>
                <w:kern w:val="0"/>
                <w:sz w:val="21"/>
                <w:szCs w:val="21"/>
              </w:rPr>
              <w:t>□；</w:t>
            </w:r>
            <w:r>
              <w:rPr>
                <w:rFonts w:hint="eastAsia" w:ascii="Times New Roman" w:hAnsi="Times New Roman"/>
                <w:kern w:val="0"/>
                <w:sz w:val="21"/>
                <w:szCs w:val="21"/>
              </w:rPr>
              <w:t>c）</w:t>
            </w:r>
            <w:r>
              <w:rPr>
                <w:rFonts w:ascii="Times New Roman" w:hAnsi="Times New Roman"/>
                <w:kern w:val="0"/>
                <w:sz w:val="21"/>
                <w:szCs w:val="21"/>
              </w:rPr>
              <w:t>□；</w:t>
            </w:r>
            <w:r>
              <w:rPr>
                <w:rFonts w:hint="eastAsia" w:ascii="Times New Roman" w:hAnsi="Times New Roman"/>
                <w:kern w:val="0"/>
                <w:sz w:val="21"/>
                <w:szCs w:val="21"/>
              </w:rPr>
              <w:t>d）</w:t>
            </w:r>
            <w:r>
              <w:rPr>
                <w:rFonts w:ascii="Times New Roman" w:hAnsi="Times New Roman"/>
                <w:kern w:val="0"/>
                <w:sz w:val="21"/>
                <w:szCs w:val="21"/>
              </w:rPr>
              <w:t>□；</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理化性质</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kern w:val="0"/>
                <w:sz w:val="21"/>
                <w:szCs w:val="21"/>
              </w:rPr>
            </w:pPr>
            <w:r>
              <w:rPr>
                <w:rFonts w:hint="eastAsia" w:ascii="Times New Roman" w:hAnsi="Times New Roman"/>
                <w:kern w:val="0"/>
                <w:sz w:val="21"/>
                <w:szCs w:val="21"/>
              </w:rPr>
              <w:t>/</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vMerge w:val="restart"/>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现状监测点位</w:t>
            </w:r>
          </w:p>
        </w:tc>
        <w:tc>
          <w:tcPr>
            <w:tcW w:w="1417"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41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占地范围内</w:t>
            </w:r>
          </w:p>
        </w:tc>
        <w:tc>
          <w:tcPr>
            <w:tcW w:w="1298" w:type="dxa"/>
            <w:gridSpan w:val="2"/>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占地范围外</w:t>
            </w:r>
          </w:p>
        </w:tc>
        <w:tc>
          <w:tcPr>
            <w:tcW w:w="2087"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深度</w:t>
            </w:r>
          </w:p>
        </w:tc>
        <w:tc>
          <w:tcPr>
            <w:tcW w:w="621" w:type="dxa"/>
            <w:vMerge w:val="restart"/>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417"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表层样点数</w:t>
            </w:r>
          </w:p>
        </w:tc>
        <w:tc>
          <w:tcPr>
            <w:tcW w:w="141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kern w:val="0"/>
                <w:sz w:val="21"/>
                <w:szCs w:val="21"/>
              </w:rPr>
            </w:pPr>
            <w:r>
              <w:rPr>
                <w:rFonts w:hint="eastAsia" w:ascii="Times New Roman" w:hAnsi="Times New Roman"/>
                <w:kern w:val="0"/>
                <w:sz w:val="21"/>
                <w:szCs w:val="21"/>
              </w:rPr>
              <w:t>1</w:t>
            </w:r>
          </w:p>
        </w:tc>
        <w:tc>
          <w:tcPr>
            <w:tcW w:w="1298" w:type="dxa"/>
            <w:gridSpan w:val="2"/>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kern w:val="0"/>
                <w:sz w:val="21"/>
                <w:szCs w:val="21"/>
              </w:rPr>
            </w:pPr>
            <w:r>
              <w:rPr>
                <w:rFonts w:hint="eastAsia" w:ascii="Times New Roman" w:hAnsi="Times New Roman"/>
                <w:kern w:val="0"/>
                <w:sz w:val="21"/>
                <w:szCs w:val="21"/>
              </w:rPr>
              <w:t>2</w:t>
            </w:r>
          </w:p>
        </w:tc>
        <w:tc>
          <w:tcPr>
            <w:tcW w:w="2087"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hint="eastAsia" w:ascii="Times New Roman" w:hAnsi="Times New Roman"/>
                <w:kern w:val="0"/>
                <w:sz w:val="21"/>
                <w:szCs w:val="21"/>
              </w:rPr>
              <w:t>0~</w:t>
            </w:r>
            <w:r>
              <w:rPr>
                <w:rFonts w:ascii="Times New Roman" w:hAnsi="Times New Roman"/>
                <w:kern w:val="0"/>
                <w:sz w:val="21"/>
                <w:szCs w:val="21"/>
              </w:rPr>
              <w:t>0.</w:t>
            </w:r>
            <w:r>
              <w:rPr>
                <w:rFonts w:hint="eastAsia" w:ascii="Times New Roman" w:hAnsi="Times New Roman"/>
                <w:kern w:val="0"/>
                <w:sz w:val="21"/>
                <w:szCs w:val="21"/>
              </w:rPr>
              <w:t>2</w:t>
            </w:r>
            <w:r>
              <w:rPr>
                <w:rFonts w:ascii="Times New Roman" w:hAnsi="Times New Roman"/>
                <w:kern w:val="0"/>
                <w:sz w:val="21"/>
                <w:szCs w:val="21"/>
              </w:rPr>
              <w:t>m</w:t>
            </w:r>
          </w:p>
        </w:tc>
        <w:tc>
          <w:tcPr>
            <w:tcW w:w="621"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现状监测因子</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color w:val="000000"/>
                <w:kern w:val="0"/>
                <w:sz w:val="21"/>
                <w:szCs w:val="21"/>
              </w:rPr>
              <w:t>45项因子</w:t>
            </w:r>
            <w:r>
              <w:rPr>
                <w:rFonts w:hint="eastAsia" w:ascii="Times New Roman" w:hAnsi="Times New Roman"/>
                <w:kern w:val="0"/>
                <w:sz w:val="21"/>
                <w:szCs w:val="21"/>
              </w:rPr>
              <w:t>、石油烃</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restart"/>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现状评价</w:t>
            </w: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评价因子</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color w:val="000000"/>
                <w:kern w:val="0"/>
                <w:sz w:val="21"/>
                <w:szCs w:val="21"/>
              </w:rPr>
              <w:t>45项因子</w:t>
            </w:r>
            <w:r>
              <w:rPr>
                <w:rFonts w:hint="eastAsia" w:ascii="Times New Roman" w:hAnsi="Times New Roman"/>
                <w:kern w:val="0"/>
                <w:sz w:val="21"/>
                <w:szCs w:val="21"/>
              </w:rPr>
              <w:t>、石油烃</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评价标准</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GB15168□；GB36600□；表D.1□；表D.2□；其他（</w:t>
            </w:r>
            <w:r>
              <w:rPr>
                <w:rFonts w:hint="eastAsia" w:ascii="Times New Roman" w:hAnsi="Times New Roman"/>
                <w:kern w:val="0"/>
                <w:sz w:val="21"/>
                <w:szCs w:val="21"/>
              </w:rPr>
              <w:t>/</w:t>
            </w:r>
            <w:r>
              <w:rPr>
                <w:rFonts w:ascii="Times New Roman" w:hAnsi="Times New Roman"/>
                <w:kern w:val="0"/>
                <w:sz w:val="21"/>
                <w:szCs w:val="21"/>
              </w:rPr>
              <w:t>）</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现状评价结论</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各监测点位均满足相应质量标准要求，即项目所在区域土壤环境质量较好。</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restart"/>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影响预测</w:t>
            </w: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预测因子</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kern w:val="0"/>
                <w:sz w:val="21"/>
                <w:szCs w:val="21"/>
              </w:rPr>
            </w:pPr>
            <w:r>
              <w:rPr>
                <w:rFonts w:hint="eastAsia" w:ascii="Times New Roman" w:hAnsi="Times New Roman"/>
                <w:kern w:val="0"/>
                <w:sz w:val="21"/>
                <w:szCs w:val="21"/>
              </w:rPr>
              <w:t>/</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预测方法</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附录E</w:t>
            </w:r>
            <w:r>
              <w:rPr>
                <w:rFonts w:ascii="Times New Roman" w:hAnsi="Times New Roman" w:cs="Times New Roman"/>
                <w:sz w:val="21"/>
                <w:szCs w:val="21"/>
              </w:rPr>
              <w:sym w:font="Wingdings" w:char="00A8"/>
            </w:r>
            <w:r>
              <w:rPr>
                <w:rFonts w:ascii="Times New Roman" w:hAnsi="Times New Roman"/>
                <w:kern w:val="0"/>
                <w:sz w:val="21"/>
                <w:szCs w:val="21"/>
              </w:rPr>
              <w:t>；附录F□；其他（</w:t>
            </w:r>
            <w:r>
              <w:rPr>
                <w:rFonts w:hint="eastAsia" w:ascii="Times New Roman" w:hAnsi="Times New Roman"/>
                <w:kern w:val="0"/>
                <w:sz w:val="21"/>
                <w:szCs w:val="21"/>
              </w:rPr>
              <w:t xml:space="preserve"> </w:t>
            </w:r>
            <w:r>
              <w:rPr>
                <w:rFonts w:ascii="Times New Roman" w:hAnsi="Times New Roman"/>
                <w:kern w:val="0"/>
                <w:sz w:val="21"/>
                <w:szCs w:val="21"/>
              </w:rPr>
              <w:t>）</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预测分析内容</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影响范围（）</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影响程度（）</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预测结论</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Theme="minorEastAsia"/>
                <w:kern w:val="0"/>
                <w:sz w:val="21"/>
                <w:szCs w:val="21"/>
                <w:lang w:eastAsia="zh-CN"/>
              </w:rPr>
            </w:pPr>
            <w:r>
              <w:rPr>
                <w:rFonts w:ascii="Times New Roman" w:hAnsi="Times New Roman"/>
                <w:kern w:val="0"/>
                <w:sz w:val="21"/>
                <w:szCs w:val="21"/>
              </w:rPr>
              <w:t>达标结论：a)</w:t>
            </w:r>
            <w:r>
              <w:rPr>
                <w:rFonts w:ascii="Times New Roman" w:hAnsi="Times New Roman" w:cs="Times New Roman"/>
                <w:sz w:val="21"/>
                <w:szCs w:val="21"/>
              </w:rPr>
              <w:sym w:font="Wingdings" w:char="00A8"/>
            </w:r>
            <w:r>
              <w:rPr>
                <w:rFonts w:ascii="Times New Roman" w:hAnsi="Times New Roman"/>
                <w:kern w:val="0"/>
                <w:sz w:val="21"/>
                <w:szCs w:val="21"/>
              </w:rPr>
              <w:t>；b)</w:t>
            </w:r>
            <w:r>
              <w:rPr>
                <w:rFonts w:hint="eastAsia" w:ascii="Times New Roman" w:hAnsi="Times New Roman"/>
                <w:kern w:val="0"/>
                <w:sz w:val="21"/>
                <w:szCs w:val="21"/>
                <w:lang w:eastAsia="zh-CN"/>
              </w:rPr>
              <w:t>□</w:t>
            </w:r>
            <w:r>
              <w:rPr>
                <w:rFonts w:ascii="Times New Roman" w:hAnsi="Times New Roman"/>
                <w:kern w:val="0"/>
                <w:sz w:val="21"/>
                <w:szCs w:val="21"/>
              </w:rPr>
              <w:t>；c)</w:t>
            </w:r>
            <w:r>
              <w:rPr>
                <w:rFonts w:hint="eastAsia" w:ascii="Times New Roman" w:hAnsi="Times New Roman"/>
                <w:kern w:val="0"/>
                <w:sz w:val="21"/>
                <w:szCs w:val="21"/>
                <w:lang w:eastAsia="zh-CN"/>
              </w:rPr>
              <w:t>□</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Theme="minorEastAsia"/>
                <w:kern w:val="0"/>
                <w:sz w:val="21"/>
                <w:szCs w:val="21"/>
                <w:lang w:eastAsia="zh-CN"/>
              </w:rPr>
            </w:pPr>
            <w:r>
              <w:rPr>
                <w:rFonts w:ascii="Times New Roman" w:hAnsi="Times New Roman"/>
                <w:kern w:val="0"/>
                <w:sz w:val="21"/>
                <w:szCs w:val="21"/>
              </w:rPr>
              <w:t>不达标结论：a)</w:t>
            </w:r>
            <w:r>
              <w:rPr>
                <w:rFonts w:hint="eastAsia" w:ascii="Times New Roman" w:hAnsi="Times New Roman"/>
                <w:kern w:val="0"/>
                <w:sz w:val="21"/>
                <w:szCs w:val="21"/>
                <w:lang w:eastAsia="zh-CN"/>
              </w:rPr>
              <w:t>□</w:t>
            </w:r>
            <w:r>
              <w:rPr>
                <w:rFonts w:ascii="Times New Roman" w:hAnsi="Times New Roman"/>
                <w:kern w:val="0"/>
                <w:sz w:val="21"/>
                <w:szCs w:val="21"/>
              </w:rPr>
              <w:t>；b)</w:t>
            </w:r>
            <w:r>
              <w:rPr>
                <w:rFonts w:hint="eastAsia" w:ascii="Times New Roman" w:hAnsi="Times New Roman"/>
                <w:kern w:val="0"/>
                <w:sz w:val="21"/>
                <w:szCs w:val="21"/>
                <w:lang w:eastAsia="zh-CN"/>
              </w:rPr>
              <w:t>□</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restart"/>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防治措施</w:t>
            </w: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防控措施</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土壤环境质量现状保障□；源头控制</w:t>
            </w:r>
            <w:r>
              <w:rPr>
                <w:rFonts w:ascii="Times New Roman" w:hAnsi="Times New Roman" w:cs="Times New Roman"/>
                <w:sz w:val="21"/>
                <w:szCs w:val="21"/>
              </w:rPr>
              <w:sym w:font="Wingdings" w:char="00FE"/>
            </w:r>
            <w:r>
              <w:rPr>
                <w:rFonts w:ascii="Times New Roman" w:hAnsi="Times New Roman"/>
                <w:kern w:val="0"/>
                <w:sz w:val="21"/>
                <w:szCs w:val="21"/>
              </w:rPr>
              <w:t>；过程防控</w:t>
            </w:r>
            <w:r>
              <w:rPr>
                <w:rFonts w:ascii="Times New Roman" w:hAnsi="Times New Roman" w:cs="Times New Roman"/>
                <w:sz w:val="21"/>
                <w:szCs w:val="21"/>
              </w:rPr>
              <w:sym w:font="Wingdings" w:char="00FE"/>
            </w:r>
            <w:r>
              <w:rPr>
                <w:rFonts w:ascii="Times New Roman" w:hAnsi="Times New Roman"/>
                <w:kern w:val="0"/>
                <w:sz w:val="21"/>
                <w:szCs w:val="21"/>
              </w:rPr>
              <w:t>；其他（）</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trHeight w:val="312" w:hRule="atLeast"/>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vMerge w:val="restart"/>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跟踪监测</w:t>
            </w:r>
          </w:p>
        </w:tc>
        <w:tc>
          <w:tcPr>
            <w:tcW w:w="1417"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监测点数</w:t>
            </w:r>
          </w:p>
        </w:tc>
        <w:tc>
          <w:tcPr>
            <w:tcW w:w="2295" w:type="dxa"/>
            <w:gridSpan w:val="2"/>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监测指标</w:t>
            </w:r>
          </w:p>
        </w:tc>
        <w:tc>
          <w:tcPr>
            <w:tcW w:w="2500" w:type="dxa"/>
            <w:gridSpan w:val="2"/>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监测频次</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417"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kern w:val="0"/>
                <w:sz w:val="21"/>
                <w:szCs w:val="21"/>
              </w:rPr>
            </w:pPr>
            <w:r>
              <w:rPr>
                <w:rFonts w:hint="eastAsia" w:ascii="Times New Roman" w:hAnsi="Times New Roman"/>
                <w:kern w:val="0"/>
                <w:sz w:val="21"/>
                <w:szCs w:val="21"/>
              </w:rPr>
              <w:t>/</w:t>
            </w:r>
          </w:p>
        </w:tc>
        <w:tc>
          <w:tcPr>
            <w:tcW w:w="2295" w:type="dxa"/>
            <w:gridSpan w:val="2"/>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kern w:val="0"/>
                <w:sz w:val="21"/>
                <w:szCs w:val="21"/>
              </w:rPr>
            </w:pPr>
            <w:r>
              <w:rPr>
                <w:rFonts w:hint="eastAsia" w:ascii="Times New Roman" w:hAnsi="Times New Roman"/>
                <w:kern w:val="0"/>
                <w:sz w:val="21"/>
                <w:szCs w:val="21"/>
              </w:rPr>
              <w:t>/</w:t>
            </w:r>
          </w:p>
        </w:tc>
        <w:tc>
          <w:tcPr>
            <w:tcW w:w="2500" w:type="dxa"/>
            <w:gridSpan w:val="2"/>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kern w:val="0"/>
                <w:sz w:val="21"/>
                <w:szCs w:val="21"/>
              </w:rPr>
            </w:pPr>
            <w:r>
              <w:rPr>
                <w:rFonts w:hint="eastAsia" w:ascii="Times New Roman" w:hAnsi="Times New Roman"/>
                <w:kern w:val="0"/>
                <w:sz w:val="21"/>
                <w:szCs w:val="21"/>
              </w:rPr>
              <w:t>/</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477" w:type="dxa"/>
            <w:vMerge w:val="continue"/>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c>
          <w:tcPr>
            <w:tcW w:w="1860"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信息公开指标</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建立项目</w:t>
            </w:r>
            <w:r>
              <w:rPr>
                <w:rFonts w:hint="eastAsia" w:ascii="Times New Roman" w:hAnsi="Times New Roman"/>
                <w:kern w:val="0"/>
                <w:sz w:val="21"/>
                <w:szCs w:val="21"/>
              </w:rPr>
              <w:t>土壤跟踪监测</w:t>
            </w:r>
            <w:r>
              <w:rPr>
                <w:rFonts w:ascii="Times New Roman" w:hAnsi="Times New Roman"/>
                <w:kern w:val="0"/>
                <w:sz w:val="21"/>
                <w:szCs w:val="21"/>
              </w:rPr>
              <w:t>档案，定期向相关部门汇报</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2337" w:type="dxa"/>
            <w:gridSpan w:val="2"/>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评价结论</w:t>
            </w:r>
          </w:p>
        </w:tc>
        <w:tc>
          <w:tcPr>
            <w:tcW w:w="6212" w:type="dxa"/>
            <w:gridSpan w:val="5"/>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项目建设对土壤环境影响较小</w:t>
            </w:r>
          </w:p>
        </w:tc>
        <w:tc>
          <w:tcPr>
            <w:tcW w:w="621" w:type="dxa"/>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4" w:space="0"/>
          </w:tblBorders>
          <w:tblCellMar>
            <w:top w:w="0" w:type="dxa"/>
            <w:left w:w="0" w:type="dxa"/>
            <w:bottom w:w="0" w:type="dxa"/>
            <w:right w:w="0" w:type="dxa"/>
          </w:tblCellMar>
        </w:tblPrEx>
        <w:trPr>
          <w:jc w:val="center"/>
        </w:trPr>
        <w:tc>
          <w:tcPr>
            <w:tcW w:w="8549" w:type="dxa"/>
            <w:gridSpan w:val="7"/>
            <w:noWrap w:val="0"/>
            <w:tcMar>
              <w:top w:w="45" w:type="dxa"/>
              <w:bottom w:w="45"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注1：“□”为勾选项，可√；“（）”为内容填写项；备注为其他补充内容。</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w w:val="115"/>
                <w:kern w:val="0"/>
                <w:sz w:val="21"/>
                <w:szCs w:val="21"/>
              </w:rPr>
            </w:pPr>
            <w:r>
              <w:rPr>
                <w:rFonts w:ascii="Times New Roman" w:hAnsi="Times New Roman"/>
                <w:kern w:val="0"/>
                <w:sz w:val="21"/>
                <w:szCs w:val="21"/>
              </w:rPr>
              <w:t>注2：需要分别开展土壤环境影响评价工作的，分别填写自查表。</w:t>
            </w:r>
          </w:p>
        </w:tc>
        <w:tc>
          <w:tcPr>
            <w:tcW w:w="621" w:type="dxa"/>
            <w:noWrap w:val="0"/>
            <w:tcMar>
              <w:top w:w="45" w:type="dxa"/>
              <w:bottom w:w="45" w:type="dxa"/>
            </w:tcMar>
            <w:vAlign w:val="center"/>
          </w:tcPr>
          <w:p>
            <w:pPr>
              <w:keepNext w:val="0"/>
              <w:keepLines w:val="0"/>
              <w:pageBreakBefore w:val="0"/>
              <w:widowControl w:val="0"/>
              <w:tabs>
                <w:tab w:val="left" w:pos="2357"/>
              </w:tabs>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w w:val="115"/>
                <w:kern w:val="0"/>
                <w:sz w:val="21"/>
                <w:szCs w:val="21"/>
              </w:rPr>
            </w:pPr>
          </w:p>
        </w:tc>
      </w:tr>
    </w:tbl>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mc:AlternateContent>
          <mc:Choice Requires="wps">
            <w:drawing>
              <wp:anchor distT="0" distB="0" distL="114300" distR="114300" simplePos="0" relativeHeight="3988156416" behindDoc="0" locked="0" layoutInCell="1" allowOverlap="1">
                <wp:simplePos x="0" y="0"/>
                <wp:positionH relativeFrom="column">
                  <wp:posOffset>4118610</wp:posOffset>
                </wp:positionH>
                <wp:positionV relativeFrom="paragraph">
                  <wp:posOffset>-278130</wp:posOffset>
                </wp:positionV>
                <wp:extent cx="1689100" cy="463550"/>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1689100" cy="463550"/>
                        </a:xfrm>
                        <a:prstGeom prst="rect">
                          <a:avLst/>
                        </a:prstGeom>
                        <a:noFill/>
                        <a:ln w="6350">
                          <a:noFill/>
                        </a:ln>
                        <a:effectLst/>
                      </wps:spPr>
                      <wps:txbx>
                        <w:txbxContent>
                          <w:p>
                            <w:pPr>
                              <w:jc w:val="center"/>
                              <w:rPr>
                                <w:rFonts w:hint="default" w:ascii="宋体" w:hAnsi="宋体" w:eastAsia="宋体" w:cs="宋体"/>
                                <w:b/>
                                <w:bCs/>
                                <w:sz w:val="28"/>
                                <w:szCs w:val="28"/>
                                <w:lang w:val="en-US" w:eastAsia="zh-CN"/>
                              </w:rPr>
                            </w:pPr>
                            <w:r>
                              <w:rPr>
                                <w:rFonts w:hint="eastAsia" w:ascii="宋体" w:hAnsi="宋体" w:eastAsia="宋体" w:cs="宋体"/>
                                <w:b/>
                                <w:bCs/>
                                <w:sz w:val="28"/>
                                <w:szCs w:val="28"/>
                              </w:rPr>
                              <w:t>附件</w:t>
                            </w:r>
                            <w:r>
                              <w:rPr>
                                <w:rFonts w:hint="eastAsia" w:ascii="宋体" w:hAnsi="宋体" w:eastAsia="宋体" w:cs="宋体"/>
                                <w:b/>
                                <w:bCs/>
                                <w:sz w:val="28"/>
                                <w:szCs w:val="28"/>
                                <w:lang w:val="en-US" w:eastAsia="zh-CN"/>
                              </w:rPr>
                              <w:t>九</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4.3pt;margin-top:-21.9pt;height:36.5pt;width:133pt;z-index:-306810880;mso-width-relative:page;mso-height-relative:page;" filled="f" stroked="f" coordsize="21600,21600" o:gfxdata="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JJH1l9sAAAAKAQAADwAAAAAAAAABACAA&#10;AAAiAAAAZHJzL2Rvd25yZXYueG1sUEsBAhQAFAAAAAgAh07iQDr/OXBDAgAAdgQAAA4AAAAAAAAA&#10;AQAgAAAAKgEAAGRycy9lMm9Eb2MueG1sUEsFBgAAAAAGAAYAWQEAAN8FAAAAAA==&#10;">
                <v:fill on="f" focussize="0,0"/>
                <v:stroke on="f" weight="0.5pt"/>
                <v:imagedata o:title=""/>
                <o:lock v:ext="edit" aspectratio="f"/>
                <v:textbox>
                  <w:txbxContent>
                    <w:p>
                      <w:pPr>
                        <w:jc w:val="center"/>
                        <w:rPr>
                          <w:rFonts w:hint="default" w:ascii="宋体" w:hAnsi="宋体" w:eastAsia="宋体" w:cs="宋体"/>
                          <w:b/>
                          <w:bCs/>
                          <w:sz w:val="28"/>
                          <w:szCs w:val="28"/>
                          <w:lang w:val="en-US" w:eastAsia="zh-CN"/>
                        </w:rPr>
                      </w:pPr>
                      <w:r>
                        <w:rPr>
                          <w:rFonts w:hint="eastAsia" w:ascii="宋体" w:hAnsi="宋体" w:eastAsia="宋体" w:cs="宋体"/>
                          <w:b/>
                          <w:bCs/>
                          <w:sz w:val="28"/>
                          <w:szCs w:val="28"/>
                        </w:rPr>
                        <w:t>附件</w:t>
                      </w:r>
                      <w:r>
                        <w:rPr>
                          <w:rFonts w:hint="eastAsia" w:ascii="宋体" w:hAnsi="宋体" w:eastAsia="宋体" w:cs="宋体"/>
                          <w:b/>
                          <w:bCs/>
                          <w:sz w:val="28"/>
                          <w:szCs w:val="28"/>
                          <w:lang w:val="en-US" w:eastAsia="zh-CN"/>
                        </w:rPr>
                        <w:t>九</w:t>
                      </w:r>
                    </w:p>
                  </w:txbxContent>
                </v:textbox>
              </v:shape>
            </w:pict>
          </mc:Fallback>
        </mc:AlternateContent>
      </w:r>
      <w:r>
        <w:rPr>
          <w:rFonts w:hint="eastAsia" w:eastAsiaTheme="minorEastAsia"/>
          <w:lang w:eastAsia="zh-CN"/>
        </w:rPr>
        <w:drawing>
          <wp:anchor distT="0" distB="0" distL="114300" distR="114300" simplePos="0" relativeHeight="2306881536" behindDoc="1" locked="0" layoutInCell="1" allowOverlap="1">
            <wp:simplePos x="0" y="0"/>
            <wp:positionH relativeFrom="column">
              <wp:posOffset>-923925</wp:posOffset>
            </wp:positionH>
            <wp:positionV relativeFrom="paragraph">
              <wp:posOffset>-725805</wp:posOffset>
            </wp:positionV>
            <wp:extent cx="7263130" cy="10076815"/>
            <wp:effectExtent l="0" t="0" r="13970" b="635"/>
            <wp:wrapNone/>
            <wp:docPr id="86" name="图片 86" descr="cd97e30f8c1ea36f8ad1c78534beb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cd97e30f8c1ea36f8ad1c78534beb0a"/>
                    <pic:cNvPicPr>
                      <a:picLocks noChangeAspect="1"/>
                    </pic:cNvPicPr>
                  </pic:nvPicPr>
                  <pic:blipFill>
                    <a:blip r:embed="rId39"/>
                    <a:stretch>
                      <a:fillRect/>
                    </a:stretch>
                  </pic:blipFill>
                  <pic:spPr>
                    <a:xfrm>
                      <a:off x="0" y="0"/>
                      <a:ext cx="7263130" cy="10076815"/>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lang w:eastAsia="zh-CN"/>
        </w:rPr>
        <w:drawing>
          <wp:anchor distT="0" distB="0" distL="114300" distR="114300" simplePos="0" relativeHeight="2867080192" behindDoc="1" locked="0" layoutInCell="1" allowOverlap="1">
            <wp:simplePos x="0" y="0"/>
            <wp:positionH relativeFrom="column">
              <wp:posOffset>-866775</wp:posOffset>
            </wp:positionH>
            <wp:positionV relativeFrom="paragraph">
              <wp:posOffset>-677545</wp:posOffset>
            </wp:positionV>
            <wp:extent cx="7075170" cy="9827260"/>
            <wp:effectExtent l="0" t="0" r="11430" b="2540"/>
            <wp:wrapNone/>
            <wp:docPr id="88" name="图片 88" descr="f5c52762a391db7534ca2f7c5538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f5c52762a391db7534ca2f7c5538506"/>
                    <pic:cNvPicPr>
                      <a:picLocks noChangeAspect="1"/>
                    </pic:cNvPicPr>
                  </pic:nvPicPr>
                  <pic:blipFill>
                    <a:blip r:embed="rId40"/>
                    <a:stretch>
                      <a:fillRect/>
                    </a:stretch>
                  </pic:blipFill>
                  <pic:spPr>
                    <a:xfrm>
                      <a:off x="0" y="0"/>
                      <a:ext cx="7075170" cy="9827260"/>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lang w:eastAsia="zh-CN"/>
        </w:rPr>
        <w:drawing>
          <wp:anchor distT="0" distB="0" distL="114300" distR="114300" simplePos="0" relativeHeight="816738304" behindDoc="1" locked="0" layoutInCell="1" allowOverlap="1">
            <wp:simplePos x="0" y="0"/>
            <wp:positionH relativeFrom="column">
              <wp:posOffset>-952500</wp:posOffset>
            </wp:positionH>
            <wp:positionV relativeFrom="paragraph">
              <wp:posOffset>-659130</wp:posOffset>
            </wp:positionV>
            <wp:extent cx="7181215" cy="9962515"/>
            <wp:effectExtent l="0" t="0" r="635" b="635"/>
            <wp:wrapNone/>
            <wp:docPr id="89" name="图片 89" descr="4cc6ffa0fd3f161a7220dfc487ec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4cc6ffa0fd3f161a7220dfc487ec885"/>
                    <pic:cNvPicPr>
                      <a:picLocks noChangeAspect="1"/>
                    </pic:cNvPicPr>
                  </pic:nvPicPr>
                  <pic:blipFill>
                    <a:blip r:embed="rId41"/>
                    <a:stretch>
                      <a:fillRect/>
                    </a:stretch>
                  </pic:blipFill>
                  <pic:spPr>
                    <a:xfrm>
                      <a:off x="0" y="0"/>
                      <a:ext cx="7181215" cy="9962515"/>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mc:AlternateContent>
          <mc:Choice Requires="wps">
            <w:drawing>
              <wp:anchor distT="0" distB="0" distL="114300" distR="114300" simplePos="0" relativeHeight="1010683904" behindDoc="0" locked="0" layoutInCell="1" allowOverlap="1">
                <wp:simplePos x="0" y="0"/>
                <wp:positionH relativeFrom="column">
                  <wp:posOffset>4118610</wp:posOffset>
                </wp:positionH>
                <wp:positionV relativeFrom="paragraph">
                  <wp:posOffset>-278130</wp:posOffset>
                </wp:positionV>
                <wp:extent cx="1689100" cy="463550"/>
                <wp:effectExtent l="0" t="0" r="0" b="0"/>
                <wp:wrapNone/>
                <wp:docPr id="91" name="文本框 91"/>
                <wp:cNvGraphicFramePr/>
                <a:graphic xmlns:a="http://schemas.openxmlformats.org/drawingml/2006/main">
                  <a:graphicData uri="http://schemas.microsoft.com/office/word/2010/wordprocessingShape">
                    <wps:wsp>
                      <wps:cNvSpPr txBox="1"/>
                      <wps:spPr>
                        <a:xfrm>
                          <a:off x="0" y="0"/>
                          <a:ext cx="1689100" cy="463550"/>
                        </a:xfrm>
                        <a:prstGeom prst="rect">
                          <a:avLst/>
                        </a:prstGeom>
                        <a:noFill/>
                        <a:ln w="6350">
                          <a:noFill/>
                        </a:ln>
                        <a:effectLst/>
                      </wps:spPr>
                      <wps:txbx>
                        <w:txbxContent>
                          <w:p>
                            <w:pPr>
                              <w:jc w:val="center"/>
                              <w:rPr>
                                <w:rFonts w:hint="default" w:ascii="宋体" w:hAnsi="宋体" w:eastAsia="宋体" w:cs="宋体"/>
                                <w:b/>
                                <w:bCs/>
                                <w:sz w:val="28"/>
                                <w:szCs w:val="28"/>
                                <w:lang w:val="en-US" w:eastAsia="zh-CN"/>
                              </w:rPr>
                            </w:pPr>
                            <w:r>
                              <w:rPr>
                                <w:rFonts w:hint="eastAsia" w:ascii="宋体" w:hAnsi="宋体" w:eastAsia="宋体" w:cs="宋体"/>
                                <w:b/>
                                <w:bCs/>
                                <w:sz w:val="28"/>
                                <w:szCs w:val="28"/>
                              </w:rPr>
                              <w:t>附件</w:t>
                            </w:r>
                            <w:r>
                              <w:rPr>
                                <w:rFonts w:hint="eastAsia" w:ascii="宋体" w:hAnsi="宋体" w:eastAsia="宋体" w:cs="宋体"/>
                                <w:b/>
                                <w:bCs/>
                                <w:sz w:val="28"/>
                                <w:szCs w:val="28"/>
                                <w:lang w:val="en-US" w:eastAsia="zh-CN"/>
                              </w:rPr>
                              <w:t>十</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4.3pt;margin-top:-21.9pt;height:36.5pt;width:133pt;z-index:1010683904;mso-width-relative:page;mso-height-relative:page;" filled="f" stroked="f" coordsize="21600,21600" o:gfxdata="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CSR9ZfbAAAACgEAAA8AAAAAAAAAAQAgAAAA&#10;IgAAAGRycy9kb3ducmV2LnhtbFBLAQIUABQAAAAIAIdO4kAHIQJ6QQIAAHYEAAAOAAAAAAAAAAEA&#10;IAAAACoBAABkcnMvZTJvRG9jLnhtbFBLBQYAAAAABgAGAFkBAADdBQAAAAA=&#10;">
                <v:fill on="f" focussize="0,0"/>
                <v:stroke on="f" weight="0.5pt"/>
                <v:imagedata o:title=""/>
                <o:lock v:ext="edit" aspectratio="f"/>
                <v:textbox>
                  <w:txbxContent>
                    <w:p>
                      <w:pPr>
                        <w:jc w:val="center"/>
                        <w:rPr>
                          <w:rFonts w:hint="default" w:ascii="宋体" w:hAnsi="宋体" w:eastAsia="宋体" w:cs="宋体"/>
                          <w:b/>
                          <w:bCs/>
                          <w:sz w:val="28"/>
                          <w:szCs w:val="28"/>
                          <w:lang w:val="en-US" w:eastAsia="zh-CN"/>
                        </w:rPr>
                      </w:pPr>
                      <w:r>
                        <w:rPr>
                          <w:rFonts w:hint="eastAsia" w:ascii="宋体" w:hAnsi="宋体" w:eastAsia="宋体" w:cs="宋体"/>
                          <w:b/>
                          <w:bCs/>
                          <w:sz w:val="28"/>
                          <w:szCs w:val="28"/>
                        </w:rPr>
                        <w:t>附件</w:t>
                      </w:r>
                      <w:r>
                        <w:rPr>
                          <w:rFonts w:hint="eastAsia" w:ascii="宋体" w:hAnsi="宋体" w:eastAsia="宋体" w:cs="宋体"/>
                          <w:b/>
                          <w:bCs/>
                          <w:sz w:val="28"/>
                          <w:szCs w:val="28"/>
                          <w:lang w:val="en-US" w:eastAsia="zh-CN"/>
                        </w:rPr>
                        <w:t>十</w:t>
                      </w:r>
                    </w:p>
                  </w:txbxContent>
                </v:textbox>
              </v:shape>
            </w:pict>
          </mc:Fallback>
        </mc:AlternateContent>
      </w:r>
      <w:r>
        <w:rPr>
          <w:rFonts w:hint="eastAsia"/>
          <w:lang w:eastAsia="zh-CN"/>
        </w:rPr>
        <w:drawing>
          <wp:anchor distT="0" distB="0" distL="114300" distR="114300" simplePos="0" relativeHeight="817975296" behindDoc="1" locked="0" layoutInCell="1" allowOverlap="1">
            <wp:simplePos x="0" y="0"/>
            <wp:positionH relativeFrom="column">
              <wp:posOffset>-1003300</wp:posOffset>
            </wp:positionH>
            <wp:positionV relativeFrom="paragraph">
              <wp:posOffset>-759460</wp:posOffset>
            </wp:positionV>
            <wp:extent cx="7191375" cy="10170795"/>
            <wp:effectExtent l="0" t="0" r="9525" b="1905"/>
            <wp:wrapNone/>
            <wp:docPr id="90" name="图片 90" descr="Scan20201009085512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Scan20201009085512_001"/>
                    <pic:cNvPicPr>
                      <a:picLocks noChangeAspect="1"/>
                    </pic:cNvPicPr>
                  </pic:nvPicPr>
                  <pic:blipFill>
                    <a:blip r:embed="rId42"/>
                    <a:stretch>
                      <a:fillRect/>
                    </a:stretch>
                  </pic:blipFill>
                  <pic:spPr>
                    <a:xfrm>
                      <a:off x="0" y="0"/>
                      <a:ext cx="7191375" cy="10170795"/>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lang w:eastAsia="zh-CN"/>
        </w:rPr>
        <w:drawing>
          <wp:anchor distT="0" distB="0" distL="114300" distR="114300" simplePos="0" relativeHeight="2325705728" behindDoc="1" locked="0" layoutInCell="1" allowOverlap="1">
            <wp:simplePos x="0" y="0"/>
            <wp:positionH relativeFrom="column">
              <wp:posOffset>-962025</wp:posOffset>
            </wp:positionH>
            <wp:positionV relativeFrom="paragraph">
              <wp:posOffset>-744220</wp:posOffset>
            </wp:positionV>
            <wp:extent cx="7233920" cy="10231755"/>
            <wp:effectExtent l="0" t="0" r="5080" b="17145"/>
            <wp:wrapNone/>
            <wp:docPr id="92" name="图片 92" descr="Scan20201009085512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Scan20201009085512_002"/>
                    <pic:cNvPicPr>
                      <a:picLocks noChangeAspect="1"/>
                    </pic:cNvPicPr>
                  </pic:nvPicPr>
                  <pic:blipFill>
                    <a:blip r:embed="rId43"/>
                    <a:stretch>
                      <a:fillRect/>
                    </a:stretch>
                  </pic:blipFill>
                  <pic:spPr>
                    <a:xfrm>
                      <a:off x="0" y="0"/>
                      <a:ext cx="7233920" cy="10231755"/>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lang w:eastAsia="zh-CN"/>
        </w:rPr>
        <w:drawing>
          <wp:anchor distT="0" distB="0" distL="114300" distR="114300" simplePos="0" relativeHeight="1783095296" behindDoc="1" locked="0" layoutInCell="1" allowOverlap="1">
            <wp:simplePos x="0" y="0"/>
            <wp:positionH relativeFrom="column">
              <wp:posOffset>-1000125</wp:posOffset>
            </wp:positionH>
            <wp:positionV relativeFrom="paragraph">
              <wp:posOffset>-693420</wp:posOffset>
            </wp:positionV>
            <wp:extent cx="7067550" cy="9995535"/>
            <wp:effectExtent l="0" t="0" r="0" b="5715"/>
            <wp:wrapNone/>
            <wp:docPr id="93" name="图片 93" descr="Scan20201009085512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Scan20201009085512_003"/>
                    <pic:cNvPicPr>
                      <a:picLocks noChangeAspect="1"/>
                    </pic:cNvPicPr>
                  </pic:nvPicPr>
                  <pic:blipFill>
                    <a:blip r:embed="rId44"/>
                    <a:stretch>
                      <a:fillRect/>
                    </a:stretch>
                  </pic:blipFill>
                  <pic:spPr>
                    <a:xfrm>
                      <a:off x="0" y="0"/>
                      <a:ext cx="7067550" cy="9995535"/>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lang w:eastAsia="zh-CN"/>
        </w:rPr>
        <w:drawing>
          <wp:anchor distT="0" distB="0" distL="114300" distR="114300" simplePos="0" relativeHeight="468073472" behindDoc="1" locked="0" layoutInCell="1" allowOverlap="1">
            <wp:simplePos x="0" y="0"/>
            <wp:positionH relativeFrom="column">
              <wp:posOffset>-1057275</wp:posOffset>
            </wp:positionH>
            <wp:positionV relativeFrom="paragraph">
              <wp:posOffset>-715645</wp:posOffset>
            </wp:positionV>
            <wp:extent cx="7315200" cy="10346055"/>
            <wp:effectExtent l="0" t="0" r="0" b="17145"/>
            <wp:wrapNone/>
            <wp:docPr id="94" name="图片 94" descr="Scan20201009085512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Scan20201009085512_004"/>
                    <pic:cNvPicPr>
                      <a:picLocks noChangeAspect="1"/>
                    </pic:cNvPicPr>
                  </pic:nvPicPr>
                  <pic:blipFill>
                    <a:blip r:embed="rId45"/>
                    <a:stretch>
                      <a:fillRect/>
                    </a:stretch>
                  </pic:blipFill>
                  <pic:spPr>
                    <a:xfrm>
                      <a:off x="0" y="0"/>
                      <a:ext cx="7315200" cy="10346055"/>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lang w:eastAsia="zh-CN"/>
        </w:rPr>
        <w:drawing>
          <wp:anchor distT="0" distB="0" distL="114300" distR="114300" simplePos="0" relativeHeight="1590386688" behindDoc="1" locked="0" layoutInCell="1" allowOverlap="1">
            <wp:simplePos x="0" y="0"/>
            <wp:positionH relativeFrom="column">
              <wp:posOffset>-857250</wp:posOffset>
            </wp:positionH>
            <wp:positionV relativeFrom="paragraph">
              <wp:posOffset>-693420</wp:posOffset>
            </wp:positionV>
            <wp:extent cx="7004685" cy="9907270"/>
            <wp:effectExtent l="0" t="0" r="5715" b="17780"/>
            <wp:wrapNone/>
            <wp:docPr id="95" name="图片 95" descr="Scan20201009085512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Scan20201009085512_005"/>
                    <pic:cNvPicPr>
                      <a:picLocks noChangeAspect="1"/>
                    </pic:cNvPicPr>
                  </pic:nvPicPr>
                  <pic:blipFill>
                    <a:blip r:embed="rId46"/>
                    <a:stretch>
                      <a:fillRect/>
                    </a:stretch>
                  </pic:blipFill>
                  <pic:spPr>
                    <a:xfrm>
                      <a:off x="0" y="0"/>
                      <a:ext cx="7004685" cy="9907270"/>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lang w:eastAsia="zh-CN"/>
        </w:rPr>
        <w:drawing>
          <wp:anchor distT="0" distB="0" distL="114300" distR="114300" simplePos="0" relativeHeight="2712699904" behindDoc="1" locked="0" layoutInCell="1" allowOverlap="1">
            <wp:simplePos x="0" y="0"/>
            <wp:positionH relativeFrom="column">
              <wp:posOffset>-1066800</wp:posOffset>
            </wp:positionH>
            <wp:positionV relativeFrom="paragraph">
              <wp:posOffset>-791845</wp:posOffset>
            </wp:positionV>
            <wp:extent cx="7193280" cy="10173970"/>
            <wp:effectExtent l="0" t="0" r="7620" b="17780"/>
            <wp:wrapNone/>
            <wp:docPr id="96" name="图片 96" descr="Scan20201009085512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Scan20201009085512_006"/>
                    <pic:cNvPicPr>
                      <a:picLocks noChangeAspect="1"/>
                    </pic:cNvPicPr>
                  </pic:nvPicPr>
                  <pic:blipFill>
                    <a:blip r:embed="rId47"/>
                    <a:stretch>
                      <a:fillRect/>
                    </a:stretch>
                  </pic:blipFill>
                  <pic:spPr>
                    <a:xfrm>
                      <a:off x="0" y="0"/>
                      <a:ext cx="7193280" cy="10173970"/>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lang w:eastAsia="zh-CN"/>
        </w:rPr>
        <w:drawing>
          <wp:anchor distT="0" distB="0" distL="114300" distR="114300" simplePos="0" relativeHeight="4222007296" behindDoc="1" locked="0" layoutInCell="1" allowOverlap="1">
            <wp:simplePos x="0" y="0"/>
            <wp:positionH relativeFrom="column">
              <wp:posOffset>-923925</wp:posOffset>
            </wp:positionH>
            <wp:positionV relativeFrom="paragraph">
              <wp:posOffset>-664845</wp:posOffset>
            </wp:positionV>
            <wp:extent cx="7064375" cy="9991725"/>
            <wp:effectExtent l="0" t="0" r="3175" b="9525"/>
            <wp:wrapNone/>
            <wp:docPr id="97" name="图片 97" descr="Scan20201009085512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Scan20201009085512_007"/>
                    <pic:cNvPicPr>
                      <a:picLocks noChangeAspect="1"/>
                    </pic:cNvPicPr>
                  </pic:nvPicPr>
                  <pic:blipFill>
                    <a:blip r:embed="rId48"/>
                    <a:stretch>
                      <a:fillRect/>
                    </a:stretch>
                  </pic:blipFill>
                  <pic:spPr>
                    <a:xfrm>
                      <a:off x="0" y="0"/>
                      <a:ext cx="7064375" cy="9991725"/>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lang w:eastAsia="zh-CN"/>
        </w:rPr>
        <w:drawing>
          <wp:anchor distT="0" distB="0" distL="114300" distR="114300" simplePos="0" relativeHeight="2558660608" behindDoc="1" locked="0" layoutInCell="1" allowOverlap="1">
            <wp:simplePos x="0" y="0"/>
            <wp:positionH relativeFrom="column">
              <wp:posOffset>-942975</wp:posOffset>
            </wp:positionH>
            <wp:positionV relativeFrom="paragraph">
              <wp:posOffset>-677545</wp:posOffset>
            </wp:positionV>
            <wp:extent cx="7181850" cy="10157460"/>
            <wp:effectExtent l="0" t="0" r="0" b="15240"/>
            <wp:wrapNone/>
            <wp:docPr id="98" name="图片 98" descr="Scan20201009085512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Scan20201009085512_008"/>
                    <pic:cNvPicPr>
                      <a:picLocks noChangeAspect="1"/>
                    </pic:cNvPicPr>
                  </pic:nvPicPr>
                  <pic:blipFill>
                    <a:blip r:embed="rId49"/>
                    <a:stretch>
                      <a:fillRect/>
                    </a:stretch>
                  </pic:blipFill>
                  <pic:spPr>
                    <a:xfrm>
                      <a:off x="0" y="0"/>
                      <a:ext cx="7181850" cy="10157460"/>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lang w:eastAsia="zh-CN"/>
        </w:rPr>
        <w:drawing>
          <wp:anchor distT="0" distB="0" distL="114300" distR="114300" simplePos="0" relativeHeight="3680973824" behindDoc="1" locked="0" layoutInCell="1" allowOverlap="1">
            <wp:simplePos x="0" y="0"/>
            <wp:positionH relativeFrom="column">
              <wp:posOffset>-800100</wp:posOffset>
            </wp:positionH>
            <wp:positionV relativeFrom="paragraph">
              <wp:posOffset>-550545</wp:posOffset>
            </wp:positionV>
            <wp:extent cx="7030085" cy="9942830"/>
            <wp:effectExtent l="0" t="0" r="18415" b="1270"/>
            <wp:wrapNone/>
            <wp:docPr id="99" name="图片 99" descr="Scan20201009085512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Scan20201009085512_009"/>
                    <pic:cNvPicPr>
                      <a:picLocks noChangeAspect="1"/>
                    </pic:cNvPicPr>
                  </pic:nvPicPr>
                  <pic:blipFill>
                    <a:blip r:embed="rId50"/>
                    <a:stretch>
                      <a:fillRect/>
                    </a:stretch>
                  </pic:blipFill>
                  <pic:spPr>
                    <a:xfrm>
                      <a:off x="0" y="0"/>
                      <a:ext cx="7030085" cy="9942830"/>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lang w:eastAsia="zh-CN"/>
        </w:rPr>
        <w:drawing>
          <wp:anchor distT="0" distB="0" distL="114300" distR="114300" simplePos="0" relativeHeight="508319744" behindDoc="1" locked="0" layoutInCell="1" allowOverlap="1">
            <wp:simplePos x="0" y="0"/>
            <wp:positionH relativeFrom="column">
              <wp:posOffset>-819150</wp:posOffset>
            </wp:positionH>
            <wp:positionV relativeFrom="paragraph">
              <wp:posOffset>-763270</wp:posOffset>
            </wp:positionV>
            <wp:extent cx="6978015" cy="9869170"/>
            <wp:effectExtent l="0" t="0" r="13335" b="17780"/>
            <wp:wrapNone/>
            <wp:docPr id="100" name="图片 100" descr="Scan20201009085512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Scan20201009085512_010"/>
                    <pic:cNvPicPr>
                      <a:picLocks noChangeAspect="1"/>
                    </pic:cNvPicPr>
                  </pic:nvPicPr>
                  <pic:blipFill>
                    <a:blip r:embed="rId51"/>
                    <a:stretch>
                      <a:fillRect/>
                    </a:stretch>
                  </pic:blipFill>
                  <pic:spPr>
                    <a:xfrm>
                      <a:off x="0" y="0"/>
                      <a:ext cx="6978015" cy="9869170"/>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lang w:eastAsia="zh-CN"/>
        </w:rPr>
        <w:drawing>
          <wp:anchor distT="0" distB="0" distL="114300" distR="114300" simplePos="0" relativeHeight="2211912704" behindDoc="1" locked="0" layoutInCell="1" allowOverlap="1">
            <wp:simplePos x="0" y="0"/>
            <wp:positionH relativeFrom="column">
              <wp:posOffset>-971550</wp:posOffset>
            </wp:positionH>
            <wp:positionV relativeFrom="paragraph">
              <wp:posOffset>-721995</wp:posOffset>
            </wp:positionV>
            <wp:extent cx="7334885" cy="10373995"/>
            <wp:effectExtent l="0" t="0" r="18415" b="8255"/>
            <wp:wrapNone/>
            <wp:docPr id="101" name="图片 101" descr="Scan20201009085512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Scan20201009085512_011"/>
                    <pic:cNvPicPr>
                      <a:picLocks noChangeAspect="1"/>
                    </pic:cNvPicPr>
                  </pic:nvPicPr>
                  <pic:blipFill>
                    <a:blip r:embed="rId52"/>
                    <a:stretch>
                      <a:fillRect/>
                    </a:stretch>
                  </pic:blipFill>
                  <pic:spPr>
                    <a:xfrm>
                      <a:off x="0" y="0"/>
                      <a:ext cx="7334885" cy="10373995"/>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lang w:eastAsia="zh-CN"/>
        </w:rPr>
        <w:drawing>
          <wp:anchor distT="0" distB="0" distL="114300" distR="114300" simplePos="0" relativeHeight="742851584" behindDoc="1" locked="0" layoutInCell="1" allowOverlap="1">
            <wp:simplePos x="0" y="0"/>
            <wp:positionH relativeFrom="column">
              <wp:posOffset>-962025</wp:posOffset>
            </wp:positionH>
            <wp:positionV relativeFrom="paragraph">
              <wp:posOffset>-648970</wp:posOffset>
            </wp:positionV>
            <wp:extent cx="7132955" cy="10088245"/>
            <wp:effectExtent l="0" t="0" r="10795" b="8255"/>
            <wp:wrapNone/>
            <wp:docPr id="102" name="图片 102" descr="Scan20201009085512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Scan20201009085512_012"/>
                    <pic:cNvPicPr>
                      <a:picLocks noChangeAspect="1"/>
                    </pic:cNvPicPr>
                  </pic:nvPicPr>
                  <pic:blipFill>
                    <a:blip r:embed="rId53"/>
                    <a:stretch>
                      <a:fillRect/>
                    </a:stretch>
                  </pic:blipFill>
                  <pic:spPr>
                    <a:xfrm>
                      <a:off x="0" y="0"/>
                      <a:ext cx="7132955" cy="10088245"/>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lang w:eastAsia="zh-CN"/>
        </w:rPr>
        <w:drawing>
          <wp:anchor distT="0" distB="0" distL="114300" distR="114300" simplePos="0" relativeHeight="1865164800" behindDoc="1" locked="0" layoutInCell="1" allowOverlap="1">
            <wp:simplePos x="0" y="0"/>
            <wp:positionH relativeFrom="column">
              <wp:posOffset>-914400</wp:posOffset>
            </wp:positionH>
            <wp:positionV relativeFrom="paragraph">
              <wp:posOffset>-750570</wp:posOffset>
            </wp:positionV>
            <wp:extent cx="7091680" cy="10030460"/>
            <wp:effectExtent l="0" t="0" r="13970" b="8890"/>
            <wp:wrapNone/>
            <wp:docPr id="103" name="图片 103" descr="Scan20201009085512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Scan20201009085512_013"/>
                    <pic:cNvPicPr>
                      <a:picLocks noChangeAspect="1"/>
                    </pic:cNvPicPr>
                  </pic:nvPicPr>
                  <pic:blipFill>
                    <a:blip r:embed="rId54"/>
                    <a:stretch>
                      <a:fillRect/>
                    </a:stretch>
                  </pic:blipFill>
                  <pic:spPr>
                    <a:xfrm>
                      <a:off x="0" y="0"/>
                      <a:ext cx="7091680" cy="10030460"/>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lang w:eastAsia="zh-CN"/>
        </w:rPr>
        <w:drawing>
          <wp:anchor distT="0" distB="0" distL="114300" distR="114300" simplePos="0" relativeHeight="2987478016" behindDoc="1" locked="0" layoutInCell="1" allowOverlap="1">
            <wp:simplePos x="0" y="0"/>
            <wp:positionH relativeFrom="column">
              <wp:posOffset>-1019175</wp:posOffset>
            </wp:positionH>
            <wp:positionV relativeFrom="paragraph">
              <wp:posOffset>-829945</wp:posOffset>
            </wp:positionV>
            <wp:extent cx="7186295" cy="10164445"/>
            <wp:effectExtent l="0" t="0" r="14605" b="8255"/>
            <wp:wrapNone/>
            <wp:docPr id="104" name="图片 104" descr="Scan20201009085512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Scan20201009085512_014"/>
                    <pic:cNvPicPr>
                      <a:picLocks noChangeAspect="1"/>
                    </pic:cNvPicPr>
                  </pic:nvPicPr>
                  <pic:blipFill>
                    <a:blip r:embed="rId55"/>
                    <a:stretch>
                      <a:fillRect/>
                    </a:stretch>
                  </pic:blipFill>
                  <pic:spPr>
                    <a:xfrm>
                      <a:off x="0" y="0"/>
                      <a:ext cx="7186295" cy="10164445"/>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lang w:eastAsia="zh-CN"/>
        </w:rPr>
        <w:drawing>
          <wp:anchor distT="0" distB="0" distL="114300" distR="114300" simplePos="0" relativeHeight="1712702464" behindDoc="1" locked="0" layoutInCell="1" allowOverlap="1">
            <wp:simplePos x="0" y="0"/>
            <wp:positionH relativeFrom="column">
              <wp:posOffset>-857250</wp:posOffset>
            </wp:positionH>
            <wp:positionV relativeFrom="paragraph">
              <wp:posOffset>-645795</wp:posOffset>
            </wp:positionV>
            <wp:extent cx="6917690" cy="9784080"/>
            <wp:effectExtent l="0" t="0" r="16510" b="7620"/>
            <wp:wrapNone/>
            <wp:docPr id="105" name="图片 1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1"/>
                    <pic:cNvPicPr>
                      <a:picLocks noChangeAspect="1"/>
                    </pic:cNvPicPr>
                  </pic:nvPicPr>
                  <pic:blipFill>
                    <a:blip r:embed="rId56"/>
                    <a:stretch>
                      <a:fillRect/>
                    </a:stretch>
                  </pic:blipFill>
                  <pic:spPr>
                    <a:xfrm>
                      <a:off x="0" y="0"/>
                      <a:ext cx="6917690" cy="9784080"/>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lang w:eastAsia="zh-CN"/>
        </w:rPr>
        <w:drawing>
          <wp:anchor distT="0" distB="0" distL="114300" distR="114300" simplePos="0" relativeHeight="590389248" behindDoc="1" locked="0" layoutInCell="1" allowOverlap="1">
            <wp:simplePos x="0" y="0"/>
            <wp:positionH relativeFrom="column">
              <wp:posOffset>-952500</wp:posOffset>
            </wp:positionH>
            <wp:positionV relativeFrom="paragraph">
              <wp:posOffset>-668020</wp:posOffset>
            </wp:positionV>
            <wp:extent cx="7125335" cy="10077450"/>
            <wp:effectExtent l="0" t="0" r="18415" b="0"/>
            <wp:wrapNone/>
            <wp:docPr id="106" name="图片 1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2"/>
                    <pic:cNvPicPr>
                      <a:picLocks noChangeAspect="1"/>
                    </pic:cNvPicPr>
                  </pic:nvPicPr>
                  <pic:blipFill>
                    <a:blip r:embed="rId57"/>
                    <a:stretch>
                      <a:fillRect/>
                    </a:stretch>
                  </pic:blipFill>
                  <pic:spPr>
                    <a:xfrm>
                      <a:off x="0" y="0"/>
                      <a:ext cx="7125335" cy="10077450"/>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lang w:eastAsia="zh-CN"/>
        </w:rPr>
        <w:drawing>
          <wp:anchor distT="0" distB="0" distL="114300" distR="114300" simplePos="0" relativeHeight="3610580992" behindDoc="1" locked="0" layoutInCell="1" allowOverlap="1">
            <wp:simplePos x="0" y="0"/>
            <wp:positionH relativeFrom="column">
              <wp:posOffset>-952500</wp:posOffset>
            </wp:positionH>
            <wp:positionV relativeFrom="paragraph">
              <wp:posOffset>-798195</wp:posOffset>
            </wp:positionV>
            <wp:extent cx="7051675" cy="9973945"/>
            <wp:effectExtent l="0" t="0" r="15875" b="8255"/>
            <wp:wrapNone/>
            <wp:docPr id="108" name="图片 10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3"/>
                    <pic:cNvPicPr>
                      <a:picLocks noChangeAspect="1"/>
                    </pic:cNvPicPr>
                  </pic:nvPicPr>
                  <pic:blipFill>
                    <a:blip r:embed="rId58"/>
                    <a:stretch>
                      <a:fillRect/>
                    </a:stretch>
                  </pic:blipFill>
                  <pic:spPr>
                    <a:xfrm>
                      <a:off x="0" y="0"/>
                      <a:ext cx="7051675" cy="9973945"/>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lang w:eastAsia="zh-CN"/>
        </w:rPr>
        <w:drawing>
          <wp:anchor distT="0" distB="0" distL="114300" distR="114300" simplePos="0" relativeHeight="437926912" behindDoc="1" locked="0" layoutInCell="1" allowOverlap="1">
            <wp:simplePos x="0" y="0"/>
            <wp:positionH relativeFrom="column">
              <wp:posOffset>-742950</wp:posOffset>
            </wp:positionH>
            <wp:positionV relativeFrom="paragraph">
              <wp:posOffset>-753745</wp:posOffset>
            </wp:positionV>
            <wp:extent cx="6910705" cy="9773920"/>
            <wp:effectExtent l="0" t="0" r="4445" b="17780"/>
            <wp:wrapNone/>
            <wp:docPr id="109" name="图片 10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4"/>
                    <pic:cNvPicPr>
                      <a:picLocks noChangeAspect="1"/>
                    </pic:cNvPicPr>
                  </pic:nvPicPr>
                  <pic:blipFill>
                    <a:blip r:embed="rId59"/>
                    <a:stretch>
                      <a:fillRect/>
                    </a:stretch>
                  </pic:blipFill>
                  <pic:spPr>
                    <a:xfrm>
                      <a:off x="0" y="0"/>
                      <a:ext cx="6910705" cy="9773920"/>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lang w:eastAsia="zh-CN"/>
        </w:rPr>
        <w:drawing>
          <wp:anchor distT="0" distB="0" distL="114300" distR="114300" simplePos="0" relativeHeight="1560240128" behindDoc="1" locked="0" layoutInCell="1" allowOverlap="1">
            <wp:simplePos x="0" y="0"/>
            <wp:positionH relativeFrom="column">
              <wp:posOffset>-819150</wp:posOffset>
            </wp:positionH>
            <wp:positionV relativeFrom="paragraph">
              <wp:posOffset>-664845</wp:posOffset>
            </wp:positionV>
            <wp:extent cx="7025005" cy="9935845"/>
            <wp:effectExtent l="0" t="0" r="4445" b="8255"/>
            <wp:wrapNone/>
            <wp:docPr id="110" name="图片 11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5"/>
                    <pic:cNvPicPr>
                      <a:picLocks noChangeAspect="1"/>
                    </pic:cNvPicPr>
                  </pic:nvPicPr>
                  <pic:blipFill>
                    <a:blip r:embed="rId60"/>
                    <a:stretch>
                      <a:fillRect/>
                    </a:stretch>
                  </pic:blipFill>
                  <pic:spPr>
                    <a:xfrm>
                      <a:off x="0" y="0"/>
                      <a:ext cx="7025005" cy="9935845"/>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lang w:eastAsia="zh-CN"/>
        </w:rPr>
        <w:drawing>
          <wp:anchor distT="0" distB="0" distL="114300" distR="114300" simplePos="0" relativeHeight="3652404224" behindDoc="1" locked="0" layoutInCell="1" allowOverlap="1">
            <wp:simplePos x="0" y="0"/>
            <wp:positionH relativeFrom="column">
              <wp:posOffset>-1057275</wp:posOffset>
            </wp:positionH>
            <wp:positionV relativeFrom="paragraph">
              <wp:posOffset>-772795</wp:posOffset>
            </wp:positionV>
            <wp:extent cx="7348220" cy="10393045"/>
            <wp:effectExtent l="0" t="0" r="5080" b="8255"/>
            <wp:wrapNone/>
            <wp:docPr id="111" name="图片 11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6"/>
                    <pic:cNvPicPr>
                      <a:picLocks noChangeAspect="1"/>
                    </pic:cNvPicPr>
                  </pic:nvPicPr>
                  <pic:blipFill>
                    <a:blip r:embed="rId61"/>
                    <a:stretch>
                      <a:fillRect/>
                    </a:stretch>
                  </pic:blipFill>
                  <pic:spPr>
                    <a:xfrm>
                      <a:off x="0" y="0"/>
                      <a:ext cx="7348220" cy="10393045"/>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lang w:eastAsia="zh-CN"/>
        </w:rPr>
        <w:drawing>
          <wp:anchor distT="0" distB="0" distL="114300" distR="114300" simplePos="0" relativeHeight="2571914240" behindDoc="1" locked="0" layoutInCell="1" allowOverlap="1">
            <wp:simplePos x="0" y="0"/>
            <wp:positionH relativeFrom="column">
              <wp:posOffset>-838200</wp:posOffset>
            </wp:positionH>
            <wp:positionV relativeFrom="paragraph">
              <wp:posOffset>-607695</wp:posOffset>
            </wp:positionV>
            <wp:extent cx="6987540" cy="9883140"/>
            <wp:effectExtent l="0" t="0" r="3810" b="3810"/>
            <wp:wrapNone/>
            <wp:docPr id="112" name="图片 11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7"/>
                    <pic:cNvPicPr>
                      <a:picLocks noChangeAspect="1"/>
                    </pic:cNvPicPr>
                  </pic:nvPicPr>
                  <pic:blipFill>
                    <a:blip r:embed="rId62"/>
                    <a:stretch>
                      <a:fillRect/>
                    </a:stretch>
                  </pic:blipFill>
                  <pic:spPr>
                    <a:xfrm>
                      <a:off x="0" y="0"/>
                      <a:ext cx="6987540" cy="9883140"/>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lang w:eastAsia="zh-CN"/>
        </w:rPr>
        <w:drawing>
          <wp:anchor distT="0" distB="0" distL="114300" distR="114300" simplePos="0" relativeHeight="3694227456" behindDoc="1" locked="0" layoutInCell="1" allowOverlap="1">
            <wp:simplePos x="0" y="0"/>
            <wp:positionH relativeFrom="column">
              <wp:posOffset>-904875</wp:posOffset>
            </wp:positionH>
            <wp:positionV relativeFrom="paragraph">
              <wp:posOffset>-744220</wp:posOffset>
            </wp:positionV>
            <wp:extent cx="7207250" cy="10193655"/>
            <wp:effectExtent l="0" t="0" r="12700" b="17145"/>
            <wp:wrapNone/>
            <wp:docPr id="113" name="图片 11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8"/>
                    <pic:cNvPicPr>
                      <a:picLocks noChangeAspect="1"/>
                    </pic:cNvPicPr>
                  </pic:nvPicPr>
                  <pic:blipFill>
                    <a:blip r:embed="rId63"/>
                    <a:stretch>
                      <a:fillRect/>
                    </a:stretch>
                  </pic:blipFill>
                  <pic:spPr>
                    <a:xfrm>
                      <a:off x="0" y="0"/>
                      <a:ext cx="7207250" cy="10193655"/>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lang w:eastAsia="zh-CN"/>
        </w:rPr>
        <w:drawing>
          <wp:anchor distT="0" distB="0" distL="114300" distR="114300" simplePos="0" relativeHeight="605219840" behindDoc="1" locked="0" layoutInCell="1" allowOverlap="1">
            <wp:simplePos x="0" y="0"/>
            <wp:positionH relativeFrom="column">
              <wp:posOffset>-885825</wp:posOffset>
            </wp:positionH>
            <wp:positionV relativeFrom="paragraph">
              <wp:posOffset>-474345</wp:posOffset>
            </wp:positionV>
            <wp:extent cx="7051675" cy="9973945"/>
            <wp:effectExtent l="0" t="0" r="15875" b="8255"/>
            <wp:wrapNone/>
            <wp:docPr id="114" name="图片 114"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9"/>
                    <pic:cNvPicPr>
                      <a:picLocks noChangeAspect="1"/>
                    </pic:cNvPicPr>
                  </pic:nvPicPr>
                  <pic:blipFill>
                    <a:blip r:embed="rId64"/>
                    <a:stretch>
                      <a:fillRect/>
                    </a:stretch>
                  </pic:blipFill>
                  <pic:spPr>
                    <a:xfrm>
                      <a:off x="0" y="0"/>
                      <a:ext cx="7051675" cy="9973945"/>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mc:AlternateContent>
          <mc:Choice Requires="wps">
            <w:drawing>
              <wp:anchor distT="0" distB="0" distL="114300" distR="114300" simplePos="0" relativeHeight="4247277568" behindDoc="0" locked="0" layoutInCell="1" allowOverlap="1">
                <wp:simplePos x="0" y="0"/>
                <wp:positionH relativeFrom="column">
                  <wp:posOffset>4118610</wp:posOffset>
                </wp:positionH>
                <wp:positionV relativeFrom="paragraph">
                  <wp:posOffset>-278130</wp:posOffset>
                </wp:positionV>
                <wp:extent cx="1689100" cy="463550"/>
                <wp:effectExtent l="0" t="0" r="0" b="0"/>
                <wp:wrapNone/>
                <wp:docPr id="116" name="文本框 116"/>
                <wp:cNvGraphicFramePr/>
                <a:graphic xmlns:a="http://schemas.openxmlformats.org/drawingml/2006/main">
                  <a:graphicData uri="http://schemas.microsoft.com/office/word/2010/wordprocessingShape">
                    <wps:wsp>
                      <wps:cNvSpPr txBox="1"/>
                      <wps:spPr>
                        <a:xfrm>
                          <a:off x="0" y="0"/>
                          <a:ext cx="1689100" cy="463550"/>
                        </a:xfrm>
                        <a:prstGeom prst="rect">
                          <a:avLst/>
                        </a:prstGeom>
                        <a:noFill/>
                        <a:ln w="6350">
                          <a:noFill/>
                        </a:ln>
                        <a:effectLst/>
                      </wps:spPr>
                      <wps:txbx>
                        <w:txbxContent>
                          <w:p>
                            <w:pPr>
                              <w:jc w:val="center"/>
                              <w:rPr>
                                <w:rFonts w:hint="default" w:ascii="宋体" w:hAnsi="宋体" w:eastAsia="宋体" w:cs="宋体"/>
                                <w:b/>
                                <w:bCs/>
                                <w:sz w:val="28"/>
                                <w:szCs w:val="28"/>
                                <w:lang w:val="en-US" w:eastAsia="zh-CN"/>
                              </w:rPr>
                            </w:pPr>
                            <w:r>
                              <w:rPr>
                                <w:rFonts w:hint="eastAsia" w:ascii="宋体" w:hAnsi="宋体" w:eastAsia="宋体" w:cs="宋体"/>
                                <w:b/>
                                <w:bCs/>
                                <w:sz w:val="28"/>
                                <w:szCs w:val="28"/>
                              </w:rPr>
                              <w:t>附件</w:t>
                            </w:r>
                            <w:r>
                              <w:rPr>
                                <w:rFonts w:hint="eastAsia" w:ascii="宋体" w:hAnsi="宋体" w:eastAsia="宋体" w:cs="宋体"/>
                                <w:b/>
                                <w:bCs/>
                                <w:sz w:val="28"/>
                                <w:szCs w:val="28"/>
                                <w:lang w:val="en-US" w:eastAsia="zh-CN"/>
                              </w:rPr>
                              <w:t>十一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4.3pt;margin-top:-21.9pt;height:36.5pt;width:133pt;z-index:-47689728;mso-width-relative:page;mso-height-relative:page;" filled="f" stroked="f" coordsize="21600,21600" o:gfxdata="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kkfWX2wAAAAoBAAAPAAAAAAAAAAEAIAAA&#10;ACIAAABkcnMvZG93bnJldi54bWxQSwECFAAUAAAACACHTuJAYVv7EUICAAB4BAAADgAAAAAAAAAB&#10;ACAAAAAqAQAAZHJzL2Uyb0RvYy54bWxQSwUGAAAAAAYABgBZAQAA3gUAAAAA&#10;">
                <v:fill on="f" focussize="0,0"/>
                <v:stroke on="f" weight="0.5pt"/>
                <v:imagedata o:title=""/>
                <o:lock v:ext="edit" aspectratio="f"/>
                <v:textbox>
                  <w:txbxContent>
                    <w:p>
                      <w:pPr>
                        <w:jc w:val="center"/>
                        <w:rPr>
                          <w:rFonts w:hint="default" w:ascii="宋体" w:hAnsi="宋体" w:eastAsia="宋体" w:cs="宋体"/>
                          <w:b/>
                          <w:bCs/>
                          <w:sz w:val="28"/>
                          <w:szCs w:val="28"/>
                          <w:lang w:val="en-US" w:eastAsia="zh-CN"/>
                        </w:rPr>
                      </w:pPr>
                      <w:r>
                        <w:rPr>
                          <w:rFonts w:hint="eastAsia" w:ascii="宋体" w:hAnsi="宋体" w:eastAsia="宋体" w:cs="宋体"/>
                          <w:b/>
                          <w:bCs/>
                          <w:sz w:val="28"/>
                          <w:szCs w:val="28"/>
                        </w:rPr>
                        <w:t>附件</w:t>
                      </w:r>
                      <w:r>
                        <w:rPr>
                          <w:rFonts w:hint="eastAsia" w:ascii="宋体" w:hAnsi="宋体" w:eastAsia="宋体" w:cs="宋体"/>
                          <w:b/>
                          <w:bCs/>
                          <w:sz w:val="28"/>
                          <w:szCs w:val="28"/>
                          <w:lang w:val="en-US" w:eastAsia="zh-CN"/>
                        </w:rPr>
                        <w:t>十一</w:t>
                      </w:r>
                    </w:p>
                  </w:txbxContent>
                </v:textbox>
              </v:shape>
            </w:pict>
          </mc:Fallback>
        </mc:AlternateContent>
      </w:r>
      <w:r>
        <w:rPr>
          <w:rFonts w:hint="eastAsia"/>
          <w:lang w:eastAsia="zh-CN"/>
        </w:rPr>
        <w:drawing>
          <wp:anchor distT="0" distB="0" distL="114300" distR="114300" simplePos="0" relativeHeight="2933492736" behindDoc="1" locked="0" layoutInCell="1" allowOverlap="1">
            <wp:simplePos x="0" y="0"/>
            <wp:positionH relativeFrom="column">
              <wp:posOffset>-714375</wp:posOffset>
            </wp:positionH>
            <wp:positionV relativeFrom="paragraph">
              <wp:posOffset>-765175</wp:posOffset>
            </wp:positionV>
            <wp:extent cx="6645275" cy="10172065"/>
            <wp:effectExtent l="0" t="0" r="3175" b="635"/>
            <wp:wrapNone/>
            <wp:docPr id="115" name="图片 115" descr="42981d0995bdd991339004a78a4ba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42981d0995bdd991339004a78a4ba4c"/>
                    <pic:cNvPicPr>
                      <a:picLocks noChangeAspect="1"/>
                    </pic:cNvPicPr>
                  </pic:nvPicPr>
                  <pic:blipFill>
                    <a:blip r:embed="rId65"/>
                    <a:srcRect t="15927" b="7533"/>
                    <a:stretch>
                      <a:fillRect/>
                    </a:stretch>
                  </pic:blipFill>
                  <pic:spPr>
                    <a:xfrm>
                      <a:off x="0" y="0"/>
                      <a:ext cx="6645275" cy="10172065"/>
                    </a:xfrm>
                    <a:prstGeom prst="rect">
                      <a:avLst/>
                    </a:prstGeom>
                  </pic:spPr>
                </pic:pic>
              </a:graphicData>
            </a:graphic>
          </wp:anchor>
        </w:drawing>
      </w:r>
    </w:p>
    <w:p>
      <w:pPr>
        <w:pStyle w:val="28"/>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eastAsia="仿宋_GB2312"/>
          <w:lang w:eastAsia="zh-CN"/>
        </w:rPr>
        <w:drawing>
          <wp:anchor distT="0" distB="0" distL="114300" distR="114300" simplePos="0" relativeHeight="4247278592" behindDoc="1" locked="0" layoutInCell="1" allowOverlap="1">
            <wp:simplePos x="0" y="0"/>
            <wp:positionH relativeFrom="column">
              <wp:posOffset>-962025</wp:posOffset>
            </wp:positionH>
            <wp:positionV relativeFrom="paragraph">
              <wp:posOffset>-731520</wp:posOffset>
            </wp:positionV>
            <wp:extent cx="7146290" cy="10107295"/>
            <wp:effectExtent l="0" t="0" r="16510" b="8255"/>
            <wp:wrapNone/>
            <wp:docPr id="117" name="图片 117" descr="lADPDhJzub5zzSDNEkTNDOo_3306_4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lADPDhJzub5zzSDNEkTNDOo_3306_4676"/>
                    <pic:cNvPicPr>
                      <a:picLocks noChangeAspect="1"/>
                    </pic:cNvPicPr>
                  </pic:nvPicPr>
                  <pic:blipFill>
                    <a:blip r:embed="rId66"/>
                    <a:stretch>
                      <a:fillRect/>
                    </a:stretch>
                  </pic:blipFill>
                  <pic:spPr>
                    <a:xfrm>
                      <a:off x="0" y="0"/>
                      <a:ext cx="7146290" cy="10107295"/>
                    </a:xfrm>
                    <a:prstGeom prst="rect">
                      <a:avLst/>
                    </a:prstGeom>
                  </pic:spPr>
                </pic:pic>
              </a:graphicData>
            </a:graphic>
          </wp:anchor>
        </w:drawing>
      </w:r>
    </w:p>
    <w:p>
      <w:pPr>
        <w:pStyle w:val="28"/>
      </w:pPr>
    </w:p>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0000000000000000000"/>
    <w:charset w:val="86"/>
    <w:family w:val="modern"/>
    <w:pitch w:val="default"/>
    <w:sig w:usb0="00000000" w:usb1="00000000" w:usb2="00000010" w:usb3="00000000" w:csb0="00040000" w:csb1="00000000"/>
  </w:font>
  <w:font w:name="楷体_GB2312">
    <w:altName w:val="楷体"/>
    <w:panose1 w:val="00000000000000000000"/>
    <w:charset w:val="86"/>
    <w:family w:val="modern"/>
    <w:pitch w:val="default"/>
    <w:sig w:usb0="00000000" w:usb1="00000000" w:usb2="00000010" w:usb3="00000000" w:csb0="00040000" w:csb1="00000000"/>
  </w:font>
  <w:font w:name="Wingdings 2">
    <w:panose1 w:val="05020102010507070707"/>
    <w:charset w:val="00"/>
    <w:family w:val="auto"/>
    <w:pitch w:val="default"/>
    <w:sig w:usb0="00000000" w:usb1="00000000" w:usb2="00000000" w:usb3="00000000" w:csb0="80000000" w:csb1="00000000"/>
  </w:font>
  <w:font w:name="迷你简大标宋">
    <w:altName w:val="黑体"/>
    <w:panose1 w:val="03000509000000000000"/>
    <w:charset w:val="86"/>
    <w:family w:val="script"/>
    <w:pitch w:val="default"/>
    <w:sig w:usb0="00000000" w:usb1="00000000" w:usb2="00000010" w:usb3="00000000" w:csb0="00040000" w:csb1="00000000"/>
  </w:font>
  <w:font w:name="TimesNewRomanPSMT">
    <w:altName w:val="Times New Roman"/>
    <w:panose1 w:val="00000000000000000000"/>
    <w:charset w:val="00"/>
    <w:family w:val="auto"/>
    <w:pitch w:val="default"/>
    <w:sig w:usb0="00000000" w:usb1="00000000" w:usb2="00000000" w:usb3="00000000" w:csb0="00000000"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MS Gothic">
    <w:panose1 w:val="020B0609070205080204"/>
    <w:charset w:val="80"/>
    <w:family w:val="modern"/>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k3PuszAgAAYw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PUVJYZpVPz0/dvp&#10;x6/Tz68EZxCocWGGuAeHyNi+tS3aZjgPOEy828rr9AUjAj/kPV7kFW0kPF2aTqbTHC4O37ABfvZ4&#10;3fkQ3wmrSTIK6lG/TlZ22ITYhw4hKZuxa6lUV0NlSFPQ66s3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k3PuszAgAAYwQAAA4AAAAAAAAAAQAgAAAAHwEAAGRycy9lMm9Eb2MueG1sUEsF&#10;BgAAAAAGAAYAWQEAAMQFAAAAAA==&#10;">
              <v:fill on="f" focussize="0,0"/>
              <v:stroke on="f" weight="0.5pt"/>
              <v:imagedata o:title=""/>
              <o:lock v:ext="edit" aspectratio="f"/>
              <v:textbox inset="0mm,0mm,0mm,0mm" style="mso-fit-shape-to-text:t;">
                <w:txbxContent>
                  <w:p>
                    <w:pPr>
                      <w:pStyle w:val="1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78360D9"/>
    <w:multiLevelType w:val="singleLevel"/>
    <w:tmpl w:val="978360D9"/>
    <w:lvl w:ilvl="0" w:tentative="0">
      <w:start w:val="1"/>
      <w:numFmt w:val="decimal"/>
      <w:suff w:val="nothing"/>
      <w:lvlText w:val="（%1）"/>
      <w:lvlJc w:val="left"/>
    </w:lvl>
  </w:abstractNum>
  <w:abstractNum w:abstractNumId="1">
    <w:nsid w:val="9A99204D"/>
    <w:multiLevelType w:val="singleLevel"/>
    <w:tmpl w:val="9A99204D"/>
    <w:lvl w:ilvl="0" w:tentative="0">
      <w:start w:val="1"/>
      <w:numFmt w:val="chineseCounting"/>
      <w:suff w:val="nothing"/>
      <w:lvlText w:val="%1、"/>
      <w:lvlJc w:val="left"/>
      <w:rPr>
        <w:rFonts w:hint="eastAsia"/>
      </w:rPr>
    </w:lvl>
  </w:abstractNum>
  <w:abstractNum w:abstractNumId="2">
    <w:nsid w:val="BFD3B03E"/>
    <w:multiLevelType w:val="singleLevel"/>
    <w:tmpl w:val="BFD3B03E"/>
    <w:lvl w:ilvl="0" w:tentative="0">
      <w:start w:val="1"/>
      <w:numFmt w:val="bullet"/>
      <w:pStyle w:val="9"/>
      <w:lvlText w:val=""/>
      <w:lvlJc w:val="left"/>
      <w:pPr>
        <w:tabs>
          <w:tab w:val="left" w:pos="360"/>
        </w:tabs>
        <w:ind w:left="360" w:hanging="360"/>
      </w:pPr>
      <w:rPr>
        <w:rFonts w:hint="default" w:ascii="Wingdings" w:hAnsi="Wingdings"/>
      </w:rPr>
    </w:lvl>
  </w:abstractNum>
  <w:abstractNum w:abstractNumId="3">
    <w:nsid w:val="C0003F63"/>
    <w:multiLevelType w:val="singleLevel"/>
    <w:tmpl w:val="C0003F63"/>
    <w:lvl w:ilvl="0" w:tentative="0">
      <w:start w:val="1"/>
      <w:numFmt w:val="decimal"/>
      <w:suff w:val="nothing"/>
      <w:lvlText w:val="（%1）"/>
      <w:lvlJc w:val="left"/>
    </w:lvl>
  </w:abstractNum>
  <w:abstractNum w:abstractNumId="4">
    <w:nsid w:val="F0F138CB"/>
    <w:multiLevelType w:val="singleLevel"/>
    <w:tmpl w:val="F0F138CB"/>
    <w:lvl w:ilvl="0" w:tentative="0">
      <w:start w:val="1"/>
      <w:numFmt w:val="decimal"/>
      <w:suff w:val="nothing"/>
      <w:lvlText w:val="（%1）"/>
      <w:lvlJc w:val="left"/>
    </w:lvl>
  </w:abstractNum>
  <w:abstractNum w:abstractNumId="5">
    <w:nsid w:val="270303F2"/>
    <w:multiLevelType w:val="singleLevel"/>
    <w:tmpl w:val="270303F2"/>
    <w:lvl w:ilvl="0" w:tentative="0">
      <w:start w:val="5"/>
      <w:numFmt w:val="chineseCounting"/>
      <w:suff w:val="nothing"/>
      <w:lvlText w:val="%1、"/>
      <w:lvlJc w:val="left"/>
      <w:rPr>
        <w:rFonts w:hint="eastAsia"/>
      </w:rPr>
    </w:lvl>
  </w:abstractNum>
  <w:abstractNum w:abstractNumId="6">
    <w:nsid w:val="4C17BF26"/>
    <w:multiLevelType w:val="singleLevel"/>
    <w:tmpl w:val="4C17BF26"/>
    <w:lvl w:ilvl="0" w:tentative="0">
      <w:start w:val="1"/>
      <w:numFmt w:val="decimal"/>
      <w:suff w:val="nothing"/>
      <w:lvlText w:val="（%1）"/>
      <w:lvlJc w:val="left"/>
    </w:lvl>
  </w:abstractNum>
  <w:abstractNum w:abstractNumId="7">
    <w:nsid w:val="511E5C6F"/>
    <w:multiLevelType w:val="singleLevel"/>
    <w:tmpl w:val="511E5C6F"/>
    <w:lvl w:ilvl="0" w:tentative="0">
      <w:start w:val="1"/>
      <w:numFmt w:val="decimal"/>
      <w:suff w:val="nothing"/>
      <w:lvlText w:val="（%1）"/>
      <w:lvlJc w:val="left"/>
    </w:lvl>
  </w:abstractNum>
  <w:num w:numId="1">
    <w:abstractNumId w:val="2"/>
  </w:num>
  <w:num w:numId="2">
    <w:abstractNumId w:val="1"/>
  </w:num>
  <w:num w:numId="3">
    <w:abstractNumId w:val="5"/>
  </w:num>
  <w:num w:numId="4">
    <w:abstractNumId w:val="3"/>
  </w:num>
  <w:num w:numId="5">
    <w:abstractNumId w:val="4"/>
  </w:num>
  <w:num w:numId="6">
    <w:abstractNumId w:val="7"/>
  </w:num>
  <w:num w:numId="7">
    <w:abstractNumId w:val="6"/>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496874"/>
    <w:rsid w:val="005C6116"/>
    <w:rsid w:val="009E36AC"/>
    <w:rsid w:val="009E5D0E"/>
    <w:rsid w:val="00A96A7F"/>
    <w:rsid w:val="00BD77E9"/>
    <w:rsid w:val="01241924"/>
    <w:rsid w:val="01C65E12"/>
    <w:rsid w:val="01D946E4"/>
    <w:rsid w:val="02943C23"/>
    <w:rsid w:val="02E01E90"/>
    <w:rsid w:val="02E04FB9"/>
    <w:rsid w:val="030C3D33"/>
    <w:rsid w:val="03E53D9D"/>
    <w:rsid w:val="03F7388F"/>
    <w:rsid w:val="0426602B"/>
    <w:rsid w:val="04283661"/>
    <w:rsid w:val="043C63D5"/>
    <w:rsid w:val="043D2953"/>
    <w:rsid w:val="045239C2"/>
    <w:rsid w:val="04A00991"/>
    <w:rsid w:val="04CB4D09"/>
    <w:rsid w:val="04DD6BE1"/>
    <w:rsid w:val="04F45582"/>
    <w:rsid w:val="051024D0"/>
    <w:rsid w:val="053E1F52"/>
    <w:rsid w:val="054E0147"/>
    <w:rsid w:val="059E1819"/>
    <w:rsid w:val="05C7357F"/>
    <w:rsid w:val="05D17A7F"/>
    <w:rsid w:val="05F6457E"/>
    <w:rsid w:val="06650448"/>
    <w:rsid w:val="06B02974"/>
    <w:rsid w:val="07641652"/>
    <w:rsid w:val="076C48B0"/>
    <w:rsid w:val="07943A30"/>
    <w:rsid w:val="07E83CB1"/>
    <w:rsid w:val="0804175D"/>
    <w:rsid w:val="085B7E7C"/>
    <w:rsid w:val="08E64F58"/>
    <w:rsid w:val="090544BB"/>
    <w:rsid w:val="0A124071"/>
    <w:rsid w:val="0A300282"/>
    <w:rsid w:val="0A567DB0"/>
    <w:rsid w:val="0A590FC4"/>
    <w:rsid w:val="0B41312C"/>
    <w:rsid w:val="0B430DD1"/>
    <w:rsid w:val="0B4B2D64"/>
    <w:rsid w:val="0B691B11"/>
    <w:rsid w:val="0BD46F60"/>
    <w:rsid w:val="0CB851A8"/>
    <w:rsid w:val="0CF66731"/>
    <w:rsid w:val="0D1A55BE"/>
    <w:rsid w:val="0E0D5C61"/>
    <w:rsid w:val="0E1B5705"/>
    <w:rsid w:val="0E387F79"/>
    <w:rsid w:val="0EAF3751"/>
    <w:rsid w:val="0ECD7953"/>
    <w:rsid w:val="0FA64305"/>
    <w:rsid w:val="0FA7596D"/>
    <w:rsid w:val="0FDE69F8"/>
    <w:rsid w:val="0FE439B9"/>
    <w:rsid w:val="0FE525EF"/>
    <w:rsid w:val="1024234C"/>
    <w:rsid w:val="103E6F90"/>
    <w:rsid w:val="104B0585"/>
    <w:rsid w:val="109056C5"/>
    <w:rsid w:val="11766BAB"/>
    <w:rsid w:val="11C44C17"/>
    <w:rsid w:val="12A8785C"/>
    <w:rsid w:val="12D06C31"/>
    <w:rsid w:val="12F27162"/>
    <w:rsid w:val="13844316"/>
    <w:rsid w:val="13CA5EEB"/>
    <w:rsid w:val="13F84A24"/>
    <w:rsid w:val="147144E1"/>
    <w:rsid w:val="153F6E2E"/>
    <w:rsid w:val="171D032D"/>
    <w:rsid w:val="177D136B"/>
    <w:rsid w:val="17843B4D"/>
    <w:rsid w:val="17E82224"/>
    <w:rsid w:val="18586EE6"/>
    <w:rsid w:val="18E45B36"/>
    <w:rsid w:val="19B46422"/>
    <w:rsid w:val="19DC65E1"/>
    <w:rsid w:val="1A046618"/>
    <w:rsid w:val="1A0B7BEC"/>
    <w:rsid w:val="1AD64383"/>
    <w:rsid w:val="1B157228"/>
    <w:rsid w:val="1B307FFC"/>
    <w:rsid w:val="1B965ED8"/>
    <w:rsid w:val="1C331642"/>
    <w:rsid w:val="1C4668F7"/>
    <w:rsid w:val="1CB723CB"/>
    <w:rsid w:val="1CC5276A"/>
    <w:rsid w:val="1CF802DE"/>
    <w:rsid w:val="1CFE47AA"/>
    <w:rsid w:val="1D16384E"/>
    <w:rsid w:val="1D172F45"/>
    <w:rsid w:val="1D523669"/>
    <w:rsid w:val="1D7B2AA9"/>
    <w:rsid w:val="1DA45153"/>
    <w:rsid w:val="1E38441A"/>
    <w:rsid w:val="1E3F729E"/>
    <w:rsid w:val="1E797BE7"/>
    <w:rsid w:val="1E832D07"/>
    <w:rsid w:val="1E835DC1"/>
    <w:rsid w:val="1EAA0B24"/>
    <w:rsid w:val="1EC07406"/>
    <w:rsid w:val="1EF7729D"/>
    <w:rsid w:val="1F0458DB"/>
    <w:rsid w:val="1F3737C3"/>
    <w:rsid w:val="1F9561B6"/>
    <w:rsid w:val="1F9E1E0D"/>
    <w:rsid w:val="1FAD6D98"/>
    <w:rsid w:val="20287552"/>
    <w:rsid w:val="20B255F7"/>
    <w:rsid w:val="21873F15"/>
    <w:rsid w:val="21E85628"/>
    <w:rsid w:val="22685217"/>
    <w:rsid w:val="22F0267C"/>
    <w:rsid w:val="232A70EE"/>
    <w:rsid w:val="236659C7"/>
    <w:rsid w:val="238024AF"/>
    <w:rsid w:val="23D87C23"/>
    <w:rsid w:val="23DB4922"/>
    <w:rsid w:val="243427C4"/>
    <w:rsid w:val="24D520FA"/>
    <w:rsid w:val="25705AD4"/>
    <w:rsid w:val="258457E6"/>
    <w:rsid w:val="259947B9"/>
    <w:rsid w:val="25BE334D"/>
    <w:rsid w:val="26003FE1"/>
    <w:rsid w:val="26293120"/>
    <w:rsid w:val="26605257"/>
    <w:rsid w:val="267508BE"/>
    <w:rsid w:val="26B42A9E"/>
    <w:rsid w:val="26DA7F77"/>
    <w:rsid w:val="26DC1FDF"/>
    <w:rsid w:val="27722B42"/>
    <w:rsid w:val="28771D4E"/>
    <w:rsid w:val="287D08C6"/>
    <w:rsid w:val="28ED2168"/>
    <w:rsid w:val="293B0730"/>
    <w:rsid w:val="29497F6C"/>
    <w:rsid w:val="294D29F2"/>
    <w:rsid w:val="296A1A6F"/>
    <w:rsid w:val="29C66121"/>
    <w:rsid w:val="2A417E5F"/>
    <w:rsid w:val="2AD41F67"/>
    <w:rsid w:val="2CF90D76"/>
    <w:rsid w:val="2D201B4C"/>
    <w:rsid w:val="2D6A5124"/>
    <w:rsid w:val="2DC3292C"/>
    <w:rsid w:val="2DFB5E3D"/>
    <w:rsid w:val="2E2B002B"/>
    <w:rsid w:val="2E2C05DB"/>
    <w:rsid w:val="2E47644E"/>
    <w:rsid w:val="2E4D1F1B"/>
    <w:rsid w:val="2F0C6F52"/>
    <w:rsid w:val="2F861E2E"/>
    <w:rsid w:val="2F863D6D"/>
    <w:rsid w:val="30051709"/>
    <w:rsid w:val="301611CC"/>
    <w:rsid w:val="30A05D6C"/>
    <w:rsid w:val="31584D44"/>
    <w:rsid w:val="31936F4C"/>
    <w:rsid w:val="31CB736F"/>
    <w:rsid w:val="325307B6"/>
    <w:rsid w:val="3275727E"/>
    <w:rsid w:val="32881D36"/>
    <w:rsid w:val="32CD1874"/>
    <w:rsid w:val="32D03DC9"/>
    <w:rsid w:val="33006767"/>
    <w:rsid w:val="33535D77"/>
    <w:rsid w:val="34917ADE"/>
    <w:rsid w:val="34A01CAD"/>
    <w:rsid w:val="35AA010F"/>
    <w:rsid w:val="35FA7972"/>
    <w:rsid w:val="3627328E"/>
    <w:rsid w:val="364278D3"/>
    <w:rsid w:val="3730694B"/>
    <w:rsid w:val="37B07D3A"/>
    <w:rsid w:val="37BA5A3E"/>
    <w:rsid w:val="38106E5A"/>
    <w:rsid w:val="38131B96"/>
    <w:rsid w:val="38AE5CE7"/>
    <w:rsid w:val="38BE0862"/>
    <w:rsid w:val="38F529DD"/>
    <w:rsid w:val="38FB371D"/>
    <w:rsid w:val="39034DDF"/>
    <w:rsid w:val="39757937"/>
    <w:rsid w:val="3A5D5B83"/>
    <w:rsid w:val="3A777FFE"/>
    <w:rsid w:val="3A9E3F4E"/>
    <w:rsid w:val="3AAB58B4"/>
    <w:rsid w:val="3B154694"/>
    <w:rsid w:val="3B167362"/>
    <w:rsid w:val="3B192C61"/>
    <w:rsid w:val="3B6E739B"/>
    <w:rsid w:val="3BA77F5A"/>
    <w:rsid w:val="3BF525A6"/>
    <w:rsid w:val="3C802AF3"/>
    <w:rsid w:val="3C887E50"/>
    <w:rsid w:val="3CD620B0"/>
    <w:rsid w:val="3CD87629"/>
    <w:rsid w:val="3D232CF8"/>
    <w:rsid w:val="3D3F613D"/>
    <w:rsid w:val="3D794CB5"/>
    <w:rsid w:val="3D7E6651"/>
    <w:rsid w:val="3DAF0F4F"/>
    <w:rsid w:val="3E4730FE"/>
    <w:rsid w:val="3ECA59DB"/>
    <w:rsid w:val="3F0F5EC1"/>
    <w:rsid w:val="3F565F94"/>
    <w:rsid w:val="3F5C451F"/>
    <w:rsid w:val="3F9105AC"/>
    <w:rsid w:val="407C1AEB"/>
    <w:rsid w:val="40A67D23"/>
    <w:rsid w:val="40B05A37"/>
    <w:rsid w:val="40B2185D"/>
    <w:rsid w:val="41AD1FE5"/>
    <w:rsid w:val="41F502E6"/>
    <w:rsid w:val="424C5C27"/>
    <w:rsid w:val="42903DF9"/>
    <w:rsid w:val="429E5D8D"/>
    <w:rsid w:val="42D43AE1"/>
    <w:rsid w:val="42F614B1"/>
    <w:rsid w:val="42FF513E"/>
    <w:rsid w:val="43FB1E43"/>
    <w:rsid w:val="44105AB9"/>
    <w:rsid w:val="44CE22C5"/>
    <w:rsid w:val="44DD29CC"/>
    <w:rsid w:val="44E51347"/>
    <w:rsid w:val="44FA6223"/>
    <w:rsid w:val="452C4231"/>
    <w:rsid w:val="453226D0"/>
    <w:rsid w:val="45CC412F"/>
    <w:rsid w:val="45EF4BB4"/>
    <w:rsid w:val="460D3782"/>
    <w:rsid w:val="46233372"/>
    <w:rsid w:val="46992A82"/>
    <w:rsid w:val="46AD18BF"/>
    <w:rsid w:val="47115C62"/>
    <w:rsid w:val="473463D7"/>
    <w:rsid w:val="476A515E"/>
    <w:rsid w:val="47B95F9B"/>
    <w:rsid w:val="4875351D"/>
    <w:rsid w:val="4885676A"/>
    <w:rsid w:val="49154F20"/>
    <w:rsid w:val="492B105C"/>
    <w:rsid w:val="499536B1"/>
    <w:rsid w:val="4A8C5D90"/>
    <w:rsid w:val="4ABC056D"/>
    <w:rsid w:val="4B4B2B0A"/>
    <w:rsid w:val="4B9B3353"/>
    <w:rsid w:val="4C1A5AD2"/>
    <w:rsid w:val="4C510FFF"/>
    <w:rsid w:val="4C635AE3"/>
    <w:rsid w:val="4C711877"/>
    <w:rsid w:val="4D115A91"/>
    <w:rsid w:val="4D6E2848"/>
    <w:rsid w:val="4D8C1FB0"/>
    <w:rsid w:val="4E574525"/>
    <w:rsid w:val="4E675CDD"/>
    <w:rsid w:val="4F056686"/>
    <w:rsid w:val="4F282B16"/>
    <w:rsid w:val="4F315445"/>
    <w:rsid w:val="4FE07CB3"/>
    <w:rsid w:val="50462F3D"/>
    <w:rsid w:val="50F629C1"/>
    <w:rsid w:val="51510006"/>
    <w:rsid w:val="51D94CC6"/>
    <w:rsid w:val="51E53875"/>
    <w:rsid w:val="52313FCF"/>
    <w:rsid w:val="5259081D"/>
    <w:rsid w:val="52822BA1"/>
    <w:rsid w:val="52A07280"/>
    <w:rsid w:val="52E934A4"/>
    <w:rsid w:val="53667482"/>
    <w:rsid w:val="546B46D4"/>
    <w:rsid w:val="548C2F51"/>
    <w:rsid w:val="54985128"/>
    <w:rsid w:val="551D2BC5"/>
    <w:rsid w:val="55392819"/>
    <w:rsid w:val="55C447BE"/>
    <w:rsid w:val="55C95ABA"/>
    <w:rsid w:val="55EF568E"/>
    <w:rsid w:val="56676774"/>
    <w:rsid w:val="56B313DC"/>
    <w:rsid w:val="56EE00A7"/>
    <w:rsid w:val="575E3CAF"/>
    <w:rsid w:val="57965CB9"/>
    <w:rsid w:val="57BA257D"/>
    <w:rsid w:val="57F57D08"/>
    <w:rsid w:val="57F65031"/>
    <w:rsid w:val="58E636EB"/>
    <w:rsid w:val="5B160995"/>
    <w:rsid w:val="5B1D0958"/>
    <w:rsid w:val="5B506700"/>
    <w:rsid w:val="5BB031D8"/>
    <w:rsid w:val="5C787BD5"/>
    <w:rsid w:val="5C8164F9"/>
    <w:rsid w:val="5D43378E"/>
    <w:rsid w:val="5D543CE0"/>
    <w:rsid w:val="5D5F5248"/>
    <w:rsid w:val="5D676C2A"/>
    <w:rsid w:val="5DBB67DB"/>
    <w:rsid w:val="5DDE6F17"/>
    <w:rsid w:val="5E387BB5"/>
    <w:rsid w:val="5E855E70"/>
    <w:rsid w:val="5E875B16"/>
    <w:rsid w:val="5EC84FF4"/>
    <w:rsid w:val="5ED74045"/>
    <w:rsid w:val="5EE850A1"/>
    <w:rsid w:val="5EEF15CA"/>
    <w:rsid w:val="5F2E2B03"/>
    <w:rsid w:val="5F522BD7"/>
    <w:rsid w:val="60722ECF"/>
    <w:rsid w:val="609414EE"/>
    <w:rsid w:val="60B81741"/>
    <w:rsid w:val="618A35FA"/>
    <w:rsid w:val="619B6A95"/>
    <w:rsid w:val="61C563D8"/>
    <w:rsid w:val="61D90155"/>
    <w:rsid w:val="627003F3"/>
    <w:rsid w:val="62A11A0A"/>
    <w:rsid w:val="63533474"/>
    <w:rsid w:val="639C47F0"/>
    <w:rsid w:val="63A573E0"/>
    <w:rsid w:val="640B0D81"/>
    <w:rsid w:val="64285F00"/>
    <w:rsid w:val="642B0EED"/>
    <w:rsid w:val="64653CAD"/>
    <w:rsid w:val="646E4196"/>
    <w:rsid w:val="64B039E3"/>
    <w:rsid w:val="64CE5C5B"/>
    <w:rsid w:val="652B6337"/>
    <w:rsid w:val="65E57B64"/>
    <w:rsid w:val="66190A3E"/>
    <w:rsid w:val="67EE3C8F"/>
    <w:rsid w:val="688B0E90"/>
    <w:rsid w:val="69B90BA1"/>
    <w:rsid w:val="69BB0680"/>
    <w:rsid w:val="69F36436"/>
    <w:rsid w:val="6A8D3709"/>
    <w:rsid w:val="6AEA5D76"/>
    <w:rsid w:val="6B040B19"/>
    <w:rsid w:val="6B3B368B"/>
    <w:rsid w:val="6B513492"/>
    <w:rsid w:val="6BA44D80"/>
    <w:rsid w:val="6BB121A3"/>
    <w:rsid w:val="6BDC5790"/>
    <w:rsid w:val="6C127866"/>
    <w:rsid w:val="6C1753AA"/>
    <w:rsid w:val="6C475CE3"/>
    <w:rsid w:val="6C5B74A5"/>
    <w:rsid w:val="6C6142B4"/>
    <w:rsid w:val="6C6B30D8"/>
    <w:rsid w:val="6CB27195"/>
    <w:rsid w:val="6CE7614E"/>
    <w:rsid w:val="6D0B5309"/>
    <w:rsid w:val="6DCF773E"/>
    <w:rsid w:val="6E301A71"/>
    <w:rsid w:val="6E8B7BAC"/>
    <w:rsid w:val="6E9B052E"/>
    <w:rsid w:val="6FCB29E3"/>
    <w:rsid w:val="701017E5"/>
    <w:rsid w:val="706B533F"/>
    <w:rsid w:val="70FF0D44"/>
    <w:rsid w:val="7126051A"/>
    <w:rsid w:val="72193887"/>
    <w:rsid w:val="7235209B"/>
    <w:rsid w:val="742051F4"/>
    <w:rsid w:val="74484D76"/>
    <w:rsid w:val="74516EA5"/>
    <w:rsid w:val="746F062F"/>
    <w:rsid w:val="74AA1B89"/>
    <w:rsid w:val="74F86F68"/>
    <w:rsid w:val="759A0F92"/>
    <w:rsid w:val="75A42F91"/>
    <w:rsid w:val="75B46D37"/>
    <w:rsid w:val="767A4EFB"/>
    <w:rsid w:val="769F27DD"/>
    <w:rsid w:val="76AF1D1A"/>
    <w:rsid w:val="76CB63EA"/>
    <w:rsid w:val="7794270B"/>
    <w:rsid w:val="77B23BFD"/>
    <w:rsid w:val="78341661"/>
    <w:rsid w:val="78352197"/>
    <w:rsid w:val="78566716"/>
    <w:rsid w:val="78BD1520"/>
    <w:rsid w:val="79E156CF"/>
    <w:rsid w:val="7A7E6D0A"/>
    <w:rsid w:val="7A804E9F"/>
    <w:rsid w:val="7AC7316F"/>
    <w:rsid w:val="7B035561"/>
    <w:rsid w:val="7B17722C"/>
    <w:rsid w:val="7B9559DA"/>
    <w:rsid w:val="7B9851AE"/>
    <w:rsid w:val="7C392FA2"/>
    <w:rsid w:val="7C6A7D2C"/>
    <w:rsid w:val="7D2052CF"/>
    <w:rsid w:val="7D233D42"/>
    <w:rsid w:val="7D473736"/>
    <w:rsid w:val="7D7051E7"/>
    <w:rsid w:val="7DA569FC"/>
    <w:rsid w:val="7F2943BB"/>
    <w:rsid w:val="7F3657E8"/>
    <w:rsid w:val="7F58630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nhideWhenUsed="0" w:uiPriority="99"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iPriority="99"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qFormat="1"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99"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420" w:firstLineChars="200"/>
      <w:jc w:val="both"/>
    </w:pPr>
    <w:rPr>
      <w:rFonts w:ascii="Times New Roman" w:hAnsi="Times New Roman" w:eastAsia="宋体" w:cstheme="minorBidi"/>
      <w:kern w:val="2"/>
      <w:sz w:val="24"/>
      <w:szCs w:val="24"/>
      <w:lang w:val="en-US" w:eastAsia="zh-CN" w:bidi="ar-SA"/>
    </w:rPr>
  </w:style>
  <w:style w:type="paragraph" w:styleId="2">
    <w:name w:val="heading 1"/>
    <w:basedOn w:val="1"/>
    <w:next w:val="1"/>
    <w:qFormat/>
    <w:uiPriority w:val="0"/>
    <w:pPr>
      <w:keepNext/>
      <w:keepLines/>
      <w:spacing w:line="360" w:lineRule="auto"/>
      <w:ind w:firstLine="0" w:firstLineChars="0"/>
      <w:outlineLvl w:val="0"/>
    </w:pPr>
    <w:rPr>
      <w:rFonts w:ascii="Times New Roman" w:hAnsi="Times New Roman"/>
      <w:b/>
      <w:bCs/>
      <w:kern w:val="44"/>
      <w:sz w:val="30"/>
      <w:szCs w:val="44"/>
    </w:rPr>
  </w:style>
  <w:style w:type="paragraph" w:styleId="3">
    <w:name w:val="heading 2"/>
    <w:basedOn w:val="1"/>
    <w:next w:val="1"/>
    <w:link w:val="52"/>
    <w:unhideWhenUsed/>
    <w:qFormat/>
    <w:uiPriority w:val="0"/>
    <w:pPr>
      <w:keepNext/>
      <w:keepLines/>
      <w:spacing w:beforeLines="0" w:beforeAutospacing="0" w:afterLines="0" w:afterAutospacing="0" w:line="360" w:lineRule="auto"/>
      <w:ind w:firstLine="0" w:firstLineChars="0"/>
      <w:outlineLvl w:val="1"/>
    </w:pPr>
    <w:rPr>
      <w:rFonts w:ascii="Times New Roman" w:hAnsi="Times New Roman" w:eastAsia="宋体"/>
      <w:b/>
      <w:sz w:val="28"/>
    </w:rPr>
  </w:style>
  <w:style w:type="paragraph" w:styleId="4">
    <w:name w:val="heading 3"/>
    <w:basedOn w:val="1"/>
    <w:next w:val="1"/>
    <w:link w:val="50"/>
    <w:unhideWhenUsed/>
    <w:qFormat/>
    <w:uiPriority w:val="0"/>
    <w:pPr>
      <w:keepNext/>
      <w:keepLines/>
      <w:spacing w:beforeLines="0" w:beforeAutospacing="0" w:afterLines="0" w:afterAutospacing="0" w:line="360" w:lineRule="auto"/>
      <w:outlineLvl w:val="2"/>
    </w:pPr>
    <w:rPr>
      <w:b/>
      <w:sz w:val="24"/>
    </w:rPr>
  </w:style>
  <w:style w:type="paragraph" w:styleId="5">
    <w:name w:val="heading 5"/>
    <w:basedOn w:val="1"/>
    <w:next w:val="1"/>
    <w:qFormat/>
    <w:uiPriority w:val="99"/>
    <w:pPr>
      <w:spacing w:before="37"/>
      <w:ind w:left="120"/>
      <w:outlineLvl w:val="4"/>
    </w:pPr>
    <w:rPr>
      <w:rFonts w:ascii="宋体" w:hAnsi="宋体"/>
      <w:b/>
      <w:bCs/>
      <w:sz w:val="24"/>
    </w:rPr>
  </w:style>
  <w:style w:type="character" w:default="1" w:styleId="23">
    <w:name w:val="Default Paragraph Font"/>
    <w:semiHidden/>
    <w:qFormat/>
    <w:uiPriority w:val="0"/>
  </w:style>
  <w:style w:type="table" w:default="1" w:styleId="21">
    <w:name w:val="Normal Table"/>
    <w:semiHidden/>
    <w:qFormat/>
    <w:uiPriority w:val="0"/>
    <w:tblPr>
      <w:tblCellMar>
        <w:top w:w="0" w:type="dxa"/>
        <w:left w:w="108" w:type="dxa"/>
        <w:bottom w:w="0" w:type="dxa"/>
        <w:right w:w="108" w:type="dxa"/>
      </w:tblCellMar>
    </w:tblPr>
  </w:style>
  <w:style w:type="paragraph" w:styleId="6">
    <w:name w:val="Normal Indent"/>
    <w:basedOn w:val="1"/>
    <w:next w:val="7"/>
    <w:qFormat/>
    <w:uiPriority w:val="0"/>
    <w:rPr>
      <w:sz w:val="28"/>
      <w:szCs w:val="20"/>
    </w:rPr>
  </w:style>
  <w:style w:type="paragraph" w:styleId="7">
    <w:name w:val="Body Text First Indent 2"/>
    <w:basedOn w:val="1"/>
    <w:next w:val="1"/>
    <w:qFormat/>
    <w:uiPriority w:val="0"/>
    <w:pPr>
      <w:tabs>
        <w:tab w:val="left" w:pos="210"/>
      </w:tabs>
      <w:spacing w:after="120"/>
      <w:ind w:left="420" w:leftChars="200" w:firstLine="420"/>
    </w:pPr>
  </w:style>
  <w:style w:type="paragraph" w:styleId="8">
    <w:name w:val="caption"/>
    <w:basedOn w:val="1"/>
    <w:next w:val="1"/>
    <w:qFormat/>
    <w:uiPriority w:val="0"/>
    <w:rPr>
      <w:rFonts w:ascii="Arial" w:hAnsi="Arial" w:eastAsia="黑体" w:cs="Arial"/>
      <w:sz w:val="20"/>
      <w:szCs w:val="20"/>
    </w:rPr>
  </w:style>
  <w:style w:type="paragraph" w:styleId="9">
    <w:name w:val="List Bullet"/>
    <w:basedOn w:val="1"/>
    <w:qFormat/>
    <w:uiPriority w:val="0"/>
    <w:pPr>
      <w:numPr>
        <w:ilvl w:val="0"/>
        <w:numId w:val="1"/>
      </w:numPr>
    </w:pPr>
  </w:style>
  <w:style w:type="paragraph" w:styleId="10">
    <w:name w:val="toa heading"/>
    <w:basedOn w:val="1"/>
    <w:next w:val="1"/>
    <w:qFormat/>
    <w:uiPriority w:val="0"/>
    <w:pPr>
      <w:spacing w:before="120" w:beforeLines="0" w:beforeAutospacing="0"/>
    </w:pPr>
    <w:rPr>
      <w:rFonts w:ascii="Arial" w:hAnsi="Arial"/>
      <w:sz w:val="24"/>
    </w:rPr>
  </w:style>
  <w:style w:type="paragraph" w:styleId="11">
    <w:name w:val="annotation text"/>
    <w:basedOn w:val="1"/>
    <w:qFormat/>
    <w:uiPriority w:val="0"/>
    <w:pPr>
      <w:jc w:val="left"/>
    </w:pPr>
  </w:style>
  <w:style w:type="paragraph" w:styleId="12">
    <w:name w:val="Body Text"/>
    <w:basedOn w:val="1"/>
    <w:qFormat/>
    <w:uiPriority w:val="0"/>
    <w:pPr>
      <w:spacing w:after="120"/>
    </w:pPr>
  </w:style>
  <w:style w:type="paragraph" w:styleId="13">
    <w:name w:val="Body Text Indent"/>
    <w:basedOn w:val="1"/>
    <w:qFormat/>
    <w:uiPriority w:val="0"/>
    <w:pPr>
      <w:tabs>
        <w:tab w:val="left" w:pos="210"/>
      </w:tabs>
      <w:spacing w:line="360" w:lineRule="auto"/>
      <w:ind w:firstLine="420" w:firstLineChars="175"/>
    </w:pPr>
    <w:rPr>
      <w:sz w:val="24"/>
    </w:rPr>
  </w:style>
  <w:style w:type="paragraph" w:styleId="14">
    <w:name w:val="Block Text"/>
    <w:basedOn w:val="1"/>
    <w:next w:val="1"/>
    <w:qFormat/>
    <w:uiPriority w:val="0"/>
    <w:pPr>
      <w:autoSpaceDE w:val="0"/>
      <w:autoSpaceDN w:val="0"/>
      <w:adjustRightInd w:val="0"/>
      <w:spacing w:before="1" w:line="537" w:lineRule="exact"/>
      <w:ind w:left="88" w:right="6"/>
    </w:pPr>
    <w:rPr>
      <w:rFonts w:cs="宋体"/>
      <w:color w:val="000000"/>
      <w:kern w:val="0"/>
      <w:sz w:val="28"/>
    </w:rPr>
  </w:style>
  <w:style w:type="paragraph" w:styleId="15">
    <w:name w:val="Plain Text"/>
    <w:basedOn w:val="1"/>
    <w:qFormat/>
    <w:uiPriority w:val="0"/>
    <w:rPr>
      <w:rFonts w:ascii="宋体" w:hAnsi="Courier New"/>
      <w:sz w:val="28"/>
      <w:szCs w:val="20"/>
    </w:rPr>
  </w:style>
  <w:style w:type="paragraph" w:styleId="16">
    <w:name w:val="Date"/>
    <w:basedOn w:val="1"/>
    <w:next w:val="1"/>
    <w:qFormat/>
    <w:uiPriority w:val="0"/>
    <w:pPr>
      <w:adjustRightInd w:val="0"/>
      <w:textAlignment w:val="baseline"/>
    </w:pPr>
    <w:rPr>
      <w:kern w:val="0"/>
      <w:sz w:val="24"/>
      <w:szCs w:val="20"/>
    </w:rPr>
  </w:style>
  <w:style w:type="paragraph" w:styleId="17">
    <w:name w:val="footer"/>
    <w:basedOn w:val="1"/>
    <w:qFormat/>
    <w:uiPriority w:val="99"/>
    <w:pPr>
      <w:tabs>
        <w:tab w:val="center" w:pos="4153"/>
        <w:tab w:val="right" w:pos="8306"/>
      </w:tabs>
      <w:snapToGrid w:val="0"/>
      <w:jc w:val="left"/>
    </w:pPr>
    <w:rPr>
      <w:sz w:val="18"/>
      <w:szCs w:val="18"/>
    </w:rPr>
  </w:style>
  <w:style w:type="paragraph" w:styleId="18">
    <w:name w:val="header"/>
    <w:basedOn w:val="1"/>
    <w:unhideWhenUsed/>
    <w:qFormat/>
    <w:uiPriority w:val="99"/>
    <w:pPr>
      <w:pBdr>
        <w:bottom w:val="single" w:color="auto" w:sz="6" w:space="1"/>
      </w:pBdr>
      <w:tabs>
        <w:tab w:val="center" w:pos="4153"/>
        <w:tab w:val="right" w:pos="8306"/>
      </w:tabs>
      <w:snapToGrid w:val="0"/>
      <w:jc w:val="center"/>
    </w:pPr>
    <w:rPr>
      <w:kern w:val="0"/>
      <w:sz w:val="18"/>
      <w:szCs w:val="18"/>
    </w:rPr>
  </w:style>
  <w:style w:type="paragraph" w:styleId="19">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20">
    <w:name w:val="Body Text First Indent"/>
    <w:basedOn w:val="12"/>
    <w:qFormat/>
    <w:uiPriority w:val="0"/>
    <w:pPr>
      <w:ind w:firstLine="420" w:firstLineChars="100"/>
    </w:pPr>
    <w:rPr>
      <w:lang w:val="en-US" w:eastAsia="zh-CN"/>
    </w:rPr>
  </w:style>
  <w:style w:type="table" w:styleId="22">
    <w:name w:val="Table Grid"/>
    <w:basedOn w:val="2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4">
    <w:name w:val="Strong"/>
    <w:basedOn w:val="23"/>
    <w:qFormat/>
    <w:uiPriority w:val="0"/>
    <w:rPr>
      <w:b/>
      <w:bCs/>
    </w:rPr>
  </w:style>
  <w:style w:type="character" w:styleId="25">
    <w:name w:val="Hyperlink"/>
    <w:qFormat/>
    <w:uiPriority w:val="0"/>
    <w:rPr>
      <w:color w:val="0000CC"/>
      <w:u w:val="single"/>
    </w:rPr>
  </w:style>
  <w:style w:type="character" w:styleId="26">
    <w:name w:val="annotation reference"/>
    <w:semiHidden/>
    <w:qFormat/>
    <w:uiPriority w:val="0"/>
    <w:rPr>
      <w:sz w:val="21"/>
      <w:szCs w:val="21"/>
    </w:rPr>
  </w:style>
  <w:style w:type="paragraph" w:customStyle="1" w:styleId="27">
    <w:name w:val="0正文"/>
    <w:qFormat/>
    <w:uiPriority w:val="0"/>
    <w:pPr>
      <w:widowControl w:val="0"/>
      <w:spacing w:line="360" w:lineRule="auto"/>
      <w:ind w:firstLine="720" w:firstLineChars="200"/>
    </w:pPr>
    <w:rPr>
      <w:rFonts w:ascii="Calibri" w:hAnsi="Calibri" w:eastAsia="宋体" w:cs="Times New Roman"/>
      <w:sz w:val="24"/>
      <w:szCs w:val="22"/>
      <w:lang w:val="en-US" w:eastAsia="zh-CN" w:bidi="ar-SA"/>
    </w:rPr>
  </w:style>
  <w:style w:type="paragraph" w:customStyle="1" w:styleId="28">
    <w:name w:val="Default"/>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paragraph" w:customStyle="1" w:styleId="29">
    <w:name w:val="表格"/>
    <w:basedOn w:val="1"/>
    <w:qFormat/>
    <w:uiPriority w:val="0"/>
    <w:pPr>
      <w:spacing w:line="240" w:lineRule="auto"/>
      <w:ind w:firstLine="0" w:firstLineChars="0"/>
      <w:jc w:val="center"/>
    </w:pPr>
    <w:rPr>
      <w:rFonts w:ascii="Times New Roman" w:hAnsi="Times New Roman" w:eastAsia="宋体"/>
      <w:sz w:val="21"/>
    </w:rPr>
  </w:style>
  <w:style w:type="paragraph" w:customStyle="1" w:styleId="30">
    <w:name w:val="正文缩进1"/>
    <w:basedOn w:val="1"/>
    <w:qFormat/>
    <w:uiPriority w:val="0"/>
    <w:rPr>
      <w:sz w:val="28"/>
    </w:rPr>
  </w:style>
  <w:style w:type="paragraph" w:customStyle="1" w:styleId="31">
    <w:name w:val="p16"/>
    <w:basedOn w:val="1"/>
    <w:qFormat/>
    <w:uiPriority w:val="0"/>
    <w:pPr>
      <w:widowControl/>
      <w:snapToGrid w:val="0"/>
      <w:spacing w:line="360" w:lineRule="auto"/>
      <w:ind w:firstLine="505"/>
    </w:pPr>
    <w:rPr>
      <w:rFonts w:hint="eastAsia" w:ascii="宋体" w:hAnsi="宋体"/>
      <w:sz w:val="24"/>
      <w:szCs w:val="20"/>
    </w:rPr>
  </w:style>
  <w:style w:type="paragraph" w:customStyle="1" w:styleId="32">
    <w:name w:val="列出段落1"/>
    <w:basedOn w:val="1"/>
    <w:qFormat/>
    <w:uiPriority w:val="34"/>
    <w:pPr>
      <w:ind w:firstLine="420" w:firstLineChars="200"/>
    </w:pPr>
  </w:style>
  <w:style w:type="paragraph" w:styleId="33">
    <w:name w:val="List Paragraph"/>
    <w:basedOn w:val="1"/>
    <w:qFormat/>
    <w:uiPriority w:val="34"/>
    <w:pPr>
      <w:ind w:firstLine="420" w:firstLineChars="200"/>
    </w:pPr>
  </w:style>
  <w:style w:type="paragraph" w:customStyle="1" w:styleId="34">
    <w:name w:val="无间隔1"/>
    <w:next w:val="1"/>
    <w:qFormat/>
    <w:uiPriority w:val="1"/>
    <w:pPr>
      <w:widowControl w:val="0"/>
      <w:spacing w:line="520" w:lineRule="exact"/>
      <w:ind w:firstLine="200" w:firstLineChars="200"/>
      <w:jc w:val="both"/>
    </w:pPr>
    <w:rPr>
      <w:rFonts w:ascii="Times New Roman" w:hAnsi="Times New Roman" w:eastAsia="黑体" w:cs="Times New Roman"/>
      <w:kern w:val="2"/>
      <w:sz w:val="24"/>
      <w:szCs w:val="24"/>
      <w:lang w:val="en-US" w:eastAsia="zh-CN" w:bidi="ar-SA"/>
    </w:rPr>
  </w:style>
  <w:style w:type="paragraph" w:customStyle="1" w:styleId="35">
    <w:name w:val="表头样式1"/>
    <w:basedOn w:val="1"/>
    <w:qFormat/>
    <w:uiPriority w:val="0"/>
    <w:pPr>
      <w:adjustRightInd w:val="0"/>
      <w:snapToGrid w:val="0"/>
      <w:jc w:val="center"/>
    </w:pPr>
    <w:rPr>
      <w:rFonts w:eastAsia="楷体_GB2312"/>
      <w:bCs/>
      <w:sz w:val="18"/>
      <w:szCs w:val="18"/>
    </w:rPr>
  </w:style>
  <w:style w:type="paragraph" w:customStyle="1" w:styleId="36">
    <w:name w:val="Table Paragraph"/>
    <w:basedOn w:val="1"/>
    <w:qFormat/>
    <w:uiPriority w:val="99"/>
  </w:style>
  <w:style w:type="paragraph" w:customStyle="1" w:styleId="37">
    <w:name w:val="TT正文"/>
    <w:basedOn w:val="1"/>
    <w:qFormat/>
    <w:uiPriority w:val="0"/>
    <w:pPr>
      <w:ind w:firstLine="200" w:firstLineChars="200"/>
    </w:pPr>
    <w:rPr>
      <w:rFonts w:cs="宋体"/>
      <w:color w:val="000000"/>
      <w:sz w:val="24"/>
      <w:szCs w:val="20"/>
    </w:rPr>
  </w:style>
  <w:style w:type="character" w:customStyle="1" w:styleId="38">
    <w:name w:val="font21"/>
    <w:basedOn w:val="23"/>
    <w:qFormat/>
    <w:uiPriority w:val="0"/>
    <w:rPr>
      <w:rFonts w:hint="eastAsia" w:ascii="宋体" w:hAnsi="宋体" w:eastAsia="宋体" w:cs="宋体"/>
      <w:color w:val="000000"/>
      <w:sz w:val="22"/>
      <w:szCs w:val="22"/>
      <w:u w:val="none"/>
    </w:rPr>
  </w:style>
  <w:style w:type="character" w:customStyle="1" w:styleId="39">
    <w:name w:val="font41"/>
    <w:basedOn w:val="23"/>
    <w:qFormat/>
    <w:uiPriority w:val="0"/>
    <w:rPr>
      <w:rFonts w:hint="default" w:ascii="Times New Roman" w:hAnsi="Times New Roman" w:cs="Times New Roman"/>
      <w:color w:val="000000"/>
      <w:sz w:val="22"/>
      <w:szCs w:val="22"/>
      <w:u w:val="none"/>
    </w:rPr>
  </w:style>
  <w:style w:type="character" w:customStyle="1" w:styleId="40">
    <w:name w:val="font11"/>
    <w:basedOn w:val="23"/>
    <w:qFormat/>
    <w:uiPriority w:val="0"/>
    <w:rPr>
      <w:rFonts w:hint="default" w:ascii="Times New Roman" w:hAnsi="Times New Roman" w:cs="Times New Roman"/>
      <w:color w:val="000000"/>
      <w:sz w:val="22"/>
      <w:szCs w:val="22"/>
      <w:u w:val="none"/>
      <w:vertAlign w:val="subscript"/>
    </w:rPr>
  </w:style>
  <w:style w:type="character" w:customStyle="1" w:styleId="41">
    <w:name w:val="font01"/>
    <w:basedOn w:val="23"/>
    <w:qFormat/>
    <w:uiPriority w:val="0"/>
    <w:rPr>
      <w:rFonts w:hint="eastAsia" w:ascii="宋体" w:hAnsi="宋体" w:eastAsia="宋体" w:cs="宋体"/>
      <w:color w:val="000000"/>
      <w:sz w:val="22"/>
      <w:szCs w:val="22"/>
      <w:u w:val="none"/>
      <w:vertAlign w:val="subscript"/>
    </w:rPr>
  </w:style>
  <w:style w:type="paragraph" w:customStyle="1" w:styleId="42">
    <w:name w:val="5表格标题"/>
    <w:basedOn w:val="15"/>
    <w:qFormat/>
    <w:uiPriority w:val="99"/>
    <w:pPr>
      <w:adjustRightInd w:val="0"/>
      <w:snapToGrid w:val="0"/>
      <w:spacing w:line="360" w:lineRule="auto"/>
      <w:jc w:val="center"/>
    </w:pPr>
    <w:rPr>
      <w:rFonts w:ascii="Times New Roman" w:hAnsi="黑体" w:eastAsia="黑体"/>
      <w:color w:val="FF0000"/>
      <w:sz w:val="24"/>
      <w:szCs w:val="24"/>
    </w:rPr>
  </w:style>
  <w:style w:type="paragraph" w:customStyle="1" w:styleId="43">
    <w:name w:val="正文缩进2"/>
    <w:basedOn w:val="1"/>
    <w:qFormat/>
    <w:uiPriority w:val="0"/>
    <w:rPr>
      <w:sz w:val="28"/>
      <w:szCs w:val="20"/>
    </w:rPr>
  </w:style>
  <w:style w:type="paragraph" w:customStyle="1" w:styleId="44">
    <w:name w:val="表格文字"/>
    <w:basedOn w:val="12"/>
    <w:qFormat/>
    <w:uiPriority w:val="0"/>
    <w:pPr>
      <w:adjustRightInd w:val="0"/>
      <w:snapToGrid w:val="0"/>
      <w:spacing w:after="0" w:line="240" w:lineRule="atLeast"/>
      <w:ind w:left="-80" w:leftChars="-38" w:right="-84" w:rightChars="-40"/>
      <w:jc w:val="center"/>
    </w:pPr>
    <w:rPr>
      <w:color w:val="FF0000"/>
      <w:szCs w:val="21"/>
    </w:rPr>
  </w:style>
  <w:style w:type="paragraph" w:customStyle="1" w:styleId="45">
    <w:name w:val="表格内容"/>
    <w:basedOn w:val="1"/>
    <w:qFormat/>
    <w:uiPriority w:val="0"/>
    <w:pPr>
      <w:spacing w:line="360" w:lineRule="auto"/>
      <w:ind w:firstLine="0" w:firstLineChars="0"/>
      <w:jc w:val="center"/>
    </w:pPr>
    <w:rPr>
      <w:rFonts w:hint="eastAsia" w:ascii="Times New Roman" w:hAnsi="Times New Roman" w:eastAsia="宋体"/>
      <w:color w:val="000000"/>
      <w:kern w:val="0"/>
    </w:rPr>
  </w:style>
  <w:style w:type="paragraph" w:customStyle="1" w:styleId="46">
    <w:name w:val="p0"/>
    <w:basedOn w:val="1"/>
    <w:qFormat/>
    <w:uiPriority w:val="0"/>
    <w:pPr>
      <w:widowControl/>
      <w:jc w:val="left"/>
    </w:pPr>
    <w:rPr>
      <w:kern w:val="0"/>
      <w:sz w:val="20"/>
      <w:szCs w:val="20"/>
    </w:rPr>
  </w:style>
  <w:style w:type="paragraph" w:customStyle="1" w:styleId="47">
    <w:name w:val="二级标题"/>
    <w:basedOn w:val="1"/>
    <w:qFormat/>
    <w:uiPriority w:val="0"/>
    <w:pPr>
      <w:spacing w:line="360" w:lineRule="auto"/>
    </w:pPr>
    <w:rPr>
      <w:b/>
      <w:sz w:val="28"/>
      <w:szCs w:val="28"/>
    </w:rPr>
  </w:style>
  <w:style w:type="paragraph" w:customStyle="1" w:styleId="48">
    <w:name w:val="三级标题"/>
    <w:basedOn w:val="1"/>
    <w:qFormat/>
    <w:uiPriority w:val="0"/>
    <w:pPr>
      <w:spacing w:line="360" w:lineRule="auto"/>
    </w:pPr>
    <w:rPr>
      <w:b/>
    </w:rPr>
  </w:style>
  <w:style w:type="paragraph" w:customStyle="1" w:styleId="49">
    <w:name w:val="普通(网站)1"/>
    <w:basedOn w:val="1"/>
    <w:qFormat/>
    <w:uiPriority w:val="0"/>
    <w:pPr>
      <w:widowControl/>
      <w:spacing w:before="100" w:beforeAutospacing="1" w:after="100" w:afterAutospacing="1"/>
      <w:jc w:val="left"/>
    </w:pPr>
    <w:rPr>
      <w:rFonts w:ascii="宋体" w:hAnsi="宋体"/>
      <w:kern w:val="0"/>
      <w:sz w:val="24"/>
      <w:szCs w:val="20"/>
    </w:rPr>
  </w:style>
  <w:style w:type="character" w:customStyle="1" w:styleId="50">
    <w:name w:val="标题 3 Char"/>
    <w:link w:val="4"/>
    <w:qFormat/>
    <w:uiPriority w:val="0"/>
    <w:rPr>
      <w:b/>
      <w:sz w:val="24"/>
    </w:rPr>
  </w:style>
  <w:style w:type="paragraph" w:customStyle="1" w:styleId="51">
    <w:name w:val="样式 小四 加粗 居中"/>
    <w:basedOn w:val="1"/>
    <w:qFormat/>
    <w:uiPriority w:val="0"/>
    <w:pPr>
      <w:jc w:val="center"/>
    </w:pPr>
    <w:rPr>
      <w:rFonts w:eastAsia="黑体"/>
      <w:bCs/>
      <w:sz w:val="24"/>
      <w:szCs w:val="20"/>
    </w:rPr>
  </w:style>
  <w:style w:type="character" w:customStyle="1" w:styleId="52">
    <w:name w:val="标题 2 Char"/>
    <w:link w:val="3"/>
    <w:qFormat/>
    <w:uiPriority w:val="0"/>
    <w:rPr>
      <w:rFonts w:ascii="Times New Roman" w:hAnsi="Times New Roman" w:eastAsia="宋体"/>
      <w:b/>
      <w:sz w:val="28"/>
    </w:rPr>
  </w:style>
  <w:style w:type="paragraph" w:customStyle="1" w:styleId="53">
    <w:name w:val="表格头"/>
    <w:qFormat/>
    <w:uiPriority w:val="0"/>
    <w:pPr>
      <w:spacing w:line="360" w:lineRule="auto"/>
      <w:ind w:firstLine="200" w:firstLineChars="200"/>
    </w:pPr>
    <w:rPr>
      <w:rFonts w:ascii="Times New Roman" w:hAnsi="Times New Roman" w:cs="Times New Roman" w:eastAsiaTheme="minorEastAsia"/>
      <w:b/>
      <w:snapToGrid w:val="0"/>
      <w:color w:val="000000"/>
      <w:spacing w:val="-4"/>
      <w:kern w:val="2"/>
      <w:sz w:val="24"/>
      <w:lang w:val="en-US" w:eastAsia="zh-CN" w:bidi="ar-SA"/>
    </w:rPr>
  </w:style>
  <w:style w:type="paragraph" w:customStyle="1" w:styleId="54">
    <w:name w:val="表格正文"/>
    <w:basedOn w:val="1"/>
    <w:qFormat/>
    <w:uiPriority w:val="0"/>
    <w:pPr>
      <w:ind w:firstLine="0" w:firstLineChars="0"/>
      <w:jc w:val="center"/>
    </w:pPr>
    <w:rPr>
      <w:sz w:val="21"/>
      <w:szCs w:val="24"/>
    </w:rPr>
  </w:style>
  <w:style w:type="paragraph" w:customStyle="1" w:styleId="55">
    <w:name w:val="样式 标题 3Re条标题1.1.1H33h33rd levell3CT标题 3 Char1标题 3 Char..."/>
    <w:basedOn w:val="4"/>
    <w:qFormat/>
    <w:uiPriority w:val="0"/>
    <w:pPr>
      <w:keepLines/>
      <w:widowControl/>
      <w:tabs>
        <w:tab w:val="left" w:pos="284"/>
      </w:tabs>
      <w:spacing w:before="0" w:beforeLines="0" w:afterLines="10" w:line="360" w:lineRule="auto"/>
      <w:jc w:val="both"/>
    </w:pPr>
    <w:rPr>
      <w:rFonts w:ascii="Times New Roman" w:eastAsia="宋体" w:cs="宋体"/>
      <w:kern w:val="24"/>
      <w:sz w:val="26"/>
    </w:rPr>
  </w:style>
  <w:style w:type="paragraph" w:customStyle="1" w:styleId="56">
    <w:name w:val="报告正文"/>
    <w:basedOn w:val="1"/>
    <w:qFormat/>
    <w:uiPriority w:val="0"/>
    <w:pPr>
      <w:spacing w:line="360" w:lineRule="auto"/>
      <w:ind w:firstLine="200" w:firstLineChars="200"/>
      <w:jc w:val="left"/>
    </w:pPr>
    <w:rPr>
      <w:sz w:val="24"/>
    </w:rPr>
  </w:style>
  <w:style w:type="paragraph" w:customStyle="1" w:styleId="57">
    <w:name w:val="0正文中9.8新"/>
    <w:basedOn w:val="1"/>
    <w:qFormat/>
    <w:uiPriority w:val="0"/>
    <w:pPr>
      <w:spacing w:line="360" w:lineRule="auto"/>
      <w:ind w:firstLine="200" w:firstLineChars="200"/>
    </w:pPr>
    <w:rPr>
      <w:rFonts w:ascii="宋体" w:hAnsi="宋体" w:eastAsia="仿宋_GB2312"/>
      <w:sz w:val="24"/>
    </w:rPr>
  </w:style>
  <w:style w:type="paragraph" w:customStyle="1" w:styleId="58">
    <w:name w:val="【正文】"/>
    <w:basedOn w:val="1"/>
    <w:qFormat/>
    <w:uiPriority w:val="0"/>
    <w:pPr>
      <w:spacing w:line="500" w:lineRule="exact"/>
      <w:ind w:firstLine="200" w:firstLineChars="200"/>
    </w:pPr>
    <w:rPr>
      <w:rFonts w:ascii="宋体" w:hAnsi="宋体" w:cs="Times New Roman"/>
      <w:color w:val="auto"/>
      <w:sz w:val="24"/>
    </w:rPr>
  </w:style>
  <w:style w:type="paragraph" w:customStyle="1" w:styleId="59">
    <w:name w:val="S正文段落"/>
    <w:basedOn w:val="1"/>
    <w:qFormat/>
    <w:uiPriority w:val="0"/>
    <w:pPr>
      <w:spacing w:line="360" w:lineRule="auto"/>
      <w:ind w:firstLine="200" w:firstLineChars="200"/>
    </w:pPr>
    <w:rPr>
      <w:snapToGrid w:val="0"/>
      <w:kern w:val="0"/>
      <w:sz w:val="24"/>
      <w:szCs w:val="24"/>
    </w:rPr>
  </w:style>
  <w:style w:type="paragraph" w:customStyle="1" w:styleId="60">
    <w:name w:val="表头"/>
    <w:basedOn w:val="1"/>
    <w:qFormat/>
    <w:uiPriority w:val="0"/>
    <w:pPr>
      <w:spacing w:before="200" w:line="500" w:lineRule="exact"/>
    </w:pPr>
    <w:rPr>
      <w:rFonts w:ascii="黑体" w:eastAsia="黑体"/>
      <w:spacing w:val="20"/>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9" Type="http://schemas.openxmlformats.org/officeDocument/2006/relationships/fontTable" Target="fontTable.xml"/><Relationship Id="rId68" Type="http://schemas.openxmlformats.org/officeDocument/2006/relationships/numbering" Target="numbering.xml"/><Relationship Id="rId67" Type="http://schemas.openxmlformats.org/officeDocument/2006/relationships/customXml" Target="../customXml/item1.xml"/><Relationship Id="rId66" Type="http://schemas.openxmlformats.org/officeDocument/2006/relationships/image" Target="media/image59.jpeg"/><Relationship Id="rId65" Type="http://schemas.openxmlformats.org/officeDocument/2006/relationships/image" Target="media/image58.jpeg"/><Relationship Id="rId64" Type="http://schemas.openxmlformats.org/officeDocument/2006/relationships/image" Target="media/image57.jpeg"/><Relationship Id="rId63" Type="http://schemas.openxmlformats.org/officeDocument/2006/relationships/image" Target="media/image56.jpeg"/><Relationship Id="rId62" Type="http://schemas.openxmlformats.org/officeDocument/2006/relationships/image" Target="media/image55.jpeg"/><Relationship Id="rId61" Type="http://schemas.openxmlformats.org/officeDocument/2006/relationships/image" Target="media/image54.jpeg"/><Relationship Id="rId60" Type="http://schemas.openxmlformats.org/officeDocument/2006/relationships/image" Target="media/image53.jpeg"/><Relationship Id="rId6" Type="http://schemas.openxmlformats.org/officeDocument/2006/relationships/image" Target="media/image1.jpeg"/><Relationship Id="rId59" Type="http://schemas.openxmlformats.org/officeDocument/2006/relationships/image" Target="media/image52.jpeg"/><Relationship Id="rId58" Type="http://schemas.openxmlformats.org/officeDocument/2006/relationships/image" Target="media/image51.jpeg"/><Relationship Id="rId57" Type="http://schemas.openxmlformats.org/officeDocument/2006/relationships/image" Target="media/image50.jpeg"/><Relationship Id="rId56" Type="http://schemas.openxmlformats.org/officeDocument/2006/relationships/image" Target="media/image49.jpeg"/><Relationship Id="rId55" Type="http://schemas.openxmlformats.org/officeDocument/2006/relationships/image" Target="media/image48.jpeg"/><Relationship Id="rId54" Type="http://schemas.openxmlformats.org/officeDocument/2006/relationships/image" Target="media/image47.jpeg"/><Relationship Id="rId53" Type="http://schemas.openxmlformats.org/officeDocument/2006/relationships/image" Target="media/image46.jpeg"/><Relationship Id="rId52" Type="http://schemas.openxmlformats.org/officeDocument/2006/relationships/image" Target="media/image45.jpeg"/><Relationship Id="rId51" Type="http://schemas.openxmlformats.org/officeDocument/2006/relationships/image" Target="media/image44.jpeg"/><Relationship Id="rId50" Type="http://schemas.openxmlformats.org/officeDocument/2006/relationships/image" Target="media/image43.jpeg"/><Relationship Id="rId5" Type="http://schemas.openxmlformats.org/officeDocument/2006/relationships/theme" Target="theme/theme1.xml"/><Relationship Id="rId49" Type="http://schemas.openxmlformats.org/officeDocument/2006/relationships/image" Target="media/image42.jpeg"/><Relationship Id="rId48" Type="http://schemas.openxmlformats.org/officeDocument/2006/relationships/image" Target="media/image41.jpeg"/><Relationship Id="rId47" Type="http://schemas.openxmlformats.org/officeDocument/2006/relationships/image" Target="media/image40.jpe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footer" Target="footer2.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wmf"/><Relationship Id="rId2" Type="http://schemas.openxmlformats.org/officeDocument/2006/relationships/settings" Target="settings.xml"/><Relationship Id="rId19" Type="http://schemas.openxmlformats.org/officeDocument/2006/relationships/oleObject" Target="embeddings/oleObject2.bin"/><Relationship Id="rId18" Type="http://schemas.openxmlformats.org/officeDocument/2006/relationships/image" Target="media/image12.wmf"/><Relationship Id="rId17" Type="http://schemas.openxmlformats.org/officeDocument/2006/relationships/oleObject" Target="embeddings/oleObject1.bin"/><Relationship Id="rId16" Type="http://schemas.openxmlformats.org/officeDocument/2006/relationships/image" Target="media/image11.wmf"/><Relationship Id="rId15" Type="http://schemas.openxmlformats.org/officeDocument/2006/relationships/image" Target="media/image10.png"/><Relationship Id="rId14" Type="http://schemas.openxmlformats.org/officeDocument/2006/relationships/image" Target="media/image9.jpe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74</Pages>
  <Words>43862</Words>
  <Characters>49509</Characters>
  <Lines>0</Lines>
  <Paragraphs>0</Paragraphs>
  <TotalTime>0</TotalTime>
  <ScaleCrop>false</ScaleCrop>
  <LinksUpToDate>false</LinksUpToDate>
  <CharactersWithSpaces>50370</CharactersWithSpaces>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2020-07-29T02:04:00Z</dcterms:created>
  <dc:creator>Administrator</dc:creator>
  <cp:lastModifiedBy>李翔</cp:lastModifiedBy>
  <dcterms:modified xsi:type="dcterms:W3CDTF">2020-11-25T00:42:53Z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